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AF98"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bookmarkStart w:id="0" w:name="_GoBack"/>
      <w:bookmarkEnd w:id="0"/>
      <w:r>
        <w:rPr>
          <w:rFonts w:ascii="Constantia" w:eastAsia="Calibri" w:hAnsi="Constantia" w:cs="Constantia,BoldItalic"/>
          <w:b/>
          <w:bCs/>
          <w:i/>
          <w:iCs/>
          <w:color w:val="002060"/>
          <w:sz w:val="24"/>
          <w:szCs w:val="24"/>
        </w:rPr>
        <w:t>U. S. Department of Education</w:t>
      </w:r>
    </w:p>
    <w:p w14:paraId="27610408"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Office of Postsecondary Education/Federal TRIO Programs</w:t>
      </w:r>
    </w:p>
    <w:p w14:paraId="4FE46805" w14:textId="5CCC3995" w:rsidR="005527A9" w:rsidRDefault="00CE737A"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Policies and Procedures for</w:t>
      </w:r>
      <w:r w:rsidR="008228E3">
        <w:rPr>
          <w:rFonts w:ascii="Constantia" w:eastAsia="Calibri" w:hAnsi="Constantia" w:cs="Constantia,BoldItalic"/>
          <w:b/>
          <w:bCs/>
          <w:i/>
          <w:iCs/>
          <w:color w:val="002060"/>
          <w:sz w:val="24"/>
          <w:szCs w:val="24"/>
        </w:rPr>
        <w:t xml:space="preserve"> Prior Experience (PE)</w:t>
      </w:r>
      <w:r>
        <w:rPr>
          <w:rFonts w:ascii="Constantia" w:eastAsia="Calibri" w:hAnsi="Constantia" w:cs="Constantia,BoldItalic"/>
          <w:b/>
          <w:bCs/>
          <w:i/>
          <w:iCs/>
          <w:color w:val="002060"/>
          <w:sz w:val="24"/>
          <w:szCs w:val="24"/>
        </w:rPr>
        <w:t xml:space="preserve"> Assessment</w:t>
      </w:r>
      <w:r w:rsidR="008228E3">
        <w:rPr>
          <w:rFonts w:ascii="Constantia" w:eastAsia="Calibri" w:hAnsi="Constantia" w:cs="Constantia,BoldItalic"/>
          <w:b/>
          <w:bCs/>
          <w:i/>
          <w:iCs/>
          <w:color w:val="002060"/>
          <w:sz w:val="24"/>
          <w:szCs w:val="24"/>
        </w:rPr>
        <w:t>s</w:t>
      </w:r>
    </w:p>
    <w:p w14:paraId="08775BBD" w14:textId="77777777"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Talent Search (TS</w:t>
      </w:r>
      <w:r w:rsidR="005527A9">
        <w:rPr>
          <w:rFonts w:ascii="Constantia" w:eastAsia="Calibri" w:hAnsi="Constantia" w:cs="Constantia,BoldItalic"/>
          <w:b/>
          <w:bCs/>
          <w:i/>
          <w:iCs/>
          <w:color w:val="002060"/>
          <w:sz w:val="24"/>
          <w:szCs w:val="24"/>
        </w:rPr>
        <w:t>) Program</w:t>
      </w:r>
    </w:p>
    <w:p w14:paraId="660725EB" w14:textId="77777777"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201</w:t>
      </w:r>
      <w:r w:rsidR="00C203E2">
        <w:rPr>
          <w:rFonts w:ascii="Constantia" w:eastAsia="Calibri" w:hAnsi="Constantia" w:cs="Constantia,BoldItalic"/>
          <w:b/>
          <w:bCs/>
          <w:i/>
          <w:iCs/>
          <w:color w:val="002060"/>
          <w:sz w:val="24"/>
          <w:szCs w:val="24"/>
        </w:rPr>
        <w:t>6</w:t>
      </w:r>
      <w:r>
        <w:rPr>
          <w:rFonts w:ascii="Constantia" w:eastAsia="Calibri" w:hAnsi="Constantia" w:cs="Constantia,BoldItalic"/>
          <w:b/>
          <w:bCs/>
          <w:i/>
          <w:iCs/>
          <w:color w:val="002060"/>
          <w:sz w:val="24"/>
          <w:szCs w:val="24"/>
        </w:rPr>
        <w:t>-20</w:t>
      </w:r>
      <w:r w:rsidR="00C203E2">
        <w:rPr>
          <w:rFonts w:ascii="Constantia" w:eastAsia="Calibri" w:hAnsi="Constantia" w:cs="Constantia,BoldItalic"/>
          <w:b/>
          <w:bCs/>
          <w:i/>
          <w:iCs/>
          <w:color w:val="002060"/>
          <w:sz w:val="24"/>
          <w:szCs w:val="24"/>
        </w:rPr>
        <w:t>21</w:t>
      </w:r>
      <w:r w:rsidR="005527A9">
        <w:rPr>
          <w:rFonts w:ascii="Constantia" w:eastAsia="Calibri" w:hAnsi="Constantia" w:cs="Constantia,BoldItalic"/>
          <w:b/>
          <w:bCs/>
          <w:i/>
          <w:iCs/>
          <w:color w:val="002060"/>
          <w:sz w:val="24"/>
          <w:szCs w:val="24"/>
        </w:rPr>
        <w:t xml:space="preserve"> Grant Cycle</w:t>
      </w:r>
    </w:p>
    <w:p w14:paraId="3B46946B"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1DB8A3DE" w14:textId="77777777" w:rsidR="006D5B46" w:rsidRDefault="006D5B46"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4F732AB4" w14:textId="5C3431D0" w:rsidR="00927A90" w:rsidRPr="0025560E" w:rsidRDefault="00927A90" w:rsidP="003C0F81">
      <w:pPr>
        <w:autoSpaceDE w:val="0"/>
        <w:autoSpaceDN w:val="0"/>
        <w:adjustRightInd w:val="0"/>
        <w:spacing w:after="0" w:line="240" w:lineRule="auto"/>
        <w:rPr>
          <w:rFonts w:ascii="Constantia" w:eastAsia="Calibri" w:hAnsi="Constantia" w:cs="Constantia,BoldItalic"/>
          <w:b/>
          <w:bCs/>
          <w:i/>
          <w:iCs/>
          <w:color w:val="002060"/>
          <w:sz w:val="24"/>
          <w:szCs w:val="24"/>
          <w:u w:val="single"/>
        </w:rPr>
      </w:pPr>
      <w:r w:rsidRPr="0025560E">
        <w:rPr>
          <w:rFonts w:ascii="Constantia" w:eastAsia="Calibri" w:hAnsi="Constantia" w:cs="Constantia,BoldItalic"/>
          <w:b/>
          <w:bCs/>
          <w:i/>
          <w:iCs/>
          <w:color w:val="002060"/>
          <w:sz w:val="24"/>
          <w:szCs w:val="24"/>
          <w:u w:val="single"/>
        </w:rPr>
        <w:t>Brief summary of policies and procedures for as</w:t>
      </w:r>
      <w:r w:rsidR="00CE737A">
        <w:rPr>
          <w:rFonts w:ascii="Constantia" w:eastAsia="Calibri" w:hAnsi="Constantia" w:cs="Constantia,BoldItalic"/>
          <w:b/>
          <w:bCs/>
          <w:i/>
          <w:iCs/>
          <w:color w:val="002060"/>
          <w:sz w:val="24"/>
          <w:szCs w:val="24"/>
          <w:u w:val="single"/>
        </w:rPr>
        <w:t xml:space="preserve">sessing </w:t>
      </w:r>
      <w:r w:rsidR="008228E3">
        <w:rPr>
          <w:rFonts w:ascii="Constantia" w:eastAsia="Calibri" w:hAnsi="Constantia" w:cs="Constantia,BoldItalic"/>
          <w:b/>
          <w:bCs/>
          <w:i/>
          <w:iCs/>
          <w:color w:val="002060"/>
          <w:sz w:val="24"/>
          <w:szCs w:val="24"/>
          <w:u w:val="single"/>
        </w:rPr>
        <w:t xml:space="preserve">prior experience (PE) points </w:t>
      </w:r>
    </w:p>
    <w:p w14:paraId="103A17EE" w14:textId="77777777" w:rsidR="00927A90" w:rsidRPr="000F0AB6" w:rsidRDefault="00927A90" w:rsidP="003C0F81">
      <w:pPr>
        <w:autoSpaceDE w:val="0"/>
        <w:autoSpaceDN w:val="0"/>
        <w:adjustRightInd w:val="0"/>
        <w:spacing w:after="0" w:line="240" w:lineRule="auto"/>
        <w:rPr>
          <w:rFonts w:ascii="Constantia" w:eastAsia="Calibri" w:hAnsi="Constantia" w:cs="Constantia,BoldItalic"/>
          <w:color w:val="002060"/>
          <w:sz w:val="20"/>
          <w:szCs w:val="20"/>
        </w:rPr>
      </w:pPr>
    </w:p>
    <w:p w14:paraId="6C5F815D" w14:textId="4733EB2F" w:rsidR="008228E3" w:rsidRDefault="00927A90" w:rsidP="00CE737A">
      <w:pPr>
        <w:pStyle w:val="ListParagraph"/>
        <w:numPr>
          <w:ilvl w:val="0"/>
          <w:numId w:val="16"/>
        </w:numPr>
        <w:spacing w:line="240" w:lineRule="auto"/>
        <w:rPr>
          <w:rFonts w:ascii="Constantia" w:hAnsi="Constantia"/>
          <w:sz w:val="20"/>
          <w:szCs w:val="20"/>
        </w:rPr>
      </w:pPr>
      <w:r w:rsidRPr="008F5D13">
        <w:rPr>
          <w:rFonts w:ascii="Constantia" w:hAnsi="Constantia"/>
          <w:sz w:val="20"/>
          <w:szCs w:val="20"/>
        </w:rPr>
        <w:t>The</w:t>
      </w:r>
      <w:r w:rsidR="00CE737A">
        <w:rPr>
          <w:rFonts w:ascii="Constantia" w:hAnsi="Constantia"/>
          <w:sz w:val="20"/>
          <w:szCs w:val="20"/>
        </w:rPr>
        <w:t xml:space="preserve"> </w:t>
      </w:r>
      <w:r w:rsidR="008228E3">
        <w:rPr>
          <w:rFonts w:ascii="Constantia" w:hAnsi="Constantia"/>
          <w:sz w:val="20"/>
          <w:szCs w:val="20"/>
        </w:rPr>
        <w:t>PE assessment years are 2017-18, 2018-19, and 2019-20.</w:t>
      </w:r>
    </w:p>
    <w:p w14:paraId="1FB4C574" w14:textId="34573D46" w:rsidR="00CE737A" w:rsidRDefault="008228E3" w:rsidP="00CE737A">
      <w:pPr>
        <w:pStyle w:val="ListParagraph"/>
        <w:numPr>
          <w:ilvl w:val="0"/>
          <w:numId w:val="16"/>
        </w:numPr>
        <w:spacing w:line="240" w:lineRule="auto"/>
        <w:rPr>
          <w:rFonts w:ascii="Constantia" w:hAnsi="Constantia"/>
          <w:sz w:val="20"/>
          <w:szCs w:val="20"/>
        </w:rPr>
      </w:pPr>
      <w:r>
        <w:rPr>
          <w:rFonts w:ascii="Constantia" w:hAnsi="Constantia"/>
          <w:sz w:val="20"/>
          <w:szCs w:val="20"/>
        </w:rPr>
        <w:t xml:space="preserve">The </w:t>
      </w:r>
      <w:r w:rsidR="00CE737A">
        <w:rPr>
          <w:rFonts w:ascii="Constantia" w:hAnsi="Constantia"/>
          <w:sz w:val="20"/>
          <w:szCs w:val="20"/>
        </w:rPr>
        <w:t>calculation of</w:t>
      </w:r>
      <w:r>
        <w:rPr>
          <w:rFonts w:ascii="Constantia" w:hAnsi="Constantia"/>
          <w:sz w:val="20"/>
          <w:szCs w:val="20"/>
        </w:rPr>
        <w:t xml:space="preserve"> PE points for the three assessment years</w:t>
      </w:r>
      <w:r w:rsidR="00CE737A">
        <w:rPr>
          <w:rFonts w:ascii="Constantia" w:hAnsi="Constantia"/>
          <w:sz w:val="20"/>
          <w:szCs w:val="20"/>
        </w:rPr>
        <w:t xml:space="preserve"> is based on:</w:t>
      </w:r>
      <w:r w:rsidR="00927A90" w:rsidRPr="008F5D13">
        <w:rPr>
          <w:rFonts w:ascii="Constantia" w:hAnsi="Constantia"/>
          <w:sz w:val="20"/>
          <w:szCs w:val="20"/>
        </w:rPr>
        <w:t xml:space="preserve"> </w:t>
      </w:r>
    </w:p>
    <w:p w14:paraId="7507AB42"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A project’s approved number of participants to be served;</w:t>
      </w:r>
    </w:p>
    <w:p w14:paraId="4242050D"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A project’s approved objectives; and</w:t>
      </w:r>
    </w:p>
    <w:p w14:paraId="79C8AA25"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The data a project subm</w:t>
      </w:r>
      <w:r w:rsidR="009E1A70">
        <w:rPr>
          <w:rFonts w:ascii="Constantia" w:hAnsi="Constantia"/>
          <w:sz w:val="20"/>
          <w:szCs w:val="20"/>
        </w:rPr>
        <w:t>i</w:t>
      </w:r>
      <w:r w:rsidR="0066748C">
        <w:rPr>
          <w:rFonts w:ascii="Constantia" w:hAnsi="Constantia"/>
          <w:sz w:val="20"/>
          <w:szCs w:val="20"/>
        </w:rPr>
        <w:t>ts</w:t>
      </w:r>
      <w:r>
        <w:rPr>
          <w:rFonts w:ascii="Constantia" w:hAnsi="Constantia"/>
          <w:sz w:val="20"/>
          <w:szCs w:val="20"/>
        </w:rPr>
        <w:t xml:space="preserve"> in its annual performance report (APR)</w:t>
      </w:r>
      <w:r w:rsidR="00CE737A">
        <w:rPr>
          <w:rFonts w:ascii="Constantia" w:hAnsi="Constantia"/>
          <w:sz w:val="20"/>
          <w:szCs w:val="20"/>
        </w:rPr>
        <w:t>.</w:t>
      </w:r>
      <w:r>
        <w:rPr>
          <w:rFonts w:ascii="Constantia" w:hAnsi="Constantia"/>
          <w:sz w:val="20"/>
          <w:szCs w:val="20"/>
        </w:rPr>
        <w:t xml:space="preserve"> </w:t>
      </w:r>
    </w:p>
    <w:p w14:paraId="22345942" w14:textId="77777777" w:rsidR="0066748C" w:rsidRPr="008F5D13" w:rsidRDefault="0066748C" w:rsidP="0066748C">
      <w:pPr>
        <w:pStyle w:val="ListParagraph"/>
        <w:spacing w:line="240" w:lineRule="auto"/>
        <w:ind w:left="1440"/>
        <w:rPr>
          <w:rFonts w:ascii="Constantia" w:hAnsi="Constantia"/>
          <w:sz w:val="20"/>
          <w:szCs w:val="20"/>
        </w:rPr>
      </w:pPr>
    </w:p>
    <w:p w14:paraId="3B6D6444" w14:textId="04C4323D" w:rsidR="008228E3" w:rsidRPr="00166360" w:rsidRDefault="008228E3" w:rsidP="008228E3">
      <w:pPr>
        <w:pStyle w:val="ListParagraph"/>
        <w:numPr>
          <w:ilvl w:val="0"/>
          <w:numId w:val="16"/>
        </w:numPr>
        <w:spacing w:line="240" w:lineRule="auto"/>
        <w:rPr>
          <w:rFonts w:ascii="Constantia" w:hAnsi="Constantia"/>
          <w:sz w:val="20"/>
          <w:szCs w:val="20"/>
        </w:rPr>
      </w:pPr>
      <w:r w:rsidRPr="00166360">
        <w:rPr>
          <w:rFonts w:ascii="Constantia" w:hAnsi="Constantia"/>
          <w:sz w:val="20"/>
          <w:szCs w:val="20"/>
        </w:rPr>
        <w:t>For the 2016-21 grant cycle, a project</w:t>
      </w:r>
      <w:r w:rsidR="00166360" w:rsidRPr="00166360">
        <w:rPr>
          <w:rFonts w:ascii="Constantia" w:hAnsi="Constantia"/>
          <w:sz w:val="20"/>
          <w:szCs w:val="20"/>
        </w:rPr>
        <w:t xml:space="preserve"> that was previously fund</w:t>
      </w:r>
      <w:r w:rsidR="00982BEC">
        <w:rPr>
          <w:rFonts w:ascii="Constantia" w:hAnsi="Constantia"/>
          <w:sz w:val="20"/>
          <w:szCs w:val="20"/>
        </w:rPr>
        <w:t>ed</w:t>
      </w:r>
      <w:r w:rsidR="00166360" w:rsidRPr="00166360">
        <w:rPr>
          <w:rFonts w:ascii="Constantia" w:hAnsi="Constantia"/>
          <w:sz w:val="20"/>
          <w:szCs w:val="20"/>
        </w:rPr>
        <w:t xml:space="preserve"> in the 2011-1</w:t>
      </w:r>
      <w:r w:rsidR="00083135">
        <w:rPr>
          <w:rFonts w:ascii="Constantia" w:hAnsi="Constantia"/>
          <w:sz w:val="20"/>
          <w:szCs w:val="20"/>
        </w:rPr>
        <w:t>6</w:t>
      </w:r>
      <w:r w:rsidR="00166360" w:rsidRPr="00166360">
        <w:rPr>
          <w:rFonts w:ascii="Constantia" w:hAnsi="Constantia"/>
          <w:sz w:val="20"/>
          <w:szCs w:val="20"/>
        </w:rPr>
        <w:t xml:space="preserve"> cycle can </w:t>
      </w:r>
      <w:r w:rsidRPr="00166360">
        <w:rPr>
          <w:rFonts w:ascii="Constantia" w:hAnsi="Constantia"/>
          <w:sz w:val="20"/>
          <w:szCs w:val="20"/>
        </w:rPr>
        <w:t>earn up to a total of 15 points for each year assessed</w:t>
      </w:r>
      <w:r w:rsidRPr="00060FA1">
        <w:rPr>
          <w:rFonts w:ascii="Constantia" w:hAnsi="Constantia"/>
          <w:sz w:val="20"/>
          <w:szCs w:val="20"/>
        </w:rPr>
        <w:t xml:space="preserve">.  </w:t>
      </w:r>
      <w:r w:rsidR="00A73234" w:rsidRPr="00060FA1">
        <w:rPr>
          <w:rFonts w:ascii="Constantia" w:hAnsi="Constantia"/>
          <w:sz w:val="20"/>
          <w:szCs w:val="20"/>
        </w:rPr>
        <w:t xml:space="preserve">This includes the </w:t>
      </w:r>
      <w:r w:rsidR="00D43C3B" w:rsidRPr="0090407D">
        <w:rPr>
          <w:rFonts w:ascii="Constantia" w:hAnsi="Constantia"/>
          <w:b/>
          <w:bCs/>
          <w:sz w:val="20"/>
          <w:szCs w:val="20"/>
        </w:rPr>
        <w:t>Postsecondary Attainment</w:t>
      </w:r>
      <w:r w:rsidR="00A73234" w:rsidRPr="00060FA1">
        <w:rPr>
          <w:rFonts w:ascii="Constantia" w:hAnsi="Constantia"/>
          <w:sz w:val="20"/>
          <w:szCs w:val="20"/>
        </w:rPr>
        <w:t xml:space="preserve"> </w:t>
      </w:r>
      <w:r w:rsidR="00B845D7">
        <w:rPr>
          <w:rFonts w:ascii="Constantia" w:hAnsi="Constantia"/>
          <w:sz w:val="20"/>
          <w:szCs w:val="20"/>
        </w:rPr>
        <w:t xml:space="preserve">(completion) </w:t>
      </w:r>
      <w:r w:rsidR="00A73234" w:rsidRPr="00060FA1">
        <w:rPr>
          <w:rFonts w:ascii="Constantia" w:hAnsi="Constantia"/>
          <w:sz w:val="20"/>
          <w:szCs w:val="20"/>
        </w:rPr>
        <w:t>objective that</w:t>
      </w:r>
      <w:r w:rsidR="00C333F9" w:rsidRPr="00060FA1">
        <w:rPr>
          <w:rFonts w:ascii="Constantia" w:hAnsi="Constantia"/>
          <w:sz w:val="20"/>
          <w:szCs w:val="20"/>
        </w:rPr>
        <w:t xml:space="preserve"> will be assessed </w:t>
      </w:r>
      <w:r w:rsidR="00166360" w:rsidRPr="00060FA1">
        <w:rPr>
          <w:rFonts w:ascii="Constantia" w:hAnsi="Constantia"/>
          <w:sz w:val="20"/>
          <w:szCs w:val="20"/>
        </w:rPr>
        <w:t xml:space="preserve">starting </w:t>
      </w:r>
      <w:r w:rsidR="00C333F9" w:rsidRPr="00060FA1">
        <w:rPr>
          <w:rFonts w:ascii="Constantia" w:hAnsi="Constantia"/>
          <w:sz w:val="20"/>
          <w:szCs w:val="20"/>
        </w:rPr>
        <w:t xml:space="preserve">in the 2017-18 APR. </w:t>
      </w:r>
      <w:r w:rsidR="00166360" w:rsidRPr="00060FA1">
        <w:rPr>
          <w:rFonts w:ascii="Constantia" w:hAnsi="Constantia"/>
          <w:sz w:val="20"/>
          <w:szCs w:val="20"/>
        </w:rPr>
        <w:t xml:space="preserve">Projects </w:t>
      </w:r>
      <w:r w:rsidR="00166360" w:rsidRPr="00166360">
        <w:rPr>
          <w:rFonts w:ascii="Constantia" w:hAnsi="Constantia"/>
          <w:sz w:val="20"/>
          <w:szCs w:val="20"/>
        </w:rPr>
        <w:t>first funded in the 2016–21 cycle will not be able to report on</w:t>
      </w:r>
      <w:r w:rsidR="008817C8">
        <w:rPr>
          <w:rFonts w:ascii="Constantia" w:hAnsi="Constantia"/>
          <w:sz w:val="20"/>
          <w:szCs w:val="20"/>
        </w:rPr>
        <w:t xml:space="preserve"> postsecondary</w:t>
      </w:r>
      <w:r w:rsidR="00166360" w:rsidRPr="00166360">
        <w:rPr>
          <w:rFonts w:ascii="Constantia" w:hAnsi="Constantia"/>
          <w:sz w:val="20"/>
          <w:szCs w:val="20"/>
        </w:rPr>
        <w:t xml:space="preserve"> attainment during this period; therefore </w:t>
      </w:r>
      <w:r w:rsidR="00166360">
        <w:rPr>
          <w:rFonts w:ascii="Constantia" w:hAnsi="Constantia"/>
          <w:sz w:val="20"/>
          <w:szCs w:val="20"/>
        </w:rPr>
        <w:t xml:space="preserve">these projects </w:t>
      </w:r>
      <w:r w:rsidR="00166360" w:rsidRPr="00166360">
        <w:rPr>
          <w:rFonts w:ascii="Constantia" w:hAnsi="Constantia"/>
          <w:sz w:val="20"/>
          <w:szCs w:val="20"/>
        </w:rPr>
        <w:t xml:space="preserve">can only earn up to a total of 13.5 points for each year assessed.  </w:t>
      </w:r>
      <w:r w:rsidRPr="00166360">
        <w:rPr>
          <w:rFonts w:ascii="Constantia" w:hAnsi="Constantia"/>
          <w:sz w:val="20"/>
          <w:szCs w:val="20"/>
        </w:rPr>
        <w:t>The final PE score is the average of the scores for the three years assessed</w:t>
      </w:r>
      <w:r w:rsidR="00A73234" w:rsidRPr="00166360">
        <w:rPr>
          <w:rFonts w:ascii="Constantia" w:hAnsi="Constantia"/>
          <w:sz w:val="20"/>
          <w:szCs w:val="20"/>
        </w:rPr>
        <w:t xml:space="preserve"> (see 34 CFR 643</w:t>
      </w:r>
      <w:r w:rsidRPr="00166360">
        <w:rPr>
          <w:rFonts w:ascii="Constantia" w:hAnsi="Constantia"/>
          <w:sz w:val="20"/>
          <w:szCs w:val="20"/>
        </w:rPr>
        <w:t>.2</w:t>
      </w:r>
      <w:r w:rsidR="00A73234" w:rsidRPr="00166360">
        <w:rPr>
          <w:rFonts w:ascii="Constantia" w:hAnsi="Constantia"/>
          <w:sz w:val="20"/>
          <w:szCs w:val="20"/>
        </w:rPr>
        <w:t>0 (a)(2)</w:t>
      </w:r>
      <w:r w:rsidRPr="00166360">
        <w:rPr>
          <w:rFonts w:ascii="Constantia" w:hAnsi="Constantia"/>
          <w:sz w:val="20"/>
          <w:szCs w:val="20"/>
        </w:rPr>
        <w:t>).</w:t>
      </w:r>
    </w:p>
    <w:p w14:paraId="6EAC546D" w14:textId="77777777" w:rsidR="008228E3" w:rsidRDefault="008228E3" w:rsidP="008228E3">
      <w:pPr>
        <w:pStyle w:val="ListParagraph"/>
        <w:spacing w:line="240" w:lineRule="auto"/>
        <w:rPr>
          <w:rFonts w:ascii="Constantia" w:hAnsi="Constantia"/>
          <w:b/>
          <w:sz w:val="20"/>
          <w:szCs w:val="20"/>
        </w:rPr>
      </w:pPr>
    </w:p>
    <w:p w14:paraId="4D511091" w14:textId="366E4B4E" w:rsidR="005527A9" w:rsidRDefault="00F347C8" w:rsidP="00087993">
      <w:pPr>
        <w:pStyle w:val="ListParagraph"/>
        <w:numPr>
          <w:ilvl w:val="0"/>
          <w:numId w:val="16"/>
        </w:numPr>
        <w:spacing w:line="240" w:lineRule="auto"/>
        <w:rPr>
          <w:rFonts w:ascii="Constantia" w:hAnsi="Constantia"/>
          <w:b/>
          <w:sz w:val="20"/>
          <w:szCs w:val="20"/>
        </w:rPr>
      </w:pPr>
      <w:r>
        <w:rPr>
          <w:rFonts w:ascii="Constantia" w:hAnsi="Constantia"/>
          <w:b/>
          <w:sz w:val="20"/>
          <w:szCs w:val="20"/>
        </w:rPr>
        <w:t>A</w:t>
      </w:r>
      <w:r w:rsidR="005527A9" w:rsidRPr="00F347C8">
        <w:rPr>
          <w:rFonts w:ascii="Constantia" w:hAnsi="Constantia"/>
          <w:b/>
          <w:sz w:val="20"/>
          <w:szCs w:val="20"/>
        </w:rPr>
        <w:t xml:space="preserve"> project that served less than 90 percent of the number of students the project was funded to serve </w:t>
      </w:r>
      <w:r w:rsidR="00C333F9" w:rsidRPr="00F347C8">
        <w:rPr>
          <w:rFonts w:ascii="Constantia" w:hAnsi="Constantia"/>
          <w:b/>
          <w:sz w:val="20"/>
          <w:szCs w:val="20"/>
        </w:rPr>
        <w:t xml:space="preserve">in the assessment year is </w:t>
      </w:r>
      <w:r w:rsidR="00C333F9" w:rsidRPr="00173E16">
        <w:rPr>
          <w:rFonts w:ascii="Constantia" w:hAnsi="Constantia"/>
          <w:b/>
          <w:i/>
          <w:iCs/>
          <w:sz w:val="20"/>
          <w:szCs w:val="20"/>
        </w:rPr>
        <w:t>not</w:t>
      </w:r>
      <w:r w:rsidR="00C333F9" w:rsidRPr="00F347C8">
        <w:rPr>
          <w:rFonts w:ascii="Constantia" w:hAnsi="Constantia"/>
          <w:b/>
          <w:sz w:val="20"/>
          <w:szCs w:val="20"/>
        </w:rPr>
        <w:t xml:space="preserve"> eligible to </w:t>
      </w:r>
      <w:r w:rsidR="00C333F9">
        <w:rPr>
          <w:rFonts w:ascii="Constantia" w:hAnsi="Constantia"/>
          <w:b/>
          <w:sz w:val="20"/>
          <w:szCs w:val="20"/>
        </w:rPr>
        <w:t>earn</w:t>
      </w:r>
      <w:r w:rsidR="00C333F9" w:rsidRPr="00F347C8">
        <w:rPr>
          <w:rFonts w:ascii="Constantia" w:hAnsi="Constantia"/>
          <w:b/>
          <w:sz w:val="20"/>
          <w:szCs w:val="20"/>
        </w:rPr>
        <w:t xml:space="preserve"> points for </w:t>
      </w:r>
      <w:r w:rsidR="00C333F9" w:rsidRPr="00173E16">
        <w:rPr>
          <w:rFonts w:ascii="Constantia" w:hAnsi="Constantia"/>
          <w:b/>
          <w:i/>
          <w:iCs/>
          <w:sz w:val="20"/>
          <w:szCs w:val="20"/>
        </w:rPr>
        <w:t>any</w:t>
      </w:r>
      <w:r w:rsidR="00C333F9" w:rsidRPr="00F347C8">
        <w:rPr>
          <w:rFonts w:ascii="Constantia" w:hAnsi="Constantia"/>
          <w:b/>
          <w:sz w:val="20"/>
          <w:szCs w:val="20"/>
        </w:rPr>
        <w:t xml:space="preserve"> of the PE criteria in the assessment </w:t>
      </w:r>
      <w:r w:rsidR="00C333F9" w:rsidRPr="00B44F73">
        <w:rPr>
          <w:rFonts w:ascii="Constantia" w:hAnsi="Constantia"/>
          <w:b/>
          <w:sz w:val="20"/>
          <w:szCs w:val="20"/>
        </w:rPr>
        <w:t>year</w:t>
      </w:r>
      <w:r w:rsidR="00C333F9" w:rsidRPr="00110479">
        <w:rPr>
          <w:rFonts w:ascii="Constantia" w:hAnsi="Constantia"/>
          <w:b/>
          <w:sz w:val="24"/>
          <w:szCs w:val="24"/>
        </w:rPr>
        <w:t xml:space="preserve"> </w:t>
      </w:r>
      <w:r w:rsidR="00C333F9" w:rsidRPr="00110479">
        <w:rPr>
          <w:rFonts w:ascii="Constantia" w:hAnsi="Constantia"/>
          <w:b/>
          <w:sz w:val="20"/>
          <w:szCs w:val="20"/>
        </w:rPr>
        <w:t>(see</w:t>
      </w:r>
      <w:r w:rsidR="00C333F9" w:rsidRPr="00087993">
        <w:rPr>
          <w:rFonts w:ascii="Constantia" w:hAnsi="Constantia"/>
          <w:sz w:val="20"/>
          <w:szCs w:val="20"/>
        </w:rPr>
        <w:t xml:space="preserve"> </w:t>
      </w:r>
      <w:r w:rsidR="00C333F9" w:rsidRPr="00087993">
        <w:rPr>
          <w:rFonts w:ascii="Constantia" w:hAnsi="Constantia" w:cs="Arial"/>
          <w:b/>
          <w:bCs/>
          <w:sz w:val="20"/>
          <w:szCs w:val="20"/>
        </w:rPr>
        <w:t xml:space="preserve">34 CFR </w:t>
      </w:r>
      <w:r w:rsidR="00C333F9">
        <w:rPr>
          <w:rFonts w:ascii="Constantia" w:hAnsi="Constantia" w:cs="Arial"/>
          <w:b/>
          <w:bCs/>
          <w:sz w:val="20"/>
          <w:szCs w:val="20"/>
        </w:rPr>
        <w:t>643</w:t>
      </w:r>
      <w:r w:rsidR="00C333F9" w:rsidRPr="00087993">
        <w:rPr>
          <w:rFonts w:ascii="Constantia" w:hAnsi="Constantia" w:cs="Arial"/>
          <w:b/>
          <w:bCs/>
          <w:sz w:val="20"/>
          <w:szCs w:val="20"/>
        </w:rPr>
        <w:t>.22(</w:t>
      </w:r>
      <w:r w:rsidR="00C333F9">
        <w:rPr>
          <w:rFonts w:ascii="Constantia" w:hAnsi="Constantia" w:cs="Arial"/>
          <w:b/>
          <w:bCs/>
          <w:sz w:val="20"/>
          <w:szCs w:val="20"/>
        </w:rPr>
        <w:t>b</w:t>
      </w:r>
      <w:r w:rsidR="00C333F9" w:rsidRPr="00087993">
        <w:rPr>
          <w:rFonts w:ascii="Constantia" w:hAnsi="Constantia" w:cs="Arial"/>
          <w:b/>
          <w:bCs/>
          <w:sz w:val="20"/>
          <w:szCs w:val="20"/>
        </w:rPr>
        <w:t>)</w:t>
      </w:r>
      <w:r w:rsidR="00C333F9">
        <w:rPr>
          <w:rFonts w:ascii="Constantia" w:hAnsi="Constantia" w:cs="Arial"/>
          <w:b/>
          <w:bCs/>
          <w:sz w:val="20"/>
          <w:szCs w:val="20"/>
        </w:rPr>
        <w:t>)</w:t>
      </w:r>
      <w:r w:rsidR="00C333F9" w:rsidRPr="00087993">
        <w:rPr>
          <w:rFonts w:ascii="Constantia" w:hAnsi="Constantia"/>
          <w:b/>
          <w:sz w:val="20"/>
          <w:szCs w:val="20"/>
        </w:rPr>
        <w:t>.</w:t>
      </w:r>
      <w:r w:rsidR="00CE737A">
        <w:rPr>
          <w:rFonts w:ascii="Constantia" w:hAnsi="Constantia"/>
          <w:b/>
          <w:sz w:val="20"/>
          <w:szCs w:val="20"/>
        </w:rPr>
        <w:t xml:space="preserve"> </w:t>
      </w:r>
    </w:p>
    <w:p w14:paraId="39F5717A" w14:textId="04996CA5" w:rsidR="00F0488A" w:rsidRDefault="00EF687B"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To determine if a project has served at least 90 percent of the approved number of student</w:t>
      </w:r>
      <w:r w:rsidR="00E828D1">
        <w:rPr>
          <w:rFonts w:ascii="Constantia" w:hAnsi="Constantia"/>
          <w:sz w:val="20"/>
          <w:szCs w:val="20"/>
        </w:rPr>
        <w:t>s</w:t>
      </w:r>
      <w:r>
        <w:rPr>
          <w:rFonts w:ascii="Constantia" w:hAnsi="Constantia"/>
          <w:sz w:val="20"/>
          <w:szCs w:val="20"/>
        </w:rPr>
        <w:t xml:space="preserve"> to be served, standard rounding rules are applied; i</w:t>
      </w:r>
      <w:r w:rsidR="004A5964">
        <w:rPr>
          <w:rFonts w:ascii="Constantia" w:hAnsi="Constantia"/>
          <w:sz w:val="20"/>
          <w:szCs w:val="20"/>
        </w:rPr>
        <w:t>f the calculated N</w:t>
      </w:r>
      <w:r w:rsidR="00F0488A">
        <w:rPr>
          <w:rFonts w:ascii="Constantia" w:hAnsi="Constantia"/>
          <w:sz w:val="20"/>
          <w:szCs w:val="20"/>
        </w:rPr>
        <w:t xml:space="preserve">umber </w:t>
      </w:r>
      <w:r w:rsidR="004A5964">
        <w:rPr>
          <w:rFonts w:ascii="Constantia" w:hAnsi="Constantia"/>
          <w:sz w:val="20"/>
          <w:szCs w:val="20"/>
        </w:rPr>
        <w:t xml:space="preserve">Served </w:t>
      </w:r>
      <w:r w:rsidR="00F0488A">
        <w:rPr>
          <w:rFonts w:ascii="Constantia" w:hAnsi="Constantia"/>
          <w:sz w:val="20"/>
          <w:szCs w:val="20"/>
        </w:rPr>
        <w:t>rate is between 89.5 and 89.9 percent, it is round</w:t>
      </w:r>
      <w:r w:rsidR="00A46461">
        <w:rPr>
          <w:rFonts w:ascii="Constantia" w:hAnsi="Constantia"/>
          <w:sz w:val="20"/>
          <w:szCs w:val="20"/>
        </w:rPr>
        <w:t>ed</w:t>
      </w:r>
      <w:r w:rsidR="00F0488A">
        <w:rPr>
          <w:rFonts w:ascii="Constantia" w:hAnsi="Constantia"/>
          <w:sz w:val="20"/>
          <w:szCs w:val="20"/>
        </w:rPr>
        <w:t xml:space="preserve"> up to 90%</w:t>
      </w:r>
      <w:r w:rsidR="004A5964">
        <w:rPr>
          <w:rFonts w:ascii="Constantia" w:hAnsi="Constantia"/>
          <w:sz w:val="20"/>
          <w:szCs w:val="20"/>
        </w:rPr>
        <w:t>.</w:t>
      </w:r>
    </w:p>
    <w:p w14:paraId="180F3741" w14:textId="404BB53F" w:rsidR="00087993" w:rsidRPr="009118C1" w:rsidRDefault="00EF687B" w:rsidP="009118C1">
      <w:pPr>
        <w:pStyle w:val="ListParagraph"/>
        <w:numPr>
          <w:ilvl w:val="1"/>
          <w:numId w:val="16"/>
        </w:numPr>
        <w:spacing w:line="240" w:lineRule="auto"/>
        <w:rPr>
          <w:rFonts w:ascii="Constantia" w:hAnsi="Constantia"/>
          <w:sz w:val="20"/>
          <w:szCs w:val="20"/>
        </w:rPr>
      </w:pPr>
      <w:r w:rsidRPr="009118C1">
        <w:rPr>
          <w:rFonts w:ascii="Constantia" w:hAnsi="Constantia"/>
          <w:sz w:val="20"/>
          <w:szCs w:val="20"/>
        </w:rPr>
        <w:t xml:space="preserve">To </w:t>
      </w:r>
      <w:r w:rsidR="00C333F9">
        <w:rPr>
          <w:rFonts w:ascii="Constantia" w:hAnsi="Constantia"/>
          <w:sz w:val="20"/>
          <w:szCs w:val="20"/>
        </w:rPr>
        <w:t xml:space="preserve">earn PE points </w:t>
      </w:r>
      <w:r w:rsidR="00CE737A">
        <w:rPr>
          <w:rFonts w:ascii="Constantia" w:hAnsi="Constantia"/>
          <w:sz w:val="20"/>
          <w:szCs w:val="20"/>
        </w:rPr>
        <w:t xml:space="preserve">for the Funded Number criterion, a project must serve at least the number funded to serve. Except for the one situation noted above, no rounding is applied to the Number Served rates. For example, if the calculated rate is 99.6 percent, the rate will be 99 percent, not 100 percent. </w:t>
      </w:r>
    </w:p>
    <w:p w14:paraId="1AC77B9A" w14:textId="77777777" w:rsidR="009118C1" w:rsidRPr="009118C1" w:rsidRDefault="009118C1" w:rsidP="009118C1">
      <w:pPr>
        <w:pStyle w:val="ListParagraph"/>
        <w:spacing w:line="240" w:lineRule="auto"/>
        <w:ind w:left="1440"/>
        <w:rPr>
          <w:rFonts w:ascii="Constantia" w:hAnsi="Constantia"/>
          <w:sz w:val="20"/>
          <w:szCs w:val="20"/>
        </w:rPr>
      </w:pPr>
    </w:p>
    <w:p w14:paraId="07AE7DCD" w14:textId="79AF7BD6" w:rsidR="00C333F9" w:rsidRDefault="00C333F9" w:rsidP="00E106C6">
      <w:pPr>
        <w:pStyle w:val="ListParagraph"/>
        <w:spacing w:line="240" w:lineRule="auto"/>
        <w:rPr>
          <w:rFonts w:ascii="Constantia" w:hAnsi="Constantia"/>
          <w:b/>
          <w:sz w:val="20"/>
          <w:szCs w:val="20"/>
        </w:rPr>
      </w:pPr>
      <w:r w:rsidRPr="00E106C6">
        <w:rPr>
          <w:rFonts w:ascii="Constantia" w:hAnsi="Constantia"/>
          <w:sz w:val="20"/>
          <w:szCs w:val="20"/>
        </w:rPr>
        <w:t>A</w:t>
      </w:r>
      <w:r w:rsidR="00B845D7">
        <w:rPr>
          <w:rFonts w:ascii="Constantia" w:hAnsi="Constantia"/>
          <w:sz w:val="20"/>
          <w:szCs w:val="20"/>
        </w:rPr>
        <w:t>ny</w:t>
      </w:r>
      <w:r w:rsidRPr="00E106C6">
        <w:rPr>
          <w:rFonts w:ascii="Constantia" w:hAnsi="Constantia"/>
          <w:sz w:val="20"/>
          <w:szCs w:val="20"/>
        </w:rPr>
        <w:t xml:space="preserve"> TS project funded in the current grant cycle (201</w:t>
      </w:r>
      <w:r w:rsidR="00E106C6" w:rsidRPr="00E106C6">
        <w:rPr>
          <w:rFonts w:ascii="Constantia" w:hAnsi="Constantia"/>
          <w:sz w:val="20"/>
          <w:szCs w:val="20"/>
        </w:rPr>
        <w:t>6</w:t>
      </w:r>
      <w:r w:rsidRPr="00E106C6">
        <w:rPr>
          <w:rFonts w:ascii="Constantia" w:hAnsi="Constantia"/>
          <w:sz w:val="20"/>
          <w:szCs w:val="20"/>
        </w:rPr>
        <w:t>-</w:t>
      </w:r>
      <w:r w:rsidR="00E106C6" w:rsidRPr="00E106C6">
        <w:rPr>
          <w:rFonts w:ascii="Constantia" w:hAnsi="Constantia"/>
          <w:sz w:val="20"/>
          <w:szCs w:val="20"/>
        </w:rPr>
        <w:t>2</w:t>
      </w:r>
      <w:r w:rsidRPr="00E106C6">
        <w:rPr>
          <w:rFonts w:ascii="Constantia" w:hAnsi="Constantia"/>
          <w:sz w:val="20"/>
          <w:szCs w:val="20"/>
        </w:rPr>
        <w:t xml:space="preserve">1) that submits </w:t>
      </w:r>
      <w:r w:rsidR="00E828D1">
        <w:rPr>
          <w:rFonts w:ascii="Constantia" w:hAnsi="Constantia"/>
          <w:sz w:val="20"/>
          <w:szCs w:val="20"/>
        </w:rPr>
        <w:t>it</w:t>
      </w:r>
      <w:r w:rsidR="00455391">
        <w:rPr>
          <w:rFonts w:ascii="Constantia" w:hAnsi="Constantia"/>
          <w:sz w:val="20"/>
          <w:szCs w:val="20"/>
        </w:rPr>
        <w:t>s</w:t>
      </w:r>
      <w:r w:rsidR="00E828D1" w:rsidRPr="00E106C6">
        <w:rPr>
          <w:rFonts w:ascii="Constantia" w:hAnsi="Constantia"/>
          <w:sz w:val="20"/>
          <w:szCs w:val="20"/>
        </w:rPr>
        <w:t xml:space="preserve"> </w:t>
      </w:r>
      <w:r w:rsidRPr="00E106C6">
        <w:rPr>
          <w:rFonts w:ascii="Constantia" w:hAnsi="Constantia"/>
          <w:sz w:val="20"/>
          <w:szCs w:val="20"/>
        </w:rPr>
        <w:t>APR for each of the assessment years is eligible to earn PE point</w:t>
      </w:r>
      <w:r w:rsidRPr="00650236">
        <w:rPr>
          <w:rFonts w:ascii="Constantia" w:hAnsi="Constantia"/>
          <w:sz w:val="20"/>
          <w:szCs w:val="20"/>
        </w:rPr>
        <w:t xml:space="preserve">s for the following PE criteria:  </w:t>
      </w:r>
      <w:r w:rsidRPr="00650236">
        <w:rPr>
          <w:rFonts w:ascii="Constantia" w:hAnsi="Constantia"/>
          <w:b/>
          <w:sz w:val="20"/>
          <w:szCs w:val="20"/>
        </w:rPr>
        <w:t>Funded Number</w:t>
      </w:r>
      <w:r w:rsidRPr="00650236">
        <w:rPr>
          <w:rFonts w:ascii="Constantia" w:hAnsi="Constantia"/>
          <w:sz w:val="20"/>
          <w:szCs w:val="20"/>
        </w:rPr>
        <w:t xml:space="preserve">; </w:t>
      </w:r>
      <w:r w:rsidRPr="00650236">
        <w:rPr>
          <w:rFonts w:ascii="Constantia" w:hAnsi="Constantia"/>
          <w:b/>
          <w:sz w:val="20"/>
          <w:szCs w:val="20"/>
        </w:rPr>
        <w:t xml:space="preserve">Secondary School </w:t>
      </w:r>
      <w:r w:rsidRPr="004F6E10">
        <w:rPr>
          <w:rFonts w:ascii="Constantia" w:hAnsi="Constantia"/>
          <w:b/>
          <w:sz w:val="20"/>
          <w:szCs w:val="20"/>
        </w:rPr>
        <w:t>Persistence</w:t>
      </w:r>
      <w:r w:rsidRPr="004F6E10">
        <w:rPr>
          <w:rFonts w:ascii="Constantia" w:hAnsi="Constantia"/>
          <w:sz w:val="20"/>
          <w:szCs w:val="20"/>
        </w:rPr>
        <w:t xml:space="preserve">; </w:t>
      </w:r>
      <w:r w:rsidRPr="004F6E10">
        <w:rPr>
          <w:rFonts w:ascii="Constantia" w:hAnsi="Constantia"/>
          <w:b/>
          <w:sz w:val="20"/>
          <w:szCs w:val="20"/>
        </w:rPr>
        <w:t>Secondary School Graduation (regular diploma); Secondary School Graduation (rigorous program of study);</w:t>
      </w:r>
      <w:r w:rsidRPr="004F6E10">
        <w:rPr>
          <w:rFonts w:ascii="Constantia" w:hAnsi="Constantia"/>
          <w:sz w:val="20"/>
          <w:szCs w:val="20"/>
        </w:rPr>
        <w:t xml:space="preserve"> </w:t>
      </w:r>
      <w:r w:rsidR="00E106C6" w:rsidRPr="004F6E10">
        <w:rPr>
          <w:rFonts w:ascii="Constantia" w:hAnsi="Constantia"/>
          <w:sz w:val="20"/>
          <w:szCs w:val="20"/>
        </w:rPr>
        <w:t xml:space="preserve">and </w:t>
      </w:r>
      <w:r w:rsidRPr="004F6E10">
        <w:rPr>
          <w:rFonts w:ascii="Constantia" w:hAnsi="Constantia"/>
          <w:b/>
          <w:sz w:val="20"/>
          <w:szCs w:val="20"/>
        </w:rPr>
        <w:t>Postsecondary Education Enrollment</w:t>
      </w:r>
      <w:r w:rsidR="00E106C6">
        <w:rPr>
          <w:rFonts w:ascii="Constantia" w:hAnsi="Constantia"/>
          <w:b/>
          <w:sz w:val="20"/>
          <w:szCs w:val="20"/>
        </w:rPr>
        <w:t>.</w:t>
      </w:r>
    </w:p>
    <w:p w14:paraId="57293575" w14:textId="77777777" w:rsidR="00455391" w:rsidRPr="00E106C6" w:rsidRDefault="00455391" w:rsidP="00E106C6">
      <w:pPr>
        <w:pStyle w:val="ListParagraph"/>
        <w:spacing w:line="240" w:lineRule="auto"/>
        <w:rPr>
          <w:rFonts w:ascii="Constantia" w:hAnsi="Constantia"/>
          <w:sz w:val="20"/>
          <w:szCs w:val="20"/>
        </w:rPr>
      </w:pPr>
    </w:p>
    <w:p w14:paraId="71DD8541" w14:textId="2C94CF51" w:rsidR="00087993" w:rsidRPr="00CE737A" w:rsidRDefault="00083135" w:rsidP="00CE737A">
      <w:pPr>
        <w:pStyle w:val="ListParagraph"/>
        <w:numPr>
          <w:ilvl w:val="0"/>
          <w:numId w:val="16"/>
        </w:numPr>
        <w:spacing w:line="240" w:lineRule="auto"/>
        <w:rPr>
          <w:rFonts w:ascii="Constantia" w:hAnsi="Constantia"/>
          <w:sz w:val="20"/>
          <w:szCs w:val="20"/>
        </w:rPr>
      </w:pPr>
      <w:r>
        <w:rPr>
          <w:rFonts w:ascii="Constantia" w:hAnsi="Constantia"/>
          <w:sz w:val="20"/>
          <w:szCs w:val="20"/>
        </w:rPr>
        <w:t xml:space="preserve">PE points are awarded </w:t>
      </w:r>
      <w:r w:rsidR="004A5964" w:rsidRPr="003E11E2">
        <w:rPr>
          <w:rFonts w:ascii="Constantia" w:hAnsi="Constantia"/>
          <w:sz w:val="20"/>
          <w:szCs w:val="20"/>
        </w:rPr>
        <w:t>based on meeting or exceeding the approved objectiv</w:t>
      </w:r>
      <w:r w:rsidR="00CC7177">
        <w:rPr>
          <w:rFonts w:ascii="Constantia" w:hAnsi="Constantia"/>
          <w:sz w:val="20"/>
          <w:szCs w:val="20"/>
        </w:rPr>
        <w:t>es. No partial credit is given.</w:t>
      </w:r>
      <w:r w:rsidR="00CE737A">
        <w:rPr>
          <w:rFonts w:ascii="Constantia" w:hAnsi="Constantia"/>
          <w:sz w:val="20"/>
          <w:szCs w:val="20"/>
        </w:rPr>
        <w:t xml:space="preserve"> </w:t>
      </w:r>
      <w:r w:rsidR="004A5964" w:rsidRPr="00CE737A">
        <w:rPr>
          <w:rFonts w:ascii="Constantia" w:hAnsi="Constantia"/>
          <w:sz w:val="20"/>
          <w:szCs w:val="20"/>
        </w:rPr>
        <w:t>If the calculated rate</w:t>
      </w:r>
      <w:r w:rsidR="00CE737A">
        <w:rPr>
          <w:rFonts w:ascii="Constantia" w:hAnsi="Constantia"/>
          <w:sz w:val="20"/>
          <w:szCs w:val="20"/>
        </w:rPr>
        <w:t xml:space="preserve"> is greater than or equal to the approved rate, a score will be calculated. </w:t>
      </w:r>
      <w:r w:rsidR="004A5964" w:rsidRPr="00CE737A">
        <w:rPr>
          <w:rFonts w:ascii="Constantia" w:hAnsi="Constantia"/>
          <w:sz w:val="20"/>
          <w:szCs w:val="20"/>
        </w:rPr>
        <w:t xml:space="preserve">Standard rounding rules are used (e.g., 79.6% rounds to 80%) for the </w:t>
      </w:r>
      <w:r w:rsidR="005D08D6" w:rsidRPr="00CE737A">
        <w:rPr>
          <w:rFonts w:ascii="Constantia" w:hAnsi="Constantia"/>
          <w:sz w:val="20"/>
          <w:szCs w:val="20"/>
        </w:rPr>
        <w:t>Secondary School Persistence; Secondary School Graduation (regular diploma); Secondary School Graduation (rigorous program of study);  Postsecondary Education Enrollment</w:t>
      </w:r>
      <w:r w:rsidR="00201B83">
        <w:rPr>
          <w:rFonts w:ascii="Constantia" w:hAnsi="Constantia"/>
          <w:sz w:val="20"/>
          <w:szCs w:val="20"/>
        </w:rPr>
        <w:t>; and Postsecondary Attainment</w:t>
      </w:r>
      <w:r w:rsidR="005D08D6" w:rsidRPr="00CE737A">
        <w:rPr>
          <w:rFonts w:ascii="Constantia" w:hAnsi="Constantia"/>
          <w:sz w:val="20"/>
          <w:szCs w:val="20"/>
        </w:rPr>
        <w:t xml:space="preserve"> </w:t>
      </w:r>
      <w:r w:rsidR="004A5964" w:rsidRPr="00CE737A">
        <w:rPr>
          <w:rFonts w:ascii="Constantia" w:hAnsi="Constantia"/>
          <w:sz w:val="20"/>
          <w:szCs w:val="20"/>
        </w:rPr>
        <w:t>objectives.</w:t>
      </w:r>
    </w:p>
    <w:p w14:paraId="5A4E054C" w14:textId="5072E3A0" w:rsidR="005D08D6" w:rsidRPr="00F45E4F" w:rsidRDefault="005D08D6" w:rsidP="005D08D6">
      <w:pPr>
        <w:numPr>
          <w:ilvl w:val="0"/>
          <w:numId w:val="16"/>
        </w:numPr>
        <w:spacing w:after="0" w:line="239" w:lineRule="auto"/>
        <w:ind w:right="482"/>
        <w:rPr>
          <w:rFonts w:ascii="Constantia" w:eastAsia="Constantia" w:hAnsi="Constantia" w:cs="Constantia"/>
          <w:sz w:val="20"/>
          <w:szCs w:val="20"/>
        </w:rPr>
      </w:pPr>
      <w:r w:rsidRPr="00F45E4F">
        <w:rPr>
          <w:rFonts w:ascii="Constantia" w:eastAsia="Constantia" w:hAnsi="Constantia" w:cs="Constantia"/>
          <w:sz w:val="20"/>
          <w:szCs w:val="20"/>
        </w:rPr>
        <w:t xml:space="preserve">The point of measurement for the </w:t>
      </w:r>
      <w:r w:rsidRPr="00B44F73">
        <w:rPr>
          <w:rFonts w:ascii="Constantia" w:eastAsia="Constantia" w:hAnsi="Constantia" w:cs="Constantia"/>
          <w:b/>
          <w:iCs/>
          <w:sz w:val="20"/>
          <w:szCs w:val="20"/>
        </w:rPr>
        <w:t>Postsecondary Attainment</w:t>
      </w:r>
      <w:r w:rsidR="00497874" w:rsidRPr="00F45E4F">
        <w:rPr>
          <w:rFonts w:ascii="Constantia" w:eastAsia="Constantia" w:hAnsi="Constantia" w:cs="Constantia"/>
          <w:sz w:val="20"/>
          <w:szCs w:val="20"/>
        </w:rPr>
        <w:t xml:space="preserve"> objective is six years after a </w:t>
      </w:r>
      <w:r w:rsidRPr="00F45E4F">
        <w:rPr>
          <w:rFonts w:ascii="Constantia" w:eastAsia="Constantia" w:hAnsi="Constantia" w:cs="Constantia"/>
          <w:sz w:val="20"/>
          <w:szCs w:val="20"/>
        </w:rPr>
        <w:t xml:space="preserve">participant has enrolled in an institution of higher education.  </w:t>
      </w:r>
      <w:r w:rsidR="00F45E4F" w:rsidRPr="00F45E4F">
        <w:rPr>
          <w:rFonts w:ascii="Constantia" w:eastAsia="Constantia" w:hAnsi="Constantia" w:cs="Constantia"/>
          <w:sz w:val="20"/>
          <w:szCs w:val="20"/>
        </w:rPr>
        <w:t xml:space="preserve">To receive </w:t>
      </w:r>
      <w:r w:rsidR="00AD2857">
        <w:rPr>
          <w:rFonts w:ascii="Constantia" w:eastAsia="Constantia" w:hAnsi="Constantia" w:cs="Constantia"/>
          <w:sz w:val="20"/>
          <w:szCs w:val="20"/>
        </w:rPr>
        <w:t>PE points</w:t>
      </w:r>
      <w:r w:rsidR="00F45E4F" w:rsidRPr="00F45E4F">
        <w:rPr>
          <w:rFonts w:ascii="Constantia" w:eastAsia="Constantia" w:hAnsi="Constantia" w:cs="Constantia"/>
          <w:sz w:val="20"/>
          <w:szCs w:val="20"/>
        </w:rPr>
        <w:t xml:space="preserve"> for </w:t>
      </w:r>
      <w:r w:rsidR="00EC60FF">
        <w:rPr>
          <w:rFonts w:ascii="Constantia" w:eastAsia="Constantia" w:hAnsi="Constantia" w:cs="Constantia"/>
          <w:sz w:val="20"/>
          <w:szCs w:val="20"/>
        </w:rPr>
        <w:t>the Attainment criterion, a TS</w:t>
      </w:r>
      <w:r w:rsidR="00F45E4F" w:rsidRPr="00F45E4F">
        <w:rPr>
          <w:rFonts w:ascii="Constantia" w:eastAsia="Constantia" w:hAnsi="Constantia" w:cs="Constantia"/>
          <w:sz w:val="20"/>
          <w:szCs w:val="20"/>
        </w:rPr>
        <w:t xml:space="preserve"> project must have been operating a project and must have submitted an APR for the year in which the cohort is established. </w:t>
      </w:r>
    </w:p>
    <w:p w14:paraId="7E2E2A05" w14:textId="77777777" w:rsidR="00F45E4F" w:rsidRPr="00F45E4F" w:rsidRDefault="00F45E4F" w:rsidP="00F45E4F">
      <w:pPr>
        <w:spacing w:after="0" w:line="239" w:lineRule="auto"/>
        <w:ind w:left="720" w:right="482"/>
        <w:rPr>
          <w:rFonts w:ascii="Constantia" w:eastAsia="Constantia" w:hAnsi="Constantia" w:cs="Constantia"/>
          <w:sz w:val="20"/>
          <w:szCs w:val="20"/>
        </w:rPr>
      </w:pPr>
    </w:p>
    <w:p w14:paraId="4C0EF3DB" w14:textId="4CCB0AF0" w:rsidR="004A5964" w:rsidRDefault="00FB1FF6" w:rsidP="00190082">
      <w:pPr>
        <w:pStyle w:val="PlainText"/>
        <w:numPr>
          <w:ilvl w:val="0"/>
          <w:numId w:val="16"/>
        </w:numPr>
        <w:rPr>
          <w:rFonts w:ascii="Constantia" w:hAnsi="Constantia"/>
          <w:sz w:val="20"/>
          <w:szCs w:val="20"/>
        </w:rPr>
      </w:pPr>
      <w:r w:rsidRPr="00FB1FF6">
        <w:rPr>
          <w:rFonts w:ascii="Constantia" w:hAnsi="Constantia"/>
          <w:sz w:val="20"/>
          <w:szCs w:val="20"/>
        </w:rPr>
        <w:lastRenderedPageBreak/>
        <w:t xml:space="preserve">A project that does </w:t>
      </w:r>
      <w:r w:rsidR="00905832">
        <w:rPr>
          <w:rFonts w:ascii="Constantia" w:hAnsi="Constantia"/>
          <w:sz w:val="20"/>
          <w:szCs w:val="20"/>
        </w:rPr>
        <w:t xml:space="preserve">not </w:t>
      </w:r>
      <w:r w:rsidRPr="00FB1FF6">
        <w:rPr>
          <w:rFonts w:ascii="Constantia" w:hAnsi="Constantia"/>
          <w:sz w:val="20"/>
          <w:szCs w:val="20"/>
        </w:rPr>
        <w:t xml:space="preserve">submit an APR </w:t>
      </w:r>
      <w:r w:rsidR="00905832">
        <w:rPr>
          <w:rFonts w:ascii="Constantia" w:hAnsi="Constantia"/>
          <w:sz w:val="20"/>
          <w:szCs w:val="20"/>
        </w:rPr>
        <w:t>in</w:t>
      </w:r>
      <w:r w:rsidR="00CE737A">
        <w:rPr>
          <w:rFonts w:ascii="Constantia" w:hAnsi="Constantia"/>
          <w:sz w:val="20"/>
          <w:szCs w:val="20"/>
        </w:rPr>
        <w:t xml:space="preserve"> this reporting period will not receive </w:t>
      </w:r>
      <w:r w:rsidR="00AD2857">
        <w:rPr>
          <w:rFonts w:ascii="Constantia" w:hAnsi="Constantia"/>
          <w:sz w:val="20"/>
          <w:szCs w:val="20"/>
        </w:rPr>
        <w:t>PE points</w:t>
      </w:r>
      <w:r w:rsidR="00CE737A">
        <w:rPr>
          <w:rFonts w:ascii="Constantia" w:hAnsi="Constantia"/>
          <w:sz w:val="20"/>
          <w:szCs w:val="20"/>
        </w:rPr>
        <w:t>.</w:t>
      </w:r>
      <w:r w:rsidR="005D08D6">
        <w:rPr>
          <w:rFonts w:ascii="Constantia" w:hAnsi="Constantia"/>
          <w:sz w:val="20"/>
          <w:szCs w:val="20"/>
        </w:rPr>
        <w:t xml:space="preserve"> </w:t>
      </w:r>
      <w:r w:rsidR="00E106C6">
        <w:rPr>
          <w:rFonts w:ascii="Constantia" w:hAnsi="Constantia"/>
          <w:sz w:val="20"/>
          <w:szCs w:val="20"/>
        </w:rPr>
        <w:t>The first year in which projects funded in the previous funding cycle (2011-16) are eligible to receive PE points for postsecondary attainment is in 2017-18 project year—six years after the cohort year.</w:t>
      </w:r>
    </w:p>
    <w:p w14:paraId="74AE03EE" w14:textId="77777777" w:rsidR="00190082" w:rsidRPr="00190082" w:rsidRDefault="00190082" w:rsidP="00190082">
      <w:pPr>
        <w:pStyle w:val="PlainText"/>
        <w:ind w:left="720"/>
        <w:rPr>
          <w:rFonts w:ascii="Constantia" w:hAnsi="Constantia"/>
          <w:sz w:val="20"/>
          <w:szCs w:val="20"/>
        </w:rPr>
      </w:pPr>
    </w:p>
    <w:p w14:paraId="52D9A677" w14:textId="3C3B53A1" w:rsidR="00CE737A" w:rsidRPr="00CE737A" w:rsidRDefault="00A031CA" w:rsidP="00171418">
      <w:pPr>
        <w:pStyle w:val="ListParagraph"/>
        <w:numPr>
          <w:ilvl w:val="0"/>
          <w:numId w:val="16"/>
        </w:numPr>
        <w:spacing w:line="240" w:lineRule="auto"/>
        <w:rPr>
          <w:rFonts w:ascii="Constantia" w:hAnsi="Constantia"/>
          <w:sz w:val="20"/>
          <w:szCs w:val="20"/>
        </w:rPr>
      </w:pPr>
      <w:r>
        <w:rPr>
          <w:rFonts w:ascii="Constantia" w:hAnsi="Constantia" w:cs="Tahoma"/>
          <w:sz w:val="20"/>
          <w:szCs w:val="20"/>
        </w:rPr>
        <w:t xml:space="preserve">After a project’s final submission of </w:t>
      </w:r>
      <w:r w:rsidR="00612F27">
        <w:rPr>
          <w:rFonts w:ascii="Constantia" w:hAnsi="Constantia" w:cs="Tahoma"/>
          <w:sz w:val="20"/>
          <w:szCs w:val="20"/>
        </w:rPr>
        <w:t xml:space="preserve">its </w:t>
      </w:r>
      <w:r w:rsidR="000D33A0">
        <w:rPr>
          <w:rFonts w:ascii="Constantia" w:hAnsi="Constantia" w:cs="Tahoma"/>
          <w:sz w:val="20"/>
          <w:szCs w:val="20"/>
        </w:rPr>
        <w:t>APR</w:t>
      </w:r>
      <w:r w:rsidR="00612F27">
        <w:rPr>
          <w:rFonts w:ascii="Constantia" w:hAnsi="Constantia" w:cs="Tahoma"/>
          <w:sz w:val="20"/>
          <w:szCs w:val="20"/>
        </w:rPr>
        <w:t>, t</w:t>
      </w:r>
      <w:r w:rsidR="00064D77" w:rsidRPr="00CE737A">
        <w:rPr>
          <w:rFonts w:ascii="Constantia" w:hAnsi="Constantia" w:cs="Tahoma"/>
          <w:sz w:val="20"/>
          <w:szCs w:val="20"/>
        </w:rPr>
        <w:t>he Department will not accept any ch</w:t>
      </w:r>
      <w:r w:rsidR="00CE737A" w:rsidRPr="00CE737A">
        <w:rPr>
          <w:rFonts w:ascii="Constantia" w:hAnsi="Constantia" w:cs="Tahoma"/>
          <w:sz w:val="20"/>
          <w:szCs w:val="20"/>
        </w:rPr>
        <w:t>anges to the project’s APR data</w:t>
      </w:r>
      <w:r w:rsidR="00064D77" w:rsidRPr="00CE737A">
        <w:rPr>
          <w:rFonts w:ascii="Constantia" w:hAnsi="Constantia" w:cs="Tahoma"/>
          <w:sz w:val="20"/>
          <w:szCs w:val="20"/>
        </w:rPr>
        <w:t>.</w:t>
      </w:r>
    </w:p>
    <w:p w14:paraId="02D3F761" w14:textId="77777777" w:rsidR="00CE737A" w:rsidRDefault="00CE737A" w:rsidP="00CE737A">
      <w:pPr>
        <w:pStyle w:val="ListParagraph"/>
        <w:rPr>
          <w:rFonts w:ascii="Constantia" w:hAnsi="Constantia"/>
          <w:sz w:val="20"/>
          <w:szCs w:val="20"/>
        </w:rPr>
      </w:pPr>
    </w:p>
    <w:p w14:paraId="18C5F70B" w14:textId="77777777" w:rsidR="00BE45DD" w:rsidRPr="00CE737A" w:rsidRDefault="00927A90" w:rsidP="00CE737A">
      <w:pPr>
        <w:pStyle w:val="ListParagraph"/>
        <w:spacing w:line="240" w:lineRule="auto"/>
        <w:ind w:left="0"/>
        <w:rPr>
          <w:rFonts w:ascii="Constantia" w:hAnsi="Constantia"/>
          <w:sz w:val="20"/>
          <w:szCs w:val="20"/>
        </w:rPr>
      </w:pPr>
      <w:r w:rsidRPr="00CE737A">
        <w:rPr>
          <w:rFonts w:ascii="Constantia" w:hAnsi="Constantia"/>
          <w:sz w:val="20"/>
          <w:szCs w:val="20"/>
        </w:rPr>
        <w:t xml:space="preserve">The </w:t>
      </w:r>
      <w:r w:rsidR="00CE737A" w:rsidRPr="00CE737A">
        <w:rPr>
          <w:rFonts w:ascii="Constantia" w:hAnsi="Constantia"/>
          <w:sz w:val="20"/>
          <w:szCs w:val="20"/>
        </w:rPr>
        <w:t xml:space="preserve">formulae for calculating </w:t>
      </w:r>
      <w:r w:rsidR="00CE737A">
        <w:rPr>
          <w:rFonts w:ascii="Constantia" w:hAnsi="Constantia"/>
          <w:sz w:val="20"/>
          <w:szCs w:val="20"/>
        </w:rPr>
        <w:t xml:space="preserve">the standard objectives are provided below. </w:t>
      </w:r>
    </w:p>
    <w:p w14:paraId="7DA31A51" w14:textId="77777777" w:rsidR="006D5B46" w:rsidRDefault="006D5B46" w:rsidP="00BC7C90">
      <w:pPr>
        <w:autoSpaceDE w:val="0"/>
        <w:autoSpaceDN w:val="0"/>
        <w:adjustRightInd w:val="0"/>
        <w:spacing w:after="0" w:line="240" w:lineRule="auto"/>
        <w:rPr>
          <w:rFonts w:ascii="Constantia" w:eastAsia="Calibri" w:hAnsi="Constantia" w:cs="Constantia,BoldItalic"/>
          <w:b/>
          <w:bCs/>
          <w:i/>
          <w:iCs/>
          <w:color w:val="17365D"/>
          <w:sz w:val="24"/>
          <w:szCs w:val="24"/>
        </w:rPr>
      </w:pPr>
    </w:p>
    <w:p w14:paraId="7535848B" w14:textId="77777777" w:rsidR="00BC7C90" w:rsidRDefault="00BC7C90" w:rsidP="00BC7C90">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Pr>
          <w:rFonts w:ascii="Constantia" w:eastAsia="Calibri" w:hAnsi="Constantia" w:cs="Constantia,BoldItalic"/>
          <w:b/>
          <w:bCs/>
          <w:i/>
          <w:iCs/>
          <w:color w:val="17365D"/>
          <w:sz w:val="24"/>
          <w:szCs w:val="24"/>
        </w:rPr>
        <w:t>Funded Number Criterion Calculated?</w:t>
      </w:r>
    </w:p>
    <w:p w14:paraId="212AB0B9" w14:textId="73EEDE87" w:rsidR="004F308B" w:rsidRPr="009F7065" w:rsidRDefault="00083135" w:rsidP="004F308B">
      <w:pPr>
        <w:autoSpaceDE w:val="0"/>
        <w:autoSpaceDN w:val="0"/>
        <w:adjustRightInd w:val="0"/>
        <w:spacing w:line="240" w:lineRule="auto"/>
        <w:rPr>
          <w:rFonts w:ascii="Constantia" w:eastAsia="Calibri" w:hAnsi="Constantia" w:cs="Constantia"/>
          <w:sz w:val="20"/>
          <w:szCs w:val="20"/>
        </w:rPr>
      </w:pPr>
      <w:r>
        <w:rPr>
          <w:rFonts w:ascii="Constantia" w:eastAsia="Calibri" w:hAnsi="Constantia" w:cs="Constantia"/>
          <w:sz w:val="20"/>
          <w:szCs w:val="20"/>
        </w:rPr>
        <w:t xml:space="preserve">PE points are </w:t>
      </w:r>
      <w:r w:rsidR="004177DE">
        <w:rPr>
          <w:rFonts w:ascii="Constantia" w:eastAsia="Calibri" w:hAnsi="Constantia" w:cs="Constantia"/>
          <w:sz w:val="20"/>
          <w:szCs w:val="20"/>
        </w:rPr>
        <w:t>awarded based</w:t>
      </w:r>
      <w:r w:rsidR="00CE737A">
        <w:rPr>
          <w:rFonts w:ascii="Constantia" w:eastAsia="Calibri" w:hAnsi="Constantia" w:cs="Constantia"/>
          <w:sz w:val="20"/>
          <w:szCs w:val="20"/>
        </w:rPr>
        <w:t xml:space="preserve"> on</w:t>
      </w:r>
      <w:r w:rsidR="00BC7C90" w:rsidRPr="00812C14">
        <w:rPr>
          <w:rFonts w:ascii="Constantia" w:eastAsia="Calibri" w:hAnsi="Constantia" w:cs="Constantia"/>
          <w:sz w:val="20"/>
          <w:szCs w:val="20"/>
        </w:rPr>
        <w:t xml:space="preserve"> the project having served the approved number of participants </w:t>
      </w:r>
      <w:r w:rsidR="0025566C">
        <w:rPr>
          <w:rFonts w:ascii="Constantia" w:eastAsia="Calibri" w:hAnsi="Constantia" w:cs="Constantia"/>
          <w:sz w:val="20"/>
          <w:szCs w:val="20"/>
        </w:rPr>
        <w:t xml:space="preserve">for the </w:t>
      </w:r>
      <w:r w:rsidR="004D16BC">
        <w:rPr>
          <w:rFonts w:ascii="Constantia" w:eastAsia="Calibri" w:hAnsi="Constantia" w:cs="Constantia"/>
          <w:sz w:val="20"/>
          <w:szCs w:val="20"/>
        </w:rPr>
        <w:t>project</w:t>
      </w:r>
      <w:r w:rsidR="0025566C">
        <w:rPr>
          <w:rFonts w:ascii="Constantia" w:eastAsia="Calibri" w:hAnsi="Constantia" w:cs="Constantia"/>
          <w:sz w:val="20"/>
          <w:szCs w:val="20"/>
        </w:rPr>
        <w:t xml:space="preserve"> year. The</w:t>
      </w:r>
      <w:r w:rsidR="00BC7C90" w:rsidRPr="00812C14">
        <w:rPr>
          <w:rFonts w:ascii="Constantia" w:eastAsia="Calibri" w:hAnsi="Constantia" w:cs="Constantia"/>
          <w:sz w:val="20"/>
          <w:szCs w:val="20"/>
        </w:rPr>
        <w:t xml:space="preserve"> actual number </w:t>
      </w:r>
      <w:r w:rsidR="0025566C">
        <w:rPr>
          <w:rFonts w:ascii="Constantia" w:eastAsia="Calibri" w:hAnsi="Constantia" w:cs="Constantia"/>
          <w:sz w:val="20"/>
          <w:szCs w:val="20"/>
        </w:rPr>
        <w:t xml:space="preserve">of participants </w:t>
      </w:r>
      <w:r w:rsidR="00BC7C90" w:rsidRPr="00812C14">
        <w:rPr>
          <w:rFonts w:ascii="Constantia" w:eastAsia="Calibri" w:hAnsi="Constantia" w:cs="Constantia"/>
          <w:sz w:val="20"/>
          <w:szCs w:val="20"/>
        </w:rPr>
        <w:t xml:space="preserve">served must be </w:t>
      </w:r>
      <w:r w:rsidR="001542F3">
        <w:rPr>
          <w:rFonts w:ascii="Constantia" w:eastAsia="Calibri" w:hAnsi="Constantia" w:cs="Constantia"/>
          <w:sz w:val="20"/>
          <w:szCs w:val="20"/>
        </w:rPr>
        <w:t xml:space="preserve">equal to or </w:t>
      </w:r>
      <w:r w:rsidR="00BC7C90" w:rsidRPr="00812C14">
        <w:rPr>
          <w:rFonts w:ascii="Constantia" w:eastAsia="Calibri" w:hAnsi="Constantia" w:cs="Constantia"/>
          <w:sz w:val="20"/>
          <w:szCs w:val="20"/>
        </w:rPr>
        <w:t xml:space="preserve">greater than the number </w:t>
      </w:r>
      <w:r w:rsidR="0025566C">
        <w:rPr>
          <w:rFonts w:ascii="Constantia" w:eastAsia="Calibri" w:hAnsi="Constantia" w:cs="Constantia"/>
          <w:sz w:val="20"/>
          <w:szCs w:val="20"/>
        </w:rPr>
        <w:t>of participant</w:t>
      </w:r>
      <w:r w:rsidR="00A0785C">
        <w:rPr>
          <w:rFonts w:ascii="Constantia" w:eastAsia="Calibri" w:hAnsi="Constantia" w:cs="Constantia"/>
          <w:sz w:val="20"/>
          <w:szCs w:val="20"/>
        </w:rPr>
        <w:t>s</w:t>
      </w:r>
      <w:r w:rsidR="00DD5A7E">
        <w:rPr>
          <w:rFonts w:ascii="Constantia" w:eastAsia="Calibri" w:hAnsi="Constantia" w:cs="Constantia"/>
          <w:sz w:val="20"/>
          <w:szCs w:val="20"/>
        </w:rPr>
        <w:t xml:space="preserve"> the </w:t>
      </w:r>
      <w:r w:rsidR="0025566C">
        <w:rPr>
          <w:rFonts w:ascii="Constantia" w:eastAsia="Calibri" w:hAnsi="Constantia" w:cs="Constantia"/>
          <w:sz w:val="20"/>
          <w:szCs w:val="20"/>
        </w:rPr>
        <w:t xml:space="preserve">project was </w:t>
      </w:r>
      <w:r w:rsidR="00DD5A7E">
        <w:rPr>
          <w:rFonts w:ascii="Constantia" w:eastAsia="Calibri" w:hAnsi="Constantia" w:cs="Constantia"/>
          <w:sz w:val="20"/>
          <w:szCs w:val="20"/>
        </w:rPr>
        <w:t>funded to serve</w:t>
      </w:r>
      <w:r w:rsidR="00BC7C90">
        <w:rPr>
          <w:rFonts w:ascii="Constantia" w:eastAsia="Calibri" w:hAnsi="Constantia" w:cs="Constantia"/>
          <w:sz w:val="20"/>
          <w:szCs w:val="20"/>
        </w:rPr>
        <w:t xml:space="preserve">.  </w:t>
      </w:r>
    </w:p>
    <w:p w14:paraId="7DCA7628" w14:textId="3147C71C" w:rsidR="004F308B" w:rsidRPr="009F7065" w:rsidRDefault="004F308B" w:rsidP="004F308B">
      <w:p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calculation rule for</w:t>
      </w:r>
      <w:r>
        <w:rPr>
          <w:rFonts w:ascii="Constantia" w:eastAsia="Calibri" w:hAnsi="Constantia" w:cs="Constantia"/>
          <w:sz w:val="20"/>
          <w:szCs w:val="20"/>
        </w:rPr>
        <w:t xml:space="preserve"> the Funded Number</w:t>
      </w:r>
      <w:r w:rsidR="00CE737A">
        <w:rPr>
          <w:rFonts w:ascii="Constantia" w:eastAsia="Calibri" w:hAnsi="Constantia" w:cs="Constantia"/>
          <w:sz w:val="20"/>
          <w:szCs w:val="20"/>
        </w:rPr>
        <w:t xml:space="preserve"> </w:t>
      </w:r>
      <w:r w:rsidRPr="009F7065">
        <w:rPr>
          <w:rFonts w:ascii="Constantia" w:eastAsia="Calibri" w:hAnsi="Constantia" w:cs="Constantia"/>
          <w:sz w:val="20"/>
          <w:szCs w:val="20"/>
        </w:rPr>
        <w:t>criterion is as follows:</w:t>
      </w:r>
    </w:p>
    <w:p w14:paraId="5B23CB46" w14:textId="77777777" w:rsidR="004F308B" w:rsidRPr="009F7065" w:rsidRDefault="00CE737A" w:rsidP="004F308B">
      <w:pPr>
        <w:autoSpaceDE w:val="0"/>
        <w:autoSpaceDN w:val="0"/>
        <w:adjustRightInd w:val="0"/>
        <w:spacing w:after="0" w:line="240" w:lineRule="auto"/>
        <w:ind w:left="720"/>
        <w:rPr>
          <w:rFonts w:ascii="Constantia" w:eastAsia="Calibri" w:hAnsi="Constantia" w:cs="Constantia"/>
          <w:sz w:val="20"/>
          <w:szCs w:val="20"/>
        </w:rPr>
      </w:pPr>
      <w:r>
        <w:rPr>
          <w:rFonts w:ascii="Constantia" w:eastAsia="Calibri" w:hAnsi="Constantia" w:cs="Constantia"/>
          <w:sz w:val="20"/>
          <w:szCs w:val="20"/>
        </w:rPr>
        <w:tab/>
      </w:r>
    </w:p>
    <w:p w14:paraId="073A281B" w14:textId="77777777" w:rsidR="004F308B" w:rsidRPr="009F7065" w:rsidRDefault="004F308B" w:rsidP="004F308B">
      <w:pPr>
        <w:numPr>
          <w:ilvl w:val="0"/>
          <w:numId w:val="38"/>
        </w:num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total number of participants assisted (Section II, Field A3 of the APR) is compared to the number of participants the project was funded to serve (from the project's approved objectives; pre-populated at the beginning of Section II).</w:t>
      </w:r>
    </w:p>
    <w:p w14:paraId="5D2147F5" w14:textId="77777777" w:rsidR="00094B18" w:rsidRDefault="00094B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60D26C07" w14:textId="77777777" w:rsidR="00171418" w:rsidRDefault="001714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03872336" w14:textId="77777777" w:rsidR="00927A90" w:rsidRDefault="00927A90" w:rsidP="00094B18">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sidR="00870AFA">
        <w:rPr>
          <w:rFonts w:ascii="Constantia" w:eastAsia="Calibri" w:hAnsi="Constantia" w:cs="Constantia,BoldItalic"/>
          <w:b/>
          <w:bCs/>
          <w:i/>
          <w:iCs/>
          <w:color w:val="17365D"/>
          <w:sz w:val="24"/>
          <w:szCs w:val="24"/>
        </w:rPr>
        <w:t xml:space="preserve">Secondary School </w:t>
      </w:r>
      <w:r w:rsidRPr="004D37CE">
        <w:rPr>
          <w:rFonts w:ascii="Constantia" w:eastAsia="Calibri" w:hAnsi="Constantia" w:cs="Constantia,BoldItalic"/>
          <w:b/>
          <w:bCs/>
          <w:i/>
          <w:iCs/>
          <w:color w:val="17365D"/>
          <w:sz w:val="24"/>
          <w:szCs w:val="24"/>
        </w:rPr>
        <w:t xml:space="preserve">Persistence 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725E79D9" w14:textId="77777777" w:rsidR="00870AFA" w:rsidRDefault="009F2512" w:rsidP="00094B18">
      <w:pPr>
        <w:spacing w:line="240" w:lineRule="auto"/>
        <w:rPr>
          <w:rFonts w:ascii="Constantia" w:hAnsi="Constantia"/>
          <w:sz w:val="20"/>
          <w:szCs w:val="20"/>
        </w:rPr>
      </w:pPr>
      <w:r>
        <w:rPr>
          <w:rFonts w:ascii="Constantia" w:eastAsia="Constantia" w:hAnsi="Constantia" w:cs="Constantia"/>
          <w:sz w:val="20"/>
          <w:szCs w:val="20"/>
        </w:rPr>
        <w:t>Secondary school persistence</w:t>
      </w:r>
      <w:r w:rsidR="00870AFA">
        <w:rPr>
          <w:rFonts w:ascii="Constantia" w:eastAsia="Constantia" w:hAnsi="Constantia" w:cs="Constantia"/>
          <w:sz w:val="20"/>
          <w:szCs w:val="20"/>
        </w:rPr>
        <w:t xml:space="preserve"> is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d</w:t>
      </w:r>
      <w:r w:rsidR="00870AFA">
        <w:rPr>
          <w:rFonts w:ascii="Constantia" w:eastAsia="Constantia" w:hAnsi="Constantia" w:cs="Constantia"/>
          <w:spacing w:val="-1"/>
          <w:sz w:val="20"/>
          <w:szCs w:val="20"/>
        </w:rPr>
        <w:t>e</w:t>
      </w:r>
      <w:r w:rsidR="00870AFA">
        <w:rPr>
          <w:rFonts w:ascii="Constantia" w:eastAsia="Constantia" w:hAnsi="Constantia" w:cs="Constantia"/>
          <w:sz w:val="20"/>
          <w:szCs w:val="20"/>
        </w:rPr>
        <w:t>fined</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as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the</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percentage of</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stu</w:t>
      </w:r>
      <w:r w:rsidR="00870AFA">
        <w:rPr>
          <w:rFonts w:ascii="Constantia" w:eastAsia="Constantia" w:hAnsi="Constantia" w:cs="Constantia"/>
          <w:spacing w:val="-1"/>
          <w:sz w:val="20"/>
          <w:szCs w:val="20"/>
        </w:rPr>
        <w:t>d</w:t>
      </w:r>
      <w:r w:rsidR="00870AFA">
        <w:rPr>
          <w:rFonts w:ascii="Constantia" w:eastAsia="Constantia" w:hAnsi="Constantia" w:cs="Constantia"/>
          <w:sz w:val="20"/>
          <w:szCs w:val="20"/>
        </w:rPr>
        <w:t>en</w:t>
      </w:r>
      <w:r w:rsidR="00870AFA">
        <w:rPr>
          <w:rFonts w:ascii="Constantia" w:eastAsia="Constantia" w:hAnsi="Constantia" w:cs="Constantia"/>
          <w:spacing w:val="-1"/>
          <w:sz w:val="20"/>
          <w:szCs w:val="20"/>
        </w:rPr>
        <w:t>t</w:t>
      </w:r>
      <w:r w:rsidR="00870AFA">
        <w:rPr>
          <w:rFonts w:ascii="Constantia" w:eastAsia="Constantia" w:hAnsi="Constantia" w:cs="Constantia"/>
          <w:sz w:val="20"/>
          <w:szCs w:val="20"/>
        </w:rPr>
        <w:t>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in gr</w:t>
      </w:r>
      <w:r w:rsidR="00870AFA">
        <w:rPr>
          <w:rFonts w:ascii="Constantia" w:eastAsia="Constantia" w:hAnsi="Constantia" w:cs="Constantia"/>
          <w:spacing w:val="-1"/>
          <w:sz w:val="20"/>
          <w:szCs w:val="20"/>
        </w:rPr>
        <w:t>a</w:t>
      </w:r>
      <w:r w:rsidR="00870AFA">
        <w:rPr>
          <w:rFonts w:ascii="Constantia" w:eastAsia="Constantia" w:hAnsi="Constantia" w:cs="Constantia"/>
          <w:sz w:val="20"/>
          <w:szCs w:val="20"/>
        </w:rPr>
        <w:t>des six</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throu</w:t>
      </w:r>
      <w:r w:rsidR="00870AFA">
        <w:rPr>
          <w:rFonts w:ascii="Constantia" w:eastAsia="Constantia" w:hAnsi="Constantia" w:cs="Constantia"/>
          <w:spacing w:val="-1"/>
          <w:sz w:val="20"/>
          <w:szCs w:val="20"/>
        </w:rPr>
        <w:t>g</w:t>
      </w:r>
      <w:r w:rsidR="00870AFA">
        <w:rPr>
          <w:rFonts w:ascii="Constantia" w:eastAsia="Constantia" w:hAnsi="Constantia" w:cs="Constantia"/>
          <w:sz w:val="20"/>
          <w:szCs w:val="20"/>
        </w:rPr>
        <w:t>h el</w:t>
      </w:r>
      <w:r w:rsidR="00870AFA">
        <w:rPr>
          <w:rFonts w:ascii="Constantia" w:eastAsia="Constantia" w:hAnsi="Constantia" w:cs="Constantia"/>
          <w:spacing w:val="-1"/>
          <w:sz w:val="20"/>
          <w:szCs w:val="20"/>
        </w:rPr>
        <w:t>ev</w:t>
      </w:r>
      <w:r w:rsidR="00870AFA">
        <w:rPr>
          <w:rFonts w:ascii="Constantia" w:eastAsia="Constantia" w:hAnsi="Constantia" w:cs="Constantia"/>
          <w:sz w:val="20"/>
          <w:szCs w:val="20"/>
        </w:rPr>
        <w:t>en who completed the current academic year and continued in school for the next academic year, at the next grade level.</w:t>
      </w:r>
    </w:p>
    <w:p w14:paraId="2D75729E" w14:textId="77777777" w:rsidR="00927A90" w:rsidRPr="004D37CE" w:rsidRDefault="00927A90" w:rsidP="00094B1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calculation rules for the persistence rate are as follows:</w:t>
      </w:r>
    </w:p>
    <w:p w14:paraId="0DBAE9BF" w14:textId="77777777" w:rsidR="00F23DBE" w:rsidRDefault="00F23DBE" w:rsidP="00F23DBE">
      <w:pPr>
        <w:spacing w:line="240" w:lineRule="atLeast"/>
        <w:rPr>
          <w:bCs/>
        </w:rPr>
      </w:pPr>
    </w:p>
    <w:p w14:paraId="56A60FC3" w14:textId="2B989647" w:rsidR="006A19E2" w:rsidRPr="00552410" w:rsidRDefault="006A19E2" w:rsidP="006A19E2">
      <w:pPr>
        <w:numPr>
          <w:ilvl w:val="0"/>
          <w:numId w:val="43"/>
        </w:numPr>
        <w:spacing w:after="0" w:line="240" w:lineRule="atLeast"/>
        <w:rPr>
          <w:rFonts w:ascii="Constantia" w:hAnsi="Constantia" w:cs="Calibri"/>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middle school students or non-senior high school students (including fourth-year students in a five-year dual enrollment program) (sum of Section III, A1, A2, A3,  A4 and A7), minus participants who are deceased (Section IV, A4).</w:t>
      </w:r>
    </w:p>
    <w:p w14:paraId="3BB7A1B4" w14:textId="77777777" w:rsidR="00F23DBE" w:rsidRPr="00044419" w:rsidRDefault="00F23DBE" w:rsidP="00F23DBE">
      <w:pPr>
        <w:spacing w:line="240" w:lineRule="atLeast"/>
        <w:rPr>
          <w:rFonts w:ascii="Constantia" w:hAnsi="Constantia" w:cs="Calibri"/>
          <w:sz w:val="20"/>
          <w:szCs w:val="20"/>
        </w:rPr>
      </w:pPr>
    </w:p>
    <w:p w14:paraId="0EC34585" w14:textId="77777777" w:rsidR="00F23DBE" w:rsidRPr="00044419" w:rsidRDefault="00F23DBE" w:rsidP="00F23DBE">
      <w:pPr>
        <w:numPr>
          <w:ilvl w:val="0"/>
          <w:numId w:val="43"/>
        </w:numPr>
        <w:spacing w:after="0" w:line="240" w:lineRule="atLeast"/>
        <w:rPr>
          <w:rFonts w:ascii="Constantia" w:hAnsi="Constantia"/>
          <w:bCs/>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numerator</w:t>
      </w:r>
      <w:r w:rsidRPr="00044419">
        <w:rPr>
          <w:rFonts w:ascii="Constantia" w:hAnsi="Constantia" w:cs="Calibri"/>
          <w:sz w:val="20"/>
          <w:szCs w:val="20"/>
        </w:rPr>
        <w:t xml:space="preserve"> is the number of participants in the denominator</w:t>
      </w:r>
      <w:r w:rsidRPr="00044419">
        <w:rPr>
          <w:rFonts w:ascii="Constantia" w:hAnsi="Constantia" w:cs="Calibri"/>
          <w:color w:val="00B050"/>
          <w:sz w:val="20"/>
          <w:szCs w:val="20"/>
        </w:rPr>
        <w:t xml:space="preserve"> </w:t>
      </w:r>
      <w:r w:rsidRPr="00044419">
        <w:rPr>
          <w:rFonts w:ascii="Constantia" w:hAnsi="Constantia" w:cs="Calibri"/>
          <w:sz w:val="20"/>
          <w:szCs w:val="20"/>
        </w:rPr>
        <w:t>who persisted in school for the next academic year at the next grade level, or who graduated high school (Section IV, A1).</w:t>
      </w:r>
      <w:r w:rsidRPr="00044419">
        <w:rPr>
          <w:rFonts w:ascii="Constantia" w:hAnsi="Constantia" w:cs="Calibri"/>
          <w:color w:val="000000"/>
          <w:sz w:val="20"/>
          <w:szCs w:val="20"/>
        </w:rPr>
        <w:t xml:space="preserve"> </w:t>
      </w:r>
    </w:p>
    <w:p w14:paraId="744EAB99" w14:textId="77777777" w:rsidR="001542F3" w:rsidRDefault="001542F3" w:rsidP="003C0F81">
      <w:pPr>
        <w:autoSpaceDE w:val="0"/>
        <w:autoSpaceDN w:val="0"/>
        <w:adjustRightInd w:val="0"/>
        <w:spacing w:after="0" w:line="240" w:lineRule="auto"/>
        <w:rPr>
          <w:rFonts w:ascii="Constantia" w:eastAsia="Calibri" w:hAnsi="Constantia" w:cs="Constantia,BoldItalic"/>
          <w:b/>
          <w:bCs/>
          <w:i/>
          <w:iCs/>
          <w:color w:val="17365D"/>
          <w:sz w:val="24"/>
          <w:szCs w:val="24"/>
        </w:rPr>
      </w:pPr>
    </w:p>
    <w:p w14:paraId="0919F3D6" w14:textId="77777777" w:rsidR="00927A90" w:rsidRDefault="00927A90" w:rsidP="003C0F81">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00431361">
        <w:rPr>
          <w:rFonts w:ascii="Constantia" w:eastAsia="Calibri" w:hAnsi="Constantia" w:cs="Constantia,BoldItalic"/>
          <w:b/>
          <w:bCs/>
          <w:i/>
          <w:iCs/>
          <w:color w:val="17365D"/>
          <w:sz w:val="24"/>
          <w:szCs w:val="24"/>
        </w:rPr>
        <w:t xml:space="preserve"> the Secondary Sc</w:t>
      </w:r>
      <w:r w:rsidR="0023516F">
        <w:rPr>
          <w:rFonts w:ascii="Constantia" w:eastAsia="Calibri" w:hAnsi="Constantia" w:cs="Constantia,BoldItalic"/>
          <w:b/>
          <w:bCs/>
          <w:i/>
          <w:iCs/>
          <w:color w:val="17365D"/>
          <w:sz w:val="24"/>
          <w:szCs w:val="24"/>
        </w:rPr>
        <w:t>hool Graduation (Regular Diploma</w:t>
      </w:r>
      <w:r w:rsidR="00FD5467">
        <w:rPr>
          <w:rFonts w:ascii="Constantia" w:eastAsia="Calibri" w:hAnsi="Constantia" w:cs="Constantia,BoldItalic"/>
          <w:b/>
          <w:bCs/>
          <w:i/>
          <w:iCs/>
          <w:color w:val="17365D"/>
          <w:sz w:val="24"/>
          <w:szCs w:val="24"/>
        </w:rPr>
        <w:t>)</w:t>
      </w:r>
      <w:r w:rsidR="005C5656">
        <w:rPr>
          <w:rFonts w:ascii="Constantia" w:eastAsia="Calibri" w:hAnsi="Constantia" w:cs="Constantia,BoldItalic"/>
          <w:b/>
          <w:bCs/>
          <w:i/>
          <w:iCs/>
          <w:color w:val="17365D"/>
          <w:sz w:val="24"/>
          <w:szCs w:val="24"/>
        </w:rPr>
        <w:t xml:space="preserve"> </w:t>
      </w:r>
      <w:r w:rsidRPr="004D37CE">
        <w:rPr>
          <w:rFonts w:ascii="Constantia" w:eastAsia="Calibri" w:hAnsi="Constantia" w:cs="Constantia,BoldItalic"/>
          <w:b/>
          <w:bCs/>
          <w:i/>
          <w:iCs/>
          <w:color w:val="17365D"/>
          <w:sz w:val="24"/>
          <w:szCs w:val="24"/>
        </w:rPr>
        <w:t xml:space="preserve">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43AC17C2" w14:textId="77777777" w:rsidR="00431361" w:rsidRPr="004D37CE" w:rsidRDefault="00431361" w:rsidP="00431361">
      <w:pPr>
        <w:autoSpaceDE w:val="0"/>
        <w:autoSpaceDN w:val="0"/>
        <w:adjustRightInd w:val="0"/>
        <w:spacing w:after="0" w:line="240" w:lineRule="auto"/>
        <w:rPr>
          <w:rFonts w:ascii="Constantia" w:eastAsia="Calibri" w:hAnsi="Constantia" w:cs="Constantia,BoldItalic"/>
          <w:b/>
          <w:bCs/>
          <w:i/>
          <w:iCs/>
          <w:color w:val="17365D"/>
          <w:sz w:val="24"/>
          <w:szCs w:val="24"/>
        </w:rPr>
      </w:pPr>
      <w:r>
        <w:rPr>
          <w:rFonts w:ascii="Constantia" w:eastAsia="Constantia" w:hAnsi="Constantia" w:cs="Constantia"/>
          <w:sz w:val="20"/>
          <w:szCs w:val="20"/>
        </w:rPr>
        <w:t>Secondary school graduation with a regular diploma in the standard number of years is</w:t>
      </w:r>
      <w:r>
        <w:rPr>
          <w:rFonts w:ascii="Constantia" w:eastAsia="Constantia" w:hAnsi="Constantia" w:cs="Constantia"/>
          <w:spacing w:val="1"/>
          <w:sz w:val="20"/>
          <w:szCs w:val="20"/>
        </w:rPr>
        <w:t xml:space="preserve"> </w:t>
      </w:r>
      <w:r>
        <w:rPr>
          <w:rFonts w:ascii="Constantia" w:eastAsia="Constantia" w:hAnsi="Constantia" w:cs="Constantia"/>
          <w:sz w:val="20"/>
          <w:szCs w:val="20"/>
        </w:rPr>
        <w:t>d</w:t>
      </w:r>
      <w:r>
        <w:rPr>
          <w:rFonts w:ascii="Constantia" w:eastAsia="Constantia" w:hAnsi="Constantia" w:cs="Constantia"/>
          <w:spacing w:val="-1"/>
          <w:sz w:val="20"/>
          <w:szCs w:val="20"/>
        </w:rPr>
        <w:t>e</w:t>
      </w:r>
      <w:r>
        <w:rPr>
          <w:rFonts w:ascii="Constantia" w:eastAsia="Constantia" w:hAnsi="Constantia" w:cs="Constantia"/>
          <w:sz w:val="20"/>
          <w:szCs w:val="20"/>
        </w:rPr>
        <w:t>fined</w:t>
      </w:r>
      <w:r>
        <w:rPr>
          <w:rFonts w:ascii="Constantia" w:eastAsia="Constantia" w:hAnsi="Constantia" w:cs="Constantia"/>
          <w:spacing w:val="-1"/>
          <w:sz w:val="20"/>
          <w:szCs w:val="20"/>
        </w:rPr>
        <w:t xml:space="preserve"> </w:t>
      </w:r>
      <w:r>
        <w:rPr>
          <w:rFonts w:ascii="Constantia" w:eastAsia="Constantia" w:hAnsi="Constantia" w:cs="Constantia"/>
          <w:sz w:val="20"/>
          <w:szCs w:val="20"/>
        </w:rPr>
        <w:t>as</w:t>
      </w:r>
      <w:r>
        <w:rPr>
          <w:rFonts w:ascii="Constantia" w:eastAsia="Constantia" w:hAnsi="Constantia" w:cs="Constantia"/>
          <w:spacing w:val="1"/>
          <w:sz w:val="20"/>
          <w:szCs w:val="20"/>
        </w:rPr>
        <w:t xml:space="preserve"> </w:t>
      </w:r>
      <w:r>
        <w:rPr>
          <w:rFonts w:ascii="Constantia" w:eastAsia="Constantia" w:hAnsi="Constantia" w:cs="Constantia"/>
          <w:sz w:val="20"/>
          <w:szCs w:val="20"/>
        </w:rPr>
        <w:t>the</w:t>
      </w:r>
      <w:r>
        <w:rPr>
          <w:rFonts w:ascii="Constantia" w:eastAsia="Constantia" w:hAnsi="Constantia" w:cs="Constantia"/>
          <w:spacing w:val="-1"/>
          <w:sz w:val="20"/>
          <w:szCs w:val="20"/>
        </w:rPr>
        <w:t xml:space="preserve"> </w:t>
      </w:r>
      <w:r>
        <w:rPr>
          <w:rFonts w:ascii="Constantia" w:eastAsia="Constantia" w:hAnsi="Constantia" w:cs="Constantia"/>
          <w:sz w:val="20"/>
          <w:szCs w:val="20"/>
        </w:rPr>
        <w:t>percentage of</w:t>
      </w:r>
      <w:r>
        <w:rPr>
          <w:rFonts w:ascii="Constantia" w:eastAsia="Constantia" w:hAnsi="Constantia" w:cs="Constantia"/>
          <w:spacing w:val="-1"/>
          <w:sz w:val="20"/>
          <w:szCs w:val="20"/>
        </w:rPr>
        <w:t xml:space="preserve"> </w:t>
      </w:r>
      <w:r>
        <w:rPr>
          <w:rFonts w:ascii="Constantia" w:eastAsia="Constantia" w:hAnsi="Constantia" w:cs="Constantia"/>
          <w:sz w:val="20"/>
          <w:szCs w:val="20"/>
        </w:rPr>
        <w:t xml:space="preserve">seniors served during the </w:t>
      </w:r>
      <w:r w:rsidR="004D16BC">
        <w:rPr>
          <w:rFonts w:ascii="Constantia" w:eastAsia="Constantia" w:hAnsi="Constantia" w:cs="Constantia"/>
          <w:sz w:val="20"/>
          <w:szCs w:val="20"/>
        </w:rPr>
        <w:t>project</w:t>
      </w:r>
      <w:r>
        <w:rPr>
          <w:rFonts w:ascii="Constantia" w:eastAsia="Constantia" w:hAnsi="Constantia" w:cs="Constantia"/>
          <w:sz w:val="20"/>
          <w:szCs w:val="20"/>
        </w:rPr>
        <w:t xml:space="preserve"> year who received a regular secondary school diploma within the standard number of year</w:t>
      </w:r>
      <w:r w:rsidR="0023516F">
        <w:rPr>
          <w:rFonts w:ascii="Constantia" w:eastAsia="Constantia" w:hAnsi="Constantia" w:cs="Constantia"/>
          <w:sz w:val="20"/>
          <w:szCs w:val="20"/>
        </w:rPr>
        <w:t>s</w:t>
      </w:r>
      <w:r w:rsidR="00EE2BB4">
        <w:rPr>
          <w:rFonts w:ascii="Constantia" w:eastAsia="Constantia" w:hAnsi="Constantia" w:cs="Constantia"/>
          <w:sz w:val="20"/>
          <w:szCs w:val="20"/>
        </w:rPr>
        <w:t>, with or without completing a rigorous secondary school program of study.</w:t>
      </w:r>
    </w:p>
    <w:p w14:paraId="3C183E1A"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secondary school graduation (regular diploma) rate </w:t>
      </w:r>
      <w:r w:rsidRPr="004D37CE">
        <w:rPr>
          <w:rFonts w:ascii="Constantia" w:eastAsia="Calibri" w:hAnsi="Constantia" w:cs="Constantia"/>
          <w:sz w:val="20"/>
          <w:szCs w:val="20"/>
        </w:rPr>
        <w:t>are as follows:</w:t>
      </w:r>
    </w:p>
    <w:p w14:paraId="09133002" w14:textId="77777777" w:rsidR="00044419" w:rsidRDefault="00044419" w:rsidP="00DC54C3">
      <w:pPr>
        <w:autoSpaceDE w:val="0"/>
        <w:autoSpaceDN w:val="0"/>
        <w:adjustRightInd w:val="0"/>
        <w:spacing w:after="0" w:line="240" w:lineRule="auto"/>
        <w:rPr>
          <w:rFonts w:ascii="Constantia" w:eastAsia="Calibri" w:hAnsi="Constantia" w:cs="Constantia,BoldItalic"/>
          <w:b/>
          <w:bCs/>
          <w:i/>
          <w:iCs/>
          <w:color w:val="17365D"/>
          <w:sz w:val="24"/>
          <w:szCs w:val="24"/>
        </w:rPr>
      </w:pPr>
    </w:p>
    <w:p w14:paraId="402577EC" w14:textId="77777777" w:rsidR="000429B2" w:rsidRPr="000429B2" w:rsidRDefault="000429B2" w:rsidP="000429B2">
      <w:pPr>
        <w:numPr>
          <w:ilvl w:val="0"/>
          <w:numId w:val="44"/>
        </w:numPr>
        <w:spacing w:after="0" w:line="240" w:lineRule="atLeast"/>
        <w:rPr>
          <w:rFonts w:ascii="Constantia" w:hAnsi="Constantia"/>
          <w:bCs/>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seniors (Section III, A5) or students in the fifth year of high school in a dual enrollment program (Section III, A8), minus participants who are deceased (Section IV, B6). </w:t>
      </w:r>
    </w:p>
    <w:p w14:paraId="78765F3D" w14:textId="77777777" w:rsidR="00044419" w:rsidRPr="000429B2" w:rsidRDefault="00044419" w:rsidP="00044419">
      <w:pPr>
        <w:pStyle w:val="ListParagraph"/>
        <w:tabs>
          <w:tab w:val="left" w:pos="-1710"/>
          <w:tab w:val="left" w:pos="0"/>
          <w:tab w:val="left" w:pos="1350"/>
        </w:tabs>
        <w:autoSpaceDE w:val="0"/>
        <w:autoSpaceDN w:val="0"/>
        <w:adjustRightInd w:val="0"/>
        <w:ind w:left="1080"/>
        <w:rPr>
          <w:rFonts w:ascii="Constantia" w:hAnsi="Constantia" w:cs="Calibri"/>
          <w:sz w:val="20"/>
          <w:szCs w:val="20"/>
        </w:rPr>
      </w:pPr>
    </w:p>
    <w:p w14:paraId="7030A470" w14:textId="77777777" w:rsidR="000429B2" w:rsidRPr="00552410" w:rsidRDefault="000429B2" w:rsidP="000429B2">
      <w:pPr>
        <w:pStyle w:val="LightList-Accent51"/>
        <w:numPr>
          <w:ilvl w:val="0"/>
          <w:numId w:val="44"/>
        </w:numPr>
        <w:autoSpaceDE w:val="0"/>
        <w:autoSpaceDN w:val="0"/>
        <w:adjustRightInd w:val="0"/>
        <w:contextualSpacing/>
        <w:rPr>
          <w:rFonts w:ascii="Constantia" w:hAnsi="Constantia" w:cs="Calibri"/>
          <w:color w:val="000000"/>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numerator</w:t>
      </w:r>
      <w:r w:rsidRPr="00552410">
        <w:rPr>
          <w:rFonts w:ascii="Constantia" w:hAnsi="Constantia" w:cs="Calibri"/>
          <w:sz w:val="20"/>
          <w:szCs w:val="20"/>
        </w:rPr>
        <w:t xml:space="preserve"> is the sum of number of participants who graduated high school with a </w:t>
      </w:r>
      <w:r w:rsidRPr="00552410">
        <w:rPr>
          <w:rFonts w:ascii="Constantia" w:hAnsi="Constantia"/>
          <w:bCs/>
          <w:sz w:val="20"/>
          <w:szCs w:val="20"/>
        </w:rPr>
        <w:t xml:space="preserve">regular secondary school diploma within the standard number of years; plus those who received a regular secondary school </w:t>
      </w:r>
      <w:r w:rsidRPr="00552410">
        <w:rPr>
          <w:rFonts w:ascii="Constantia" w:hAnsi="Constantia"/>
          <w:bCs/>
          <w:sz w:val="20"/>
          <w:szCs w:val="20"/>
        </w:rPr>
        <w:lastRenderedPageBreak/>
        <w:t>diploma and completed a rigorous program of study</w:t>
      </w:r>
      <w:r w:rsidRPr="00552410">
        <w:rPr>
          <w:rFonts w:ascii="Constantia" w:hAnsi="Constantia" w:cs="Calibri"/>
          <w:sz w:val="20"/>
          <w:szCs w:val="20"/>
        </w:rPr>
        <w:t xml:space="preserve"> within the standard number of years (Section IV, B1 and B2).</w:t>
      </w:r>
      <w:r w:rsidRPr="00552410">
        <w:rPr>
          <w:rFonts w:ascii="Constantia" w:hAnsi="Constantia" w:cs="Calibri"/>
          <w:color w:val="000000"/>
          <w:sz w:val="20"/>
          <w:szCs w:val="20"/>
        </w:rPr>
        <w:t xml:space="preserve"> Note:  The “standard number of years” includes five years of high school if the student is enrolled in a dual enrollment program that entails a fifth year of high school.</w:t>
      </w:r>
    </w:p>
    <w:p w14:paraId="15215181" w14:textId="77777777" w:rsidR="000429B2" w:rsidRPr="00044419" w:rsidRDefault="000429B2" w:rsidP="00552410">
      <w:pPr>
        <w:pStyle w:val="ListParagraph"/>
        <w:autoSpaceDE w:val="0"/>
        <w:autoSpaceDN w:val="0"/>
        <w:adjustRightInd w:val="0"/>
        <w:spacing w:after="0" w:line="240" w:lineRule="auto"/>
        <w:rPr>
          <w:rFonts w:ascii="Constantia" w:hAnsi="Constantia" w:cs="Calibri"/>
          <w:color w:val="000000"/>
          <w:sz w:val="20"/>
          <w:szCs w:val="20"/>
        </w:rPr>
      </w:pPr>
    </w:p>
    <w:p w14:paraId="3A407C3C" w14:textId="77777777" w:rsidR="00044419" w:rsidRPr="00C05E01" w:rsidRDefault="00044419" w:rsidP="00C05E01">
      <w:pPr>
        <w:contextualSpacing/>
        <w:rPr>
          <w:bCs/>
        </w:rPr>
      </w:pPr>
    </w:p>
    <w:p w14:paraId="56EAD061" w14:textId="77777777" w:rsidR="00DC54C3" w:rsidRPr="008F5D13" w:rsidRDefault="00DC54C3" w:rsidP="00DC54C3">
      <w:pPr>
        <w:autoSpaceDE w:val="0"/>
        <w:autoSpaceDN w:val="0"/>
        <w:adjustRightInd w:val="0"/>
        <w:spacing w:after="0" w:line="240" w:lineRule="auto"/>
        <w:rPr>
          <w:rFonts w:ascii="Constantia" w:eastAsia="Calibri" w:hAnsi="Constantia" w:cs="Constantia,BoldItalic"/>
          <w:color w:val="17365D"/>
          <w:sz w:val="24"/>
          <w:szCs w:val="24"/>
        </w:rPr>
      </w:pPr>
      <w:r w:rsidRPr="008F5D13">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 xml:space="preserve">is </w:t>
      </w:r>
      <w:r w:rsidRPr="008F5D13">
        <w:rPr>
          <w:rFonts w:ascii="Constantia" w:eastAsia="Calibri" w:hAnsi="Constantia" w:cs="Constantia,BoldItalic"/>
          <w:b/>
          <w:bCs/>
          <w:i/>
          <w:iCs/>
          <w:color w:val="17365D"/>
          <w:sz w:val="24"/>
          <w:szCs w:val="24"/>
        </w:rPr>
        <w:t xml:space="preserve">the </w:t>
      </w:r>
      <w:r w:rsidR="00431361">
        <w:rPr>
          <w:rFonts w:ascii="Constantia" w:eastAsia="Calibri" w:hAnsi="Constantia" w:cs="Constantia,BoldItalic"/>
          <w:b/>
          <w:bCs/>
          <w:i/>
          <w:iCs/>
          <w:color w:val="17365D"/>
          <w:sz w:val="24"/>
          <w:szCs w:val="24"/>
        </w:rPr>
        <w:t>Secondary School Graduation (</w:t>
      </w:r>
      <w:r w:rsidR="00044419">
        <w:rPr>
          <w:rFonts w:ascii="Constantia" w:eastAsia="Calibri" w:hAnsi="Constantia" w:cs="Constantia,BoldItalic"/>
          <w:b/>
          <w:bCs/>
          <w:i/>
          <w:iCs/>
          <w:color w:val="17365D"/>
          <w:sz w:val="24"/>
          <w:szCs w:val="24"/>
        </w:rPr>
        <w:t>Rigorous Program of Study</w:t>
      </w:r>
      <w:r w:rsidR="00431361">
        <w:rPr>
          <w:rFonts w:ascii="Constantia" w:eastAsia="Calibri" w:hAnsi="Constantia" w:cs="Constantia,BoldItalic"/>
          <w:b/>
          <w:bCs/>
          <w:i/>
          <w:iCs/>
          <w:color w:val="17365D"/>
          <w:sz w:val="24"/>
          <w:szCs w:val="24"/>
        </w:rPr>
        <w:t>)</w:t>
      </w:r>
      <w:r w:rsidR="009767FA">
        <w:rPr>
          <w:rFonts w:ascii="Constantia" w:eastAsia="Calibri" w:hAnsi="Constantia" w:cs="Constantia,BoldItalic"/>
          <w:b/>
          <w:bCs/>
          <w:i/>
          <w:iCs/>
          <w:color w:val="17365D"/>
          <w:sz w:val="24"/>
          <w:szCs w:val="24"/>
        </w:rPr>
        <w:t xml:space="preserve"> </w:t>
      </w:r>
      <w:r w:rsidR="00C05E01">
        <w:rPr>
          <w:rFonts w:ascii="Constantia" w:eastAsia="Calibri" w:hAnsi="Constantia" w:cs="Constantia,BoldItalic"/>
          <w:b/>
          <w:bCs/>
          <w:i/>
          <w:iCs/>
          <w:color w:val="17365D"/>
          <w:sz w:val="24"/>
          <w:szCs w:val="24"/>
        </w:rPr>
        <w:t>Rate Calculated?</w:t>
      </w:r>
    </w:p>
    <w:p w14:paraId="0948F721" w14:textId="77777777" w:rsidR="00044419" w:rsidRDefault="00C05E01" w:rsidP="00431361">
      <w:pPr>
        <w:spacing w:after="0" w:line="240" w:lineRule="auto"/>
        <w:rPr>
          <w:rFonts w:ascii="Constantia" w:eastAsia="Constantia" w:hAnsi="Constantia" w:cs="Constantia"/>
          <w:sz w:val="20"/>
          <w:szCs w:val="20"/>
        </w:rPr>
      </w:pPr>
      <w:r>
        <w:rPr>
          <w:rFonts w:ascii="Constantia" w:eastAsia="Constantia" w:hAnsi="Constantia" w:cs="Constantia"/>
          <w:sz w:val="20"/>
          <w:szCs w:val="20"/>
        </w:rPr>
        <w:t>The objective on graduating from s</w:t>
      </w:r>
      <w:r w:rsidR="00431361">
        <w:rPr>
          <w:rFonts w:ascii="Constantia" w:eastAsia="Constantia" w:hAnsi="Constantia" w:cs="Constantia"/>
          <w:sz w:val="20"/>
          <w:szCs w:val="20"/>
        </w:rPr>
        <w:t>econdary school</w:t>
      </w:r>
      <w:r w:rsidR="009767FA">
        <w:rPr>
          <w:rFonts w:ascii="Constantia" w:eastAsia="Constantia" w:hAnsi="Constantia" w:cs="Constantia"/>
          <w:sz w:val="20"/>
          <w:szCs w:val="20"/>
        </w:rPr>
        <w:t xml:space="preserve"> </w:t>
      </w:r>
      <w:r w:rsidR="00431361">
        <w:rPr>
          <w:rFonts w:ascii="Constantia" w:eastAsia="Constantia" w:hAnsi="Constantia" w:cs="Constantia"/>
          <w:sz w:val="20"/>
          <w:szCs w:val="20"/>
        </w:rPr>
        <w:t>and completing a rigorous program of study is</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d</w:t>
      </w:r>
      <w:r w:rsidR="00431361">
        <w:rPr>
          <w:rFonts w:ascii="Constantia" w:eastAsia="Constantia" w:hAnsi="Constantia" w:cs="Constantia"/>
          <w:spacing w:val="-1"/>
          <w:sz w:val="20"/>
          <w:szCs w:val="20"/>
        </w:rPr>
        <w:t>e</w:t>
      </w:r>
      <w:r w:rsidR="00431361">
        <w:rPr>
          <w:rFonts w:ascii="Constantia" w:eastAsia="Constantia" w:hAnsi="Constantia" w:cs="Constantia"/>
          <w:sz w:val="20"/>
          <w:szCs w:val="20"/>
        </w:rPr>
        <w:t>fined</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as</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the</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percentage of</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senio</w:t>
      </w:r>
      <w:r w:rsidR="00431361">
        <w:rPr>
          <w:rFonts w:ascii="Constantia" w:eastAsia="Constantia" w:hAnsi="Constantia" w:cs="Constantia"/>
          <w:spacing w:val="-1"/>
          <w:sz w:val="20"/>
          <w:szCs w:val="20"/>
        </w:rPr>
        <w:t>r</w:t>
      </w:r>
      <w:r w:rsidR="00431361">
        <w:rPr>
          <w:rFonts w:ascii="Constantia" w:eastAsia="Constantia" w:hAnsi="Constantia" w:cs="Constantia"/>
          <w:sz w:val="20"/>
          <w:szCs w:val="20"/>
        </w:rPr>
        <w:t>s</w:t>
      </w:r>
      <w:r w:rsidR="00431361">
        <w:rPr>
          <w:rFonts w:ascii="Constantia" w:eastAsia="Constantia" w:hAnsi="Constantia" w:cs="Constantia"/>
          <w:spacing w:val="1"/>
          <w:sz w:val="20"/>
          <w:szCs w:val="20"/>
        </w:rPr>
        <w:t xml:space="preserve"> served during the </w:t>
      </w:r>
      <w:r w:rsidR="004D16BC">
        <w:rPr>
          <w:rFonts w:ascii="Constantia" w:eastAsia="Constantia" w:hAnsi="Constantia" w:cs="Constantia"/>
          <w:spacing w:val="1"/>
          <w:sz w:val="20"/>
          <w:szCs w:val="20"/>
        </w:rPr>
        <w:t>project</w:t>
      </w:r>
      <w:r w:rsidR="00431361">
        <w:rPr>
          <w:rFonts w:ascii="Constantia" w:eastAsia="Constantia" w:hAnsi="Constantia" w:cs="Constantia"/>
          <w:spacing w:val="1"/>
          <w:sz w:val="20"/>
          <w:szCs w:val="20"/>
        </w:rPr>
        <w:t xml:space="preserve"> year </w:t>
      </w:r>
      <w:r w:rsidR="00431361">
        <w:rPr>
          <w:rFonts w:ascii="Constantia" w:eastAsia="Constantia" w:hAnsi="Constantia" w:cs="Constantia"/>
          <w:sz w:val="20"/>
          <w:szCs w:val="20"/>
        </w:rPr>
        <w:t xml:space="preserve">who </w:t>
      </w:r>
      <w:r w:rsidR="00431361">
        <w:rPr>
          <w:rFonts w:ascii="Constantia" w:eastAsia="Constantia" w:hAnsi="Constantia" w:cs="Constantia"/>
          <w:spacing w:val="-1"/>
          <w:sz w:val="20"/>
          <w:szCs w:val="20"/>
        </w:rPr>
        <w:t>re</w:t>
      </w:r>
      <w:r w:rsidR="00431361">
        <w:rPr>
          <w:rFonts w:ascii="Constantia" w:eastAsia="Constantia" w:hAnsi="Constantia" w:cs="Constantia"/>
          <w:sz w:val="20"/>
          <w:szCs w:val="20"/>
        </w:rPr>
        <w:t>ce</w:t>
      </w:r>
      <w:r w:rsidR="00431361">
        <w:rPr>
          <w:rFonts w:ascii="Constantia" w:eastAsia="Constantia" w:hAnsi="Constantia" w:cs="Constantia"/>
          <w:spacing w:val="-1"/>
          <w:sz w:val="20"/>
          <w:szCs w:val="20"/>
        </w:rPr>
        <w:t>i</w:t>
      </w:r>
      <w:r w:rsidR="00431361">
        <w:rPr>
          <w:rFonts w:ascii="Constantia" w:eastAsia="Constantia" w:hAnsi="Constantia" w:cs="Constantia"/>
          <w:sz w:val="20"/>
          <w:szCs w:val="20"/>
        </w:rPr>
        <w:t>ved a</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regular secondary school</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 xml:space="preserve">diploma within the standard number </w:t>
      </w:r>
      <w:r w:rsidR="00B56C04">
        <w:rPr>
          <w:rFonts w:ascii="Constantia" w:eastAsia="Constantia" w:hAnsi="Constantia" w:cs="Constantia"/>
          <w:sz w:val="20"/>
          <w:szCs w:val="20"/>
        </w:rPr>
        <w:t xml:space="preserve">of years </w:t>
      </w:r>
      <w:r w:rsidR="00431361">
        <w:rPr>
          <w:rFonts w:ascii="Constantia" w:eastAsia="Constantia" w:hAnsi="Constantia" w:cs="Constantia"/>
          <w:sz w:val="20"/>
          <w:szCs w:val="20"/>
        </w:rPr>
        <w:t>and completed a rigorous secondary school program of study.</w:t>
      </w:r>
    </w:p>
    <w:p w14:paraId="4F3D50F4" w14:textId="77777777" w:rsidR="00044419" w:rsidRDefault="00044419" w:rsidP="00431361">
      <w:pPr>
        <w:spacing w:after="0" w:line="240" w:lineRule="auto"/>
        <w:rPr>
          <w:rFonts w:ascii="Constantia" w:eastAsia="Constantia" w:hAnsi="Constantia" w:cs="Constantia"/>
          <w:sz w:val="20"/>
          <w:szCs w:val="20"/>
        </w:rPr>
      </w:pPr>
    </w:p>
    <w:p w14:paraId="7E5781AB" w14:textId="77777777" w:rsidR="00044419"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secondary school graduation (rigorous program of study) rate </w:t>
      </w:r>
      <w:r w:rsidRPr="004D37CE">
        <w:rPr>
          <w:rFonts w:ascii="Constantia" w:eastAsia="Calibri" w:hAnsi="Constantia" w:cs="Constantia"/>
          <w:sz w:val="20"/>
          <w:szCs w:val="20"/>
        </w:rPr>
        <w:t>are as follows:</w:t>
      </w:r>
    </w:p>
    <w:p w14:paraId="7E1685F0"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p>
    <w:p w14:paraId="411D3BF4" w14:textId="77777777" w:rsidR="000429B2" w:rsidRPr="000429B2" w:rsidRDefault="000429B2" w:rsidP="000429B2">
      <w:pPr>
        <w:numPr>
          <w:ilvl w:val="0"/>
          <w:numId w:val="45"/>
        </w:numPr>
        <w:spacing w:after="0" w:line="240" w:lineRule="auto"/>
        <w:contextualSpacing/>
        <w:rPr>
          <w:rFonts w:ascii="Constantia" w:hAnsi="Constantia"/>
          <w:bCs/>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seniors (Section III, A5) or students in the fifth year of high school in a dual enrollment program (Section III, A8), minus participants who are deceased (Section IV, B6). </w:t>
      </w:r>
    </w:p>
    <w:p w14:paraId="1991CB8C" w14:textId="77777777" w:rsidR="000429B2" w:rsidRDefault="000429B2" w:rsidP="00552410">
      <w:pPr>
        <w:pStyle w:val="ListParagraph"/>
        <w:rPr>
          <w:rFonts w:ascii="Constantia" w:hAnsi="Constantia" w:cs="Calibri"/>
          <w:color w:val="000000"/>
          <w:sz w:val="20"/>
          <w:szCs w:val="20"/>
        </w:rPr>
      </w:pPr>
    </w:p>
    <w:p w14:paraId="093A6D6A" w14:textId="77777777" w:rsidR="000429B2" w:rsidRDefault="000429B2" w:rsidP="00552410">
      <w:pPr>
        <w:numPr>
          <w:ilvl w:val="0"/>
          <w:numId w:val="45"/>
        </w:numPr>
        <w:spacing w:after="0" w:line="240" w:lineRule="auto"/>
        <w:contextualSpacing/>
        <w:rPr>
          <w:rFonts w:ascii="Constantia" w:hAnsi="Constantia"/>
          <w:color w:val="000000"/>
          <w:sz w:val="20"/>
          <w:szCs w:val="20"/>
        </w:rPr>
      </w:pPr>
      <w:r w:rsidRPr="00552410">
        <w:rPr>
          <w:rFonts w:ascii="Constantia" w:hAnsi="Constantia"/>
          <w:sz w:val="20"/>
          <w:szCs w:val="20"/>
        </w:rPr>
        <w:t xml:space="preserve">The </w:t>
      </w:r>
      <w:r w:rsidRPr="00552410">
        <w:rPr>
          <w:rFonts w:ascii="Constantia" w:hAnsi="Constantia"/>
          <w:b/>
          <w:sz w:val="20"/>
          <w:szCs w:val="20"/>
          <w:u w:val="single"/>
        </w:rPr>
        <w:t>numerator</w:t>
      </w:r>
      <w:r w:rsidRPr="00552410">
        <w:rPr>
          <w:rFonts w:ascii="Constantia" w:hAnsi="Constantia"/>
          <w:sz w:val="20"/>
          <w:szCs w:val="20"/>
        </w:rPr>
        <w:t xml:space="preserve"> is the number of participants who graduated high school with a </w:t>
      </w:r>
      <w:r w:rsidRPr="00552410">
        <w:rPr>
          <w:rFonts w:ascii="Constantia" w:hAnsi="Constantia"/>
          <w:bCs/>
          <w:sz w:val="20"/>
          <w:szCs w:val="20"/>
        </w:rPr>
        <w:t>regular secondary school diploma and completed a rigorous program of study within the standard number of years</w:t>
      </w:r>
      <w:r w:rsidRPr="00552410">
        <w:rPr>
          <w:rFonts w:ascii="Constantia" w:hAnsi="Constantia"/>
          <w:sz w:val="20"/>
          <w:szCs w:val="20"/>
        </w:rPr>
        <w:t xml:space="preserve"> (Section IV, B2).</w:t>
      </w:r>
      <w:r w:rsidRPr="00552410">
        <w:rPr>
          <w:rFonts w:ascii="Constantia" w:hAnsi="Constantia"/>
          <w:color w:val="000000"/>
          <w:sz w:val="20"/>
          <w:szCs w:val="20"/>
        </w:rPr>
        <w:t xml:space="preserve"> </w:t>
      </w:r>
    </w:p>
    <w:p w14:paraId="21842DC9" w14:textId="77777777" w:rsidR="007E1007" w:rsidRPr="00552410" w:rsidRDefault="007E1007" w:rsidP="0081625E">
      <w:pPr>
        <w:spacing w:after="0" w:line="240" w:lineRule="auto"/>
        <w:ind w:left="720"/>
        <w:contextualSpacing/>
        <w:rPr>
          <w:rFonts w:ascii="Constantia" w:hAnsi="Constantia"/>
          <w:color w:val="000000"/>
          <w:sz w:val="20"/>
          <w:szCs w:val="20"/>
        </w:rPr>
      </w:pPr>
    </w:p>
    <w:p w14:paraId="66DD4D49" w14:textId="77777777" w:rsidR="00927A90" w:rsidRPr="00960DFA" w:rsidRDefault="00927A90" w:rsidP="00520E5C">
      <w:pPr>
        <w:tabs>
          <w:tab w:val="left" w:pos="9090"/>
        </w:tabs>
        <w:spacing w:after="0" w:line="240" w:lineRule="auto"/>
        <w:ind w:right="900"/>
        <w:rPr>
          <w:rFonts w:ascii="Constantia" w:eastAsia="Calibri" w:hAnsi="Constantia" w:cs="Constantia"/>
          <w:sz w:val="18"/>
          <w:szCs w:val="18"/>
        </w:rPr>
      </w:pPr>
      <w:r w:rsidRPr="0004197E">
        <w:rPr>
          <w:rFonts w:ascii="Constantia" w:eastAsia="Calibri" w:hAnsi="Constantia" w:cs="Constantia,BoldItalic"/>
          <w:b/>
          <w:bCs/>
          <w:i/>
          <w:iCs/>
          <w:color w:val="17365D"/>
          <w:sz w:val="24"/>
          <w:szCs w:val="24"/>
        </w:rPr>
        <w:t>How</w:t>
      </w:r>
      <w:r w:rsidR="000F1E51" w:rsidRPr="0004197E">
        <w:rPr>
          <w:rFonts w:ascii="Constantia" w:eastAsia="Calibri" w:hAnsi="Constantia" w:cs="Constantia,BoldItalic"/>
          <w:b/>
          <w:bCs/>
          <w:i/>
          <w:iCs/>
          <w:color w:val="17365D"/>
          <w:sz w:val="24"/>
          <w:szCs w:val="24"/>
        </w:rPr>
        <w:t xml:space="preserve"> </w:t>
      </w:r>
      <w:r w:rsidR="005664D4" w:rsidRPr="0004197E">
        <w:rPr>
          <w:rFonts w:ascii="Constantia" w:eastAsia="Calibri" w:hAnsi="Constantia" w:cs="Constantia,BoldItalic"/>
          <w:b/>
          <w:bCs/>
          <w:i/>
          <w:iCs/>
          <w:color w:val="17365D"/>
          <w:sz w:val="24"/>
          <w:szCs w:val="24"/>
        </w:rPr>
        <w:t xml:space="preserve">is the Postsecondary Education Enrollment </w:t>
      </w:r>
      <w:r w:rsidRPr="0004197E">
        <w:rPr>
          <w:rFonts w:ascii="Constantia" w:eastAsia="Calibri" w:hAnsi="Constantia" w:cs="Constantia,BoldItalic"/>
          <w:b/>
          <w:bCs/>
          <w:i/>
          <w:iCs/>
          <w:color w:val="17365D"/>
          <w:sz w:val="24"/>
          <w:szCs w:val="24"/>
        </w:rPr>
        <w:t xml:space="preserve">Rate </w:t>
      </w:r>
      <w:r w:rsidR="001542F3" w:rsidRPr="0004197E">
        <w:rPr>
          <w:rFonts w:ascii="Constantia" w:eastAsia="Calibri" w:hAnsi="Constantia" w:cs="Constantia,BoldItalic"/>
          <w:b/>
          <w:bCs/>
          <w:i/>
          <w:iCs/>
          <w:color w:val="17365D"/>
          <w:sz w:val="24"/>
          <w:szCs w:val="24"/>
        </w:rPr>
        <w:t>C</w:t>
      </w:r>
      <w:r w:rsidRPr="0004197E">
        <w:rPr>
          <w:rFonts w:ascii="Constantia" w:eastAsia="Calibri" w:hAnsi="Constantia" w:cs="Constantia,BoldItalic"/>
          <w:b/>
          <w:bCs/>
          <w:i/>
          <w:iCs/>
          <w:color w:val="17365D"/>
          <w:sz w:val="24"/>
          <w:szCs w:val="24"/>
        </w:rPr>
        <w:t>alculated?</w:t>
      </w:r>
    </w:p>
    <w:p w14:paraId="52EADE7B" w14:textId="14D8EDDB" w:rsidR="00C462CE" w:rsidRDefault="005664D4" w:rsidP="005664D4">
      <w:pPr>
        <w:spacing w:after="0" w:line="240" w:lineRule="auto"/>
        <w:rPr>
          <w:rFonts w:ascii="Constantia" w:eastAsia="Constantia" w:hAnsi="Constantia" w:cs="Constantia"/>
          <w:sz w:val="20"/>
          <w:szCs w:val="20"/>
        </w:rPr>
      </w:pPr>
      <w:r w:rsidRPr="00C646A5">
        <w:rPr>
          <w:rFonts w:ascii="Constantia" w:eastAsia="Constantia" w:hAnsi="Constantia" w:cs="Constantia"/>
          <w:sz w:val="20"/>
          <w:szCs w:val="20"/>
        </w:rPr>
        <w:t>Posts</w:t>
      </w:r>
      <w:r w:rsidRPr="00C646A5">
        <w:rPr>
          <w:rFonts w:ascii="Constantia" w:eastAsia="Constantia" w:hAnsi="Constantia" w:cs="Constantia"/>
          <w:spacing w:val="-1"/>
          <w:sz w:val="20"/>
          <w:szCs w:val="20"/>
        </w:rPr>
        <w:t>e</w:t>
      </w:r>
      <w:r w:rsidRPr="00C646A5">
        <w:rPr>
          <w:rFonts w:ascii="Constantia" w:eastAsia="Constantia" w:hAnsi="Constantia" w:cs="Constantia"/>
          <w:sz w:val="20"/>
          <w:szCs w:val="20"/>
        </w:rPr>
        <w:t>conda</w:t>
      </w:r>
      <w:r w:rsidRPr="00C646A5">
        <w:rPr>
          <w:rFonts w:ascii="Constantia" w:eastAsia="Constantia" w:hAnsi="Constantia" w:cs="Constantia"/>
          <w:spacing w:val="-1"/>
          <w:sz w:val="20"/>
          <w:szCs w:val="20"/>
        </w:rPr>
        <w:t>r</w:t>
      </w:r>
      <w:r w:rsidRPr="00C646A5">
        <w:rPr>
          <w:rFonts w:ascii="Constantia" w:eastAsia="Constantia" w:hAnsi="Constantia" w:cs="Constantia"/>
          <w:sz w:val="20"/>
          <w:szCs w:val="20"/>
        </w:rPr>
        <w:t>y</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 xml:space="preserve">education </w:t>
      </w:r>
      <w:r w:rsidRPr="00C646A5">
        <w:rPr>
          <w:rFonts w:ascii="Constantia" w:eastAsia="Constantia" w:hAnsi="Constantia" w:cs="Constantia"/>
          <w:spacing w:val="-1"/>
          <w:sz w:val="20"/>
          <w:szCs w:val="20"/>
        </w:rPr>
        <w:t>e</w:t>
      </w:r>
      <w:r w:rsidRPr="00C646A5">
        <w:rPr>
          <w:rFonts w:ascii="Constantia" w:eastAsia="Constantia" w:hAnsi="Constantia" w:cs="Constantia"/>
          <w:sz w:val="20"/>
          <w:szCs w:val="20"/>
        </w:rPr>
        <w:t>nrollment</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is</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defined</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pacing w:val="-1"/>
          <w:sz w:val="20"/>
          <w:szCs w:val="20"/>
        </w:rPr>
        <w:t>a</w:t>
      </w:r>
      <w:r w:rsidRPr="00C646A5">
        <w:rPr>
          <w:rFonts w:ascii="Constantia" w:eastAsia="Constantia" w:hAnsi="Constantia" w:cs="Constantia"/>
          <w:sz w:val="20"/>
          <w:szCs w:val="20"/>
        </w:rPr>
        <w:t>s</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the</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percentage of</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participants</w:t>
      </w:r>
      <w:r w:rsidR="002658A8" w:rsidRPr="00C646A5">
        <w:rPr>
          <w:rFonts w:ascii="Constantia" w:eastAsia="Constantia" w:hAnsi="Constantia" w:cs="Constantia"/>
          <w:sz w:val="20"/>
          <w:szCs w:val="20"/>
        </w:rPr>
        <w:t xml:space="preserve"> who</w:t>
      </w:r>
      <w:r w:rsidR="0004197E">
        <w:rPr>
          <w:rFonts w:ascii="Constantia" w:eastAsia="Constantia" w:hAnsi="Constantia" w:cs="Constantia"/>
          <w:spacing w:val="1"/>
          <w:sz w:val="20"/>
          <w:szCs w:val="20"/>
        </w:rPr>
        <w:t xml:space="preserve"> </w:t>
      </w:r>
      <w:r w:rsidR="0081625E">
        <w:rPr>
          <w:rFonts w:ascii="Constantia" w:eastAsia="Constantia" w:hAnsi="Constantia" w:cs="Constantia"/>
          <w:spacing w:val="1"/>
          <w:sz w:val="20"/>
          <w:szCs w:val="20"/>
        </w:rPr>
        <w:t>have</w:t>
      </w:r>
      <w:r w:rsidR="0081625E" w:rsidRPr="00C646A5">
        <w:rPr>
          <w:rFonts w:ascii="Constantia" w:eastAsia="Constantia" w:hAnsi="Constantia" w:cs="Constantia"/>
          <w:sz w:val="20"/>
          <w:szCs w:val="20"/>
        </w:rPr>
        <w:t xml:space="preserve"> graduated</w:t>
      </w:r>
      <w:r w:rsidRPr="00C646A5">
        <w:rPr>
          <w:rFonts w:ascii="Constantia" w:eastAsia="Constantia" w:hAnsi="Constantia" w:cs="Constantia"/>
          <w:sz w:val="20"/>
          <w:szCs w:val="20"/>
        </w:rPr>
        <w:t xml:space="preserve"> with a regular secondary school diploma during the project year </w:t>
      </w:r>
      <w:r w:rsidR="00A27144">
        <w:rPr>
          <w:rFonts w:ascii="Constantia" w:eastAsia="Constantia" w:hAnsi="Constantia" w:cs="Constantia"/>
          <w:sz w:val="20"/>
          <w:szCs w:val="20"/>
        </w:rPr>
        <w:t>who</w:t>
      </w:r>
      <w:r w:rsidR="00C05E01" w:rsidRPr="00C646A5">
        <w:rPr>
          <w:rFonts w:ascii="Constantia" w:eastAsia="Constantia" w:hAnsi="Constantia" w:cs="Constantia"/>
          <w:sz w:val="20"/>
          <w:szCs w:val="20"/>
        </w:rPr>
        <w:t xml:space="preserve"> </w:t>
      </w:r>
      <w:r w:rsidRPr="00C646A5">
        <w:rPr>
          <w:rFonts w:ascii="Constantia" w:eastAsia="Constantia" w:hAnsi="Constantia" w:cs="Constantia"/>
          <w:sz w:val="20"/>
          <w:szCs w:val="20"/>
        </w:rPr>
        <w:t>enroll in an institution of higher education by the fall term immediately following high school</w:t>
      </w:r>
      <w:r w:rsidR="0004197E" w:rsidRPr="0004197E">
        <w:rPr>
          <w:rFonts w:ascii="Constantia" w:hAnsi="Constantia"/>
          <w:sz w:val="20"/>
          <w:szCs w:val="20"/>
        </w:rPr>
        <w:t xml:space="preserve"> graduation, or </w:t>
      </w:r>
      <w:r w:rsidR="00031DD3">
        <w:rPr>
          <w:rFonts w:ascii="Constantia" w:hAnsi="Constantia"/>
          <w:sz w:val="20"/>
          <w:szCs w:val="20"/>
        </w:rPr>
        <w:t>who</w:t>
      </w:r>
      <w:r w:rsidR="0004197E" w:rsidRPr="0004197E">
        <w:rPr>
          <w:rFonts w:ascii="Constantia" w:hAnsi="Constantia"/>
          <w:sz w:val="20"/>
          <w:szCs w:val="20"/>
        </w:rPr>
        <w:t xml:space="preserve"> receive notification, by the fall term immediately following high school, from an institution of higher education of acceptance but deferred enrollment until the next academic term (e.g., spring term).</w:t>
      </w:r>
    </w:p>
    <w:p w14:paraId="17660348" w14:textId="77777777" w:rsidR="00C462CE" w:rsidRDefault="00C462CE" w:rsidP="005664D4">
      <w:pPr>
        <w:spacing w:after="0" w:line="240" w:lineRule="auto"/>
        <w:rPr>
          <w:rFonts w:ascii="Constantia" w:eastAsia="Constantia" w:hAnsi="Constantia" w:cs="Constantia"/>
          <w:sz w:val="20"/>
          <w:szCs w:val="20"/>
        </w:rPr>
      </w:pPr>
    </w:p>
    <w:p w14:paraId="3F989887" w14:textId="77777777" w:rsidR="00C462CE" w:rsidRDefault="00C462CE" w:rsidP="00C462CE">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postsecondary enrollment rate </w:t>
      </w:r>
      <w:r w:rsidRPr="004D37CE">
        <w:rPr>
          <w:rFonts w:ascii="Constantia" w:eastAsia="Calibri" w:hAnsi="Constantia" w:cs="Constantia"/>
          <w:sz w:val="20"/>
          <w:szCs w:val="20"/>
        </w:rPr>
        <w:t>are as follows:</w:t>
      </w:r>
    </w:p>
    <w:p w14:paraId="5C2055CC" w14:textId="77777777" w:rsidR="00C462CE" w:rsidRDefault="00C462CE" w:rsidP="005664D4">
      <w:pPr>
        <w:spacing w:after="0" w:line="240" w:lineRule="auto"/>
        <w:rPr>
          <w:rFonts w:ascii="Constantia" w:eastAsia="Calibri" w:hAnsi="Constantia" w:cs="Constantia"/>
          <w:sz w:val="20"/>
          <w:szCs w:val="20"/>
        </w:rPr>
      </w:pPr>
    </w:p>
    <w:p w14:paraId="5F885C62" w14:textId="61299471" w:rsidR="00C462CE" w:rsidRPr="00C462CE" w:rsidRDefault="00C462CE" w:rsidP="00C462CE">
      <w:pPr>
        <w:numPr>
          <w:ilvl w:val="0"/>
          <w:numId w:val="46"/>
        </w:numPr>
        <w:spacing w:line="240" w:lineRule="atLeast"/>
        <w:rPr>
          <w:rFonts w:ascii="Constantia" w:hAnsi="Constantia" w:cs="Calibri"/>
          <w:sz w:val="20"/>
          <w:szCs w:val="20"/>
        </w:rPr>
      </w:pPr>
      <w:r w:rsidRPr="00C462CE">
        <w:rPr>
          <w:rFonts w:ascii="Constantia" w:hAnsi="Constantia" w:cs="Calibri"/>
          <w:sz w:val="20"/>
          <w:szCs w:val="20"/>
        </w:rPr>
        <w:t xml:space="preserve">The </w:t>
      </w:r>
      <w:r w:rsidRPr="00C462CE">
        <w:rPr>
          <w:rFonts w:ascii="Constantia" w:hAnsi="Constantia" w:cs="Calibri"/>
          <w:b/>
          <w:sz w:val="20"/>
          <w:szCs w:val="20"/>
          <w:u w:val="single"/>
        </w:rPr>
        <w:t>denominator</w:t>
      </w:r>
      <w:r w:rsidRPr="00C462CE">
        <w:rPr>
          <w:rFonts w:ascii="Constantia" w:hAnsi="Constantia" w:cs="Calibri"/>
          <w:sz w:val="20"/>
          <w:szCs w:val="20"/>
        </w:rPr>
        <w:t xml:space="preserve"> is the number of participants that graduated high school with a regular secondary school diploma within the standard number of </w:t>
      </w:r>
      <w:r w:rsidRPr="00D44694">
        <w:rPr>
          <w:rFonts w:ascii="Constantia" w:hAnsi="Constantia" w:cs="Calibri"/>
          <w:sz w:val="20"/>
          <w:szCs w:val="20"/>
        </w:rPr>
        <w:t>years</w:t>
      </w:r>
      <w:r w:rsidR="00D44694" w:rsidRPr="00D44694">
        <w:rPr>
          <w:rFonts w:ascii="Constantia" w:hAnsi="Constantia" w:cs="Calibri"/>
          <w:sz w:val="20"/>
          <w:szCs w:val="20"/>
        </w:rPr>
        <w:t xml:space="preserve"> </w:t>
      </w:r>
      <w:r w:rsidR="00D44694" w:rsidRPr="00552410">
        <w:rPr>
          <w:rFonts w:ascii="Constantia" w:hAnsi="Constantia" w:cs="Calibri"/>
          <w:sz w:val="20"/>
          <w:szCs w:val="20"/>
        </w:rPr>
        <w:t>(includ</w:t>
      </w:r>
      <w:r w:rsidR="00AC5A2E">
        <w:rPr>
          <w:rFonts w:ascii="Constantia" w:hAnsi="Constantia" w:cs="Calibri"/>
          <w:sz w:val="20"/>
          <w:szCs w:val="20"/>
        </w:rPr>
        <w:t>ing</w:t>
      </w:r>
      <w:r w:rsidR="00D44694" w:rsidRPr="00552410">
        <w:rPr>
          <w:rFonts w:ascii="Constantia" w:hAnsi="Constantia" w:cs="Calibri"/>
          <w:sz w:val="20"/>
          <w:szCs w:val="20"/>
        </w:rPr>
        <w:t xml:space="preserve"> both those who completed, and those who did not complete, a rigorous program of study [Section IV, B1 and B2]).</w:t>
      </w:r>
      <w:r w:rsidR="00C05E01">
        <w:rPr>
          <w:rFonts w:ascii="Constantia" w:hAnsi="Constantia" w:cs="Calibri"/>
          <w:sz w:val="20"/>
          <w:szCs w:val="20"/>
        </w:rPr>
        <w:t xml:space="preserve"> (Note:  Participants who died during the reporting year are included in IV.B6 and could not also be counted in IV, B1 or B2; thus the deceased participants are excluded from the denominator.)</w:t>
      </w:r>
    </w:p>
    <w:p w14:paraId="0D4CFD50" w14:textId="77777777" w:rsidR="001A65F1" w:rsidRPr="001A65F1" w:rsidRDefault="00C462CE" w:rsidP="0020638C">
      <w:pPr>
        <w:numPr>
          <w:ilvl w:val="0"/>
          <w:numId w:val="46"/>
        </w:numPr>
        <w:spacing w:line="240" w:lineRule="atLeast"/>
        <w:rPr>
          <w:rFonts w:ascii="Constantia" w:hAnsi="Constantia"/>
          <w:bCs/>
          <w:sz w:val="20"/>
          <w:szCs w:val="20"/>
        </w:rPr>
      </w:pPr>
      <w:r w:rsidRPr="00C462CE">
        <w:rPr>
          <w:rFonts w:ascii="Constantia" w:hAnsi="Constantia" w:cs="Calibri"/>
          <w:sz w:val="20"/>
          <w:szCs w:val="20"/>
        </w:rPr>
        <w:t xml:space="preserve">The </w:t>
      </w:r>
      <w:r w:rsidRPr="00C462CE">
        <w:rPr>
          <w:rFonts w:ascii="Constantia" w:hAnsi="Constantia" w:cs="Calibri"/>
          <w:b/>
          <w:sz w:val="20"/>
          <w:szCs w:val="20"/>
          <w:u w:val="single"/>
        </w:rPr>
        <w:t>numerator</w:t>
      </w:r>
      <w:r w:rsidRPr="00C462CE">
        <w:rPr>
          <w:rFonts w:ascii="Constantia" w:hAnsi="Constantia" w:cs="Calibri"/>
          <w:sz w:val="20"/>
          <w:szCs w:val="20"/>
        </w:rPr>
        <w:t xml:space="preserve"> is those </w:t>
      </w:r>
      <w:r w:rsidR="00D03DD5">
        <w:rPr>
          <w:rFonts w:ascii="Constantia" w:hAnsi="Constantia" w:cs="Calibri"/>
          <w:sz w:val="20"/>
          <w:szCs w:val="20"/>
        </w:rPr>
        <w:t xml:space="preserve">participants </w:t>
      </w:r>
      <w:r w:rsidR="00C05E01">
        <w:rPr>
          <w:rFonts w:ascii="Constantia" w:hAnsi="Constantia" w:cs="Calibri"/>
          <w:sz w:val="20"/>
          <w:szCs w:val="20"/>
        </w:rPr>
        <w:t xml:space="preserve">in the denominator who </w:t>
      </w:r>
      <w:r w:rsidRPr="00C462CE">
        <w:rPr>
          <w:rFonts w:ascii="Constantia" w:hAnsi="Constantia" w:cs="Calibri"/>
          <w:sz w:val="20"/>
          <w:szCs w:val="20"/>
        </w:rPr>
        <w:t>enrolled in</w:t>
      </w:r>
      <w:r w:rsidR="00D03DD5">
        <w:rPr>
          <w:rFonts w:ascii="Constantia" w:hAnsi="Constantia" w:cs="Calibri"/>
          <w:sz w:val="20"/>
          <w:szCs w:val="20"/>
        </w:rPr>
        <w:t xml:space="preserve"> postsecondary education or</w:t>
      </w:r>
      <w:r w:rsidR="00C05E01">
        <w:rPr>
          <w:rFonts w:ascii="Constantia" w:hAnsi="Constantia" w:cs="Calibri"/>
          <w:sz w:val="20"/>
          <w:szCs w:val="20"/>
        </w:rPr>
        <w:t xml:space="preserve"> were </w:t>
      </w:r>
      <w:r w:rsidR="00D03DD5">
        <w:rPr>
          <w:rFonts w:ascii="Constantia" w:hAnsi="Constantia" w:cs="Calibri"/>
          <w:sz w:val="20"/>
          <w:szCs w:val="20"/>
        </w:rPr>
        <w:t>notified of deferred enrollment [Section IV, C (cell 1(d)].</w:t>
      </w:r>
      <w:r w:rsidRPr="00C462CE">
        <w:rPr>
          <w:rFonts w:ascii="Constantia" w:hAnsi="Constantia" w:cs="Calibri"/>
          <w:sz w:val="20"/>
          <w:szCs w:val="20"/>
        </w:rPr>
        <w:t xml:space="preserve"> </w:t>
      </w:r>
    </w:p>
    <w:p w14:paraId="5D9E9424" w14:textId="77777777" w:rsidR="001A65F1" w:rsidRPr="0020638C" w:rsidRDefault="001A65F1" w:rsidP="001A65F1">
      <w:pPr>
        <w:spacing w:line="240" w:lineRule="atLeast"/>
        <w:rPr>
          <w:rFonts w:ascii="Constantia" w:hAnsi="Constantia"/>
          <w:bCs/>
          <w:sz w:val="20"/>
          <w:szCs w:val="20"/>
        </w:rPr>
      </w:pPr>
    </w:p>
    <w:p w14:paraId="27A61E1E" w14:textId="77777777" w:rsidR="00D44694" w:rsidRDefault="00D44694" w:rsidP="00D44694">
      <w:pPr>
        <w:tabs>
          <w:tab w:val="left" w:pos="9090"/>
        </w:tabs>
        <w:spacing w:after="0" w:line="240" w:lineRule="auto"/>
        <w:ind w:right="900"/>
        <w:rPr>
          <w:rFonts w:ascii="Constantia" w:eastAsia="Calibri" w:hAnsi="Constantia" w:cs="Constantia,BoldItalic"/>
          <w:b/>
          <w:bCs/>
          <w:i/>
          <w:iCs/>
          <w:color w:val="17365D"/>
          <w:sz w:val="24"/>
          <w:szCs w:val="24"/>
        </w:rPr>
      </w:pPr>
      <w:r w:rsidRPr="0081625E">
        <w:rPr>
          <w:rFonts w:ascii="Constantia" w:eastAsia="Calibri" w:hAnsi="Constantia" w:cs="Constantia,BoldItalic"/>
          <w:b/>
          <w:bCs/>
          <w:i/>
          <w:iCs/>
          <w:color w:val="17365D"/>
          <w:sz w:val="24"/>
          <w:szCs w:val="24"/>
        </w:rPr>
        <w:t>How is the Postsecondary Attainment Rate Calculated?</w:t>
      </w:r>
    </w:p>
    <w:p w14:paraId="2ADE3419" w14:textId="77777777" w:rsidR="00D44694" w:rsidRPr="00960DFA" w:rsidRDefault="00D44694" w:rsidP="00D44694">
      <w:pPr>
        <w:tabs>
          <w:tab w:val="left" w:pos="9090"/>
        </w:tabs>
        <w:spacing w:after="0" w:line="240" w:lineRule="auto"/>
        <w:ind w:right="900"/>
        <w:rPr>
          <w:rFonts w:ascii="Constantia" w:eastAsia="Calibri" w:hAnsi="Constantia" w:cs="Constantia"/>
          <w:sz w:val="18"/>
          <w:szCs w:val="18"/>
        </w:rPr>
      </w:pPr>
    </w:p>
    <w:p w14:paraId="29817CB3" w14:textId="77777777" w:rsidR="004E4A54" w:rsidRDefault="004E4A54" w:rsidP="00552410">
      <w:pPr>
        <w:rPr>
          <w:rFonts w:ascii="Constantia" w:hAnsi="Constantia"/>
          <w:sz w:val="20"/>
          <w:szCs w:val="20"/>
        </w:rPr>
      </w:pPr>
      <w:r>
        <w:rPr>
          <w:rFonts w:ascii="Constantia" w:hAnsi="Constantia"/>
          <w:sz w:val="20"/>
          <w:szCs w:val="20"/>
        </w:rPr>
        <w:t xml:space="preserve">Postsecondary attainment is defined as the percentage of prior participants in the postsecondary enrollment </w:t>
      </w:r>
      <w:r w:rsidR="00277095">
        <w:rPr>
          <w:rFonts w:ascii="Constantia" w:hAnsi="Constantia"/>
          <w:sz w:val="20"/>
          <w:szCs w:val="20"/>
        </w:rPr>
        <w:t>cohort established six years prior to the current project year who attained at least one postsecondary credential by August 31 of the project year.  (Note:  The Talent Search program’s first postsecondary enrollment cohort comprised participants</w:t>
      </w:r>
      <w:r w:rsidR="00033800">
        <w:rPr>
          <w:rFonts w:ascii="Constantia" w:hAnsi="Constantia"/>
          <w:sz w:val="20"/>
          <w:szCs w:val="20"/>
        </w:rPr>
        <w:t xml:space="preserve"> served in project year 2011–12</w:t>
      </w:r>
      <w:r w:rsidR="00277095">
        <w:rPr>
          <w:rFonts w:ascii="Constantia" w:hAnsi="Constantia"/>
          <w:sz w:val="20"/>
          <w:szCs w:val="20"/>
        </w:rPr>
        <w:t xml:space="preserve"> who enrolled in an institution of higher education by the fall term of </w:t>
      </w:r>
      <w:r w:rsidR="0081625E">
        <w:rPr>
          <w:rFonts w:ascii="Constantia" w:hAnsi="Constantia"/>
          <w:sz w:val="20"/>
          <w:szCs w:val="20"/>
        </w:rPr>
        <w:t>F</w:t>
      </w:r>
      <w:r w:rsidR="00277095">
        <w:rPr>
          <w:rFonts w:ascii="Constantia" w:hAnsi="Constantia"/>
          <w:sz w:val="20"/>
          <w:szCs w:val="20"/>
        </w:rPr>
        <w:t>Y 2012–13, immediately following high school graduation, or</w:t>
      </w:r>
      <w:r w:rsidR="00033800">
        <w:rPr>
          <w:rFonts w:ascii="Constantia" w:hAnsi="Constantia"/>
          <w:sz w:val="20"/>
          <w:szCs w:val="20"/>
        </w:rPr>
        <w:t xml:space="preserve"> who</w:t>
      </w:r>
      <w:r w:rsidR="00277095">
        <w:rPr>
          <w:rFonts w:ascii="Constantia" w:hAnsi="Constantia"/>
          <w:sz w:val="20"/>
          <w:szCs w:val="20"/>
        </w:rPr>
        <w:t xml:space="preserve"> enrolled</w:t>
      </w:r>
      <w:r w:rsidR="00033800">
        <w:rPr>
          <w:rFonts w:ascii="Constantia" w:hAnsi="Constantia"/>
          <w:sz w:val="20"/>
          <w:szCs w:val="20"/>
        </w:rPr>
        <w:t xml:space="preserve"> by the next academic term [</w:t>
      </w:r>
      <w:r w:rsidR="00277095">
        <w:rPr>
          <w:rFonts w:ascii="Constantia" w:hAnsi="Constantia"/>
          <w:sz w:val="20"/>
          <w:szCs w:val="20"/>
        </w:rPr>
        <w:t>e.g., spring term</w:t>
      </w:r>
      <w:r w:rsidR="00033800">
        <w:rPr>
          <w:rFonts w:ascii="Constantia" w:hAnsi="Constantia"/>
          <w:sz w:val="20"/>
          <w:szCs w:val="20"/>
        </w:rPr>
        <w:t>]</w:t>
      </w:r>
      <w:r w:rsidR="00277095">
        <w:rPr>
          <w:rFonts w:ascii="Constantia" w:hAnsi="Constantia"/>
          <w:sz w:val="20"/>
          <w:szCs w:val="20"/>
        </w:rPr>
        <w:t xml:space="preserve"> as a result of acceptance but deferred enrollment.  The first project year in which the postsecondary attainment rate can be calculated is 2017–18—six years after the cohort year.)</w:t>
      </w:r>
    </w:p>
    <w:p w14:paraId="67999BCB" w14:textId="77777777" w:rsidR="002658A8" w:rsidRDefault="002658A8" w:rsidP="00552410">
      <w:pPr>
        <w:rPr>
          <w:rFonts w:ascii="Constantia" w:hAnsi="Constantia"/>
          <w:sz w:val="20"/>
          <w:szCs w:val="20"/>
        </w:rPr>
      </w:pPr>
    </w:p>
    <w:p w14:paraId="0AFAA081" w14:textId="77777777" w:rsidR="002658A8" w:rsidRDefault="002658A8" w:rsidP="002658A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lastRenderedPageBreak/>
        <w:t>The calcul</w:t>
      </w:r>
      <w:r>
        <w:rPr>
          <w:rFonts w:ascii="Constantia" w:eastAsia="Calibri" w:hAnsi="Constantia" w:cs="Constantia"/>
          <w:sz w:val="20"/>
          <w:szCs w:val="20"/>
        </w:rPr>
        <w:t xml:space="preserve">ation rules for the postsecondary attainment </w:t>
      </w:r>
      <w:r w:rsidRPr="004D37CE">
        <w:rPr>
          <w:rFonts w:ascii="Constantia" w:eastAsia="Calibri" w:hAnsi="Constantia" w:cs="Constantia"/>
          <w:sz w:val="20"/>
          <w:szCs w:val="20"/>
        </w:rPr>
        <w:t>are as follows:</w:t>
      </w:r>
    </w:p>
    <w:p w14:paraId="4BEC1B9A" w14:textId="77777777" w:rsidR="002658A8" w:rsidRDefault="002658A8" w:rsidP="002658A8">
      <w:pPr>
        <w:autoSpaceDE w:val="0"/>
        <w:autoSpaceDN w:val="0"/>
        <w:adjustRightInd w:val="0"/>
        <w:spacing w:after="0" w:line="240" w:lineRule="auto"/>
        <w:rPr>
          <w:rFonts w:ascii="Constantia" w:eastAsia="Calibri" w:hAnsi="Constantia" w:cs="Constantia"/>
          <w:sz w:val="20"/>
          <w:szCs w:val="20"/>
        </w:rPr>
      </w:pPr>
    </w:p>
    <w:p w14:paraId="21A597AE" w14:textId="77777777" w:rsidR="005038E9" w:rsidRDefault="002658A8" w:rsidP="004549D2">
      <w:pPr>
        <w:numPr>
          <w:ilvl w:val="0"/>
          <w:numId w:val="47"/>
        </w:numPr>
        <w:spacing w:line="240" w:lineRule="atLeast"/>
        <w:rPr>
          <w:rFonts w:ascii="Constantia" w:hAnsi="Constantia" w:cs="Calibri"/>
          <w:sz w:val="20"/>
          <w:szCs w:val="20"/>
        </w:rPr>
      </w:pPr>
      <w:r w:rsidRPr="004D1ED0">
        <w:rPr>
          <w:rFonts w:ascii="Constantia" w:hAnsi="Constantia" w:cs="Calibri"/>
          <w:sz w:val="20"/>
          <w:szCs w:val="20"/>
        </w:rPr>
        <w:t xml:space="preserve">The </w:t>
      </w:r>
      <w:r w:rsidRPr="004D1ED0">
        <w:rPr>
          <w:rFonts w:ascii="Constantia" w:hAnsi="Constantia" w:cs="Calibri"/>
          <w:b/>
          <w:sz w:val="20"/>
          <w:szCs w:val="20"/>
          <w:u w:val="single"/>
        </w:rPr>
        <w:t>denominato</w:t>
      </w:r>
      <w:r w:rsidR="00552410" w:rsidRPr="004D1ED0">
        <w:rPr>
          <w:rFonts w:ascii="Constantia" w:hAnsi="Constantia" w:cs="Calibri"/>
          <w:b/>
          <w:sz w:val="20"/>
          <w:szCs w:val="20"/>
          <w:u w:val="single"/>
        </w:rPr>
        <w:t xml:space="preserve">r </w:t>
      </w:r>
      <w:r w:rsidR="00552410" w:rsidRPr="004D1ED0">
        <w:rPr>
          <w:rFonts w:ascii="Constantia" w:hAnsi="Constantia" w:cs="Calibri"/>
          <w:sz w:val="20"/>
          <w:szCs w:val="20"/>
        </w:rPr>
        <w:t xml:space="preserve">is the </w:t>
      </w:r>
      <w:r w:rsidR="00901CAD" w:rsidRPr="004D1ED0">
        <w:rPr>
          <w:rFonts w:ascii="Constantia" w:hAnsi="Constantia" w:cs="Calibri"/>
          <w:sz w:val="20"/>
          <w:szCs w:val="20"/>
        </w:rPr>
        <w:t xml:space="preserve">total </w:t>
      </w:r>
      <w:r w:rsidR="00552410" w:rsidRPr="004D1ED0">
        <w:rPr>
          <w:rFonts w:ascii="Constantia" w:hAnsi="Constantia" w:cs="Calibri"/>
          <w:sz w:val="20"/>
          <w:szCs w:val="20"/>
        </w:rPr>
        <w:t xml:space="preserve">number of participants in the cohort </w:t>
      </w:r>
      <w:r w:rsidR="00083135" w:rsidRPr="004D1ED0">
        <w:rPr>
          <w:rFonts w:ascii="Constantia" w:hAnsi="Constantia" w:cs="Calibri"/>
          <w:sz w:val="20"/>
          <w:szCs w:val="20"/>
        </w:rPr>
        <w:t>(Section</w:t>
      </w:r>
      <w:r w:rsidR="00B54145" w:rsidRPr="004D1ED0">
        <w:rPr>
          <w:rFonts w:ascii="Constantia" w:hAnsi="Constantia" w:cs="Calibri"/>
          <w:sz w:val="20"/>
          <w:szCs w:val="20"/>
        </w:rPr>
        <w:t xml:space="preserve"> IV. E</w:t>
      </w:r>
      <w:r w:rsidR="00901CAD" w:rsidRPr="004D1ED0">
        <w:rPr>
          <w:rFonts w:ascii="Constantia" w:hAnsi="Constantia" w:cs="Calibri"/>
          <w:sz w:val="20"/>
          <w:szCs w:val="20"/>
        </w:rPr>
        <w:t>9</w:t>
      </w:r>
      <w:r w:rsidR="00B54145" w:rsidRPr="004D1ED0">
        <w:rPr>
          <w:rFonts w:ascii="Constantia" w:hAnsi="Constantia" w:cs="Calibri"/>
          <w:sz w:val="20"/>
          <w:szCs w:val="20"/>
        </w:rPr>
        <w:t>)</w:t>
      </w:r>
      <w:r w:rsidR="00552410" w:rsidRPr="004D1ED0">
        <w:rPr>
          <w:rFonts w:ascii="Constantia" w:hAnsi="Constantia" w:cs="Calibri"/>
          <w:sz w:val="20"/>
          <w:szCs w:val="20"/>
        </w:rPr>
        <w:t>, minus participants who are deceased (Section IV.E</w:t>
      </w:r>
      <w:r w:rsidR="00B54145" w:rsidRPr="004D1ED0">
        <w:rPr>
          <w:rFonts w:ascii="Constantia" w:hAnsi="Constantia" w:cs="Calibri"/>
          <w:sz w:val="20"/>
          <w:szCs w:val="20"/>
        </w:rPr>
        <w:t>8</w:t>
      </w:r>
      <w:r w:rsidR="00552410" w:rsidRPr="004D1ED0">
        <w:rPr>
          <w:rFonts w:ascii="Constantia" w:hAnsi="Constantia" w:cs="Calibri"/>
          <w:sz w:val="20"/>
          <w:szCs w:val="20"/>
        </w:rPr>
        <w:t>).</w:t>
      </w:r>
      <w:r w:rsidR="001B01A2" w:rsidRPr="004549D2">
        <w:rPr>
          <w:rFonts w:ascii="Constantia" w:hAnsi="Constantia" w:cs="Calibri"/>
          <w:sz w:val="20"/>
          <w:szCs w:val="20"/>
        </w:rPr>
        <w:t xml:space="preserve">  Note:  </w:t>
      </w:r>
      <w:r w:rsidR="00FC1E1B" w:rsidRPr="004549D2">
        <w:rPr>
          <w:rFonts w:ascii="Constantia" w:hAnsi="Constantia" w:cs="Calibri"/>
          <w:sz w:val="20"/>
          <w:szCs w:val="20"/>
        </w:rPr>
        <w:t xml:space="preserve">For projects using random sampling for this objective, </w:t>
      </w:r>
      <w:r w:rsidR="00C8535E" w:rsidRPr="004549D2">
        <w:rPr>
          <w:rFonts w:ascii="Constantia" w:hAnsi="Constantia" w:cs="Calibri"/>
          <w:sz w:val="20"/>
          <w:szCs w:val="20"/>
        </w:rPr>
        <w:t xml:space="preserve">the denominator is the number of </w:t>
      </w:r>
      <w:r w:rsidR="00844D53" w:rsidRPr="004549D2">
        <w:rPr>
          <w:rFonts w:ascii="Constantia" w:hAnsi="Constantia" w:cs="Calibri"/>
          <w:sz w:val="20"/>
          <w:szCs w:val="20"/>
        </w:rPr>
        <w:t xml:space="preserve">cohort members </w:t>
      </w:r>
      <w:r w:rsidR="00C8535E" w:rsidRPr="004549D2">
        <w:rPr>
          <w:rFonts w:ascii="Constantia" w:hAnsi="Constantia" w:cs="Calibri"/>
          <w:sz w:val="20"/>
          <w:szCs w:val="20"/>
        </w:rPr>
        <w:t xml:space="preserve">in the random sample </w:t>
      </w:r>
      <w:r w:rsidR="00907A8B" w:rsidRPr="004549D2">
        <w:rPr>
          <w:rFonts w:ascii="Constantia" w:hAnsi="Constantia" w:cs="Calibri"/>
          <w:sz w:val="20"/>
          <w:szCs w:val="20"/>
        </w:rPr>
        <w:t xml:space="preserve">established using the </w:t>
      </w:r>
      <w:r w:rsidR="00F51904" w:rsidRPr="004549D2">
        <w:rPr>
          <w:rFonts w:ascii="Constantia" w:hAnsi="Constantia" w:cs="Calibri"/>
          <w:sz w:val="20"/>
          <w:szCs w:val="20"/>
        </w:rPr>
        <w:t xml:space="preserve">methodology stated </w:t>
      </w:r>
      <w:r w:rsidR="00326D28" w:rsidRPr="004549D2">
        <w:rPr>
          <w:rFonts w:ascii="Constantia" w:hAnsi="Constantia" w:cs="Calibri"/>
          <w:sz w:val="20"/>
          <w:szCs w:val="20"/>
        </w:rPr>
        <w:t>in the APR instructions</w:t>
      </w:r>
      <w:r w:rsidR="00D87081" w:rsidRPr="004549D2">
        <w:rPr>
          <w:rFonts w:ascii="Constantia" w:hAnsi="Constantia" w:cs="Calibri"/>
          <w:sz w:val="20"/>
          <w:szCs w:val="20"/>
        </w:rPr>
        <w:t>.</w:t>
      </w:r>
    </w:p>
    <w:p w14:paraId="5D2F22C5" w14:textId="70B9C41E" w:rsidR="006B0D8F" w:rsidRPr="004549D2" w:rsidRDefault="00552410" w:rsidP="004549D2">
      <w:pPr>
        <w:numPr>
          <w:ilvl w:val="0"/>
          <w:numId w:val="47"/>
        </w:numPr>
        <w:spacing w:line="240" w:lineRule="atLeast"/>
        <w:rPr>
          <w:rFonts w:ascii="Constantia" w:hAnsi="Constantia" w:cs="Calibri"/>
          <w:sz w:val="20"/>
          <w:szCs w:val="20"/>
        </w:rPr>
      </w:pPr>
      <w:r w:rsidRPr="004549D2">
        <w:rPr>
          <w:rFonts w:ascii="Constantia" w:hAnsi="Constantia" w:cs="Calibri"/>
          <w:sz w:val="20"/>
          <w:szCs w:val="20"/>
        </w:rPr>
        <w:t xml:space="preserve">The </w:t>
      </w:r>
      <w:r w:rsidRPr="004549D2">
        <w:rPr>
          <w:rFonts w:ascii="Constantia" w:hAnsi="Constantia" w:cs="Calibri"/>
          <w:b/>
          <w:sz w:val="20"/>
          <w:szCs w:val="20"/>
          <w:u w:val="single"/>
        </w:rPr>
        <w:t>numerator</w:t>
      </w:r>
      <w:r w:rsidRPr="004549D2">
        <w:rPr>
          <w:rFonts w:ascii="Constantia" w:hAnsi="Constantia" w:cs="Calibri"/>
          <w:b/>
          <w:sz w:val="20"/>
          <w:szCs w:val="20"/>
        </w:rPr>
        <w:t xml:space="preserve"> </w:t>
      </w:r>
      <w:r w:rsidRPr="004549D2">
        <w:rPr>
          <w:rFonts w:ascii="Constantia" w:hAnsi="Constantia" w:cs="Calibri"/>
          <w:sz w:val="20"/>
          <w:szCs w:val="20"/>
        </w:rPr>
        <w:t>is the number of participants in the denominator who earned a postsecondary credential by August 31, 2018 (Section IV.E6).</w:t>
      </w:r>
    </w:p>
    <w:sectPr w:rsidR="006B0D8F" w:rsidRPr="004549D2" w:rsidSect="007E4A48">
      <w:headerReference w:type="default" r:id="rId11"/>
      <w:footerReference w:type="default" r:id="rId12"/>
      <w:type w:val="continuous"/>
      <w:pgSz w:w="12240" w:h="15840"/>
      <w:pgMar w:top="81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AF68" w14:textId="77777777" w:rsidR="00437C4C" w:rsidRDefault="00437C4C" w:rsidP="009E2445">
      <w:pPr>
        <w:spacing w:after="0" w:line="240" w:lineRule="auto"/>
      </w:pPr>
      <w:r>
        <w:separator/>
      </w:r>
    </w:p>
  </w:endnote>
  <w:endnote w:type="continuationSeparator" w:id="0">
    <w:p w14:paraId="67451AEC" w14:textId="77777777" w:rsidR="00437C4C" w:rsidRDefault="00437C4C" w:rsidP="009E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DEE3" w14:textId="1BD19D15" w:rsidR="007B7FE6" w:rsidRPr="007B7FE6" w:rsidRDefault="0079216A" w:rsidP="007B7FE6">
    <w:pPr>
      <w:pStyle w:val="Footer"/>
      <w:pBdr>
        <w:top w:val="thinThickSmallGap" w:sz="24" w:space="1" w:color="622423"/>
      </w:pBdr>
      <w:tabs>
        <w:tab w:val="clear" w:pos="4680"/>
        <w:tab w:val="clear" w:pos="9360"/>
        <w:tab w:val="right" w:pos="10080"/>
      </w:tabs>
      <w:rPr>
        <w:rFonts w:ascii="Cambria" w:hAnsi="Cambria"/>
      </w:rPr>
    </w:pPr>
    <w:r>
      <w:rPr>
        <w:rFonts w:ascii="Cambria" w:hAnsi="Cambria"/>
      </w:rPr>
      <w:t xml:space="preserve">November </w:t>
    </w:r>
    <w:r w:rsidR="00DC0F38">
      <w:rPr>
        <w:rFonts w:ascii="Cambria" w:hAnsi="Cambria"/>
      </w:rPr>
      <w:t>2019</w:t>
    </w:r>
    <w:r w:rsidR="007B7FE6" w:rsidRPr="007B7FE6">
      <w:rPr>
        <w:rFonts w:ascii="Cambria" w:hAnsi="Cambria"/>
      </w:rPr>
      <w:tab/>
      <w:t xml:space="preserve">Page </w:t>
    </w:r>
    <w:r w:rsidR="007B7FE6" w:rsidRPr="007B7FE6">
      <w:fldChar w:fldCharType="begin"/>
    </w:r>
    <w:r w:rsidR="007B7FE6">
      <w:instrText xml:space="preserve"> PAGE   \* MERGEFORMAT </w:instrText>
    </w:r>
    <w:r w:rsidR="007B7FE6" w:rsidRPr="007B7FE6">
      <w:fldChar w:fldCharType="separate"/>
    </w:r>
    <w:r w:rsidR="002A5825" w:rsidRPr="002A5825">
      <w:rPr>
        <w:rFonts w:ascii="Cambria" w:hAnsi="Cambria"/>
        <w:noProof/>
      </w:rPr>
      <w:t>1</w:t>
    </w:r>
    <w:r w:rsidR="007B7FE6" w:rsidRPr="007B7FE6">
      <w:rPr>
        <w:rFonts w:ascii="Cambria" w:hAnsi="Cambria"/>
        <w:noProof/>
      </w:rPr>
      <w:fldChar w:fldCharType="end"/>
    </w:r>
  </w:p>
  <w:p w14:paraId="782E5A91" w14:textId="77777777" w:rsidR="00C05E01" w:rsidRDefault="00C0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B7F89" w14:textId="77777777" w:rsidR="00437C4C" w:rsidRDefault="00437C4C" w:rsidP="009E2445">
      <w:pPr>
        <w:spacing w:after="0" w:line="240" w:lineRule="auto"/>
      </w:pPr>
      <w:r>
        <w:separator/>
      </w:r>
    </w:p>
  </w:footnote>
  <w:footnote w:type="continuationSeparator" w:id="0">
    <w:p w14:paraId="1AA6286A" w14:textId="77777777" w:rsidR="00437C4C" w:rsidRDefault="00437C4C" w:rsidP="009E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63C0" w14:textId="77777777" w:rsidR="00C05E01" w:rsidRDefault="00C05E01">
    <w:pPr>
      <w:pStyle w:val="Header"/>
    </w:pPr>
    <w:r>
      <w:t xml:space="preserve">Appendix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9D5"/>
    <w:multiLevelType w:val="hybridMultilevel"/>
    <w:tmpl w:val="AC7CA132"/>
    <w:lvl w:ilvl="0" w:tplc="27543E1A">
      <w:start w:val="1"/>
      <w:numFmt w:val="bullet"/>
      <w:lvlText w:val="•"/>
      <w:lvlJc w:val="left"/>
      <w:pPr>
        <w:ind w:left="4590" w:hanging="360"/>
      </w:pPr>
      <w:rPr>
        <w:rFonts w:ascii="Arial" w:hAnsi="Aria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022A2262"/>
    <w:multiLevelType w:val="hybridMultilevel"/>
    <w:tmpl w:val="778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F2FE5"/>
    <w:multiLevelType w:val="hybridMultilevel"/>
    <w:tmpl w:val="3A74EC0A"/>
    <w:lvl w:ilvl="0" w:tplc="E376A686">
      <w:start w:val="1"/>
      <w:numFmt w:val="bullet"/>
      <w:lvlText w:val="—"/>
      <w:lvlJc w:val="left"/>
      <w:pPr>
        <w:tabs>
          <w:tab w:val="num" w:pos="720"/>
        </w:tabs>
        <w:ind w:left="720" w:hanging="360"/>
      </w:pPr>
      <w:rPr>
        <w:rFonts w:ascii="Arial Rounded MT Bold" w:hAnsi="Arial Rounded MT Bold" w:hint="default"/>
      </w:rPr>
    </w:lvl>
    <w:lvl w:ilvl="1" w:tplc="0B9CD77E">
      <w:start w:val="1"/>
      <w:numFmt w:val="bullet"/>
      <w:lvlText w:val="—"/>
      <w:lvlJc w:val="left"/>
      <w:pPr>
        <w:tabs>
          <w:tab w:val="num" w:pos="1440"/>
        </w:tabs>
        <w:ind w:left="1440" w:hanging="360"/>
      </w:pPr>
      <w:rPr>
        <w:rFonts w:ascii="Arial Rounded MT Bold" w:hAnsi="Arial Rounded MT Bold" w:hint="default"/>
      </w:rPr>
    </w:lvl>
    <w:lvl w:ilvl="2" w:tplc="7C288EA0" w:tentative="1">
      <w:start w:val="1"/>
      <w:numFmt w:val="bullet"/>
      <w:lvlText w:val="—"/>
      <w:lvlJc w:val="left"/>
      <w:pPr>
        <w:tabs>
          <w:tab w:val="num" w:pos="2160"/>
        </w:tabs>
        <w:ind w:left="2160" w:hanging="360"/>
      </w:pPr>
      <w:rPr>
        <w:rFonts w:ascii="Arial Rounded MT Bold" w:hAnsi="Arial Rounded MT Bold" w:hint="default"/>
      </w:rPr>
    </w:lvl>
    <w:lvl w:ilvl="3" w:tplc="27DA36E8" w:tentative="1">
      <w:start w:val="1"/>
      <w:numFmt w:val="bullet"/>
      <w:lvlText w:val="—"/>
      <w:lvlJc w:val="left"/>
      <w:pPr>
        <w:tabs>
          <w:tab w:val="num" w:pos="2880"/>
        </w:tabs>
        <w:ind w:left="2880" w:hanging="360"/>
      </w:pPr>
      <w:rPr>
        <w:rFonts w:ascii="Arial Rounded MT Bold" w:hAnsi="Arial Rounded MT Bold" w:hint="default"/>
      </w:rPr>
    </w:lvl>
    <w:lvl w:ilvl="4" w:tplc="E47644D0" w:tentative="1">
      <w:start w:val="1"/>
      <w:numFmt w:val="bullet"/>
      <w:lvlText w:val="—"/>
      <w:lvlJc w:val="left"/>
      <w:pPr>
        <w:tabs>
          <w:tab w:val="num" w:pos="3600"/>
        </w:tabs>
        <w:ind w:left="3600" w:hanging="360"/>
      </w:pPr>
      <w:rPr>
        <w:rFonts w:ascii="Arial Rounded MT Bold" w:hAnsi="Arial Rounded MT Bold" w:hint="default"/>
      </w:rPr>
    </w:lvl>
    <w:lvl w:ilvl="5" w:tplc="56D6D8C2" w:tentative="1">
      <w:start w:val="1"/>
      <w:numFmt w:val="bullet"/>
      <w:lvlText w:val="—"/>
      <w:lvlJc w:val="left"/>
      <w:pPr>
        <w:tabs>
          <w:tab w:val="num" w:pos="4320"/>
        </w:tabs>
        <w:ind w:left="4320" w:hanging="360"/>
      </w:pPr>
      <w:rPr>
        <w:rFonts w:ascii="Arial Rounded MT Bold" w:hAnsi="Arial Rounded MT Bold" w:hint="default"/>
      </w:rPr>
    </w:lvl>
    <w:lvl w:ilvl="6" w:tplc="20107D3E" w:tentative="1">
      <w:start w:val="1"/>
      <w:numFmt w:val="bullet"/>
      <w:lvlText w:val="—"/>
      <w:lvlJc w:val="left"/>
      <w:pPr>
        <w:tabs>
          <w:tab w:val="num" w:pos="5040"/>
        </w:tabs>
        <w:ind w:left="5040" w:hanging="360"/>
      </w:pPr>
      <w:rPr>
        <w:rFonts w:ascii="Arial Rounded MT Bold" w:hAnsi="Arial Rounded MT Bold" w:hint="default"/>
      </w:rPr>
    </w:lvl>
    <w:lvl w:ilvl="7" w:tplc="123038B2" w:tentative="1">
      <w:start w:val="1"/>
      <w:numFmt w:val="bullet"/>
      <w:lvlText w:val="—"/>
      <w:lvlJc w:val="left"/>
      <w:pPr>
        <w:tabs>
          <w:tab w:val="num" w:pos="5760"/>
        </w:tabs>
        <w:ind w:left="5760" w:hanging="360"/>
      </w:pPr>
      <w:rPr>
        <w:rFonts w:ascii="Arial Rounded MT Bold" w:hAnsi="Arial Rounded MT Bold" w:hint="default"/>
      </w:rPr>
    </w:lvl>
    <w:lvl w:ilvl="8" w:tplc="4F70DAA2" w:tentative="1">
      <w:start w:val="1"/>
      <w:numFmt w:val="bullet"/>
      <w:lvlText w:val="—"/>
      <w:lvlJc w:val="left"/>
      <w:pPr>
        <w:tabs>
          <w:tab w:val="num" w:pos="6480"/>
        </w:tabs>
        <w:ind w:left="6480" w:hanging="360"/>
      </w:pPr>
      <w:rPr>
        <w:rFonts w:ascii="Arial Rounded MT Bold" w:hAnsi="Arial Rounded MT Bold" w:hint="default"/>
      </w:rPr>
    </w:lvl>
  </w:abstractNum>
  <w:abstractNum w:abstractNumId="3" w15:restartNumberingAfterBreak="0">
    <w:nsid w:val="04A14925"/>
    <w:multiLevelType w:val="hybridMultilevel"/>
    <w:tmpl w:val="6B6A5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92E90"/>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12BE1"/>
    <w:multiLevelType w:val="hybridMultilevel"/>
    <w:tmpl w:val="2FECFE2E"/>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tentative="1">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FC2C11"/>
    <w:multiLevelType w:val="hybridMultilevel"/>
    <w:tmpl w:val="6E76382A"/>
    <w:lvl w:ilvl="0" w:tplc="9F6EA83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513F7"/>
    <w:multiLevelType w:val="hybridMultilevel"/>
    <w:tmpl w:val="59CA296A"/>
    <w:lvl w:ilvl="0" w:tplc="27543E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B3B16"/>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43307"/>
    <w:multiLevelType w:val="hybridMultilevel"/>
    <w:tmpl w:val="24C400BA"/>
    <w:lvl w:ilvl="0" w:tplc="398C1DC4">
      <w:start w:val="1"/>
      <w:numFmt w:val="bullet"/>
      <w:lvlText w:val="•"/>
      <w:lvlJc w:val="left"/>
      <w:pPr>
        <w:tabs>
          <w:tab w:val="num" w:pos="720"/>
        </w:tabs>
        <w:ind w:left="720" w:hanging="360"/>
      </w:pPr>
      <w:rPr>
        <w:rFonts w:ascii="Arial" w:hAnsi="Arial" w:hint="default"/>
      </w:rPr>
    </w:lvl>
    <w:lvl w:ilvl="1" w:tplc="5C28BE86">
      <w:start w:val="1"/>
      <w:numFmt w:val="bullet"/>
      <w:lvlText w:val=""/>
      <w:lvlJc w:val="left"/>
      <w:pPr>
        <w:tabs>
          <w:tab w:val="num" w:pos="540"/>
        </w:tabs>
        <w:ind w:left="540" w:hanging="360"/>
      </w:pPr>
      <w:rPr>
        <w:rFonts w:ascii="Wingdings" w:hAnsi="Wingdings" w:hint="default"/>
        <w:sz w:val="20"/>
        <w:szCs w:val="20"/>
      </w:rPr>
    </w:lvl>
    <w:lvl w:ilvl="2" w:tplc="B80C1424">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E4216B"/>
    <w:multiLevelType w:val="multilevel"/>
    <w:tmpl w:val="E9948EA0"/>
    <w:lvl w:ilvl="0">
      <w:start w:val="1"/>
      <w:numFmt w:val="lowerLetter"/>
      <w:lvlText w:val="%1."/>
      <w:lvlJc w:val="left"/>
      <w:pPr>
        <w:ind w:left="450" w:hanging="360"/>
      </w:pPr>
      <w:rPr>
        <w:rFonts w:hint="default"/>
        <w:sz w:val="18"/>
        <w:szCs w:val="1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 w15:restartNumberingAfterBreak="0">
    <w:nsid w:val="1E2D595E"/>
    <w:multiLevelType w:val="hybridMultilevel"/>
    <w:tmpl w:val="8C6EDFD2"/>
    <w:lvl w:ilvl="0" w:tplc="27543E1A">
      <w:start w:val="1"/>
      <w:numFmt w:val="bullet"/>
      <w:lvlText w:val="•"/>
      <w:lvlJc w:val="left"/>
      <w:pPr>
        <w:tabs>
          <w:tab w:val="num" w:pos="720"/>
        </w:tabs>
        <w:ind w:left="720" w:hanging="360"/>
      </w:pPr>
      <w:rPr>
        <w:rFonts w:ascii="Arial" w:hAnsi="Arial" w:hint="default"/>
      </w:rPr>
    </w:lvl>
    <w:lvl w:ilvl="1" w:tplc="CA026CD4">
      <w:start w:val="1"/>
      <w:numFmt w:val="bullet"/>
      <w:lvlText w:val="•"/>
      <w:lvlJc w:val="left"/>
      <w:pPr>
        <w:tabs>
          <w:tab w:val="num" w:pos="1440"/>
        </w:tabs>
        <w:ind w:left="1440" w:hanging="360"/>
      </w:pPr>
      <w:rPr>
        <w:rFonts w:ascii="Arial" w:hAnsi="Arial"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C2455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130DE"/>
    <w:multiLevelType w:val="hybridMultilevel"/>
    <w:tmpl w:val="F0104356"/>
    <w:lvl w:ilvl="0" w:tplc="ABC65462">
      <w:start w:val="1"/>
      <w:numFmt w:val="bullet"/>
      <w:lvlText w:val=""/>
      <w:lvlJc w:val="left"/>
      <w:pPr>
        <w:tabs>
          <w:tab w:val="num" w:pos="720"/>
        </w:tabs>
        <w:ind w:left="720" w:hanging="360"/>
      </w:pPr>
      <w:rPr>
        <w:rFonts w:ascii="Wingdings" w:hAnsi="Wingdings" w:hint="default"/>
      </w:rPr>
    </w:lvl>
    <w:lvl w:ilvl="1" w:tplc="971215FA" w:tentative="1">
      <w:start w:val="1"/>
      <w:numFmt w:val="bullet"/>
      <w:lvlText w:val=""/>
      <w:lvlJc w:val="left"/>
      <w:pPr>
        <w:tabs>
          <w:tab w:val="num" w:pos="1440"/>
        </w:tabs>
        <w:ind w:left="1440" w:hanging="360"/>
      </w:pPr>
      <w:rPr>
        <w:rFonts w:ascii="Wingdings" w:hAnsi="Wingdings" w:hint="default"/>
      </w:rPr>
    </w:lvl>
    <w:lvl w:ilvl="2" w:tplc="59E065AE" w:tentative="1">
      <w:start w:val="1"/>
      <w:numFmt w:val="bullet"/>
      <w:lvlText w:val=""/>
      <w:lvlJc w:val="left"/>
      <w:pPr>
        <w:tabs>
          <w:tab w:val="num" w:pos="2160"/>
        </w:tabs>
        <w:ind w:left="2160" w:hanging="360"/>
      </w:pPr>
      <w:rPr>
        <w:rFonts w:ascii="Wingdings" w:hAnsi="Wingdings" w:hint="default"/>
      </w:rPr>
    </w:lvl>
    <w:lvl w:ilvl="3" w:tplc="55DAF082" w:tentative="1">
      <w:start w:val="1"/>
      <w:numFmt w:val="bullet"/>
      <w:lvlText w:val=""/>
      <w:lvlJc w:val="left"/>
      <w:pPr>
        <w:tabs>
          <w:tab w:val="num" w:pos="2880"/>
        </w:tabs>
        <w:ind w:left="2880" w:hanging="360"/>
      </w:pPr>
      <w:rPr>
        <w:rFonts w:ascii="Wingdings" w:hAnsi="Wingdings" w:hint="default"/>
      </w:rPr>
    </w:lvl>
    <w:lvl w:ilvl="4" w:tplc="6E308840" w:tentative="1">
      <w:start w:val="1"/>
      <w:numFmt w:val="bullet"/>
      <w:lvlText w:val=""/>
      <w:lvlJc w:val="left"/>
      <w:pPr>
        <w:tabs>
          <w:tab w:val="num" w:pos="3600"/>
        </w:tabs>
        <w:ind w:left="3600" w:hanging="360"/>
      </w:pPr>
      <w:rPr>
        <w:rFonts w:ascii="Wingdings" w:hAnsi="Wingdings" w:hint="default"/>
      </w:rPr>
    </w:lvl>
    <w:lvl w:ilvl="5" w:tplc="A51A5F98" w:tentative="1">
      <w:start w:val="1"/>
      <w:numFmt w:val="bullet"/>
      <w:lvlText w:val=""/>
      <w:lvlJc w:val="left"/>
      <w:pPr>
        <w:tabs>
          <w:tab w:val="num" w:pos="4320"/>
        </w:tabs>
        <w:ind w:left="4320" w:hanging="360"/>
      </w:pPr>
      <w:rPr>
        <w:rFonts w:ascii="Wingdings" w:hAnsi="Wingdings" w:hint="default"/>
      </w:rPr>
    </w:lvl>
    <w:lvl w:ilvl="6" w:tplc="B8865DB8" w:tentative="1">
      <w:start w:val="1"/>
      <w:numFmt w:val="bullet"/>
      <w:lvlText w:val=""/>
      <w:lvlJc w:val="left"/>
      <w:pPr>
        <w:tabs>
          <w:tab w:val="num" w:pos="5040"/>
        </w:tabs>
        <w:ind w:left="5040" w:hanging="360"/>
      </w:pPr>
      <w:rPr>
        <w:rFonts w:ascii="Wingdings" w:hAnsi="Wingdings" w:hint="default"/>
      </w:rPr>
    </w:lvl>
    <w:lvl w:ilvl="7" w:tplc="D346DF98" w:tentative="1">
      <w:start w:val="1"/>
      <w:numFmt w:val="bullet"/>
      <w:lvlText w:val=""/>
      <w:lvlJc w:val="left"/>
      <w:pPr>
        <w:tabs>
          <w:tab w:val="num" w:pos="5760"/>
        </w:tabs>
        <w:ind w:left="5760" w:hanging="360"/>
      </w:pPr>
      <w:rPr>
        <w:rFonts w:ascii="Wingdings" w:hAnsi="Wingdings" w:hint="default"/>
      </w:rPr>
    </w:lvl>
    <w:lvl w:ilvl="8" w:tplc="4ADC5F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1720A"/>
    <w:multiLevelType w:val="hybridMultilevel"/>
    <w:tmpl w:val="59F4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A1CFB"/>
    <w:multiLevelType w:val="hybridMultilevel"/>
    <w:tmpl w:val="E56C1056"/>
    <w:lvl w:ilvl="0" w:tplc="0409000B">
      <w:start w:val="1"/>
      <w:numFmt w:val="bullet"/>
      <w:lvlText w:val=""/>
      <w:lvlJc w:val="left"/>
      <w:pPr>
        <w:tabs>
          <w:tab w:val="num" w:pos="720"/>
        </w:tabs>
        <w:ind w:left="720" w:hanging="360"/>
      </w:pPr>
      <w:rPr>
        <w:rFonts w:ascii="Wingdings" w:hAnsi="Wingdings" w:hint="default"/>
      </w:rPr>
    </w:lvl>
    <w:lvl w:ilvl="1" w:tplc="ADFABAC8">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1B40A2"/>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323CDE"/>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D203E"/>
    <w:multiLevelType w:val="hybridMultilevel"/>
    <w:tmpl w:val="5366FED8"/>
    <w:lvl w:ilvl="0" w:tplc="398C1DC4">
      <w:start w:val="1"/>
      <w:numFmt w:val="bullet"/>
      <w:lvlText w:val="•"/>
      <w:lvlJc w:val="left"/>
      <w:pPr>
        <w:tabs>
          <w:tab w:val="num" w:pos="720"/>
        </w:tabs>
        <w:ind w:left="720" w:hanging="360"/>
      </w:pPr>
      <w:rPr>
        <w:rFonts w:ascii="Arial" w:hAnsi="Arial" w:hint="default"/>
      </w:rPr>
    </w:lvl>
    <w:lvl w:ilvl="1" w:tplc="5C3E345A">
      <w:start w:val="1"/>
      <w:numFmt w:val="bullet"/>
      <w:lvlText w:val="•"/>
      <w:lvlJc w:val="left"/>
      <w:pPr>
        <w:tabs>
          <w:tab w:val="num" w:pos="1440"/>
        </w:tabs>
        <w:ind w:left="1440" w:hanging="360"/>
      </w:pPr>
      <w:rPr>
        <w:rFonts w:ascii="Arial" w:hAnsi="Arial" w:hint="default"/>
      </w:rPr>
    </w:lvl>
    <w:lvl w:ilvl="2" w:tplc="B80C1424" w:tentative="1">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530DA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A191C"/>
    <w:multiLevelType w:val="hybridMultilevel"/>
    <w:tmpl w:val="E2C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B66A4"/>
    <w:multiLevelType w:val="hybridMultilevel"/>
    <w:tmpl w:val="9ED01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2247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B0F7B"/>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65FC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3739B"/>
    <w:multiLevelType w:val="hybridMultilevel"/>
    <w:tmpl w:val="8D1613B2"/>
    <w:lvl w:ilvl="0" w:tplc="E458C078">
      <w:start w:val="1"/>
      <w:numFmt w:val="bullet"/>
      <w:lvlText w:val="•"/>
      <w:lvlJc w:val="left"/>
      <w:pPr>
        <w:tabs>
          <w:tab w:val="num" w:pos="720"/>
        </w:tabs>
        <w:ind w:left="720" w:hanging="360"/>
      </w:pPr>
      <w:rPr>
        <w:rFonts w:ascii="Arial" w:hAnsi="Arial" w:hint="default"/>
      </w:rPr>
    </w:lvl>
    <w:lvl w:ilvl="1" w:tplc="6E9E0048" w:tentative="1">
      <w:start w:val="1"/>
      <w:numFmt w:val="bullet"/>
      <w:lvlText w:val="•"/>
      <w:lvlJc w:val="left"/>
      <w:pPr>
        <w:tabs>
          <w:tab w:val="num" w:pos="1440"/>
        </w:tabs>
        <w:ind w:left="1440" w:hanging="360"/>
      </w:pPr>
      <w:rPr>
        <w:rFonts w:ascii="Arial" w:hAnsi="Arial" w:hint="default"/>
      </w:rPr>
    </w:lvl>
    <w:lvl w:ilvl="2" w:tplc="2C6473CC">
      <w:start w:val="1"/>
      <w:numFmt w:val="bullet"/>
      <w:lvlText w:val="•"/>
      <w:lvlJc w:val="left"/>
      <w:pPr>
        <w:tabs>
          <w:tab w:val="num" w:pos="2160"/>
        </w:tabs>
        <w:ind w:left="2160" w:hanging="360"/>
      </w:pPr>
      <w:rPr>
        <w:rFonts w:ascii="Arial" w:hAnsi="Arial" w:hint="default"/>
      </w:rPr>
    </w:lvl>
    <w:lvl w:ilvl="3" w:tplc="E7CC2196" w:tentative="1">
      <w:start w:val="1"/>
      <w:numFmt w:val="bullet"/>
      <w:lvlText w:val="•"/>
      <w:lvlJc w:val="left"/>
      <w:pPr>
        <w:tabs>
          <w:tab w:val="num" w:pos="2880"/>
        </w:tabs>
        <w:ind w:left="2880" w:hanging="360"/>
      </w:pPr>
      <w:rPr>
        <w:rFonts w:ascii="Arial" w:hAnsi="Arial" w:hint="default"/>
      </w:rPr>
    </w:lvl>
    <w:lvl w:ilvl="4" w:tplc="C8760B50" w:tentative="1">
      <w:start w:val="1"/>
      <w:numFmt w:val="bullet"/>
      <w:lvlText w:val="•"/>
      <w:lvlJc w:val="left"/>
      <w:pPr>
        <w:tabs>
          <w:tab w:val="num" w:pos="3600"/>
        </w:tabs>
        <w:ind w:left="3600" w:hanging="360"/>
      </w:pPr>
      <w:rPr>
        <w:rFonts w:ascii="Arial" w:hAnsi="Arial" w:hint="default"/>
      </w:rPr>
    </w:lvl>
    <w:lvl w:ilvl="5" w:tplc="37C00F16" w:tentative="1">
      <w:start w:val="1"/>
      <w:numFmt w:val="bullet"/>
      <w:lvlText w:val="•"/>
      <w:lvlJc w:val="left"/>
      <w:pPr>
        <w:tabs>
          <w:tab w:val="num" w:pos="4320"/>
        </w:tabs>
        <w:ind w:left="4320" w:hanging="360"/>
      </w:pPr>
      <w:rPr>
        <w:rFonts w:ascii="Arial" w:hAnsi="Arial" w:hint="default"/>
      </w:rPr>
    </w:lvl>
    <w:lvl w:ilvl="6" w:tplc="2D2C5BEE" w:tentative="1">
      <w:start w:val="1"/>
      <w:numFmt w:val="bullet"/>
      <w:lvlText w:val="•"/>
      <w:lvlJc w:val="left"/>
      <w:pPr>
        <w:tabs>
          <w:tab w:val="num" w:pos="5040"/>
        </w:tabs>
        <w:ind w:left="5040" w:hanging="360"/>
      </w:pPr>
      <w:rPr>
        <w:rFonts w:ascii="Arial" w:hAnsi="Arial" w:hint="default"/>
      </w:rPr>
    </w:lvl>
    <w:lvl w:ilvl="7" w:tplc="278A5028" w:tentative="1">
      <w:start w:val="1"/>
      <w:numFmt w:val="bullet"/>
      <w:lvlText w:val="•"/>
      <w:lvlJc w:val="left"/>
      <w:pPr>
        <w:tabs>
          <w:tab w:val="num" w:pos="5760"/>
        </w:tabs>
        <w:ind w:left="5760" w:hanging="360"/>
      </w:pPr>
      <w:rPr>
        <w:rFonts w:ascii="Arial" w:hAnsi="Arial" w:hint="default"/>
      </w:rPr>
    </w:lvl>
    <w:lvl w:ilvl="8" w:tplc="762E60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5D2DDE"/>
    <w:multiLevelType w:val="hybridMultilevel"/>
    <w:tmpl w:val="8F123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13B68"/>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1329F"/>
    <w:multiLevelType w:val="hybridMultilevel"/>
    <w:tmpl w:val="74DE00C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56AD05C4"/>
    <w:multiLevelType w:val="hybridMultilevel"/>
    <w:tmpl w:val="D1343294"/>
    <w:lvl w:ilvl="0" w:tplc="ADDE8DAC">
      <w:start w:val="1"/>
      <w:numFmt w:val="bullet"/>
      <w:lvlText w:val=""/>
      <w:lvlJc w:val="left"/>
      <w:pPr>
        <w:tabs>
          <w:tab w:val="num" w:pos="720"/>
        </w:tabs>
        <w:ind w:left="720" w:hanging="360"/>
      </w:pPr>
      <w:rPr>
        <w:rFonts w:ascii="Wingdings" w:hAnsi="Wingdings" w:hint="default"/>
      </w:rPr>
    </w:lvl>
    <w:lvl w:ilvl="1" w:tplc="8C80A0C0">
      <w:start w:val="1"/>
      <w:numFmt w:val="bullet"/>
      <w:lvlText w:val=""/>
      <w:lvlJc w:val="left"/>
      <w:pPr>
        <w:tabs>
          <w:tab w:val="num" w:pos="1350"/>
        </w:tabs>
        <w:ind w:left="1350" w:hanging="360"/>
      </w:pPr>
      <w:rPr>
        <w:rFonts w:ascii="Wingdings" w:hAnsi="Wingdings" w:hint="default"/>
      </w:rPr>
    </w:lvl>
    <w:lvl w:ilvl="2" w:tplc="68B8D89E" w:tentative="1">
      <w:start w:val="1"/>
      <w:numFmt w:val="bullet"/>
      <w:lvlText w:val=""/>
      <w:lvlJc w:val="left"/>
      <w:pPr>
        <w:tabs>
          <w:tab w:val="num" w:pos="2160"/>
        </w:tabs>
        <w:ind w:left="2160" w:hanging="360"/>
      </w:pPr>
      <w:rPr>
        <w:rFonts w:ascii="Wingdings" w:hAnsi="Wingdings" w:hint="default"/>
      </w:rPr>
    </w:lvl>
    <w:lvl w:ilvl="3" w:tplc="A30A541A" w:tentative="1">
      <w:start w:val="1"/>
      <w:numFmt w:val="bullet"/>
      <w:lvlText w:val=""/>
      <w:lvlJc w:val="left"/>
      <w:pPr>
        <w:tabs>
          <w:tab w:val="num" w:pos="2880"/>
        </w:tabs>
        <w:ind w:left="2880" w:hanging="360"/>
      </w:pPr>
      <w:rPr>
        <w:rFonts w:ascii="Wingdings" w:hAnsi="Wingdings" w:hint="default"/>
      </w:rPr>
    </w:lvl>
    <w:lvl w:ilvl="4" w:tplc="F3D4A798" w:tentative="1">
      <w:start w:val="1"/>
      <w:numFmt w:val="bullet"/>
      <w:lvlText w:val=""/>
      <w:lvlJc w:val="left"/>
      <w:pPr>
        <w:tabs>
          <w:tab w:val="num" w:pos="3600"/>
        </w:tabs>
        <w:ind w:left="3600" w:hanging="360"/>
      </w:pPr>
      <w:rPr>
        <w:rFonts w:ascii="Wingdings" w:hAnsi="Wingdings" w:hint="default"/>
      </w:rPr>
    </w:lvl>
    <w:lvl w:ilvl="5" w:tplc="01E4EF68" w:tentative="1">
      <w:start w:val="1"/>
      <w:numFmt w:val="bullet"/>
      <w:lvlText w:val=""/>
      <w:lvlJc w:val="left"/>
      <w:pPr>
        <w:tabs>
          <w:tab w:val="num" w:pos="4320"/>
        </w:tabs>
        <w:ind w:left="4320" w:hanging="360"/>
      </w:pPr>
      <w:rPr>
        <w:rFonts w:ascii="Wingdings" w:hAnsi="Wingdings" w:hint="default"/>
      </w:rPr>
    </w:lvl>
    <w:lvl w:ilvl="6" w:tplc="0F28CCBE" w:tentative="1">
      <w:start w:val="1"/>
      <w:numFmt w:val="bullet"/>
      <w:lvlText w:val=""/>
      <w:lvlJc w:val="left"/>
      <w:pPr>
        <w:tabs>
          <w:tab w:val="num" w:pos="5040"/>
        </w:tabs>
        <w:ind w:left="5040" w:hanging="360"/>
      </w:pPr>
      <w:rPr>
        <w:rFonts w:ascii="Wingdings" w:hAnsi="Wingdings" w:hint="default"/>
      </w:rPr>
    </w:lvl>
    <w:lvl w:ilvl="7" w:tplc="54CEC232" w:tentative="1">
      <w:start w:val="1"/>
      <w:numFmt w:val="bullet"/>
      <w:lvlText w:val=""/>
      <w:lvlJc w:val="left"/>
      <w:pPr>
        <w:tabs>
          <w:tab w:val="num" w:pos="5760"/>
        </w:tabs>
        <w:ind w:left="5760" w:hanging="360"/>
      </w:pPr>
      <w:rPr>
        <w:rFonts w:ascii="Wingdings" w:hAnsi="Wingdings" w:hint="default"/>
      </w:rPr>
    </w:lvl>
    <w:lvl w:ilvl="8" w:tplc="A890292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tentative="1">
      <w:start w:val="1"/>
      <w:numFmt w:val="bullet"/>
      <w:lvlText w:val=""/>
      <w:lvlJc w:val="left"/>
      <w:pPr>
        <w:tabs>
          <w:tab w:val="num" w:pos="1440"/>
        </w:tabs>
        <w:ind w:left="1440" w:hanging="360"/>
      </w:pPr>
      <w:rPr>
        <w:rFonts w:ascii="Wingdings" w:hAnsi="Wingdings"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4B1E67"/>
    <w:multiLevelType w:val="hybridMultilevel"/>
    <w:tmpl w:val="229E5C56"/>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D161D4"/>
    <w:multiLevelType w:val="hybridMultilevel"/>
    <w:tmpl w:val="E9948EA0"/>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5CAE4B24"/>
    <w:multiLevelType w:val="hybridMultilevel"/>
    <w:tmpl w:val="EE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890332"/>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55455"/>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217CF5"/>
    <w:multiLevelType w:val="hybridMultilevel"/>
    <w:tmpl w:val="0DC8F4B8"/>
    <w:lvl w:ilvl="0" w:tplc="D7B6F9C8">
      <w:start w:val="1"/>
      <w:numFmt w:val="bullet"/>
      <w:lvlText w:val="•"/>
      <w:lvlJc w:val="left"/>
      <w:pPr>
        <w:tabs>
          <w:tab w:val="num" w:pos="720"/>
        </w:tabs>
        <w:ind w:left="720" w:hanging="360"/>
      </w:pPr>
      <w:rPr>
        <w:rFonts w:ascii="Times New Roman" w:hAnsi="Times New Roman" w:hint="default"/>
      </w:rPr>
    </w:lvl>
    <w:lvl w:ilvl="1" w:tplc="F5C65EA2">
      <w:start w:val="884"/>
      <w:numFmt w:val="bullet"/>
      <w:lvlText w:val=""/>
      <w:lvlJc w:val="left"/>
      <w:pPr>
        <w:tabs>
          <w:tab w:val="num" w:pos="1440"/>
        </w:tabs>
        <w:ind w:left="1440" w:hanging="360"/>
      </w:pPr>
      <w:rPr>
        <w:rFonts w:ascii="Wingdings" w:hAnsi="Wingdings" w:hint="default"/>
      </w:rPr>
    </w:lvl>
    <w:lvl w:ilvl="2" w:tplc="E2EABD58">
      <w:start w:val="884"/>
      <w:numFmt w:val="bullet"/>
      <w:lvlText w:val="•"/>
      <w:lvlJc w:val="left"/>
      <w:pPr>
        <w:tabs>
          <w:tab w:val="num" w:pos="2160"/>
        </w:tabs>
        <w:ind w:left="2160" w:hanging="360"/>
      </w:pPr>
      <w:rPr>
        <w:rFonts w:ascii="Times New Roman" w:hAnsi="Times New Roman" w:hint="default"/>
      </w:rPr>
    </w:lvl>
    <w:lvl w:ilvl="3" w:tplc="73E49100" w:tentative="1">
      <w:start w:val="1"/>
      <w:numFmt w:val="bullet"/>
      <w:lvlText w:val="•"/>
      <w:lvlJc w:val="left"/>
      <w:pPr>
        <w:tabs>
          <w:tab w:val="num" w:pos="2880"/>
        </w:tabs>
        <w:ind w:left="2880" w:hanging="360"/>
      </w:pPr>
      <w:rPr>
        <w:rFonts w:ascii="Times New Roman" w:hAnsi="Times New Roman" w:hint="default"/>
      </w:rPr>
    </w:lvl>
    <w:lvl w:ilvl="4" w:tplc="4544CD9C" w:tentative="1">
      <w:start w:val="1"/>
      <w:numFmt w:val="bullet"/>
      <w:lvlText w:val="•"/>
      <w:lvlJc w:val="left"/>
      <w:pPr>
        <w:tabs>
          <w:tab w:val="num" w:pos="3600"/>
        </w:tabs>
        <w:ind w:left="3600" w:hanging="360"/>
      </w:pPr>
      <w:rPr>
        <w:rFonts w:ascii="Times New Roman" w:hAnsi="Times New Roman" w:hint="default"/>
      </w:rPr>
    </w:lvl>
    <w:lvl w:ilvl="5" w:tplc="739CB4DE" w:tentative="1">
      <w:start w:val="1"/>
      <w:numFmt w:val="bullet"/>
      <w:lvlText w:val="•"/>
      <w:lvlJc w:val="left"/>
      <w:pPr>
        <w:tabs>
          <w:tab w:val="num" w:pos="4320"/>
        </w:tabs>
        <w:ind w:left="4320" w:hanging="360"/>
      </w:pPr>
      <w:rPr>
        <w:rFonts w:ascii="Times New Roman" w:hAnsi="Times New Roman" w:hint="default"/>
      </w:rPr>
    </w:lvl>
    <w:lvl w:ilvl="6" w:tplc="5E0E99E0" w:tentative="1">
      <w:start w:val="1"/>
      <w:numFmt w:val="bullet"/>
      <w:lvlText w:val="•"/>
      <w:lvlJc w:val="left"/>
      <w:pPr>
        <w:tabs>
          <w:tab w:val="num" w:pos="5040"/>
        </w:tabs>
        <w:ind w:left="5040" w:hanging="360"/>
      </w:pPr>
      <w:rPr>
        <w:rFonts w:ascii="Times New Roman" w:hAnsi="Times New Roman" w:hint="default"/>
      </w:rPr>
    </w:lvl>
    <w:lvl w:ilvl="7" w:tplc="A4E0D514" w:tentative="1">
      <w:start w:val="1"/>
      <w:numFmt w:val="bullet"/>
      <w:lvlText w:val="•"/>
      <w:lvlJc w:val="left"/>
      <w:pPr>
        <w:tabs>
          <w:tab w:val="num" w:pos="5760"/>
        </w:tabs>
        <w:ind w:left="5760" w:hanging="360"/>
      </w:pPr>
      <w:rPr>
        <w:rFonts w:ascii="Times New Roman" w:hAnsi="Times New Roman" w:hint="default"/>
      </w:rPr>
    </w:lvl>
    <w:lvl w:ilvl="8" w:tplc="E91EBA9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FE15804"/>
    <w:multiLevelType w:val="hybridMultilevel"/>
    <w:tmpl w:val="77240DA0"/>
    <w:lvl w:ilvl="0" w:tplc="27543E1A">
      <w:start w:val="1"/>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2" w15:restartNumberingAfterBreak="0">
    <w:nsid w:val="7585401F"/>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34F3C"/>
    <w:multiLevelType w:val="hybridMultilevel"/>
    <w:tmpl w:val="EAEE61E6"/>
    <w:lvl w:ilvl="0" w:tplc="36EEA6D4">
      <w:start w:val="1"/>
      <w:numFmt w:val="bullet"/>
      <w:lvlText w:val="•"/>
      <w:lvlJc w:val="left"/>
      <w:pPr>
        <w:tabs>
          <w:tab w:val="num" w:pos="720"/>
        </w:tabs>
        <w:ind w:left="720" w:hanging="360"/>
      </w:pPr>
      <w:rPr>
        <w:rFonts w:ascii="Times New Roman" w:hAnsi="Times New Roman" w:hint="default"/>
      </w:rPr>
    </w:lvl>
    <w:lvl w:ilvl="1" w:tplc="ADFABAC8" w:tentative="1">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F39052D"/>
    <w:multiLevelType w:val="hybridMultilevel"/>
    <w:tmpl w:val="5B98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219CA"/>
    <w:multiLevelType w:val="hybridMultilevel"/>
    <w:tmpl w:val="988EF034"/>
    <w:lvl w:ilvl="0" w:tplc="B3E045F0">
      <w:start w:val="12"/>
      <w:numFmt w:val="decimal"/>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46" w15:restartNumberingAfterBreak="0">
    <w:nsid w:val="7FC45F6D"/>
    <w:multiLevelType w:val="hybridMultilevel"/>
    <w:tmpl w:val="404ABE3C"/>
    <w:lvl w:ilvl="0" w:tplc="EAB602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6"/>
  </w:num>
  <w:num w:numId="3">
    <w:abstractNumId w:val="11"/>
  </w:num>
  <w:num w:numId="4">
    <w:abstractNumId w:val="18"/>
  </w:num>
  <w:num w:numId="5">
    <w:abstractNumId w:val="39"/>
  </w:num>
  <w:num w:numId="6">
    <w:abstractNumId w:val="26"/>
  </w:num>
  <w:num w:numId="7">
    <w:abstractNumId w:val="38"/>
  </w:num>
  <w:num w:numId="8">
    <w:abstractNumId w:val="21"/>
  </w:num>
  <w:num w:numId="9">
    <w:abstractNumId w:val="13"/>
  </w:num>
  <w:num w:numId="10">
    <w:abstractNumId w:val="42"/>
  </w:num>
  <w:num w:numId="11">
    <w:abstractNumId w:val="28"/>
  </w:num>
  <w:num w:numId="12">
    <w:abstractNumId w:val="3"/>
  </w:num>
  <w:num w:numId="13">
    <w:abstractNumId w:val="19"/>
  </w:num>
  <w:num w:numId="14">
    <w:abstractNumId w:val="25"/>
  </w:num>
  <w:num w:numId="15">
    <w:abstractNumId w:val="23"/>
  </w:num>
  <w:num w:numId="16">
    <w:abstractNumId w:val="22"/>
  </w:num>
  <w:num w:numId="17">
    <w:abstractNumId w:val="33"/>
  </w:num>
  <w:num w:numId="18">
    <w:abstractNumId w:val="32"/>
  </w:num>
  <w:num w:numId="19">
    <w:abstractNumId w:val="1"/>
  </w:num>
  <w:num w:numId="20">
    <w:abstractNumId w:val="2"/>
  </w:num>
  <w:num w:numId="21">
    <w:abstractNumId w:val="29"/>
  </w:num>
  <w:num w:numId="22">
    <w:abstractNumId w:val="12"/>
  </w:num>
  <w:num w:numId="23">
    <w:abstractNumId w:val="5"/>
  </w:num>
  <w:num w:numId="24">
    <w:abstractNumId w:val="35"/>
  </w:num>
  <w:num w:numId="25">
    <w:abstractNumId w:val="20"/>
  </w:num>
  <w:num w:numId="26">
    <w:abstractNumId w:val="10"/>
  </w:num>
  <w:num w:numId="27">
    <w:abstractNumId w:val="43"/>
  </w:num>
  <w:num w:numId="28">
    <w:abstractNumId w:val="17"/>
  </w:num>
  <w:num w:numId="29">
    <w:abstractNumId w:val="44"/>
  </w:num>
  <w:num w:numId="30">
    <w:abstractNumId w:val="0"/>
  </w:num>
  <w:num w:numId="31">
    <w:abstractNumId w:val="41"/>
  </w:num>
  <w:num w:numId="32">
    <w:abstractNumId w:val="4"/>
  </w:num>
  <w:num w:numId="33">
    <w:abstractNumId w:val="31"/>
  </w:num>
  <w:num w:numId="34">
    <w:abstractNumId w:val="15"/>
  </w:num>
  <w:num w:numId="35">
    <w:abstractNumId w:val="40"/>
  </w:num>
  <w:num w:numId="36">
    <w:abstractNumId w:val="37"/>
  </w:num>
  <w:num w:numId="37">
    <w:abstractNumId w:val="7"/>
  </w:num>
  <w:num w:numId="38">
    <w:abstractNumId w:val="34"/>
  </w:num>
  <w:num w:numId="39">
    <w:abstractNumId w:val="14"/>
  </w:num>
  <w:num w:numId="40">
    <w:abstractNumId w:val="45"/>
  </w:num>
  <w:num w:numId="41">
    <w:abstractNumId w:val="46"/>
  </w:num>
  <w:num w:numId="42">
    <w:abstractNumId w:val="6"/>
  </w:num>
  <w:num w:numId="43">
    <w:abstractNumId w:val="24"/>
  </w:num>
  <w:num w:numId="44">
    <w:abstractNumId w:val="27"/>
  </w:num>
  <w:num w:numId="45">
    <w:abstractNumId w:val="8"/>
  </w:num>
  <w:num w:numId="46">
    <w:abstractNumId w:val="1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F4"/>
    <w:rsid w:val="00000E54"/>
    <w:rsid w:val="0000156F"/>
    <w:rsid w:val="00002FEF"/>
    <w:rsid w:val="000068C3"/>
    <w:rsid w:val="000077B6"/>
    <w:rsid w:val="00014B0B"/>
    <w:rsid w:val="00015520"/>
    <w:rsid w:val="00020576"/>
    <w:rsid w:val="00023198"/>
    <w:rsid w:val="00024603"/>
    <w:rsid w:val="000247AC"/>
    <w:rsid w:val="000261F1"/>
    <w:rsid w:val="00026B61"/>
    <w:rsid w:val="00027BA9"/>
    <w:rsid w:val="00030F60"/>
    <w:rsid w:val="0003194B"/>
    <w:rsid w:val="00031DD3"/>
    <w:rsid w:val="00033800"/>
    <w:rsid w:val="00035FAF"/>
    <w:rsid w:val="000367C2"/>
    <w:rsid w:val="000412D6"/>
    <w:rsid w:val="0004197E"/>
    <w:rsid w:val="000429B2"/>
    <w:rsid w:val="00044419"/>
    <w:rsid w:val="00054D37"/>
    <w:rsid w:val="00055851"/>
    <w:rsid w:val="00060FA1"/>
    <w:rsid w:val="0006368B"/>
    <w:rsid w:val="00063D16"/>
    <w:rsid w:val="00064D77"/>
    <w:rsid w:val="00064DD8"/>
    <w:rsid w:val="0007576A"/>
    <w:rsid w:val="000774CB"/>
    <w:rsid w:val="00083135"/>
    <w:rsid w:val="000831C8"/>
    <w:rsid w:val="00084947"/>
    <w:rsid w:val="00085AAF"/>
    <w:rsid w:val="00087993"/>
    <w:rsid w:val="00087C04"/>
    <w:rsid w:val="000915AC"/>
    <w:rsid w:val="0009279A"/>
    <w:rsid w:val="00094B18"/>
    <w:rsid w:val="000A2501"/>
    <w:rsid w:val="000A485C"/>
    <w:rsid w:val="000A79A6"/>
    <w:rsid w:val="000B1AEB"/>
    <w:rsid w:val="000B1D98"/>
    <w:rsid w:val="000C0718"/>
    <w:rsid w:val="000C0C92"/>
    <w:rsid w:val="000C0F8D"/>
    <w:rsid w:val="000C3415"/>
    <w:rsid w:val="000C4B60"/>
    <w:rsid w:val="000C773C"/>
    <w:rsid w:val="000D0495"/>
    <w:rsid w:val="000D1908"/>
    <w:rsid w:val="000D33A0"/>
    <w:rsid w:val="000D6B20"/>
    <w:rsid w:val="000D7BD6"/>
    <w:rsid w:val="000E1441"/>
    <w:rsid w:val="000E1E63"/>
    <w:rsid w:val="000E2DAD"/>
    <w:rsid w:val="000E61A6"/>
    <w:rsid w:val="000E6CC1"/>
    <w:rsid w:val="000F0AB6"/>
    <w:rsid w:val="000F1E51"/>
    <w:rsid w:val="000F221E"/>
    <w:rsid w:val="000F2C25"/>
    <w:rsid w:val="000F3575"/>
    <w:rsid w:val="000F672B"/>
    <w:rsid w:val="00101F3D"/>
    <w:rsid w:val="00105CE3"/>
    <w:rsid w:val="00106B95"/>
    <w:rsid w:val="0010792E"/>
    <w:rsid w:val="00110479"/>
    <w:rsid w:val="0011393C"/>
    <w:rsid w:val="00114FE4"/>
    <w:rsid w:val="00120D01"/>
    <w:rsid w:val="001213F0"/>
    <w:rsid w:val="001224E0"/>
    <w:rsid w:val="001225D9"/>
    <w:rsid w:val="0012378F"/>
    <w:rsid w:val="00125628"/>
    <w:rsid w:val="00133067"/>
    <w:rsid w:val="00137639"/>
    <w:rsid w:val="001376D1"/>
    <w:rsid w:val="00140726"/>
    <w:rsid w:val="00143092"/>
    <w:rsid w:val="0014551B"/>
    <w:rsid w:val="001542F3"/>
    <w:rsid w:val="0016078E"/>
    <w:rsid w:val="00166360"/>
    <w:rsid w:val="00171418"/>
    <w:rsid w:val="001731F2"/>
    <w:rsid w:val="00173E16"/>
    <w:rsid w:val="00177E97"/>
    <w:rsid w:val="00180D15"/>
    <w:rsid w:val="001810C4"/>
    <w:rsid w:val="0018273D"/>
    <w:rsid w:val="001831E9"/>
    <w:rsid w:val="00183C99"/>
    <w:rsid w:val="00186E2C"/>
    <w:rsid w:val="001873BC"/>
    <w:rsid w:val="00190082"/>
    <w:rsid w:val="0019096C"/>
    <w:rsid w:val="0019290E"/>
    <w:rsid w:val="001965E7"/>
    <w:rsid w:val="001A21D5"/>
    <w:rsid w:val="001A2BA0"/>
    <w:rsid w:val="001A3637"/>
    <w:rsid w:val="001A3E56"/>
    <w:rsid w:val="001A65F1"/>
    <w:rsid w:val="001A667F"/>
    <w:rsid w:val="001B01A2"/>
    <w:rsid w:val="001B1776"/>
    <w:rsid w:val="001B33E2"/>
    <w:rsid w:val="001B34CF"/>
    <w:rsid w:val="001B5953"/>
    <w:rsid w:val="001C7D46"/>
    <w:rsid w:val="001F1810"/>
    <w:rsid w:val="001F56B9"/>
    <w:rsid w:val="00201A75"/>
    <w:rsid w:val="00201B83"/>
    <w:rsid w:val="00203F51"/>
    <w:rsid w:val="002052E3"/>
    <w:rsid w:val="0020623F"/>
    <w:rsid w:val="00206335"/>
    <w:rsid w:val="0020638C"/>
    <w:rsid w:val="00210579"/>
    <w:rsid w:val="00210CDA"/>
    <w:rsid w:val="002115C8"/>
    <w:rsid w:val="002132C8"/>
    <w:rsid w:val="002149B5"/>
    <w:rsid w:val="00214AA4"/>
    <w:rsid w:val="00223609"/>
    <w:rsid w:val="00234CB2"/>
    <w:rsid w:val="0023516F"/>
    <w:rsid w:val="0023590A"/>
    <w:rsid w:val="00236515"/>
    <w:rsid w:val="00237BD0"/>
    <w:rsid w:val="002417FF"/>
    <w:rsid w:val="00242176"/>
    <w:rsid w:val="00243D0A"/>
    <w:rsid w:val="00244109"/>
    <w:rsid w:val="00244FD6"/>
    <w:rsid w:val="0024563A"/>
    <w:rsid w:val="0024613E"/>
    <w:rsid w:val="002521BE"/>
    <w:rsid w:val="00253F20"/>
    <w:rsid w:val="0025492C"/>
    <w:rsid w:val="0025560E"/>
    <w:rsid w:val="0025566C"/>
    <w:rsid w:val="00264456"/>
    <w:rsid w:val="00264FFA"/>
    <w:rsid w:val="002658A8"/>
    <w:rsid w:val="00270AB2"/>
    <w:rsid w:val="00270BB1"/>
    <w:rsid w:val="00271DBC"/>
    <w:rsid w:val="00271F6C"/>
    <w:rsid w:val="002741FE"/>
    <w:rsid w:val="00274EB4"/>
    <w:rsid w:val="00277095"/>
    <w:rsid w:val="002817A5"/>
    <w:rsid w:val="00292023"/>
    <w:rsid w:val="00293B0C"/>
    <w:rsid w:val="00293B24"/>
    <w:rsid w:val="00297DC8"/>
    <w:rsid w:val="002A09C4"/>
    <w:rsid w:val="002A5825"/>
    <w:rsid w:val="002A76F1"/>
    <w:rsid w:val="002B3B7A"/>
    <w:rsid w:val="002B3C0C"/>
    <w:rsid w:val="002C0F84"/>
    <w:rsid w:val="002C135E"/>
    <w:rsid w:val="002C3C42"/>
    <w:rsid w:val="002C5E97"/>
    <w:rsid w:val="002D27DF"/>
    <w:rsid w:val="002E02A9"/>
    <w:rsid w:val="002E0970"/>
    <w:rsid w:val="002E215C"/>
    <w:rsid w:val="002E2404"/>
    <w:rsid w:val="002E27F4"/>
    <w:rsid w:val="002E38AF"/>
    <w:rsid w:val="002E3932"/>
    <w:rsid w:val="002E4DF3"/>
    <w:rsid w:val="002E7EC9"/>
    <w:rsid w:val="002F0023"/>
    <w:rsid w:val="002F0C22"/>
    <w:rsid w:val="002F2423"/>
    <w:rsid w:val="002F305D"/>
    <w:rsid w:val="002F57D1"/>
    <w:rsid w:val="00307424"/>
    <w:rsid w:val="00307AE6"/>
    <w:rsid w:val="00314EC4"/>
    <w:rsid w:val="003176BB"/>
    <w:rsid w:val="00317D4F"/>
    <w:rsid w:val="003202D3"/>
    <w:rsid w:val="003238D9"/>
    <w:rsid w:val="00326134"/>
    <w:rsid w:val="00326D28"/>
    <w:rsid w:val="00334CC7"/>
    <w:rsid w:val="0033764A"/>
    <w:rsid w:val="00337FE6"/>
    <w:rsid w:val="00341091"/>
    <w:rsid w:val="00342C70"/>
    <w:rsid w:val="0034697B"/>
    <w:rsid w:val="003551EF"/>
    <w:rsid w:val="0035578D"/>
    <w:rsid w:val="00355CD9"/>
    <w:rsid w:val="00356948"/>
    <w:rsid w:val="00362FF0"/>
    <w:rsid w:val="003647A2"/>
    <w:rsid w:val="0036535B"/>
    <w:rsid w:val="00370296"/>
    <w:rsid w:val="00374266"/>
    <w:rsid w:val="00377CF0"/>
    <w:rsid w:val="003801A5"/>
    <w:rsid w:val="003802F4"/>
    <w:rsid w:val="003817F2"/>
    <w:rsid w:val="00381BBA"/>
    <w:rsid w:val="00381DA3"/>
    <w:rsid w:val="00383EE0"/>
    <w:rsid w:val="00385D4E"/>
    <w:rsid w:val="003868A8"/>
    <w:rsid w:val="00391F1B"/>
    <w:rsid w:val="003929F9"/>
    <w:rsid w:val="00394704"/>
    <w:rsid w:val="00396F10"/>
    <w:rsid w:val="0039758F"/>
    <w:rsid w:val="003A336D"/>
    <w:rsid w:val="003B0905"/>
    <w:rsid w:val="003B1DCC"/>
    <w:rsid w:val="003B5464"/>
    <w:rsid w:val="003B748A"/>
    <w:rsid w:val="003B7FF5"/>
    <w:rsid w:val="003C0F81"/>
    <w:rsid w:val="003C3B1A"/>
    <w:rsid w:val="003C426B"/>
    <w:rsid w:val="003C7FD8"/>
    <w:rsid w:val="003D3C2A"/>
    <w:rsid w:val="003D3EC1"/>
    <w:rsid w:val="003E0E01"/>
    <w:rsid w:val="003E11E2"/>
    <w:rsid w:val="003E435F"/>
    <w:rsid w:val="003E4B75"/>
    <w:rsid w:val="003E67F5"/>
    <w:rsid w:val="003E7997"/>
    <w:rsid w:val="003F16F1"/>
    <w:rsid w:val="003F415C"/>
    <w:rsid w:val="0040198F"/>
    <w:rsid w:val="00404C9C"/>
    <w:rsid w:val="0040743C"/>
    <w:rsid w:val="00410B9C"/>
    <w:rsid w:val="0041330A"/>
    <w:rsid w:val="004144BA"/>
    <w:rsid w:val="00414C77"/>
    <w:rsid w:val="0041658E"/>
    <w:rsid w:val="004177DE"/>
    <w:rsid w:val="00417894"/>
    <w:rsid w:val="00421D32"/>
    <w:rsid w:val="004221AA"/>
    <w:rsid w:val="00425BA9"/>
    <w:rsid w:val="004265C4"/>
    <w:rsid w:val="00431361"/>
    <w:rsid w:val="004325AF"/>
    <w:rsid w:val="00434414"/>
    <w:rsid w:val="00436CB1"/>
    <w:rsid w:val="0043714B"/>
    <w:rsid w:val="00437C4C"/>
    <w:rsid w:val="00441636"/>
    <w:rsid w:val="00445A4C"/>
    <w:rsid w:val="00445F1C"/>
    <w:rsid w:val="0044651C"/>
    <w:rsid w:val="00447BF6"/>
    <w:rsid w:val="00453834"/>
    <w:rsid w:val="004549D2"/>
    <w:rsid w:val="00454DDA"/>
    <w:rsid w:val="00455391"/>
    <w:rsid w:val="00460B6F"/>
    <w:rsid w:val="0047236E"/>
    <w:rsid w:val="00474423"/>
    <w:rsid w:val="004762E5"/>
    <w:rsid w:val="004823FC"/>
    <w:rsid w:val="004859C4"/>
    <w:rsid w:val="004868EA"/>
    <w:rsid w:val="0049105A"/>
    <w:rsid w:val="00491B07"/>
    <w:rsid w:val="004923CC"/>
    <w:rsid w:val="00497874"/>
    <w:rsid w:val="004A5964"/>
    <w:rsid w:val="004A5D7F"/>
    <w:rsid w:val="004A7885"/>
    <w:rsid w:val="004B0918"/>
    <w:rsid w:val="004B4000"/>
    <w:rsid w:val="004B4A97"/>
    <w:rsid w:val="004B4DF3"/>
    <w:rsid w:val="004B5198"/>
    <w:rsid w:val="004B663C"/>
    <w:rsid w:val="004B6C2B"/>
    <w:rsid w:val="004B7581"/>
    <w:rsid w:val="004C0A85"/>
    <w:rsid w:val="004C154B"/>
    <w:rsid w:val="004C1F26"/>
    <w:rsid w:val="004C2C95"/>
    <w:rsid w:val="004C5292"/>
    <w:rsid w:val="004C5985"/>
    <w:rsid w:val="004D16BC"/>
    <w:rsid w:val="004D1ED0"/>
    <w:rsid w:val="004D37CE"/>
    <w:rsid w:val="004D3E0A"/>
    <w:rsid w:val="004D77B8"/>
    <w:rsid w:val="004E0A92"/>
    <w:rsid w:val="004E4A54"/>
    <w:rsid w:val="004E594A"/>
    <w:rsid w:val="004F308B"/>
    <w:rsid w:val="004F3D49"/>
    <w:rsid w:val="004F4E64"/>
    <w:rsid w:val="004F5250"/>
    <w:rsid w:val="004F531D"/>
    <w:rsid w:val="004F6E10"/>
    <w:rsid w:val="00501D77"/>
    <w:rsid w:val="005038E9"/>
    <w:rsid w:val="0050514D"/>
    <w:rsid w:val="005105DA"/>
    <w:rsid w:val="0051226B"/>
    <w:rsid w:val="00514D26"/>
    <w:rsid w:val="00515430"/>
    <w:rsid w:val="0051583B"/>
    <w:rsid w:val="00515F0E"/>
    <w:rsid w:val="00517B33"/>
    <w:rsid w:val="00517C97"/>
    <w:rsid w:val="00520E5C"/>
    <w:rsid w:val="00523A2D"/>
    <w:rsid w:val="00525DFE"/>
    <w:rsid w:val="00526F80"/>
    <w:rsid w:val="005304BD"/>
    <w:rsid w:val="005363AC"/>
    <w:rsid w:val="005436B0"/>
    <w:rsid w:val="005470A4"/>
    <w:rsid w:val="00552410"/>
    <w:rsid w:val="005527A9"/>
    <w:rsid w:val="00552F88"/>
    <w:rsid w:val="00556529"/>
    <w:rsid w:val="00557DFB"/>
    <w:rsid w:val="005664D4"/>
    <w:rsid w:val="0057190F"/>
    <w:rsid w:val="005748A3"/>
    <w:rsid w:val="0057551F"/>
    <w:rsid w:val="00580798"/>
    <w:rsid w:val="005813CB"/>
    <w:rsid w:val="00581A1F"/>
    <w:rsid w:val="00594AB0"/>
    <w:rsid w:val="005A08FF"/>
    <w:rsid w:val="005A14AD"/>
    <w:rsid w:val="005A1F6F"/>
    <w:rsid w:val="005A2586"/>
    <w:rsid w:val="005A6164"/>
    <w:rsid w:val="005A6CCC"/>
    <w:rsid w:val="005B1B32"/>
    <w:rsid w:val="005B606B"/>
    <w:rsid w:val="005C17E6"/>
    <w:rsid w:val="005C2D70"/>
    <w:rsid w:val="005C3CE0"/>
    <w:rsid w:val="005C4CC1"/>
    <w:rsid w:val="005C5268"/>
    <w:rsid w:val="005C5656"/>
    <w:rsid w:val="005C5A55"/>
    <w:rsid w:val="005D08D6"/>
    <w:rsid w:val="005E193F"/>
    <w:rsid w:val="005E4CF2"/>
    <w:rsid w:val="005E79A5"/>
    <w:rsid w:val="005F5078"/>
    <w:rsid w:val="00601622"/>
    <w:rsid w:val="00604754"/>
    <w:rsid w:val="00604E33"/>
    <w:rsid w:val="0060746D"/>
    <w:rsid w:val="00612F27"/>
    <w:rsid w:val="00614291"/>
    <w:rsid w:val="00622C61"/>
    <w:rsid w:val="006235E3"/>
    <w:rsid w:val="00630340"/>
    <w:rsid w:val="006313E5"/>
    <w:rsid w:val="00631E5D"/>
    <w:rsid w:val="00636BCB"/>
    <w:rsid w:val="00637BB9"/>
    <w:rsid w:val="00642BFC"/>
    <w:rsid w:val="006468C7"/>
    <w:rsid w:val="00650236"/>
    <w:rsid w:val="00650471"/>
    <w:rsid w:val="0065711F"/>
    <w:rsid w:val="00657ABB"/>
    <w:rsid w:val="00661AEC"/>
    <w:rsid w:val="006641A1"/>
    <w:rsid w:val="00664BDE"/>
    <w:rsid w:val="00665D45"/>
    <w:rsid w:val="00666B7F"/>
    <w:rsid w:val="0066748C"/>
    <w:rsid w:val="00670FFA"/>
    <w:rsid w:val="00686059"/>
    <w:rsid w:val="00686F64"/>
    <w:rsid w:val="0069096C"/>
    <w:rsid w:val="00690F65"/>
    <w:rsid w:val="00695937"/>
    <w:rsid w:val="006A1574"/>
    <w:rsid w:val="006A19E2"/>
    <w:rsid w:val="006A372D"/>
    <w:rsid w:val="006B0D8F"/>
    <w:rsid w:val="006B0F79"/>
    <w:rsid w:val="006B20FF"/>
    <w:rsid w:val="006B4691"/>
    <w:rsid w:val="006B4944"/>
    <w:rsid w:val="006B72CA"/>
    <w:rsid w:val="006C4444"/>
    <w:rsid w:val="006C4F5E"/>
    <w:rsid w:val="006D5691"/>
    <w:rsid w:val="006D5903"/>
    <w:rsid w:val="006D5B46"/>
    <w:rsid w:val="006E1DF9"/>
    <w:rsid w:val="006E299F"/>
    <w:rsid w:val="006E610F"/>
    <w:rsid w:val="006F05A8"/>
    <w:rsid w:val="006F0954"/>
    <w:rsid w:val="006F1583"/>
    <w:rsid w:val="006F2D75"/>
    <w:rsid w:val="006F7481"/>
    <w:rsid w:val="006F76FA"/>
    <w:rsid w:val="0070038A"/>
    <w:rsid w:val="0070065E"/>
    <w:rsid w:val="00701159"/>
    <w:rsid w:val="007022D3"/>
    <w:rsid w:val="0070418C"/>
    <w:rsid w:val="00704247"/>
    <w:rsid w:val="0071354E"/>
    <w:rsid w:val="0071506B"/>
    <w:rsid w:val="00715083"/>
    <w:rsid w:val="00721964"/>
    <w:rsid w:val="007233CA"/>
    <w:rsid w:val="00725ECF"/>
    <w:rsid w:val="007265A3"/>
    <w:rsid w:val="00730E17"/>
    <w:rsid w:val="00734D63"/>
    <w:rsid w:val="00735749"/>
    <w:rsid w:val="00741070"/>
    <w:rsid w:val="00742121"/>
    <w:rsid w:val="00743118"/>
    <w:rsid w:val="00745F87"/>
    <w:rsid w:val="00750CBD"/>
    <w:rsid w:val="00754BD9"/>
    <w:rsid w:val="00754F0E"/>
    <w:rsid w:val="00755A81"/>
    <w:rsid w:val="00761227"/>
    <w:rsid w:val="007718E6"/>
    <w:rsid w:val="007769C0"/>
    <w:rsid w:val="00776E21"/>
    <w:rsid w:val="00781499"/>
    <w:rsid w:val="00790BBA"/>
    <w:rsid w:val="0079216A"/>
    <w:rsid w:val="00793620"/>
    <w:rsid w:val="0079535E"/>
    <w:rsid w:val="007953EB"/>
    <w:rsid w:val="00795C62"/>
    <w:rsid w:val="007972E3"/>
    <w:rsid w:val="007A03AC"/>
    <w:rsid w:val="007A443E"/>
    <w:rsid w:val="007A4B8A"/>
    <w:rsid w:val="007B448C"/>
    <w:rsid w:val="007B66DD"/>
    <w:rsid w:val="007B6F0C"/>
    <w:rsid w:val="007B78AD"/>
    <w:rsid w:val="007B7FE6"/>
    <w:rsid w:val="007C2954"/>
    <w:rsid w:val="007C48BB"/>
    <w:rsid w:val="007C5FF4"/>
    <w:rsid w:val="007D1DAA"/>
    <w:rsid w:val="007D225F"/>
    <w:rsid w:val="007D2768"/>
    <w:rsid w:val="007D373B"/>
    <w:rsid w:val="007D55E3"/>
    <w:rsid w:val="007D6C31"/>
    <w:rsid w:val="007E1007"/>
    <w:rsid w:val="007E2354"/>
    <w:rsid w:val="007E45F0"/>
    <w:rsid w:val="007E4A48"/>
    <w:rsid w:val="007F2D07"/>
    <w:rsid w:val="00800176"/>
    <w:rsid w:val="00803250"/>
    <w:rsid w:val="00804B9D"/>
    <w:rsid w:val="0080706E"/>
    <w:rsid w:val="00811E7C"/>
    <w:rsid w:val="00812C14"/>
    <w:rsid w:val="00814B1B"/>
    <w:rsid w:val="0081625E"/>
    <w:rsid w:val="00816C60"/>
    <w:rsid w:val="008228E3"/>
    <w:rsid w:val="008254FC"/>
    <w:rsid w:val="00830A42"/>
    <w:rsid w:val="00833207"/>
    <w:rsid w:val="00835367"/>
    <w:rsid w:val="00835553"/>
    <w:rsid w:val="00841A3D"/>
    <w:rsid w:val="00844D53"/>
    <w:rsid w:val="00844E3B"/>
    <w:rsid w:val="00846BE5"/>
    <w:rsid w:val="0084784B"/>
    <w:rsid w:val="00850944"/>
    <w:rsid w:val="00855329"/>
    <w:rsid w:val="00862230"/>
    <w:rsid w:val="008674E9"/>
    <w:rsid w:val="00870907"/>
    <w:rsid w:val="00870AFA"/>
    <w:rsid w:val="00872B2C"/>
    <w:rsid w:val="00874BA7"/>
    <w:rsid w:val="008817C8"/>
    <w:rsid w:val="008835D8"/>
    <w:rsid w:val="008940F9"/>
    <w:rsid w:val="0089615F"/>
    <w:rsid w:val="008973EE"/>
    <w:rsid w:val="008A224B"/>
    <w:rsid w:val="008A3289"/>
    <w:rsid w:val="008A5F5F"/>
    <w:rsid w:val="008A6735"/>
    <w:rsid w:val="008B33A5"/>
    <w:rsid w:val="008B420B"/>
    <w:rsid w:val="008C0240"/>
    <w:rsid w:val="008C0DCD"/>
    <w:rsid w:val="008C38B6"/>
    <w:rsid w:val="008C4687"/>
    <w:rsid w:val="008D0ED4"/>
    <w:rsid w:val="008D138C"/>
    <w:rsid w:val="008D58F4"/>
    <w:rsid w:val="008D5E23"/>
    <w:rsid w:val="008D6DD6"/>
    <w:rsid w:val="008E1D13"/>
    <w:rsid w:val="008E35CB"/>
    <w:rsid w:val="008E39E2"/>
    <w:rsid w:val="008E4ABB"/>
    <w:rsid w:val="008E5001"/>
    <w:rsid w:val="008E5CF8"/>
    <w:rsid w:val="008F1927"/>
    <w:rsid w:val="008F1947"/>
    <w:rsid w:val="008F3606"/>
    <w:rsid w:val="008F5D13"/>
    <w:rsid w:val="00901CAD"/>
    <w:rsid w:val="00902B90"/>
    <w:rsid w:val="009038D9"/>
    <w:rsid w:val="0090407D"/>
    <w:rsid w:val="00905832"/>
    <w:rsid w:val="00907A8B"/>
    <w:rsid w:val="009118C1"/>
    <w:rsid w:val="0091494A"/>
    <w:rsid w:val="009177FF"/>
    <w:rsid w:val="00920BD8"/>
    <w:rsid w:val="009243F4"/>
    <w:rsid w:val="009245D5"/>
    <w:rsid w:val="00924E95"/>
    <w:rsid w:val="00927A90"/>
    <w:rsid w:val="009315A0"/>
    <w:rsid w:val="00933452"/>
    <w:rsid w:val="0093662B"/>
    <w:rsid w:val="00943AC6"/>
    <w:rsid w:val="00944D01"/>
    <w:rsid w:val="00945B86"/>
    <w:rsid w:val="009519D2"/>
    <w:rsid w:val="009524A2"/>
    <w:rsid w:val="009532A5"/>
    <w:rsid w:val="009605E1"/>
    <w:rsid w:val="00960DFA"/>
    <w:rsid w:val="0096342E"/>
    <w:rsid w:val="0096533A"/>
    <w:rsid w:val="00967B60"/>
    <w:rsid w:val="009709B8"/>
    <w:rsid w:val="00974B0D"/>
    <w:rsid w:val="00975820"/>
    <w:rsid w:val="009759E8"/>
    <w:rsid w:val="009767FA"/>
    <w:rsid w:val="00976981"/>
    <w:rsid w:val="009769A4"/>
    <w:rsid w:val="00982BEC"/>
    <w:rsid w:val="00983D81"/>
    <w:rsid w:val="009841D2"/>
    <w:rsid w:val="00984786"/>
    <w:rsid w:val="00984A4E"/>
    <w:rsid w:val="00986E10"/>
    <w:rsid w:val="00990072"/>
    <w:rsid w:val="00992038"/>
    <w:rsid w:val="009932F8"/>
    <w:rsid w:val="00995434"/>
    <w:rsid w:val="009A166A"/>
    <w:rsid w:val="009A1BF7"/>
    <w:rsid w:val="009A40FF"/>
    <w:rsid w:val="009A524B"/>
    <w:rsid w:val="009A5B59"/>
    <w:rsid w:val="009A7F53"/>
    <w:rsid w:val="009B1DCB"/>
    <w:rsid w:val="009B282C"/>
    <w:rsid w:val="009B4C15"/>
    <w:rsid w:val="009D0DA8"/>
    <w:rsid w:val="009D6698"/>
    <w:rsid w:val="009D74AF"/>
    <w:rsid w:val="009D7EC0"/>
    <w:rsid w:val="009E0776"/>
    <w:rsid w:val="009E1A70"/>
    <w:rsid w:val="009E2445"/>
    <w:rsid w:val="009E3054"/>
    <w:rsid w:val="009E329C"/>
    <w:rsid w:val="009E6BF2"/>
    <w:rsid w:val="009F2512"/>
    <w:rsid w:val="009F3E35"/>
    <w:rsid w:val="00A00C20"/>
    <w:rsid w:val="00A00D0A"/>
    <w:rsid w:val="00A01B8F"/>
    <w:rsid w:val="00A031CA"/>
    <w:rsid w:val="00A04950"/>
    <w:rsid w:val="00A0513D"/>
    <w:rsid w:val="00A0785C"/>
    <w:rsid w:val="00A10C1E"/>
    <w:rsid w:val="00A1224B"/>
    <w:rsid w:val="00A12974"/>
    <w:rsid w:val="00A13FAE"/>
    <w:rsid w:val="00A161D2"/>
    <w:rsid w:val="00A27144"/>
    <w:rsid w:val="00A276BB"/>
    <w:rsid w:val="00A30687"/>
    <w:rsid w:val="00A35389"/>
    <w:rsid w:val="00A3798B"/>
    <w:rsid w:val="00A42EA0"/>
    <w:rsid w:val="00A45D17"/>
    <w:rsid w:val="00A45E0F"/>
    <w:rsid w:val="00A46325"/>
    <w:rsid w:val="00A46461"/>
    <w:rsid w:val="00A47C4E"/>
    <w:rsid w:val="00A52E9D"/>
    <w:rsid w:val="00A54AE8"/>
    <w:rsid w:val="00A5611B"/>
    <w:rsid w:val="00A56D63"/>
    <w:rsid w:val="00A57049"/>
    <w:rsid w:val="00A61FE6"/>
    <w:rsid w:val="00A63371"/>
    <w:rsid w:val="00A66979"/>
    <w:rsid w:val="00A71B68"/>
    <w:rsid w:val="00A71CB0"/>
    <w:rsid w:val="00A73234"/>
    <w:rsid w:val="00A74BD1"/>
    <w:rsid w:val="00A76609"/>
    <w:rsid w:val="00A767F1"/>
    <w:rsid w:val="00A80D20"/>
    <w:rsid w:val="00A80D55"/>
    <w:rsid w:val="00A8201A"/>
    <w:rsid w:val="00A82087"/>
    <w:rsid w:val="00A85515"/>
    <w:rsid w:val="00A86022"/>
    <w:rsid w:val="00A86753"/>
    <w:rsid w:val="00A86A27"/>
    <w:rsid w:val="00A86EE4"/>
    <w:rsid w:val="00A86FCE"/>
    <w:rsid w:val="00A91C54"/>
    <w:rsid w:val="00A95746"/>
    <w:rsid w:val="00A96B9A"/>
    <w:rsid w:val="00AA268C"/>
    <w:rsid w:val="00AA3642"/>
    <w:rsid w:val="00AB0AC0"/>
    <w:rsid w:val="00AB3586"/>
    <w:rsid w:val="00AB3FCC"/>
    <w:rsid w:val="00AB4E49"/>
    <w:rsid w:val="00AB7027"/>
    <w:rsid w:val="00AC010C"/>
    <w:rsid w:val="00AC2458"/>
    <w:rsid w:val="00AC3723"/>
    <w:rsid w:val="00AC5A2E"/>
    <w:rsid w:val="00AC7DCF"/>
    <w:rsid w:val="00AD259E"/>
    <w:rsid w:val="00AD2857"/>
    <w:rsid w:val="00AD3FB5"/>
    <w:rsid w:val="00AD405F"/>
    <w:rsid w:val="00AE4DA9"/>
    <w:rsid w:val="00AE7202"/>
    <w:rsid w:val="00AF1482"/>
    <w:rsid w:val="00AF194F"/>
    <w:rsid w:val="00AF1AC8"/>
    <w:rsid w:val="00AF7184"/>
    <w:rsid w:val="00B01B6C"/>
    <w:rsid w:val="00B02BBD"/>
    <w:rsid w:val="00B05615"/>
    <w:rsid w:val="00B071A5"/>
    <w:rsid w:val="00B12EFA"/>
    <w:rsid w:val="00B15388"/>
    <w:rsid w:val="00B15608"/>
    <w:rsid w:val="00B16FAB"/>
    <w:rsid w:val="00B2305F"/>
    <w:rsid w:val="00B40D38"/>
    <w:rsid w:val="00B41754"/>
    <w:rsid w:val="00B44F73"/>
    <w:rsid w:val="00B4713B"/>
    <w:rsid w:val="00B47BCD"/>
    <w:rsid w:val="00B54145"/>
    <w:rsid w:val="00B56C04"/>
    <w:rsid w:val="00B65945"/>
    <w:rsid w:val="00B71E85"/>
    <w:rsid w:val="00B74A1E"/>
    <w:rsid w:val="00B7696B"/>
    <w:rsid w:val="00B808D8"/>
    <w:rsid w:val="00B81040"/>
    <w:rsid w:val="00B8327F"/>
    <w:rsid w:val="00B8420C"/>
    <w:rsid w:val="00B845D7"/>
    <w:rsid w:val="00B953B4"/>
    <w:rsid w:val="00B96186"/>
    <w:rsid w:val="00BA033F"/>
    <w:rsid w:val="00BA0C61"/>
    <w:rsid w:val="00BA1DF3"/>
    <w:rsid w:val="00BA20DE"/>
    <w:rsid w:val="00BA7EA4"/>
    <w:rsid w:val="00BA7F5C"/>
    <w:rsid w:val="00BC1B66"/>
    <w:rsid w:val="00BC7C90"/>
    <w:rsid w:val="00BC7E88"/>
    <w:rsid w:val="00BD2C5F"/>
    <w:rsid w:val="00BD3CB5"/>
    <w:rsid w:val="00BE04C4"/>
    <w:rsid w:val="00BE3AF3"/>
    <w:rsid w:val="00BE45DD"/>
    <w:rsid w:val="00BE76DA"/>
    <w:rsid w:val="00BF2A1D"/>
    <w:rsid w:val="00BF61BD"/>
    <w:rsid w:val="00C026B5"/>
    <w:rsid w:val="00C05E01"/>
    <w:rsid w:val="00C063E7"/>
    <w:rsid w:val="00C10F4F"/>
    <w:rsid w:val="00C11A0A"/>
    <w:rsid w:val="00C168AC"/>
    <w:rsid w:val="00C203E2"/>
    <w:rsid w:val="00C21220"/>
    <w:rsid w:val="00C23D54"/>
    <w:rsid w:val="00C2456F"/>
    <w:rsid w:val="00C27499"/>
    <w:rsid w:val="00C3215F"/>
    <w:rsid w:val="00C333F9"/>
    <w:rsid w:val="00C33C44"/>
    <w:rsid w:val="00C341DD"/>
    <w:rsid w:val="00C36EF8"/>
    <w:rsid w:val="00C426CF"/>
    <w:rsid w:val="00C44499"/>
    <w:rsid w:val="00C46180"/>
    <w:rsid w:val="00C462CE"/>
    <w:rsid w:val="00C53CF9"/>
    <w:rsid w:val="00C5574A"/>
    <w:rsid w:val="00C6068C"/>
    <w:rsid w:val="00C6311D"/>
    <w:rsid w:val="00C646A5"/>
    <w:rsid w:val="00C64CBA"/>
    <w:rsid w:val="00C65B40"/>
    <w:rsid w:val="00C75062"/>
    <w:rsid w:val="00C77DA7"/>
    <w:rsid w:val="00C840C3"/>
    <w:rsid w:val="00C8535E"/>
    <w:rsid w:val="00C85B4E"/>
    <w:rsid w:val="00C85CF9"/>
    <w:rsid w:val="00C954A2"/>
    <w:rsid w:val="00C96D64"/>
    <w:rsid w:val="00C972B2"/>
    <w:rsid w:val="00CA1F12"/>
    <w:rsid w:val="00CA2E62"/>
    <w:rsid w:val="00CA798A"/>
    <w:rsid w:val="00CA7ABB"/>
    <w:rsid w:val="00CB0955"/>
    <w:rsid w:val="00CB1E92"/>
    <w:rsid w:val="00CC243D"/>
    <w:rsid w:val="00CC7177"/>
    <w:rsid w:val="00CD0323"/>
    <w:rsid w:val="00CD26C3"/>
    <w:rsid w:val="00CD5CDD"/>
    <w:rsid w:val="00CD7597"/>
    <w:rsid w:val="00CD7A2F"/>
    <w:rsid w:val="00CE2862"/>
    <w:rsid w:val="00CE3C1C"/>
    <w:rsid w:val="00CE46D7"/>
    <w:rsid w:val="00CE506C"/>
    <w:rsid w:val="00CE5E21"/>
    <w:rsid w:val="00CE737A"/>
    <w:rsid w:val="00CF0F2A"/>
    <w:rsid w:val="00CF25D6"/>
    <w:rsid w:val="00CF424F"/>
    <w:rsid w:val="00CF6B4B"/>
    <w:rsid w:val="00CF7954"/>
    <w:rsid w:val="00D024D5"/>
    <w:rsid w:val="00D03DD5"/>
    <w:rsid w:val="00D04047"/>
    <w:rsid w:val="00D05136"/>
    <w:rsid w:val="00D05178"/>
    <w:rsid w:val="00D078ED"/>
    <w:rsid w:val="00D17F76"/>
    <w:rsid w:val="00D23434"/>
    <w:rsid w:val="00D26C63"/>
    <w:rsid w:val="00D30DF1"/>
    <w:rsid w:val="00D435D8"/>
    <w:rsid w:val="00D43C3B"/>
    <w:rsid w:val="00D44694"/>
    <w:rsid w:val="00D56D50"/>
    <w:rsid w:val="00D57A12"/>
    <w:rsid w:val="00D62717"/>
    <w:rsid w:val="00D658DC"/>
    <w:rsid w:val="00D71094"/>
    <w:rsid w:val="00D75A65"/>
    <w:rsid w:val="00D80B00"/>
    <w:rsid w:val="00D85493"/>
    <w:rsid w:val="00D87081"/>
    <w:rsid w:val="00D921EE"/>
    <w:rsid w:val="00D92C91"/>
    <w:rsid w:val="00DA0AA7"/>
    <w:rsid w:val="00DA190C"/>
    <w:rsid w:val="00DA30BA"/>
    <w:rsid w:val="00DB2A4B"/>
    <w:rsid w:val="00DB2C43"/>
    <w:rsid w:val="00DB2CDF"/>
    <w:rsid w:val="00DB3528"/>
    <w:rsid w:val="00DB61E1"/>
    <w:rsid w:val="00DB73B1"/>
    <w:rsid w:val="00DB7B0C"/>
    <w:rsid w:val="00DC0F38"/>
    <w:rsid w:val="00DC1263"/>
    <w:rsid w:val="00DC2BE9"/>
    <w:rsid w:val="00DC3C00"/>
    <w:rsid w:val="00DC52B9"/>
    <w:rsid w:val="00DC54C3"/>
    <w:rsid w:val="00DC5671"/>
    <w:rsid w:val="00DC67C7"/>
    <w:rsid w:val="00DC6901"/>
    <w:rsid w:val="00DD184E"/>
    <w:rsid w:val="00DD5A7E"/>
    <w:rsid w:val="00DD73EA"/>
    <w:rsid w:val="00DD7E4F"/>
    <w:rsid w:val="00DE61D6"/>
    <w:rsid w:val="00DF0529"/>
    <w:rsid w:val="00DF08EA"/>
    <w:rsid w:val="00DF2384"/>
    <w:rsid w:val="00DF2D00"/>
    <w:rsid w:val="00DF373A"/>
    <w:rsid w:val="00DF46E4"/>
    <w:rsid w:val="00DF4BDF"/>
    <w:rsid w:val="00DF7E26"/>
    <w:rsid w:val="00E07FE2"/>
    <w:rsid w:val="00E106C6"/>
    <w:rsid w:val="00E11BCC"/>
    <w:rsid w:val="00E14B56"/>
    <w:rsid w:val="00E17B99"/>
    <w:rsid w:val="00E21572"/>
    <w:rsid w:val="00E227E7"/>
    <w:rsid w:val="00E22A10"/>
    <w:rsid w:val="00E236C1"/>
    <w:rsid w:val="00E340A8"/>
    <w:rsid w:val="00E377D8"/>
    <w:rsid w:val="00E40BB4"/>
    <w:rsid w:val="00E416A0"/>
    <w:rsid w:val="00E41AC2"/>
    <w:rsid w:val="00E431C9"/>
    <w:rsid w:val="00E46F94"/>
    <w:rsid w:val="00E509A1"/>
    <w:rsid w:val="00E526F1"/>
    <w:rsid w:val="00E57C56"/>
    <w:rsid w:val="00E64CC6"/>
    <w:rsid w:val="00E676ED"/>
    <w:rsid w:val="00E7101A"/>
    <w:rsid w:val="00E71136"/>
    <w:rsid w:val="00E73316"/>
    <w:rsid w:val="00E7637A"/>
    <w:rsid w:val="00E828D1"/>
    <w:rsid w:val="00E84AEA"/>
    <w:rsid w:val="00E8640E"/>
    <w:rsid w:val="00E90A5B"/>
    <w:rsid w:val="00E94D69"/>
    <w:rsid w:val="00E96999"/>
    <w:rsid w:val="00E97A1C"/>
    <w:rsid w:val="00EA022F"/>
    <w:rsid w:val="00EA200E"/>
    <w:rsid w:val="00EA3C2A"/>
    <w:rsid w:val="00EB3F99"/>
    <w:rsid w:val="00EC2811"/>
    <w:rsid w:val="00EC402D"/>
    <w:rsid w:val="00EC4AC2"/>
    <w:rsid w:val="00EC60FF"/>
    <w:rsid w:val="00EC6377"/>
    <w:rsid w:val="00EC6BB9"/>
    <w:rsid w:val="00ED151D"/>
    <w:rsid w:val="00ED1EEE"/>
    <w:rsid w:val="00ED2FA8"/>
    <w:rsid w:val="00ED3AA4"/>
    <w:rsid w:val="00EE2BB4"/>
    <w:rsid w:val="00EE4A69"/>
    <w:rsid w:val="00EE7284"/>
    <w:rsid w:val="00EF055C"/>
    <w:rsid w:val="00EF3466"/>
    <w:rsid w:val="00EF41C8"/>
    <w:rsid w:val="00EF614D"/>
    <w:rsid w:val="00EF687B"/>
    <w:rsid w:val="00F02C53"/>
    <w:rsid w:val="00F0488A"/>
    <w:rsid w:val="00F05C21"/>
    <w:rsid w:val="00F06308"/>
    <w:rsid w:val="00F06E2B"/>
    <w:rsid w:val="00F12AEB"/>
    <w:rsid w:val="00F12EAC"/>
    <w:rsid w:val="00F1362F"/>
    <w:rsid w:val="00F14147"/>
    <w:rsid w:val="00F144AF"/>
    <w:rsid w:val="00F168B0"/>
    <w:rsid w:val="00F16903"/>
    <w:rsid w:val="00F1778B"/>
    <w:rsid w:val="00F23DBE"/>
    <w:rsid w:val="00F308A3"/>
    <w:rsid w:val="00F30BF4"/>
    <w:rsid w:val="00F30C45"/>
    <w:rsid w:val="00F3267A"/>
    <w:rsid w:val="00F3356F"/>
    <w:rsid w:val="00F347C8"/>
    <w:rsid w:val="00F34849"/>
    <w:rsid w:val="00F34A04"/>
    <w:rsid w:val="00F360B6"/>
    <w:rsid w:val="00F4043F"/>
    <w:rsid w:val="00F42D30"/>
    <w:rsid w:val="00F44657"/>
    <w:rsid w:val="00F449BD"/>
    <w:rsid w:val="00F449E5"/>
    <w:rsid w:val="00F459E1"/>
    <w:rsid w:val="00F45E4F"/>
    <w:rsid w:val="00F4722E"/>
    <w:rsid w:val="00F47DF0"/>
    <w:rsid w:val="00F514A7"/>
    <w:rsid w:val="00F51904"/>
    <w:rsid w:val="00F52517"/>
    <w:rsid w:val="00F548BE"/>
    <w:rsid w:val="00F551AF"/>
    <w:rsid w:val="00F55C54"/>
    <w:rsid w:val="00F5682B"/>
    <w:rsid w:val="00F60498"/>
    <w:rsid w:val="00F63576"/>
    <w:rsid w:val="00F63C17"/>
    <w:rsid w:val="00F64688"/>
    <w:rsid w:val="00F72C1A"/>
    <w:rsid w:val="00F72C98"/>
    <w:rsid w:val="00F7636C"/>
    <w:rsid w:val="00F7752D"/>
    <w:rsid w:val="00F80724"/>
    <w:rsid w:val="00F82336"/>
    <w:rsid w:val="00F86BA9"/>
    <w:rsid w:val="00F90B92"/>
    <w:rsid w:val="00F93C7A"/>
    <w:rsid w:val="00F940B4"/>
    <w:rsid w:val="00F952DF"/>
    <w:rsid w:val="00F95A54"/>
    <w:rsid w:val="00FB1FF6"/>
    <w:rsid w:val="00FB22C4"/>
    <w:rsid w:val="00FB3F6B"/>
    <w:rsid w:val="00FC1E1B"/>
    <w:rsid w:val="00FC5DEB"/>
    <w:rsid w:val="00FC7324"/>
    <w:rsid w:val="00FD1421"/>
    <w:rsid w:val="00FD258E"/>
    <w:rsid w:val="00FD2A7B"/>
    <w:rsid w:val="00FD5467"/>
    <w:rsid w:val="00FD6C96"/>
    <w:rsid w:val="00FD76FC"/>
    <w:rsid w:val="00FE30C0"/>
    <w:rsid w:val="00FF0A22"/>
    <w:rsid w:val="00FF0EB9"/>
    <w:rsid w:val="00FF1D68"/>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B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0BF4"/>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styleId="ListParagraph">
    <w:name w:val="List Paragraph"/>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styleId="Revision">
    <w:name w:val="Revision"/>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paragraph" w:customStyle="1" w:styleId="LightList-Accent51">
    <w:name w:val="Light List - Accent 51"/>
    <w:basedOn w:val="Normal"/>
    <w:uiPriority w:val="34"/>
    <w:qFormat/>
    <w:rsid w:val="000429B2"/>
    <w:pPr>
      <w:spacing w:after="0" w:line="240" w:lineRule="auto"/>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7872">
      <w:bodyDiv w:val="1"/>
      <w:marLeft w:val="0"/>
      <w:marRight w:val="0"/>
      <w:marTop w:val="0"/>
      <w:marBottom w:val="0"/>
      <w:divBdr>
        <w:top w:val="none" w:sz="0" w:space="0" w:color="auto"/>
        <w:left w:val="none" w:sz="0" w:space="0" w:color="auto"/>
        <w:bottom w:val="none" w:sz="0" w:space="0" w:color="auto"/>
        <w:right w:val="none" w:sz="0" w:space="0" w:color="auto"/>
      </w:divBdr>
    </w:div>
    <w:div w:id="196479284">
      <w:bodyDiv w:val="1"/>
      <w:marLeft w:val="0"/>
      <w:marRight w:val="0"/>
      <w:marTop w:val="0"/>
      <w:marBottom w:val="0"/>
      <w:divBdr>
        <w:top w:val="none" w:sz="0" w:space="0" w:color="auto"/>
        <w:left w:val="none" w:sz="0" w:space="0" w:color="auto"/>
        <w:bottom w:val="none" w:sz="0" w:space="0" w:color="auto"/>
        <w:right w:val="none" w:sz="0" w:space="0" w:color="auto"/>
      </w:divBdr>
    </w:div>
    <w:div w:id="331840781">
      <w:bodyDiv w:val="1"/>
      <w:marLeft w:val="0"/>
      <w:marRight w:val="0"/>
      <w:marTop w:val="0"/>
      <w:marBottom w:val="0"/>
      <w:divBdr>
        <w:top w:val="none" w:sz="0" w:space="0" w:color="auto"/>
        <w:left w:val="none" w:sz="0" w:space="0" w:color="auto"/>
        <w:bottom w:val="none" w:sz="0" w:space="0" w:color="auto"/>
        <w:right w:val="none" w:sz="0" w:space="0" w:color="auto"/>
      </w:divBdr>
    </w:div>
    <w:div w:id="360975449">
      <w:bodyDiv w:val="1"/>
      <w:marLeft w:val="0"/>
      <w:marRight w:val="0"/>
      <w:marTop w:val="0"/>
      <w:marBottom w:val="0"/>
      <w:divBdr>
        <w:top w:val="none" w:sz="0" w:space="0" w:color="auto"/>
        <w:left w:val="none" w:sz="0" w:space="0" w:color="auto"/>
        <w:bottom w:val="none" w:sz="0" w:space="0" w:color="auto"/>
        <w:right w:val="none" w:sz="0" w:space="0" w:color="auto"/>
      </w:divBdr>
    </w:div>
    <w:div w:id="443035005">
      <w:bodyDiv w:val="1"/>
      <w:marLeft w:val="0"/>
      <w:marRight w:val="0"/>
      <w:marTop w:val="0"/>
      <w:marBottom w:val="0"/>
      <w:divBdr>
        <w:top w:val="none" w:sz="0" w:space="0" w:color="auto"/>
        <w:left w:val="none" w:sz="0" w:space="0" w:color="auto"/>
        <w:bottom w:val="none" w:sz="0" w:space="0" w:color="auto"/>
        <w:right w:val="none" w:sz="0" w:space="0" w:color="auto"/>
      </w:divBdr>
    </w:div>
    <w:div w:id="527529615">
      <w:bodyDiv w:val="1"/>
      <w:marLeft w:val="0"/>
      <w:marRight w:val="0"/>
      <w:marTop w:val="0"/>
      <w:marBottom w:val="0"/>
      <w:divBdr>
        <w:top w:val="none" w:sz="0" w:space="0" w:color="auto"/>
        <w:left w:val="none" w:sz="0" w:space="0" w:color="auto"/>
        <w:bottom w:val="none" w:sz="0" w:space="0" w:color="auto"/>
        <w:right w:val="none" w:sz="0" w:space="0" w:color="auto"/>
      </w:divBdr>
      <w:divsChild>
        <w:div w:id="180898772">
          <w:marLeft w:val="1627"/>
          <w:marRight w:val="0"/>
          <w:marTop w:val="96"/>
          <w:marBottom w:val="0"/>
          <w:divBdr>
            <w:top w:val="none" w:sz="0" w:space="0" w:color="auto"/>
            <w:left w:val="none" w:sz="0" w:space="0" w:color="auto"/>
            <w:bottom w:val="none" w:sz="0" w:space="0" w:color="auto"/>
            <w:right w:val="none" w:sz="0" w:space="0" w:color="auto"/>
          </w:divBdr>
        </w:div>
        <w:div w:id="522478013">
          <w:marLeft w:val="1627"/>
          <w:marRight w:val="0"/>
          <w:marTop w:val="96"/>
          <w:marBottom w:val="0"/>
          <w:divBdr>
            <w:top w:val="none" w:sz="0" w:space="0" w:color="auto"/>
            <w:left w:val="none" w:sz="0" w:space="0" w:color="auto"/>
            <w:bottom w:val="none" w:sz="0" w:space="0" w:color="auto"/>
            <w:right w:val="none" w:sz="0" w:space="0" w:color="auto"/>
          </w:divBdr>
        </w:div>
        <w:div w:id="925457060">
          <w:marLeft w:val="446"/>
          <w:marRight w:val="0"/>
          <w:marTop w:val="96"/>
          <w:marBottom w:val="0"/>
          <w:divBdr>
            <w:top w:val="none" w:sz="0" w:space="0" w:color="auto"/>
            <w:left w:val="none" w:sz="0" w:space="0" w:color="auto"/>
            <w:bottom w:val="none" w:sz="0" w:space="0" w:color="auto"/>
            <w:right w:val="none" w:sz="0" w:space="0" w:color="auto"/>
          </w:divBdr>
        </w:div>
        <w:div w:id="1081293986">
          <w:marLeft w:val="1166"/>
          <w:marRight w:val="0"/>
          <w:marTop w:val="96"/>
          <w:marBottom w:val="0"/>
          <w:divBdr>
            <w:top w:val="none" w:sz="0" w:space="0" w:color="auto"/>
            <w:left w:val="none" w:sz="0" w:space="0" w:color="auto"/>
            <w:bottom w:val="none" w:sz="0" w:space="0" w:color="auto"/>
            <w:right w:val="none" w:sz="0" w:space="0" w:color="auto"/>
          </w:divBdr>
        </w:div>
        <w:div w:id="1644382150">
          <w:marLeft w:val="1166"/>
          <w:marRight w:val="0"/>
          <w:marTop w:val="96"/>
          <w:marBottom w:val="0"/>
          <w:divBdr>
            <w:top w:val="none" w:sz="0" w:space="0" w:color="auto"/>
            <w:left w:val="none" w:sz="0" w:space="0" w:color="auto"/>
            <w:bottom w:val="none" w:sz="0" w:space="0" w:color="auto"/>
            <w:right w:val="none" w:sz="0" w:space="0" w:color="auto"/>
          </w:divBdr>
        </w:div>
      </w:divsChild>
    </w:div>
    <w:div w:id="538325207">
      <w:bodyDiv w:val="1"/>
      <w:marLeft w:val="0"/>
      <w:marRight w:val="0"/>
      <w:marTop w:val="0"/>
      <w:marBottom w:val="0"/>
      <w:divBdr>
        <w:top w:val="none" w:sz="0" w:space="0" w:color="auto"/>
        <w:left w:val="none" w:sz="0" w:space="0" w:color="auto"/>
        <w:bottom w:val="none" w:sz="0" w:space="0" w:color="auto"/>
        <w:right w:val="none" w:sz="0" w:space="0" w:color="auto"/>
      </w:divBdr>
    </w:div>
    <w:div w:id="540093737">
      <w:bodyDiv w:val="1"/>
      <w:marLeft w:val="0"/>
      <w:marRight w:val="0"/>
      <w:marTop w:val="0"/>
      <w:marBottom w:val="0"/>
      <w:divBdr>
        <w:top w:val="none" w:sz="0" w:space="0" w:color="auto"/>
        <w:left w:val="none" w:sz="0" w:space="0" w:color="auto"/>
        <w:bottom w:val="none" w:sz="0" w:space="0" w:color="auto"/>
        <w:right w:val="none" w:sz="0" w:space="0" w:color="auto"/>
      </w:divBdr>
    </w:div>
    <w:div w:id="592936144">
      <w:bodyDiv w:val="1"/>
      <w:marLeft w:val="0"/>
      <w:marRight w:val="0"/>
      <w:marTop w:val="0"/>
      <w:marBottom w:val="0"/>
      <w:divBdr>
        <w:top w:val="none" w:sz="0" w:space="0" w:color="auto"/>
        <w:left w:val="none" w:sz="0" w:space="0" w:color="auto"/>
        <w:bottom w:val="none" w:sz="0" w:space="0" w:color="auto"/>
        <w:right w:val="none" w:sz="0" w:space="0" w:color="auto"/>
      </w:divBdr>
    </w:div>
    <w:div w:id="635379002">
      <w:bodyDiv w:val="1"/>
      <w:marLeft w:val="0"/>
      <w:marRight w:val="0"/>
      <w:marTop w:val="0"/>
      <w:marBottom w:val="0"/>
      <w:divBdr>
        <w:top w:val="none" w:sz="0" w:space="0" w:color="auto"/>
        <w:left w:val="none" w:sz="0" w:space="0" w:color="auto"/>
        <w:bottom w:val="none" w:sz="0" w:space="0" w:color="auto"/>
        <w:right w:val="none" w:sz="0" w:space="0" w:color="auto"/>
      </w:divBdr>
      <w:divsChild>
        <w:div w:id="1016347492">
          <w:marLeft w:val="547"/>
          <w:marRight w:val="0"/>
          <w:marTop w:val="115"/>
          <w:marBottom w:val="0"/>
          <w:divBdr>
            <w:top w:val="none" w:sz="0" w:space="0" w:color="auto"/>
            <w:left w:val="none" w:sz="0" w:space="0" w:color="auto"/>
            <w:bottom w:val="none" w:sz="0" w:space="0" w:color="auto"/>
            <w:right w:val="none" w:sz="0" w:space="0" w:color="auto"/>
          </w:divBdr>
        </w:div>
        <w:div w:id="1972126776">
          <w:marLeft w:val="547"/>
          <w:marRight w:val="0"/>
          <w:marTop w:val="115"/>
          <w:marBottom w:val="0"/>
          <w:divBdr>
            <w:top w:val="none" w:sz="0" w:space="0" w:color="auto"/>
            <w:left w:val="none" w:sz="0" w:space="0" w:color="auto"/>
            <w:bottom w:val="none" w:sz="0" w:space="0" w:color="auto"/>
            <w:right w:val="none" w:sz="0" w:space="0" w:color="auto"/>
          </w:divBdr>
        </w:div>
        <w:div w:id="1972858462">
          <w:marLeft w:val="547"/>
          <w:marRight w:val="0"/>
          <w:marTop w:val="115"/>
          <w:marBottom w:val="0"/>
          <w:divBdr>
            <w:top w:val="none" w:sz="0" w:space="0" w:color="auto"/>
            <w:left w:val="none" w:sz="0" w:space="0" w:color="auto"/>
            <w:bottom w:val="none" w:sz="0" w:space="0" w:color="auto"/>
            <w:right w:val="none" w:sz="0" w:space="0" w:color="auto"/>
          </w:divBdr>
        </w:div>
      </w:divsChild>
    </w:div>
    <w:div w:id="714430073">
      <w:bodyDiv w:val="1"/>
      <w:marLeft w:val="0"/>
      <w:marRight w:val="0"/>
      <w:marTop w:val="0"/>
      <w:marBottom w:val="0"/>
      <w:divBdr>
        <w:top w:val="none" w:sz="0" w:space="0" w:color="auto"/>
        <w:left w:val="none" w:sz="0" w:space="0" w:color="auto"/>
        <w:bottom w:val="none" w:sz="0" w:space="0" w:color="auto"/>
        <w:right w:val="none" w:sz="0" w:space="0" w:color="auto"/>
      </w:divBdr>
    </w:div>
    <w:div w:id="924730579">
      <w:bodyDiv w:val="1"/>
      <w:marLeft w:val="0"/>
      <w:marRight w:val="0"/>
      <w:marTop w:val="0"/>
      <w:marBottom w:val="0"/>
      <w:divBdr>
        <w:top w:val="none" w:sz="0" w:space="0" w:color="auto"/>
        <w:left w:val="none" w:sz="0" w:space="0" w:color="auto"/>
        <w:bottom w:val="none" w:sz="0" w:space="0" w:color="auto"/>
        <w:right w:val="none" w:sz="0" w:space="0" w:color="auto"/>
      </w:divBdr>
      <w:divsChild>
        <w:div w:id="474840911">
          <w:marLeft w:val="547"/>
          <w:marRight w:val="0"/>
          <w:marTop w:val="96"/>
          <w:marBottom w:val="0"/>
          <w:divBdr>
            <w:top w:val="none" w:sz="0" w:space="0" w:color="auto"/>
            <w:left w:val="none" w:sz="0" w:space="0" w:color="auto"/>
            <w:bottom w:val="none" w:sz="0" w:space="0" w:color="auto"/>
            <w:right w:val="none" w:sz="0" w:space="0" w:color="auto"/>
          </w:divBdr>
        </w:div>
      </w:divsChild>
    </w:div>
    <w:div w:id="936989128">
      <w:bodyDiv w:val="1"/>
      <w:marLeft w:val="0"/>
      <w:marRight w:val="0"/>
      <w:marTop w:val="0"/>
      <w:marBottom w:val="0"/>
      <w:divBdr>
        <w:top w:val="none" w:sz="0" w:space="0" w:color="auto"/>
        <w:left w:val="none" w:sz="0" w:space="0" w:color="auto"/>
        <w:bottom w:val="none" w:sz="0" w:space="0" w:color="auto"/>
        <w:right w:val="none" w:sz="0" w:space="0" w:color="auto"/>
      </w:divBdr>
    </w:div>
    <w:div w:id="948045439">
      <w:bodyDiv w:val="1"/>
      <w:marLeft w:val="0"/>
      <w:marRight w:val="0"/>
      <w:marTop w:val="0"/>
      <w:marBottom w:val="0"/>
      <w:divBdr>
        <w:top w:val="none" w:sz="0" w:space="0" w:color="auto"/>
        <w:left w:val="none" w:sz="0" w:space="0" w:color="auto"/>
        <w:bottom w:val="none" w:sz="0" w:space="0" w:color="auto"/>
        <w:right w:val="none" w:sz="0" w:space="0" w:color="auto"/>
      </w:divBdr>
    </w:div>
    <w:div w:id="1011294560">
      <w:bodyDiv w:val="1"/>
      <w:marLeft w:val="0"/>
      <w:marRight w:val="0"/>
      <w:marTop w:val="0"/>
      <w:marBottom w:val="0"/>
      <w:divBdr>
        <w:top w:val="none" w:sz="0" w:space="0" w:color="auto"/>
        <w:left w:val="none" w:sz="0" w:space="0" w:color="auto"/>
        <w:bottom w:val="none" w:sz="0" w:space="0" w:color="auto"/>
        <w:right w:val="none" w:sz="0" w:space="0" w:color="auto"/>
      </w:divBdr>
      <w:divsChild>
        <w:div w:id="1400908821">
          <w:marLeft w:val="734"/>
          <w:marRight w:val="0"/>
          <w:marTop w:val="86"/>
          <w:marBottom w:val="0"/>
          <w:divBdr>
            <w:top w:val="none" w:sz="0" w:space="0" w:color="auto"/>
            <w:left w:val="none" w:sz="0" w:space="0" w:color="auto"/>
            <w:bottom w:val="none" w:sz="0" w:space="0" w:color="auto"/>
            <w:right w:val="none" w:sz="0" w:space="0" w:color="auto"/>
          </w:divBdr>
        </w:div>
      </w:divsChild>
    </w:div>
    <w:div w:id="1033313713">
      <w:bodyDiv w:val="1"/>
      <w:marLeft w:val="0"/>
      <w:marRight w:val="0"/>
      <w:marTop w:val="0"/>
      <w:marBottom w:val="0"/>
      <w:divBdr>
        <w:top w:val="none" w:sz="0" w:space="0" w:color="auto"/>
        <w:left w:val="none" w:sz="0" w:space="0" w:color="auto"/>
        <w:bottom w:val="none" w:sz="0" w:space="0" w:color="auto"/>
        <w:right w:val="none" w:sz="0" w:space="0" w:color="auto"/>
      </w:divBdr>
      <w:divsChild>
        <w:div w:id="153225571">
          <w:marLeft w:val="461"/>
          <w:marRight w:val="0"/>
          <w:marTop w:val="0"/>
          <w:marBottom w:val="0"/>
          <w:divBdr>
            <w:top w:val="none" w:sz="0" w:space="0" w:color="auto"/>
            <w:left w:val="none" w:sz="0" w:space="0" w:color="auto"/>
            <w:bottom w:val="none" w:sz="0" w:space="0" w:color="auto"/>
            <w:right w:val="none" w:sz="0" w:space="0" w:color="auto"/>
          </w:divBdr>
        </w:div>
        <w:div w:id="492794509">
          <w:marLeft w:val="461"/>
          <w:marRight w:val="0"/>
          <w:marTop w:val="96"/>
          <w:marBottom w:val="0"/>
          <w:divBdr>
            <w:top w:val="none" w:sz="0" w:space="0" w:color="auto"/>
            <w:left w:val="none" w:sz="0" w:space="0" w:color="auto"/>
            <w:bottom w:val="none" w:sz="0" w:space="0" w:color="auto"/>
            <w:right w:val="none" w:sz="0" w:space="0" w:color="auto"/>
          </w:divBdr>
        </w:div>
      </w:divsChild>
    </w:div>
    <w:div w:id="1129199781">
      <w:bodyDiv w:val="1"/>
      <w:marLeft w:val="0"/>
      <w:marRight w:val="0"/>
      <w:marTop w:val="0"/>
      <w:marBottom w:val="0"/>
      <w:divBdr>
        <w:top w:val="none" w:sz="0" w:space="0" w:color="auto"/>
        <w:left w:val="none" w:sz="0" w:space="0" w:color="auto"/>
        <w:bottom w:val="none" w:sz="0" w:space="0" w:color="auto"/>
        <w:right w:val="none" w:sz="0" w:space="0" w:color="auto"/>
      </w:divBdr>
    </w:div>
    <w:div w:id="1230072562">
      <w:bodyDiv w:val="1"/>
      <w:marLeft w:val="0"/>
      <w:marRight w:val="0"/>
      <w:marTop w:val="0"/>
      <w:marBottom w:val="0"/>
      <w:divBdr>
        <w:top w:val="none" w:sz="0" w:space="0" w:color="auto"/>
        <w:left w:val="none" w:sz="0" w:space="0" w:color="auto"/>
        <w:bottom w:val="none" w:sz="0" w:space="0" w:color="auto"/>
        <w:right w:val="none" w:sz="0" w:space="0" w:color="auto"/>
      </w:divBdr>
    </w:div>
    <w:div w:id="1594246329">
      <w:bodyDiv w:val="1"/>
      <w:marLeft w:val="0"/>
      <w:marRight w:val="0"/>
      <w:marTop w:val="0"/>
      <w:marBottom w:val="0"/>
      <w:divBdr>
        <w:top w:val="none" w:sz="0" w:space="0" w:color="auto"/>
        <w:left w:val="none" w:sz="0" w:space="0" w:color="auto"/>
        <w:bottom w:val="none" w:sz="0" w:space="0" w:color="auto"/>
        <w:right w:val="none" w:sz="0" w:space="0" w:color="auto"/>
      </w:divBdr>
      <w:divsChild>
        <w:div w:id="7950591">
          <w:marLeft w:val="1627"/>
          <w:marRight w:val="0"/>
          <w:marTop w:val="86"/>
          <w:marBottom w:val="0"/>
          <w:divBdr>
            <w:top w:val="none" w:sz="0" w:space="0" w:color="auto"/>
            <w:left w:val="none" w:sz="0" w:space="0" w:color="auto"/>
            <w:bottom w:val="none" w:sz="0" w:space="0" w:color="auto"/>
            <w:right w:val="none" w:sz="0" w:space="0" w:color="auto"/>
          </w:divBdr>
        </w:div>
        <w:div w:id="756246425">
          <w:marLeft w:val="1627"/>
          <w:marRight w:val="0"/>
          <w:marTop w:val="86"/>
          <w:marBottom w:val="0"/>
          <w:divBdr>
            <w:top w:val="none" w:sz="0" w:space="0" w:color="auto"/>
            <w:left w:val="none" w:sz="0" w:space="0" w:color="auto"/>
            <w:bottom w:val="none" w:sz="0" w:space="0" w:color="auto"/>
            <w:right w:val="none" w:sz="0" w:space="0" w:color="auto"/>
          </w:divBdr>
        </w:div>
        <w:div w:id="950548969">
          <w:marLeft w:val="1166"/>
          <w:marRight w:val="0"/>
          <w:marTop w:val="96"/>
          <w:marBottom w:val="0"/>
          <w:divBdr>
            <w:top w:val="none" w:sz="0" w:space="0" w:color="auto"/>
            <w:left w:val="none" w:sz="0" w:space="0" w:color="auto"/>
            <w:bottom w:val="none" w:sz="0" w:space="0" w:color="auto"/>
            <w:right w:val="none" w:sz="0" w:space="0" w:color="auto"/>
          </w:divBdr>
        </w:div>
        <w:div w:id="1002321900">
          <w:marLeft w:val="1627"/>
          <w:marRight w:val="0"/>
          <w:marTop w:val="86"/>
          <w:marBottom w:val="0"/>
          <w:divBdr>
            <w:top w:val="none" w:sz="0" w:space="0" w:color="auto"/>
            <w:left w:val="none" w:sz="0" w:space="0" w:color="auto"/>
            <w:bottom w:val="none" w:sz="0" w:space="0" w:color="auto"/>
            <w:right w:val="none" w:sz="0" w:space="0" w:color="auto"/>
          </w:divBdr>
        </w:div>
        <w:div w:id="1955475629">
          <w:marLeft w:val="1166"/>
          <w:marRight w:val="0"/>
          <w:marTop w:val="96"/>
          <w:marBottom w:val="0"/>
          <w:divBdr>
            <w:top w:val="none" w:sz="0" w:space="0" w:color="auto"/>
            <w:left w:val="none" w:sz="0" w:space="0" w:color="auto"/>
            <w:bottom w:val="none" w:sz="0" w:space="0" w:color="auto"/>
            <w:right w:val="none" w:sz="0" w:space="0" w:color="auto"/>
          </w:divBdr>
        </w:div>
        <w:div w:id="2065518569">
          <w:marLeft w:val="1627"/>
          <w:marRight w:val="0"/>
          <w:marTop w:val="86"/>
          <w:marBottom w:val="0"/>
          <w:divBdr>
            <w:top w:val="none" w:sz="0" w:space="0" w:color="auto"/>
            <w:left w:val="none" w:sz="0" w:space="0" w:color="auto"/>
            <w:bottom w:val="none" w:sz="0" w:space="0" w:color="auto"/>
            <w:right w:val="none" w:sz="0" w:space="0" w:color="auto"/>
          </w:divBdr>
        </w:div>
      </w:divsChild>
    </w:div>
    <w:div w:id="1624268536">
      <w:bodyDiv w:val="1"/>
      <w:marLeft w:val="0"/>
      <w:marRight w:val="0"/>
      <w:marTop w:val="0"/>
      <w:marBottom w:val="0"/>
      <w:divBdr>
        <w:top w:val="none" w:sz="0" w:space="0" w:color="auto"/>
        <w:left w:val="none" w:sz="0" w:space="0" w:color="auto"/>
        <w:bottom w:val="none" w:sz="0" w:space="0" w:color="auto"/>
        <w:right w:val="none" w:sz="0" w:space="0" w:color="auto"/>
      </w:divBdr>
      <w:divsChild>
        <w:div w:id="129249006">
          <w:marLeft w:val="1627"/>
          <w:marRight w:val="0"/>
          <w:marTop w:val="86"/>
          <w:marBottom w:val="0"/>
          <w:divBdr>
            <w:top w:val="none" w:sz="0" w:space="0" w:color="auto"/>
            <w:left w:val="none" w:sz="0" w:space="0" w:color="auto"/>
            <w:bottom w:val="none" w:sz="0" w:space="0" w:color="auto"/>
            <w:right w:val="none" w:sz="0" w:space="0" w:color="auto"/>
          </w:divBdr>
        </w:div>
        <w:div w:id="385908160">
          <w:marLeft w:val="1166"/>
          <w:marRight w:val="0"/>
          <w:marTop w:val="96"/>
          <w:marBottom w:val="0"/>
          <w:divBdr>
            <w:top w:val="none" w:sz="0" w:space="0" w:color="auto"/>
            <w:left w:val="none" w:sz="0" w:space="0" w:color="auto"/>
            <w:bottom w:val="none" w:sz="0" w:space="0" w:color="auto"/>
            <w:right w:val="none" w:sz="0" w:space="0" w:color="auto"/>
          </w:divBdr>
        </w:div>
        <w:div w:id="1332564625">
          <w:marLeft w:val="446"/>
          <w:marRight w:val="0"/>
          <w:marTop w:val="96"/>
          <w:marBottom w:val="0"/>
          <w:divBdr>
            <w:top w:val="none" w:sz="0" w:space="0" w:color="auto"/>
            <w:left w:val="none" w:sz="0" w:space="0" w:color="auto"/>
            <w:bottom w:val="none" w:sz="0" w:space="0" w:color="auto"/>
            <w:right w:val="none" w:sz="0" w:space="0" w:color="auto"/>
          </w:divBdr>
        </w:div>
        <w:div w:id="1489127222">
          <w:marLeft w:val="1627"/>
          <w:marRight w:val="0"/>
          <w:marTop w:val="86"/>
          <w:marBottom w:val="0"/>
          <w:divBdr>
            <w:top w:val="none" w:sz="0" w:space="0" w:color="auto"/>
            <w:left w:val="none" w:sz="0" w:space="0" w:color="auto"/>
            <w:bottom w:val="none" w:sz="0" w:space="0" w:color="auto"/>
            <w:right w:val="none" w:sz="0" w:space="0" w:color="auto"/>
          </w:divBdr>
        </w:div>
        <w:div w:id="2045787006">
          <w:marLeft w:val="1166"/>
          <w:marRight w:val="0"/>
          <w:marTop w:val="96"/>
          <w:marBottom w:val="0"/>
          <w:divBdr>
            <w:top w:val="none" w:sz="0" w:space="0" w:color="auto"/>
            <w:left w:val="none" w:sz="0" w:space="0" w:color="auto"/>
            <w:bottom w:val="none" w:sz="0" w:space="0" w:color="auto"/>
            <w:right w:val="none" w:sz="0" w:space="0" w:color="auto"/>
          </w:divBdr>
        </w:div>
      </w:divsChild>
    </w:div>
    <w:div w:id="1847356133">
      <w:bodyDiv w:val="1"/>
      <w:marLeft w:val="0"/>
      <w:marRight w:val="0"/>
      <w:marTop w:val="0"/>
      <w:marBottom w:val="0"/>
      <w:divBdr>
        <w:top w:val="none" w:sz="0" w:space="0" w:color="auto"/>
        <w:left w:val="none" w:sz="0" w:space="0" w:color="auto"/>
        <w:bottom w:val="none" w:sz="0" w:space="0" w:color="auto"/>
        <w:right w:val="none" w:sz="0" w:space="0" w:color="auto"/>
      </w:divBdr>
      <w:divsChild>
        <w:div w:id="18630263">
          <w:marLeft w:val="1728"/>
          <w:marRight w:val="0"/>
          <w:marTop w:val="96"/>
          <w:marBottom w:val="0"/>
          <w:divBdr>
            <w:top w:val="none" w:sz="0" w:space="0" w:color="auto"/>
            <w:left w:val="none" w:sz="0" w:space="0" w:color="auto"/>
            <w:bottom w:val="none" w:sz="0" w:space="0" w:color="auto"/>
            <w:right w:val="none" w:sz="0" w:space="0" w:color="auto"/>
          </w:divBdr>
        </w:div>
        <w:div w:id="1459297385">
          <w:marLeft w:val="1728"/>
          <w:marRight w:val="0"/>
          <w:marTop w:val="96"/>
          <w:marBottom w:val="0"/>
          <w:divBdr>
            <w:top w:val="none" w:sz="0" w:space="0" w:color="auto"/>
            <w:left w:val="none" w:sz="0" w:space="0" w:color="auto"/>
            <w:bottom w:val="none" w:sz="0" w:space="0" w:color="auto"/>
            <w:right w:val="none" w:sz="0" w:space="0" w:color="auto"/>
          </w:divBdr>
        </w:div>
      </w:divsChild>
    </w:div>
    <w:div w:id="1932355407">
      <w:bodyDiv w:val="1"/>
      <w:marLeft w:val="0"/>
      <w:marRight w:val="0"/>
      <w:marTop w:val="0"/>
      <w:marBottom w:val="0"/>
      <w:divBdr>
        <w:top w:val="none" w:sz="0" w:space="0" w:color="auto"/>
        <w:left w:val="none" w:sz="0" w:space="0" w:color="auto"/>
        <w:bottom w:val="none" w:sz="0" w:space="0" w:color="auto"/>
        <w:right w:val="none" w:sz="0" w:space="0" w:color="auto"/>
      </w:divBdr>
    </w:div>
    <w:div w:id="2010253735">
      <w:bodyDiv w:val="1"/>
      <w:marLeft w:val="0"/>
      <w:marRight w:val="0"/>
      <w:marTop w:val="0"/>
      <w:marBottom w:val="0"/>
      <w:divBdr>
        <w:top w:val="none" w:sz="0" w:space="0" w:color="auto"/>
        <w:left w:val="none" w:sz="0" w:space="0" w:color="auto"/>
        <w:bottom w:val="none" w:sz="0" w:space="0" w:color="auto"/>
        <w:right w:val="none" w:sz="0" w:space="0" w:color="auto"/>
      </w:divBdr>
    </w:div>
    <w:div w:id="20148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45646503eb90aad3c39510dd8c34b7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f8cab7e4ccbfbc41cc31f1d986c8c6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7B89-B165-4535-9939-3D454B069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C2110-0607-4D7C-8A3B-E0A16F6A133F}">
  <ds:schemaRefs>
    <ds:schemaRef ds:uri="http://schemas.microsoft.com/sharepoint/v3/contenttype/forms"/>
  </ds:schemaRefs>
</ds:datastoreItem>
</file>

<file path=customXml/itemProps3.xml><?xml version="1.0" encoding="utf-8"?>
<ds:datastoreItem xmlns:ds="http://schemas.openxmlformats.org/officeDocument/2006/customXml" ds:itemID="{69883C1A-EF33-4C33-ABF4-8029EBA868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1925E9-68A2-4B96-943A-11464524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Policies and Procedures for Prior Experience Assessments - 2011-2016 Grant Cycle under the Talent Search Program (MS Word)</vt:lpstr>
    </vt:vector>
  </TitlesOfParts>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Prior Experience Assessments - 2011-2016 Grant Cycle under the Talent Search Program (MS Word)</dc:title>
  <dc:creator/>
  <cp:lastModifiedBy/>
  <cp:revision>1</cp:revision>
  <dcterms:created xsi:type="dcterms:W3CDTF">2019-10-23T20:21:00Z</dcterms:created>
  <dcterms:modified xsi:type="dcterms:W3CDTF">2019-10-23T21:21:00Z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