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5CCC3995"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Prior Experience (PE)</w:t>
      </w:r>
      <w:r>
        <w:rPr>
          <w:rFonts w:ascii="Constantia" w:eastAsia="Calibri" w:hAnsi="Constantia" w:cs="Constantia,BoldItalic"/>
          <w:b/>
          <w:bCs/>
          <w:i/>
          <w:iCs/>
          <w:color w:val="002060"/>
          <w:sz w:val="24"/>
          <w:szCs w:val="24"/>
        </w:rPr>
        <w:t xml:space="preserve"> Assessment</w:t>
      </w:r>
      <w:r w:rsidR="008228E3">
        <w:rPr>
          <w:rFonts w:ascii="Constantia" w:eastAsia="Calibri" w:hAnsi="Constantia" w:cs="Constantia,BoldItalic"/>
          <w:b/>
          <w:bCs/>
          <w:i/>
          <w:iCs/>
          <w:color w:val="002060"/>
          <w:sz w:val="24"/>
          <w:szCs w:val="24"/>
        </w:rPr>
        <w:t>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C203E2">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21</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5C3431D0"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 xml:space="preserve">sessing </w:t>
      </w:r>
      <w:r w:rsidR="008228E3">
        <w:rPr>
          <w:rFonts w:ascii="Constantia" w:eastAsia="Calibri" w:hAnsi="Constantia" w:cs="Constantia,BoldItalic"/>
          <w:b/>
          <w:bCs/>
          <w:i/>
          <w:iCs/>
          <w:color w:val="002060"/>
          <w:sz w:val="24"/>
          <w:szCs w:val="24"/>
          <w:u w:val="single"/>
        </w:rPr>
        <w:t xml:space="preserve">prior experience (PE) points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6C5F815D" w14:textId="4733EB2F" w:rsidR="008228E3" w:rsidRDefault="00927A90" w:rsidP="00CE737A">
      <w:pPr>
        <w:pStyle w:val="ListParagraph"/>
        <w:numPr>
          <w:ilvl w:val="0"/>
          <w:numId w:val="16"/>
        </w:numPr>
        <w:spacing w:line="240" w:lineRule="auto"/>
        <w:rPr>
          <w:rFonts w:ascii="Constantia" w:hAnsi="Constantia"/>
          <w:sz w:val="20"/>
          <w:szCs w:val="20"/>
        </w:rPr>
      </w:pPr>
      <w:r w:rsidRPr="008F5D13">
        <w:rPr>
          <w:rFonts w:ascii="Constantia" w:hAnsi="Constantia"/>
          <w:sz w:val="20"/>
          <w:szCs w:val="20"/>
        </w:rPr>
        <w:t>The</w:t>
      </w:r>
      <w:r w:rsidR="00CE737A">
        <w:rPr>
          <w:rFonts w:ascii="Constantia" w:hAnsi="Constantia"/>
          <w:sz w:val="20"/>
          <w:szCs w:val="20"/>
        </w:rPr>
        <w:t xml:space="preserve"> </w:t>
      </w:r>
      <w:r w:rsidR="008228E3">
        <w:rPr>
          <w:rFonts w:ascii="Constantia" w:hAnsi="Constantia"/>
          <w:sz w:val="20"/>
          <w:szCs w:val="20"/>
        </w:rPr>
        <w:t>PE assessment years are 2017-18, 2018-19, and 2019-20.</w:t>
      </w:r>
    </w:p>
    <w:p w14:paraId="1FB4C574" w14:textId="34573D46" w:rsidR="00CE737A" w:rsidRDefault="008228E3"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w:t>
      </w:r>
      <w:r w:rsidR="00CE737A">
        <w:rPr>
          <w:rFonts w:ascii="Constantia" w:hAnsi="Constantia"/>
          <w:sz w:val="20"/>
          <w:szCs w:val="20"/>
        </w:rPr>
        <w:t>calculation of</w:t>
      </w:r>
      <w:r>
        <w:rPr>
          <w:rFonts w:ascii="Constantia" w:hAnsi="Constantia"/>
          <w:sz w:val="20"/>
          <w:szCs w:val="20"/>
        </w:rPr>
        <w:t xml:space="preserve"> PE points for the three assessment years</w:t>
      </w:r>
      <w:r w:rsidR="00CE737A">
        <w:rPr>
          <w:rFonts w:ascii="Constantia" w:hAnsi="Constantia"/>
          <w:sz w:val="20"/>
          <w:szCs w:val="20"/>
        </w:rPr>
        <w:t xml:space="preserve"> is based on:</w:t>
      </w:r>
      <w:r w:rsidR="00927A90"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6DE99E64"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 xml:space="preserve">For the 2016-21 grant </w:t>
      </w:r>
      <w:proofErr w:type="gramStart"/>
      <w:r w:rsidRPr="00166360">
        <w:rPr>
          <w:rFonts w:ascii="Constantia" w:hAnsi="Constantia"/>
          <w:sz w:val="20"/>
          <w:szCs w:val="20"/>
        </w:rPr>
        <w:t>cycle</w:t>
      </w:r>
      <w:proofErr w:type="gramEnd"/>
      <w:r w:rsidRPr="00166360">
        <w:rPr>
          <w:rFonts w:ascii="Constantia" w:hAnsi="Constantia"/>
          <w:sz w:val="20"/>
          <w:szCs w:val="20"/>
        </w:rPr>
        <w:t>, a project</w:t>
      </w:r>
      <w:r w:rsidR="00166360" w:rsidRPr="00166360">
        <w:rPr>
          <w:rFonts w:ascii="Constantia" w:hAnsi="Constantia"/>
          <w:sz w:val="20"/>
          <w:szCs w:val="20"/>
        </w:rPr>
        <w:t xml:space="preserve"> that was previously funding in the 2011-1</w:t>
      </w:r>
      <w:r w:rsidR="00083135">
        <w:rPr>
          <w:rFonts w:ascii="Constantia" w:hAnsi="Constantia"/>
          <w:sz w:val="20"/>
          <w:szCs w:val="20"/>
        </w:rPr>
        <w:t>6</w:t>
      </w:r>
      <w:r w:rsidR="00166360" w:rsidRPr="00166360">
        <w:rPr>
          <w:rFonts w:ascii="Constantia" w:hAnsi="Constantia"/>
          <w:sz w:val="20"/>
          <w:szCs w:val="20"/>
        </w:rPr>
        <w:t xml:space="preserve"> cycle can </w:t>
      </w:r>
      <w:r w:rsidRPr="00166360">
        <w:rPr>
          <w:rFonts w:ascii="Constantia" w:hAnsi="Constantia"/>
          <w:sz w:val="20"/>
          <w:szCs w:val="20"/>
        </w:rPr>
        <w:t>earn up to a total of 15 points for each year assessed</w:t>
      </w:r>
      <w:r w:rsidRPr="00060FA1">
        <w:rPr>
          <w:rFonts w:ascii="Constantia" w:hAnsi="Constantia"/>
          <w:sz w:val="20"/>
          <w:szCs w:val="20"/>
        </w:rPr>
        <w:t xml:space="preserve">.  </w:t>
      </w:r>
      <w:r w:rsidR="00A73234" w:rsidRPr="00060FA1">
        <w:rPr>
          <w:rFonts w:ascii="Constantia" w:hAnsi="Constantia"/>
          <w:sz w:val="20"/>
          <w:szCs w:val="20"/>
        </w:rPr>
        <w:t>This includes the postsecondary completion (attainment) objective that</w:t>
      </w:r>
      <w:r w:rsidR="00C333F9" w:rsidRPr="00060FA1">
        <w:rPr>
          <w:rFonts w:ascii="Constantia" w:hAnsi="Constantia"/>
          <w:sz w:val="20"/>
          <w:szCs w:val="20"/>
        </w:rPr>
        <w:t xml:space="preserve"> will be assessed </w:t>
      </w:r>
      <w:r w:rsidR="00166360" w:rsidRPr="00060FA1">
        <w:rPr>
          <w:rFonts w:ascii="Constantia" w:hAnsi="Constantia"/>
          <w:sz w:val="20"/>
          <w:szCs w:val="20"/>
        </w:rPr>
        <w:t xml:space="preserve">starting </w:t>
      </w:r>
      <w:r w:rsidR="00C333F9" w:rsidRPr="00060FA1">
        <w:rPr>
          <w:rFonts w:ascii="Constantia" w:hAnsi="Constantia"/>
          <w:sz w:val="20"/>
          <w:szCs w:val="20"/>
        </w:rPr>
        <w:t xml:space="preserve">in the 2017-18 APR. </w:t>
      </w:r>
      <w:r w:rsidR="00166360" w:rsidRPr="00060FA1">
        <w:rPr>
          <w:rFonts w:ascii="Constantia" w:hAnsi="Constantia"/>
          <w:sz w:val="20"/>
          <w:szCs w:val="20"/>
        </w:rPr>
        <w:t xml:space="preserve">Projects </w:t>
      </w:r>
      <w:r w:rsidR="00166360" w:rsidRPr="00166360">
        <w:rPr>
          <w:rFonts w:ascii="Constantia" w:hAnsi="Constantia"/>
          <w:sz w:val="20"/>
          <w:szCs w:val="20"/>
        </w:rPr>
        <w:t xml:space="preserve">first funded in the 2016–21 cycle will not be able to report on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points for each year assessed.  </w:t>
      </w:r>
      <w:r w:rsidRPr="00166360">
        <w:rPr>
          <w:rFonts w:ascii="Constantia" w:hAnsi="Constantia"/>
          <w:sz w:val="20"/>
          <w:szCs w:val="20"/>
        </w:rPr>
        <w:t>The final PE score is the average of the scores for the three years assessed</w:t>
      </w:r>
      <w:r w:rsidR="00A73234" w:rsidRPr="00166360">
        <w:rPr>
          <w:rFonts w:ascii="Constantia" w:hAnsi="Constantia"/>
          <w:sz w:val="20"/>
          <w:szCs w:val="20"/>
        </w:rPr>
        <w:t xml:space="preserve"> (see 34 CFR 643</w:t>
      </w:r>
      <w:r w:rsidRPr="00166360">
        <w:rPr>
          <w:rFonts w:ascii="Constantia" w:hAnsi="Constantia"/>
          <w:sz w:val="20"/>
          <w:szCs w:val="20"/>
        </w:rPr>
        <w:t>.2</w:t>
      </w:r>
      <w:r w:rsidR="00A73234" w:rsidRPr="00166360">
        <w:rPr>
          <w:rFonts w:ascii="Constantia" w:hAnsi="Constantia"/>
          <w:sz w:val="20"/>
          <w:szCs w:val="20"/>
        </w:rPr>
        <w:t>0 (a</w:t>
      </w:r>
      <w:proofErr w:type="gramStart"/>
      <w:r w:rsidR="00A73234" w:rsidRPr="00166360">
        <w:rPr>
          <w:rFonts w:ascii="Constantia" w:hAnsi="Constantia"/>
          <w:sz w:val="20"/>
          <w:szCs w:val="20"/>
        </w:rPr>
        <w:t>)(</w:t>
      </w:r>
      <w:proofErr w:type="gramEnd"/>
      <w:r w:rsidR="00A73234" w:rsidRPr="00166360">
        <w:rPr>
          <w:rFonts w:ascii="Constantia" w:hAnsi="Constantia"/>
          <w:sz w:val="20"/>
          <w:szCs w:val="20"/>
        </w:rPr>
        <w:t>2)</w:t>
      </w:r>
      <w:r w:rsidRPr="00166360">
        <w:rPr>
          <w:rFonts w:ascii="Constantia" w:hAnsi="Constantia"/>
          <w:sz w:val="20"/>
          <w:szCs w:val="20"/>
        </w:rPr>
        <w:t>).</w:t>
      </w:r>
    </w:p>
    <w:p w14:paraId="6EAC546D" w14:textId="77777777" w:rsidR="008228E3" w:rsidRDefault="008228E3" w:rsidP="008228E3">
      <w:pPr>
        <w:pStyle w:val="ListParagraph"/>
        <w:spacing w:line="240" w:lineRule="auto"/>
        <w:rPr>
          <w:rFonts w:ascii="Constantia" w:hAnsi="Constantia"/>
          <w:b/>
          <w:sz w:val="20"/>
          <w:szCs w:val="20"/>
        </w:rPr>
      </w:pPr>
    </w:p>
    <w:p w14:paraId="4D511091" w14:textId="366E4B4E"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333F9" w:rsidRPr="00F347C8">
        <w:rPr>
          <w:rFonts w:ascii="Constantia" w:hAnsi="Constantia"/>
          <w:b/>
          <w:sz w:val="20"/>
          <w:szCs w:val="20"/>
        </w:rPr>
        <w:t xml:space="preserve">in the assessment year is </w:t>
      </w:r>
      <w:r w:rsidR="00C333F9" w:rsidRPr="00F347C8">
        <w:rPr>
          <w:rFonts w:ascii="Constantia" w:hAnsi="Constantia"/>
          <w:b/>
          <w:sz w:val="20"/>
          <w:szCs w:val="20"/>
          <w:u w:val="single"/>
        </w:rPr>
        <w:t>not</w:t>
      </w:r>
      <w:r w:rsidR="00C333F9" w:rsidRPr="00F347C8">
        <w:rPr>
          <w:rFonts w:ascii="Constantia" w:hAnsi="Constantia"/>
          <w:b/>
          <w:sz w:val="20"/>
          <w:szCs w:val="20"/>
        </w:rPr>
        <w:t xml:space="preserve"> eligible to </w:t>
      </w:r>
      <w:r w:rsidR="00C333F9">
        <w:rPr>
          <w:rFonts w:ascii="Constantia" w:hAnsi="Constantia"/>
          <w:b/>
          <w:sz w:val="20"/>
          <w:szCs w:val="20"/>
        </w:rPr>
        <w:t>earn</w:t>
      </w:r>
      <w:r w:rsidR="00C333F9" w:rsidRPr="00F347C8">
        <w:rPr>
          <w:rFonts w:ascii="Constantia" w:hAnsi="Constantia"/>
          <w:b/>
          <w:sz w:val="20"/>
          <w:szCs w:val="20"/>
        </w:rPr>
        <w:t xml:space="preserve"> points for </w:t>
      </w:r>
      <w:r w:rsidR="00C333F9" w:rsidRPr="00F347C8">
        <w:rPr>
          <w:rFonts w:ascii="Constantia" w:hAnsi="Constantia"/>
          <w:b/>
          <w:sz w:val="20"/>
          <w:szCs w:val="20"/>
          <w:u w:val="single"/>
        </w:rPr>
        <w:t>any</w:t>
      </w:r>
      <w:r w:rsidR="00C333F9" w:rsidRPr="00F347C8">
        <w:rPr>
          <w:rFonts w:ascii="Constantia" w:hAnsi="Constantia"/>
          <w:b/>
          <w:sz w:val="20"/>
          <w:szCs w:val="20"/>
        </w:rPr>
        <w:t xml:space="preserve"> of the PE criteria in the assessment </w:t>
      </w:r>
      <w:r w:rsidR="00C333F9" w:rsidRPr="00110479">
        <w:rPr>
          <w:rFonts w:ascii="Constantia" w:hAnsi="Constantia"/>
          <w:b/>
          <w:sz w:val="24"/>
          <w:szCs w:val="24"/>
        </w:rPr>
        <w:t xml:space="preserve">year </w:t>
      </w:r>
      <w:r w:rsidR="00C333F9" w:rsidRPr="00110479">
        <w:rPr>
          <w:rFonts w:ascii="Constantia" w:hAnsi="Constantia"/>
          <w:b/>
          <w:sz w:val="20"/>
          <w:szCs w:val="20"/>
        </w:rPr>
        <w:t>(see</w:t>
      </w:r>
      <w:r w:rsidR="00C333F9" w:rsidRPr="00087993">
        <w:rPr>
          <w:rFonts w:ascii="Constantia" w:hAnsi="Constantia"/>
          <w:sz w:val="20"/>
          <w:szCs w:val="20"/>
        </w:rPr>
        <w:t xml:space="preserve"> </w:t>
      </w:r>
      <w:r w:rsidR="00C333F9" w:rsidRPr="00087993">
        <w:rPr>
          <w:rFonts w:ascii="Constantia" w:hAnsi="Constantia" w:cs="Arial"/>
          <w:b/>
          <w:bCs/>
          <w:sz w:val="20"/>
          <w:szCs w:val="20"/>
        </w:rPr>
        <w:t xml:space="preserve">34 CFR </w:t>
      </w:r>
      <w:r w:rsidR="00C333F9">
        <w:rPr>
          <w:rFonts w:ascii="Constantia" w:hAnsi="Constantia" w:cs="Arial"/>
          <w:b/>
          <w:bCs/>
          <w:sz w:val="20"/>
          <w:szCs w:val="20"/>
        </w:rPr>
        <w:t>643</w:t>
      </w:r>
      <w:r w:rsidR="00C333F9" w:rsidRPr="00087993">
        <w:rPr>
          <w:rFonts w:ascii="Constantia" w:hAnsi="Constantia" w:cs="Arial"/>
          <w:b/>
          <w:bCs/>
          <w:sz w:val="20"/>
          <w:szCs w:val="20"/>
        </w:rPr>
        <w:t>.22(</w:t>
      </w:r>
      <w:r w:rsidR="00C333F9">
        <w:rPr>
          <w:rFonts w:ascii="Constantia" w:hAnsi="Constantia" w:cs="Arial"/>
          <w:b/>
          <w:bCs/>
          <w:sz w:val="20"/>
          <w:szCs w:val="20"/>
        </w:rPr>
        <w:t>b</w:t>
      </w:r>
      <w:r w:rsidR="00C333F9" w:rsidRPr="00087993">
        <w:rPr>
          <w:rFonts w:ascii="Constantia" w:hAnsi="Constantia" w:cs="Arial"/>
          <w:b/>
          <w:bCs/>
          <w:sz w:val="20"/>
          <w:szCs w:val="20"/>
        </w:rPr>
        <w:t>)</w:t>
      </w:r>
      <w:r w:rsidR="00C333F9">
        <w:rPr>
          <w:rFonts w:ascii="Constantia" w:hAnsi="Constantia" w:cs="Arial"/>
          <w:b/>
          <w:bCs/>
          <w:sz w:val="20"/>
          <w:szCs w:val="20"/>
        </w:rPr>
        <w:t>)</w:t>
      </w:r>
      <w:r w:rsidR="00C333F9" w:rsidRPr="00087993">
        <w:rPr>
          <w:rFonts w:ascii="Constantia" w:hAnsi="Constantia"/>
          <w:b/>
          <w:sz w:val="20"/>
          <w:szCs w:val="20"/>
        </w:rPr>
        <w:t>.</w:t>
      </w:r>
      <w:r w:rsidR="00CE737A">
        <w:rPr>
          <w:rFonts w:ascii="Constantia" w:hAnsi="Constantia"/>
          <w:b/>
          <w:sz w:val="20"/>
          <w:szCs w:val="20"/>
        </w:rPr>
        <w:t xml:space="preserve"> </w:t>
      </w:r>
    </w:p>
    <w:p w14:paraId="39F5717A" w14:textId="77777777"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 xml:space="preserve">To determine if a project has served at least 90 percent of the approved number of student to be </w:t>
      </w:r>
      <w:proofErr w:type="gramStart"/>
      <w:r>
        <w:rPr>
          <w:rFonts w:ascii="Constantia" w:hAnsi="Constantia"/>
          <w:sz w:val="20"/>
          <w:szCs w:val="20"/>
        </w:rPr>
        <w:t>served</w:t>
      </w:r>
      <w:proofErr w:type="gramEnd"/>
      <w:r>
        <w:rPr>
          <w:rFonts w:ascii="Constantia" w:hAnsi="Constantia"/>
          <w:sz w:val="20"/>
          <w:szCs w:val="20"/>
        </w:rPr>
        <w:t>,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404BB53F"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333F9">
        <w:rPr>
          <w:rFonts w:ascii="Constantia" w:hAnsi="Constantia"/>
          <w:sz w:val="20"/>
          <w:szCs w:val="20"/>
        </w:rPr>
        <w:t xml:space="preserve">earn PE points </w:t>
      </w:r>
      <w:r w:rsidR="00CE737A">
        <w:rPr>
          <w:rFonts w:ascii="Constantia" w:hAnsi="Constantia"/>
          <w:sz w:val="20"/>
          <w:szCs w:val="20"/>
        </w:rPr>
        <w:t xml:space="preserve">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7A96BA8C" w:rsidR="00C333F9" w:rsidRPr="00E106C6" w:rsidRDefault="00C333F9" w:rsidP="00E106C6">
      <w:pPr>
        <w:pStyle w:val="ListParagraph"/>
        <w:spacing w:line="240" w:lineRule="auto"/>
        <w:rPr>
          <w:rFonts w:ascii="Constantia" w:hAnsi="Constantia"/>
          <w:sz w:val="20"/>
          <w:szCs w:val="20"/>
        </w:rPr>
      </w:pPr>
      <w:r w:rsidRPr="00E106C6">
        <w:rPr>
          <w:rFonts w:ascii="Constantia" w:hAnsi="Constantia"/>
          <w:sz w:val="20"/>
          <w:szCs w:val="20"/>
        </w:rPr>
        <w:t>A TS project funded in the current grant cycle (201</w:t>
      </w:r>
      <w:r w:rsidR="00E106C6" w:rsidRPr="00E106C6">
        <w:rPr>
          <w:rFonts w:ascii="Constantia" w:hAnsi="Constantia"/>
          <w:sz w:val="20"/>
          <w:szCs w:val="20"/>
        </w:rPr>
        <w:t>6</w:t>
      </w:r>
      <w:r w:rsidRPr="00E106C6">
        <w:rPr>
          <w:rFonts w:ascii="Constantia" w:hAnsi="Constantia"/>
          <w:sz w:val="20"/>
          <w:szCs w:val="20"/>
        </w:rPr>
        <w:t>-</w:t>
      </w:r>
      <w:r w:rsidR="00E106C6" w:rsidRPr="00E106C6">
        <w:rPr>
          <w:rFonts w:ascii="Constantia" w:hAnsi="Constantia"/>
          <w:sz w:val="20"/>
          <w:szCs w:val="20"/>
        </w:rPr>
        <w:t>2</w:t>
      </w:r>
      <w:r w:rsidRPr="00E106C6">
        <w:rPr>
          <w:rFonts w:ascii="Constantia" w:hAnsi="Constantia"/>
          <w:sz w:val="20"/>
          <w:szCs w:val="20"/>
        </w:rPr>
        <w:t>1) that submits the</w:t>
      </w:r>
      <w:r w:rsidR="00AD2857">
        <w:rPr>
          <w:rFonts w:ascii="Constantia" w:hAnsi="Constantia"/>
          <w:sz w:val="20"/>
          <w:szCs w:val="20"/>
        </w:rPr>
        <w:t>ir</w:t>
      </w:r>
      <w:r w:rsidRPr="00E106C6">
        <w:rPr>
          <w:rFonts w:ascii="Constantia" w:hAnsi="Constantia"/>
          <w:sz w:val="20"/>
          <w:szCs w:val="20"/>
        </w:rPr>
        <w:t xml:space="preserve"> APR for each of the assessment years is eligible to earn PE point</w:t>
      </w:r>
      <w:r w:rsidRPr="00650236">
        <w:rPr>
          <w:rFonts w:ascii="Constantia" w:hAnsi="Constantia"/>
          <w:sz w:val="20"/>
          <w:szCs w:val="20"/>
        </w:rPr>
        <w:t xml:space="preserve">s for the following PE criteria: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71DD8541" w14:textId="037F948F" w:rsidR="00087993" w:rsidRPr="00CE737A" w:rsidRDefault="00083135"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PE points are awarded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CE737A">
        <w:rPr>
          <w:rFonts w:ascii="Constantia" w:hAnsi="Constantia"/>
          <w:sz w:val="20"/>
          <w:szCs w:val="20"/>
        </w:rPr>
        <w:t xml:space="preserve"> </w:t>
      </w:r>
      <w:r w:rsidR="004A5964" w:rsidRPr="00CE737A">
        <w:rPr>
          <w:rFonts w:ascii="Constantia" w:hAnsi="Constantia"/>
          <w:sz w:val="20"/>
          <w:szCs w:val="20"/>
        </w:rPr>
        <w:t>If the calculated rate</w:t>
      </w:r>
      <w:r w:rsidR="00CE737A">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 xml:space="preserve">Secondary School Persistence; Secondary School Graduation (regular diploma); Secondary School Graduation (rigorous program of study); and Postsecondary Education Enrollment </w:t>
      </w:r>
      <w:r w:rsidR="004A5964" w:rsidRPr="00CE737A">
        <w:rPr>
          <w:rFonts w:ascii="Constantia" w:hAnsi="Constantia"/>
          <w:sz w:val="20"/>
          <w:szCs w:val="20"/>
        </w:rPr>
        <w:t>objectives.</w:t>
      </w:r>
    </w:p>
    <w:p w14:paraId="5A4E054C" w14:textId="5072E3A0"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F45E4F">
        <w:rPr>
          <w:rFonts w:ascii="Constantia" w:eastAsia="Constantia" w:hAnsi="Constantia" w:cs="Constantia"/>
          <w:b/>
          <w:i/>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AD2857">
        <w:rPr>
          <w:rFonts w:ascii="Constantia" w:eastAsia="Constantia" w:hAnsi="Constantia" w:cs="Constantia"/>
          <w:sz w:val="20"/>
          <w:szCs w:val="20"/>
        </w:rPr>
        <w:t>PE 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4C0EF3DB" w14:textId="4A253B14" w:rsidR="004A5964" w:rsidRDefault="00FB1FF6" w:rsidP="00190082">
      <w:pPr>
        <w:pStyle w:val="PlainText"/>
        <w:numPr>
          <w:ilvl w:val="0"/>
          <w:numId w:val="16"/>
        </w:numPr>
        <w:rPr>
          <w:rFonts w:ascii="Constantia" w:hAnsi="Constantia"/>
          <w:sz w:val="20"/>
          <w:szCs w:val="20"/>
        </w:rPr>
      </w:pPr>
      <w:r w:rsidRPr="00FB1FF6">
        <w:rPr>
          <w:rFonts w:ascii="Constantia" w:hAnsi="Constantia"/>
          <w:sz w:val="20"/>
          <w:szCs w:val="20"/>
        </w:rPr>
        <w:t xml:space="preserve">A project that does </w:t>
      </w:r>
      <w:r w:rsidR="00905832">
        <w:rPr>
          <w:rFonts w:ascii="Constantia" w:hAnsi="Constantia"/>
          <w:sz w:val="20"/>
          <w:szCs w:val="20"/>
        </w:rPr>
        <w:t xml:space="preserve">not </w:t>
      </w:r>
      <w:r w:rsidRPr="00FB1FF6">
        <w:rPr>
          <w:rFonts w:ascii="Constantia" w:hAnsi="Constantia"/>
          <w:sz w:val="20"/>
          <w:szCs w:val="20"/>
        </w:rPr>
        <w:t xml:space="preserve">submit an APR </w:t>
      </w:r>
      <w:r w:rsidR="00905832">
        <w:rPr>
          <w:rFonts w:ascii="Constantia" w:hAnsi="Constantia"/>
          <w:sz w:val="20"/>
          <w:szCs w:val="20"/>
        </w:rPr>
        <w:t>in</w:t>
      </w:r>
      <w:r w:rsidR="00CE737A">
        <w:rPr>
          <w:rFonts w:ascii="Constantia" w:hAnsi="Constantia"/>
          <w:sz w:val="20"/>
          <w:szCs w:val="20"/>
        </w:rPr>
        <w:t xml:space="preserve"> this reporting period will not receive </w:t>
      </w:r>
      <w:r w:rsidR="00AD2857">
        <w:rPr>
          <w:rFonts w:ascii="Constantia" w:hAnsi="Constantia"/>
          <w:sz w:val="20"/>
          <w:szCs w:val="20"/>
        </w:rPr>
        <w:t>PE points</w:t>
      </w:r>
      <w:r w:rsidR="00CE737A">
        <w:rPr>
          <w:rFonts w:ascii="Constantia" w:hAnsi="Constantia"/>
          <w:sz w:val="20"/>
          <w:szCs w:val="20"/>
        </w:rPr>
        <w:t>.</w:t>
      </w:r>
      <w:r w:rsidR="005D08D6">
        <w:rPr>
          <w:rFonts w:ascii="Constantia" w:hAnsi="Constantia"/>
          <w:sz w:val="20"/>
          <w:szCs w:val="20"/>
        </w:rPr>
        <w:t xml:space="preserve"> In addition, the project </w:t>
      </w:r>
      <w:r w:rsidR="00EE2BB4">
        <w:rPr>
          <w:rFonts w:ascii="Constantia" w:hAnsi="Constantia"/>
          <w:sz w:val="20"/>
          <w:szCs w:val="20"/>
        </w:rPr>
        <w:t xml:space="preserve">will </w:t>
      </w:r>
      <w:r w:rsidR="008C4687">
        <w:rPr>
          <w:rFonts w:ascii="Constantia" w:hAnsi="Constantia"/>
          <w:sz w:val="20"/>
          <w:szCs w:val="20"/>
        </w:rPr>
        <w:t xml:space="preserve">not </w:t>
      </w:r>
      <w:r w:rsidR="00CE737A">
        <w:rPr>
          <w:rFonts w:ascii="Constantia" w:hAnsi="Constantia"/>
          <w:sz w:val="20"/>
          <w:szCs w:val="20"/>
        </w:rPr>
        <w:t xml:space="preserve">receive </w:t>
      </w:r>
      <w:r w:rsidR="00AD2857">
        <w:rPr>
          <w:rFonts w:ascii="Constantia" w:hAnsi="Constantia"/>
          <w:sz w:val="20"/>
          <w:szCs w:val="20"/>
        </w:rPr>
        <w:t>PE points</w:t>
      </w:r>
      <w:r w:rsidR="00CE737A">
        <w:rPr>
          <w:rFonts w:ascii="Constantia" w:hAnsi="Constantia"/>
          <w:sz w:val="20"/>
          <w:szCs w:val="20"/>
        </w:rPr>
        <w:t xml:space="preserve"> in the subsequent assessment year for the </w:t>
      </w:r>
      <w:r w:rsidR="00CE737A" w:rsidRPr="00EC60FF">
        <w:rPr>
          <w:rFonts w:ascii="Constantia" w:hAnsi="Constantia"/>
          <w:b/>
          <w:i/>
          <w:sz w:val="20"/>
          <w:szCs w:val="20"/>
        </w:rPr>
        <w:t>Postsecondary Attainment</w:t>
      </w:r>
      <w:r w:rsidR="00CE737A">
        <w:rPr>
          <w:rFonts w:ascii="Constantia" w:hAnsi="Constantia"/>
          <w:sz w:val="20"/>
          <w:szCs w:val="20"/>
        </w:rPr>
        <w:t xml:space="preserve"> </w:t>
      </w:r>
      <w:r w:rsidR="00CE737A">
        <w:rPr>
          <w:rFonts w:ascii="Constantia" w:hAnsi="Constantia"/>
          <w:sz w:val="20"/>
          <w:szCs w:val="20"/>
        </w:rPr>
        <w:lastRenderedPageBreak/>
        <w:t xml:space="preserve">objective because </w:t>
      </w:r>
      <w:r w:rsidR="00905832">
        <w:rPr>
          <w:rFonts w:ascii="Constantia" w:hAnsi="Constantia"/>
          <w:sz w:val="20"/>
          <w:szCs w:val="20"/>
        </w:rPr>
        <w:t xml:space="preserve">the </w:t>
      </w:r>
      <w:r w:rsidR="008C4687">
        <w:rPr>
          <w:rFonts w:ascii="Constantia" w:hAnsi="Constantia"/>
          <w:sz w:val="20"/>
          <w:szCs w:val="20"/>
        </w:rPr>
        <w:t xml:space="preserve">project’s </w:t>
      </w:r>
      <w:r w:rsidR="00905832">
        <w:rPr>
          <w:rFonts w:ascii="Constantia" w:hAnsi="Constantia"/>
          <w:sz w:val="20"/>
          <w:szCs w:val="20"/>
        </w:rPr>
        <w:t xml:space="preserve">prior year’s </w:t>
      </w:r>
      <w:r w:rsidR="008C4687">
        <w:rPr>
          <w:rFonts w:ascii="Constantia" w:hAnsi="Constantia"/>
          <w:sz w:val="20"/>
          <w:szCs w:val="20"/>
        </w:rPr>
        <w:t xml:space="preserve">APR </w:t>
      </w:r>
      <w:r w:rsidR="00CE737A">
        <w:rPr>
          <w:rFonts w:ascii="Constantia" w:hAnsi="Constantia"/>
          <w:sz w:val="20"/>
          <w:szCs w:val="20"/>
        </w:rPr>
        <w:t xml:space="preserve">data file </w:t>
      </w:r>
      <w:r w:rsidR="00905832">
        <w:rPr>
          <w:rFonts w:ascii="Constantia" w:hAnsi="Constantia"/>
          <w:sz w:val="20"/>
          <w:szCs w:val="20"/>
        </w:rPr>
        <w:t>is used to verify th</w:t>
      </w:r>
      <w:r w:rsidR="008C4687">
        <w:rPr>
          <w:rFonts w:ascii="Constantia" w:hAnsi="Constantia"/>
          <w:sz w:val="20"/>
          <w:szCs w:val="20"/>
        </w:rPr>
        <w:t>at the</w:t>
      </w:r>
      <w:r w:rsidR="00CE737A">
        <w:rPr>
          <w:rFonts w:ascii="Constantia" w:hAnsi="Constantia"/>
          <w:sz w:val="20"/>
          <w:szCs w:val="20"/>
        </w:rPr>
        <w:t xml:space="preserve"> current</w:t>
      </w:r>
      <w:r w:rsidR="008C4687">
        <w:rPr>
          <w:rFonts w:ascii="Constantia" w:hAnsi="Constantia"/>
          <w:sz w:val="20"/>
          <w:szCs w:val="20"/>
        </w:rPr>
        <w:t xml:space="preserve"> </w:t>
      </w:r>
      <w:r w:rsidR="00905832">
        <w:rPr>
          <w:rFonts w:ascii="Constantia" w:hAnsi="Constantia"/>
          <w:sz w:val="20"/>
          <w:szCs w:val="20"/>
        </w:rPr>
        <w:t xml:space="preserve">data </w:t>
      </w:r>
      <w:r w:rsidRPr="00FB1FF6">
        <w:rPr>
          <w:rFonts w:ascii="Constantia" w:hAnsi="Constantia"/>
          <w:sz w:val="20"/>
          <w:szCs w:val="20"/>
        </w:rPr>
        <w:t>file</w:t>
      </w:r>
      <w:r w:rsidR="00905832">
        <w:rPr>
          <w:rFonts w:ascii="Constantia" w:hAnsi="Constantia"/>
          <w:sz w:val="20"/>
          <w:szCs w:val="20"/>
        </w:rPr>
        <w:t xml:space="preserve"> </w:t>
      </w:r>
      <w:r w:rsidR="008C4687">
        <w:rPr>
          <w:rFonts w:ascii="Constantia" w:hAnsi="Constantia"/>
          <w:sz w:val="20"/>
          <w:szCs w:val="20"/>
        </w:rPr>
        <w:t>being submitted</w:t>
      </w:r>
      <w:r w:rsidR="00CE737A">
        <w:rPr>
          <w:rFonts w:ascii="Constantia" w:hAnsi="Constantia"/>
          <w:sz w:val="20"/>
          <w:szCs w:val="20"/>
        </w:rPr>
        <w:t xml:space="preserve"> contains all</w:t>
      </w:r>
      <w:r w:rsidR="008C4687">
        <w:rPr>
          <w:rFonts w:ascii="Constantia" w:hAnsi="Constantia"/>
          <w:sz w:val="20"/>
          <w:szCs w:val="20"/>
        </w:rPr>
        <w:t xml:space="preserve"> </w:t>
      </w:r>
      <w:r w:rsidR="00190082">
        <w:rPr>
          <w:rFonts w:ascii="Constantia" w:hAnsi="Constantia"/>
          <w:sz w:val="20"/>
          <w:szCs w:val="20"/>
        </w:rPr>
        <w:t xml:space="preserve">the participant records required to </w:t>
      </w:r>
      <w:r w:rsidR="008C4687">
        <w:rPr>
          <w:rFonts w:ascii="Constantia" w:hAnsi="Constantia"/>
          <w:sz w:val="20"/>
          <w:szCs w:val="20"/>
        </w:rPr>
        <w:t>calculate</w:t>
      </w:r>
      <w:r w:rsidR="00190082">
        <w:rPr>
          <w:rFonts w:ascii="Constantia" w:hAnsi="Constantia"/>
          <w:sz w:val="20"/>
          <w:szCs w:val="20"/>
        </w:rPr>
        <w:t xml:space="preserve"> the project’s attainment rate.</w:t>
      </w:r>
      <w:r w:rsidR="00E106C6">
        <w:rPr>
          <w:rFonts w:ascii="Constantia" w:hAnsi="Constantia"/>
          <w:sz w:val="20"/>
          <w:szCs w:val="20"/>
        </w:rPr>
        <w:t xml:space="preserve"> The first year in which projects funded in the previous funding cycle (2011-16) are eligible to receive PE points for postsecondary attainment, is in 2017-18 project year—six years after the cohort year.)</w:t>
      </w:r>
    </w:p>
    <w:p w14:paraId="74AE03EE" w14:textId="77777777" w:rsidR="00190082" w:rsidRPr="00190082" w:rsidRDefault="00190082" w:rsidP="00190082">
      <w:pPr>
        <w:pStyle w:val="PlainText"/>
        <w:ind w:left="720"/>
        <w:rPr>
          <w:rFonts w:ascii="Constantia" w:hAnsi="Constantia"/>
          <w:sz w:val="20"/>
          <w:szCs w:val="20"/>
        </w:rPr>
      </w:pPr>
    </w:p>
    <w:p w14:paraId="52D9A677" w14:textId="3FF6105B" w:rsidR="00CE737A" w:rsidRPr="00CE737A" w:rsidRDefault="00064D77" w:rsidP="00171418">
      <w:pPr>
        <w:pStyle w:val="ListParagraph"/>
        <w:numPr>
          <w:ilvl w:val="0"/>
          <w:numId w:val="16"/>
        </w:numPr>
        <w:spacing w:line="240" w:lineRule="auto"/>
        <w:rPr>
          <w:rFonts w:ascii="Constantia" w:hAnsi="Constantia"/>
          <w:sz w:val="20"/>
          <w:szCs w:val="20"/>
        </w:rPr>
      </w:pPr>
      <w:r w:rsidRPr="00CE737A">
        <w:rPr>
          <w:rFonts w:ascii="Constantia" w:hAnsi="Constantia" w:cs="Tahoma"/>
          <w:sz w:val="20"/>
          <w:szCs w:val="20"/>
        </w:rPr>
        <w:t>The Department will not accept any ch</w:t>
      </w:r>
      <w:r w:rsidR="00CE737A" w:rsidRPr="00CE737A">
        <w:rPr>
          <w:rFonts w:ascii="Constantia" w:hAnsi="Constantia" w:cs="Tahoma"/>
          <w:sz w:val="20"/>
          <w:szCs w:val="20"/>
        </w:rPr>
        <w:t>anges to the project’s APR data</w:t>
      </w:r>
      <w:r w:rsidRPr="00CE737A">
        <w:rPr>
          <w:rFonts w:ascii="Constantia" w:hAnsi="Constantia" w:cs="Tahoma"/>
          <w:sz w:val="20"/>
          <w:szCs w:val="20"/>
        </w:rPr>
        <w:t xml:space="preserve"> once the APR has been submitted.</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73EEDE87" w:rsidR="004F308B" w:rsidRPr="009F7065" w:rsidRDefault="00083135"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PE points are </w:t>
      </w:r>
      <w:r w:rsidR="004177DE">
        <w:rPr>
          <w:rFonts w:ascii="Constantia" w:eastAsia="Calibri" w:hAnsi="Constantia" w:cs="Constantia"/>
          <w:sz w:val="20"/>
          <w:szCs w:val="20"/>
        </w:rPr>
        <w:t>awarded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7777777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77777777"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78765F3D" w14:textId="77777777"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 xml:space="preserve">regular secondary school diploma within the standard number of years; plus those who received a regular secondary school </w:t>
      </w:r>
      <w:r w:rsidRPr="00552410">
        <w:rPr>
          <w:rFonts w:ascii="Constantia" w:hAnsi="Constantia"/>
          <w:bCs/>
          <w:sz w:val="20"/>
          <w:szCs w:val="20"/>
        </w:rPr>
        <w:lastRenderedPageBreak/>
        <w:t>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proofErr w:type="gramStart"/>
      <w:r w:rsidR="00431361">
        <w:rPr>
          <w:rFonts w:ascii="Constantia" w:eastAsia="Constantia" w:hAnsi="Constantia" w:cs="Constantia"/>
          <w:sz w:val="20"/>
          <w:szCs w:val="20"/>
        </w:rPr>
        <w:t>who</w:t>
      </w:r>
      <w:proofErr w:type="gramEnd"/>
      <w:r w:rsidR="00431361">
        <w:rPr>
          <w:rFonts w:ascii="Constantia" w:eastAsia="Constantia" w:hAnsi="Constantia" w:cs="Constantia"/>
          <w:sz w:val="20"/>
          <w:szCs w:val="20"/>
        </w:rPr>
        <w:t xml:space="preserve">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211056F8"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C05E01" w:rsidRPr="00C646A5">
        <w:rPr>
          <w:rFonts w:ascii="Constantia" w:eastAsia="Constantia" w:hAnsi="Constantia" w:cs="Constantia"/>
          <w:sz w:val="20"/>
          <w:szCs w:val="20"/>
        </w:rPr>
        <w:t>w</w:t>
      </w:r>
      <w:r w:rsidR="000C3415" w:rsidRPr="00C646A5">
        <w:rPr>
          <w:rFonts w:ascii="Constantia" w:eastAsia="Constantia" w:hAnsi="Constantia" w:cs="Constantia"/>
          <w:sz w:val="20"/>
          <w:szCs w:val="20"/>
        </w:rPr>
        <w:t>ill</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will have received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77777777"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(includes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thus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w:t>
      </w:r>
      <w:proofErr w:type="gramStart"/>
      <w:r w:rsidR="00C05E01">
        <w:rPr>
          <w:rFonts w:ascii="Constantia" w:hAnsi="Constantia" w:cs="Calibri"/>
          <w:sz w:val="20"/>
          <w:szCs w:val="20"/>
        </w:rPr>
        <w:t xml:space="preserve">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w:t>
      </w:r>
      <w:proofErr w:type="gramEnd"/>
      <w:r w:rsidR="00C05E01">
        <w:rPr>
          <w:rFonts w:ascii="Constantia" w:hAnsi="Constantia" w:cs="Calibri"/>
          <w:sz w:val="20"/>
          <w:szCs w:val="20"/>
        </w:rPr>
        <w:t xml:space="preserv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77777777"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cohort established six years prior to the current project year who attained at least one postsecondary credential by August 31 of the project year.  (Note:  The Talent Search program’s first postsecondary enrollment cohort comprised participants</w:t>
      </w:r>
      <w:r w:rsidR="00033800">
        <w:rPr>
          <w:rFonts w:ascii="Constantia" w:hAnsi="Constantia"/>
          <w:sz w:val="20"/>
          <w:szCs w:val="20"/>
        </w:rPr>
        <w:t xml:space="preserve"> served in project year 2011–12</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2012–13,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The first project year in which the postsecondary attainment rate can be calculated is 2017–18—six years after the cohort year.)</w:t>
      </w:r>
    </w:p>
    <w:p w14:paraId="67999BCB" w14:textId="77777777" w:rsidR="002658A8" w:rsidRDefault="002658A8" w:rsidP="00552410">
      <w:pPr>
        <w:rPr>
          <w:rFonts w:ascii="Constantia" w:hAnsi="Constantia"/>
          <w:sz w:val="20"/>
          <w:szCs w:val="20"/>
        </w:rPr>
      </w:pPr>
    </w:p>
    <w:p w14:paraId="0AFAA081"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lastRenderedPageBreak/>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3BEBB943" w14:textId="2028E538" w:rsidR="002658A8" w:rsidRPr="00552410" w:rsidRDefault="002658A8" w:rsidP="00552410">
      <w:pPr>
        <w:numPr>
          <w:ilvl w:val="0"/>
          <w:numId w:val="47"/>
        </w:numPr>
        <w:rPr>
          <w:rFonts w:ascii="Constantia" w:hAnsi="Constantia"/>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w:t>
      </w:r>
      <w:r w:rsidR="00552410" w:rsidRPr="00552410">
        <w:rPr>
          <w:rFonts w:ascii="Constantia" w:hAnsi="Constantia" w:cs="Calibri"/>
          <w:b/>
          <w:sz w:val="20"/>
          <w:szCs w:val="20"/>
          <w:u w:val="single"/>
        </w:rPr>
        <w:t xml:space="preserve">r </w:t>
      </w:r>
      <w:r w:rsidR="00552410" w:rsidRPr="00552410">
        <w:rPr>
          <w:rFonts w:ascii="Constantia" w:hAnsi="Constantia" w:cs="Calibri"/>
          <w:sz w:val="20"/>
          <w:szCs w:val="20"/>
        </w:rPr>
        <w:t xml:space="preserve">is the </w:t>
      </w:r>
      <w:r w:rsidR="00901CAD">
        <w:rPr>
          <w:rFonts w:ascii="Constantia" w:hAnsi="Constantia" w:cs="Calibri"/>
          <w:sz w:val="20"/>
          <w:szCs w:val="20"/>
        </w:rPr>
        <w:t xml:space="preserve">total </w:t>
      </w:r>
      <w:r w:rsidR="00552410" w:rsidRPr="00552410">
        <w:rPr>
          <w:rFonts w:ascii="Constantia" w:hAnsi="Constantia" w:cs="Calibri"/>
          <w:sz w:val="20"/>
          <w:szCs w:val="20"/>
        </w:rPr>
        <w:t xml:space="preserve">number of participants in the cohort </w:t>
      </w:r>
      <w:r w:rsidR="00083135">
        <w:rPr>
          <w:rFonts w:ascii="Constantia" w:hAnsi="Constantia" w:cs="Calibri"/>
          <w:sz w:val="20"/>
          <w:szCs w:val="20"/>
        </w:rPr>
        <w:t>(Section</w:t>
      </w:r>
      <w:r w:rsidR="00B54145">
        <w:rPr>
          <w:rFonts w:ascii="Constantia" w:hAnsi="Constantia" w:cs="Calibri"/>
          <w:sz w:val="20"/>
          <w:szCs w:val="20"/>
        </w:rPr>
        <w:t xml:space="preserve"> IV. E</w:t>
      </w:r>
      <w:r w:rsidR="00901CAD">
        <w:rPr>
          <w:rFonts w:ascii="Constantia" w:hAnsi="Constantia" w:cs="Calibri"/>
          <w:sz w:val="20"/>
          <w:szCs w:val="20"/>
        </w:rPr>
        <w:t>9</w:t>
      </w:r>
      <w:bookmarkStart w:id="0" w:name="_GoBack"/>
      <w:bookmarkEnd w:id="0"/>
      <w:r w:rsidR="00B54145">
        <w:rPr>
          <w:rFonts w:ascii="Constantia" w:hAnsi="Constantia" w:cs="Calibri"/>
          <w:sz w:val="20"/>
          <w:szCs w:val="20"/>
        </w:rPr>
        <w:t>)</w:t>
      </w:r>
      <w:r w:rsidR="00552410" w:rsidRPr="00552410">
        <w:rPr>
          <w:rFonts w:ascii="Constantia" w:hAnsi="Constantia" w:cs="Calibri"/>
          <w:sz w:val="20"/>
          <w:szCs w:val="20"/>
        </w:rPr>
        <w:t>, minus participants who are deceased (Section IV.E</w:t>
      </w:r>
      <w:r w:rsidR="00B54145">
        <w:rPr>
          <w:rFonts w:ascii="Constantia" w:hAnsi="Constantia" w:cs="Calibri"/>
          <w:sz w:val="20"/>
          <w:szCs w:val="20"/>
        </w:rPr>
        <w:t>8</w:t>
      </w:r>
      <w:r w:rsidR="00552410" w:rsidRPr="00552410">
        <w:rPr>
          <w:rFonts w:ascii="Constantia" w:hAnsi="Constantia" w:cs="Calibri"/>
          <w:sz w:val="20"/>
          <w:szCs w:val="20"/>
        </w:rPr>
        <w:t>).</w:t>
      </w:r>
    </w:p>
    <w:p w14:paraId="5D2F22C5" w14:textId="77777777" w:rsidR="006B0D8F" w:rsidRDefault="00552410" w:rsidP="006B0D8F">
      <w:pPr>
        <w:numPr>
          <w:ilvl w:val="0"/>
          <w:numId w:val="47"/>
        </w:numPr>
        <w:spacing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b/>
          <w:sz w:val="20"/>
          <w:szCs w:val="20"/>
        </w:rPr>
        <w:t xml:space="preserve"> </w:t>
      </w:r>
      <w:r w:rsidRPr="00552410">
        <w:rPr>
          <w:rFonts w:ascii="Constantia" w:hAnsi="Constantia" w:cs="Calibri"/>
          <w:sz w:val="20"/>
          <w:szCs w:val="20"/>
        </w:rPr>
        <w:t>is the number of participants in the denominator who earned a postsecondary credential by August 31, 2018 (Section IV.E6).</w:t>
      </w:r>
    </w:p>
    <w:sectPr w:rsidR="006B0D8F"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E068" w14:textId="77777777" w:rsidR="00750CBD" w:rsidRDefault="00750CBD" w:rsidP="009E2445">
      <w:pPr>
        <w:spacing w:after="0" w:line="240" w:lineRule="auto"/>
      </w:pPr>
      <w:r>
        <w:separator/>
      </w:r>
    </w:p>
  </w:endnote>
  <w:endnote w:type="continuationSeparator" w:id="0">
    <w:p w14:paraId="3AC714AD" w14:textId="77777777" w:rsidR="00750CBD" w:rsidRDefault="00750CBD"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DEE3" w14:textId="11C10401" w:rsidR="007B7FE6" w:rsidRPr="007B7FE6" w:rsidRDefault="00901CAD"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10</w:t>
    </w:r>
    <w:r w:rsidR="00CE737A">
      <w:rPr>
        <w:rFonts w:ascii="Cambria" w:hAnsi="Cambria"/>
      </w:rPr>
      <w:t>/</w:t>
    </w:r>
    <w:r>
      <w:rPr>
        <w:rFonts w:ascii="Cambria" w:hAnsi="Cambria"/>
      </w:rPr>
      <w:t>31</w:t>
    </w:r>
    <w:r w:rsidR="00CE737A">
      <w:rPr>
        <w:rFonts w:ascii="Cambria" w:hAnsi="Cambria"/>
      </w:rPr>
      <w:t>/1</w:t>
    </w:r>
    <w:r w:rsidR="00650236">
      <w:rPr>
        <w:rFonts w:ascii="Cambria" w:hAnsi="Cambria"/>
      </w:rPr>
      <w:t>8</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8F525" w14:textId="77777777" w:rsidR="00750CBD" w:rsidRDefault="00750CBD" w:rsidP="009E2445">
      <w:pPr>
        <w:spacing w:after="0" w:line="240" w:lineRule="auto"/>
      </w:pPr>
      <w:r>
        <w:separator/>
      </w:r>
    </w:p>
  </w:footnote>
  <w:footnote w:type="continuationSeparator" w:id="0">
    <w:p w14:paraId="014DFEF4" w14:textId="77777777" w:rsidR="00750CBD" w:rsidRDefault="00750CBD"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18"/>
  </w:num>
  <w:num w:numId="5">
    <w:abstractNumId w:val="39"/>
  </w:num>
  <w:num w:numId="6">
    <w:abstractNumId w:val="26"/>
  </w:num>
  <w:num w:numId="7">
    <w:abstractNumId w:val="38"/>
  </w:num>
  <w:num w:numId="8">
    <w:abstractNumId w:val="21"/>
  </w:num>
  <w:num w:numId="9">
    <w:abstractNumId w:val="13"/>
  </w:num>
  <w:num w:numId="10">
    <w:abstractNumId w:val="42"/>
  </w:num>
  <w:num w:numId="11">
    <w:abstractNumId w:val="28"/>
  </w:num>
  <w:num w:numId="12">
    <w:abstractNumId w:val="3"/>
  </w:num>
  <w:num w:numId="13">
    <w:abstractNumId w:val="19"/>
  </w:num>
  <w:num w:numId="14">
    <w:abstractNumId w:val="25"/>
  </w:num>
  <w:num w:numId="15">
    <w:abstractNumId w:val="23"/>
  </w:num>
  <w:num w:numId="16">
    <w:abstractNumId w:val="22"/>
  </w:num>
  <w:num w:numId="17">
    <w:abstractNumId w:val="33"/>
  </w:num>
  <w:num w:numId="18">
    <w:abstractNumId w:val="32"/>
  </w:num>
  <w:num w:numId="19">
    <w:abstractNumId w:val="1"/>
  </w:num>
  <w:num w:numId="20">
    <w:abstractNumId w:val="2"/>
  </w:num>
  <w:num w:numId="21">
    <w:abstractNumId w:val="29"/>
  </w:num>
  <w:num w:numId="22">
    <w:abstractNumId w:val="12"/>
  </w:num>
  <w:num w:numId="23">
    <w:abstractNumId w:val="5"/>
  </w:num>
  <w:num w:numId="24">
    <w:abstractNumId w:val="35"/>
  </w:num>
  <w:num w:numId="25">
    <w:abstractNumId w:val="20"/>
  </w:num>
  <w:num w:numId="26">
    <w:abstractNumId w:val="10"/>
  </w:num>
  <w:num w:numId="27">
    <w:abstractNumId w:val="43"/>
  </w:num>
  <w:num w:numId="28">
    <w:abstractNumId w:val="17"/>
  </w:num>
  <w:num w:numId="29">
    <w:abstractNumId w:val="44"/>
  </w:num>
  <w:num w:numId="30">
    <w:abstractNumId w:val="0"/>
  </w:num>
  <w:num w:numId="31">
    <w:abstractNumId w:val="41"/>
  </w:num>
  <w:num w:numId="32">
    <w:abstractNumId w:val="4"/>
  </w:num>
  <w:num w:numId="33">
    <w:abstractNumId w:val="31"/>
  </w:num>
  <w:num w:numId="34">
    <w:abstractNumId w:val="15"/>
  </w:num>
  <w:num w:numId="35">
    <w:abstractNumId w:val="40"/>
  </w:num>
  <w:num w:numId="36">
    <w:abstractNumId w:val="37"/>
  </w:num>
  <w:num w:numId="37">
    <w:abstractNumId w:val="7"/>
  </w:num>
  <w:num w:numId="38">
    <w:abstractNumId w:val="34"/>
  </w:num>
  <w:num w:numId="39">
    <w:abstractNumId w:val="14"/>
  </w:num>
  <w:num w:numId="40">
    <w:abstractNumId w:val="45"/>
  </w:num>
  <w:num w:numId="41">
    <w:abstractNumId w:val="46"/>
  </w:num>
  <w:num w:numId="42">
    <w:abstractNumId w:val="6"/>
  </w:num>
  <w:num w:numId="43">
    <w:abstractNumId w:val="24"/>
  </w:num>
  <w:num w:numId="44">
    <w:abstractNumId w:val="27"/>
  </w:num>
  <w:num w:numId="45">
    <w:abstractNumId w:val="8"/>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3800"/>
    <w:rsid w:val="00035FAF"/>
    <w:rsid w:val="000367C2"/>
    <w:rsid w:val="000412D6"/>
    <w:rsid w:val="0004197E"/>
    <w:rsid w:val="000429B2"/>
    <w:rsid w:val="00044419"/>
    <w:rsid w:val="00055851"/>
    <w:rsid w:val="00060FA1"/>
    <w:rsid w:val="0006368B"/>
    <w:rsid w:val="00063D16"/>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6B20"/>
    <w:rsid w:val="000D7BD6"/>
    <w:rsid w:val="000E1441"/>
    <w:rsid w:val="000E1E63"/>
    <w:rsid w:val="000E2DAD"/>
    <w:rsid w:val="000E61A6"/>
    <w:rsid w:val="000E6CC1"/>
    <w:rsid w:val="000F0AB6"/>
    <w:rsid w:val="000F1E51"/>
    <w:rsid w:val="000F221E"/>
    <w:rsid w:val="000F2C25"/>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6360"/>
    <w:rsid w:val="00171418"/>
    <w:rsid w:val="001731F2"/>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1776"/>
    <w:rsid w:val="001B33E2"/>
    <w:rsid w:val="001B34CF"/>
    <w:rsid w:val="001B5953"/>
    <w:rsid w:val="001C7D46"/>
    <w:rsid w:val="001F1810"/>
    <w:rsid w:val="001F56B9"/>
    <w:rsid w:val="00201A75"/>
    <w:rsid w:val="00203F51"/>
    <w:rsid w:val="002052E3"/>
    <w:rsid w:val="0020623F"/>
    <w:rsid w:val="00206335"/>
    <w:rsid w:val="0020638C"/>
    <w:rsid w:val="00210579"/>
    <w:rsid w:val="00210CDA"/>
    <w:rsid w:val="002115C8"/>
    <w:rsid w:val="002132C8"/>
    <w:rsid w:val="002149B5"/>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EB4"/>
    <w:rsid w:val="00277095"/>
    <w:rsid w:val="002817A5"/>
    <w:rsid w:val="00292023"/>
    <w:rsid w:val="00293B0C"/>
    <w:rsid w:val="00293B24"/>
    <w:rsid w:val="00297DC8"/>
    <w:rsid w:val="002A09C4"/>
    <w:rsid w:val="002A5825"/>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7424"/>
    <w:rsid w:val="00307AE6"/>
    <w:rsid w:val="00314EC4"/>
    <w:rsid w:val="00317D4F"/>
    <w:rsid w:val="003202D3"/>
    <w:rsid w:val="003238D9"/>
    <w:rsid w:val="00326134"/>
    <w:rsid w:val="00334CC7"/>
    <w:rsid w:val="0033764A"/>
    <w:rsid w:val="00337FE6"/>
    <w:rsid w:val="00341091"/>
    <w:rsid w:val="00342C70"/>
    <w:rsid w:val="0034697B"/>
    <w:rsid w:val="003551EF"/>
    <w:rsid w:val="0035578D"/>
    <w:rsid w:val="00355CD9"/>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4704"/>
    <w:rsid w:val="0039758F"/>
    <w:rsid w:val="003A336D"/>
    <w:rsid w:val="003B0905"/>
    <w:rsid w:val="003B1DCC"/>
    <w:rsid w:val="003B5464"/>
    <w:rsid w:val="003B748A"/>
    <w:rsid w:val="003B7FF5"/>
    <w:rsid w:val="003C0F81"/>
    <w:rsid w:val="003C3B1A"/>
    <w:rsid w:val="003C426B"/>
    <w:rsid w:val="003C7FD8"/>
    <w:rsid w:val="003D3C2A"/>
    <w:rsid w:val="003D3EC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658E"/>
    <w:rsid w:val="004177DE"/>
    <w:rsid w:val="00417894"/>
    <w:rsid w:val="00421D32"/>
    <w:rsid w:val="004221AA"/>
    <w:rsid w:val="00425BA9"/>
    <w:rsid w:val="004265C4"/>
    <w:rsid w:val="00431361"/>
    <w:rsid w:val="004325AF"/>
    <w:rsid w:val="00434414"/>
    <w:rsid w:val="00436CB1"/>
    <w:rsid w:val="0043714B"/>
    <w:rsid w:val="00441636"/>
    <w:rsid w:val="00445A4C"/>
    <w:rsid w:val="00445F1C"/>
    <w:rsid w:val="0044651C"/>
    <w:rsid w:val="00447BF6"/>
    <w:rsid w:val="00453834"/>
    <w:rsid w:val="00454DDA"/>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37CE"/>
    <w:rsid w:val="004D3E0A"/>
    <w:rsid w:val="004D77B8"/>
    <w:rsid w:val="004E0A92"/>
    <w:rsid w:val="004E4A54"/>
    <w:rsid w:val="004E594A"/>
    <w:rsid w:val="004F308B"/>
    <w:rsid w:val="004F3D49"/>
    <w:rsid w:val="004F4E64"/>
    <w:rsid w:val="004F5250"/>
    <w:rsid w:val="004F531D"/>
    <w:rsid w:val="004F6E10"/>
    <w:rsid w:val="00501D77"/>
    <w:rsid w:val="0050514D"/>
    <w:rsid w:val="005105DA"/>
    <w:rsid w:val="0051226B"/>
    <w:rsid w:val="00514D26"/>
    <w:rsid w:val="00515430"/>
    <w:rsid w:val="0051583B"/>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13CB"/>
    <w:rsid w:val="00581A1F"/>
    <w:rsid w:val="00594AB0"/>
    <w:rsid w:val="005A08FF"/>
    <w:rsid w:val="005A14AD"/>
    <w:rsid w:val="005A1F6F"/>
    <w:rsid w:val="005A2586"/>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86059"/>
    <w:rsid w:val="00686F64"/>
    <w:rsid w:val="0069096C"/>
    <w:rsid w:val="00690F65"/>
    <w:rsid w:val="00695937"/>
    <w:rsid w:val="006A1574"/>
    <w:rsid w:val="006A19E2"/>
    <w:rsid w:val="006A372D"/>
    <w:rsid w:val="006B0D8F"/>
    <w:rsid w:val="006B0F79"/>
    <w:rsid w:val="006B4691"/>
    <w:rsid w:val="006B4944"/>
    <w:rsid w:val="006B72CA"/>
    <w:rsid w:val="006C4F5E"/>
    <w:rsid w:val="006D5691"/>
    <w:rsid w:val="006D5903"/>
    <w:rsid w:val="006D5B46"/>
    <w:rsid w:val="006E1DF9"/>
    <w:rsid w:val="006E299F"/>
    <w:rsid w:val="006E610F"/>
    <w:rsid w:val="006F05A8"/>
    <w:rsid w:val="006F0954"/>
    <w:rsid w:val="006F1583"/>
    <w:rsid w:val="006F2D75"/>
    <w:rsid w:val="006F7481"/>
    <w:rsid w:val="0070038A"/>
    <w:rsid w:val="0070065E"/>
    <w:rsid w:val="00701159"/>
    <w:rsid w:val="007022D3"/>
    <w:rsid w:val="0070418C"/>
    <w:rsid w:val="00704247"/>
    <w:rsid w:val="0071354E"/>
    <w:rsid w:val="0071506B"/>
    <w:rsid w:val="00715083"/>
    <w:rsid w:val="00721964"/>
    <w:rsid w:val="007233CA"/>
    <w:rsid w:val="00725ECF"/>
    <w:rsid w:val="007265A3"/>
    <w:rsid w:val="00730E17"/>
    <w:rsid w:val="00734D63"/>
    <w:rsid w:val="00735749"/>
    <w:rsid w:val="00741070"/>
    <w:rsid w:val="00742121"/>
    <w:rsid w:val="00743118"/>
    <w:rsid w:val="00745F87"/>
    <w:rsid w:val="00750CBD"/>
    <w:rsid w:val="00754BD9"/>
    <w:rsid w:val="00754F0E"/>
    <w:rsid w:val="00755A81"/>
    <w:rsid w:val="00761227"/>
    <w:rsid w:val="007718E6"/>
    <w:rsid w:val="007769C0"/>
    <w:rsid w:val="00776E21"/>
    <w:rsid w:val="00781499"/>
    <w:rsid w:val="00790BB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706E"/>
    <w:rsid w:val="00811E7C"/>
    <w:rsid w:val="00812C14"/>
    <w:rsid w:val="00814B1B"/>
    <w:rsid w:val="0081625E"/>
    <w:rsid w:val="00816C60"/>
    <w:rsid w:val="008228E3"/>
    <w:rsid w:val="008254FC"/>
    <w:rsid w:val="00833207"/>
    <w:rsid w:val="00835367"/>
    <w:rsid w:val="00835553"/>
    <w:rsid w:val="00841A3D"/>
    <w:rsid w:val="00844E3B"/>
    <w:rsid w:val="00846BE5"/>
    <w:rsid w:val="0084784B"/>
    <w:rsid w:val="00850944"/>
    <w:rsid w:val="00855329"/>
    <w:rsid w:val="00862230"/>
    <w:rsid w:val="008674E9"/>
    <w:rsid w:val="00870907"/>
    <w:rsid w:val="00870AFA"/>
    <w:rsid w:val="00872B2C"/>
    <w:rsid w:val="00874BA7"/>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58F4"/>
    <w:rsid w:val="008D5E23"/>
    <w:rsid w:val="008D6DD6"/>
    <w:rsid w:val="008E1D13"/>
    <w:rsid w:val="008E35CB"/>
    <w:rsid w:val="008E39E2"/>
    <w:rsid w:val="008E4ABB"/>
    <w:rsid w:val="008E5001"/>
    <w:rsid w:val="008E5CF8"/>
    <w:rsid w:val="008F1927"/>
    <w:rsid w:val="008F3606"/>
    <w:rsid w:val="008F5D13"/>
    <w:rsid w:val="00901CAD"/>
    <w:rsid w:val="00902B90"/>
    <w:rsid w:val="009038D9"/>
    <w:rsid w:val="00905832"/>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9E8"/>
    <w:rsid w:val="009767FA"/>
    <w:rsid w:val="00976981"/>
    <w:rsid w:val="009769A4"/>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B1DCB"/>
    <w:rsid w:val="009B282C"/>
    <w:rsid w:val="009B4C15"/>
    <w:rsid w:val="009D0DA8"/>
    <w:rsid w:val="009D6698"/>
    <w:rsid w:val="009D74AF"/>
    <w:rsid w:val="009D7EC0"/>
    <w:rsid w:val="009E0776"/>
    <w:rsid w:val="009E1A70"/>
    <w:rsid w:val="009E2445"/>
    <w:rsid w:val="009E3054"/>
    <w:rsid w:val="009E329C"/>
    <w:rsid w:val="009E6BF2"/>
    <w:rsid w:val="009F2512"/>
    <w:rsid w:val="009F3E35"/>
    <w:rsid w:val="00A00C20"/>
    <w:rsid w:val="00A00D0A"/>
    <w:rsid w:val="00A01B8F"/>
    <w:rsid w:val="00A04950"/>
    <w:rsid w:val="00A0513D"/>
    <w:rsid w:val="00A0785C"/>
    <w:rsid w:val="00A10C1E"/>
    <w:rsid w:val="00A1224B"/>
    <w:rsid w:val="00A12974"/>
    <w:rsid w:val="00A13FAE"/>
    <w:rsid w:val="00A161D2"/>
    <w:rsid w:val="00A276BB"/>
    <w:rsid w:val="00A30687"/>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7DCF"/>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2305F"/>
    <w:rsid w:val="00B40D38"/>
    <w:rsid w:val="00B41754"/>
    <w:rsid w:val="00B4713B"/>
    <w:rsid w:val="00B47BCD"/>
    <w:rsid w:val="00B54145"/>
    <w:rsid w:val="00B56C04"/>
    <w:rsid w:val="00B65945"/>
    <w:rsid w:val="00B71E85"/>
    <w:rsid w:val="00B74A1E"/>
    <w:rsid w:val="00B7696B"/>
    <w:rsid w:val="00B808D8"/>
    <w:rsid w:val="00B81040"/>
    <w:rsid w:val="00B8327F"/>
    <w:rsid w:val="00B8420C"/>
    <w:rsid w:val="00B953B4"/>
    <w:rsid w:val="00B96186"/>
    <w:rsid w:val="00BA033F"/>
    <w:rsid w:val="00BA0C61"/>
    <w:rsid w:val="00BA1DF3"/>
    <w:rsid w:val="00BA7EA4"/>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03E2"/>
    <w:rsid w:val="00C21220"/>
    <w:rsid w:val="00C23D54"/>
    <w:rsid w:val="00C2456F"/>
    <w:rsid w:val="00C27499"/>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B4E"/>
    <w:rsid w:val="00C85CF9"/>
    <w:rsid w:val="00C954A2"/>
    <w:rsid w:val="00C96D64"/>
    <w:rsid w:val="00C972B2"/>
    <w:rsid w:val="00CA1F12"/>
    <w:rsid w:val="00CA2E62"/>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B4B"/>
    <w:rsid w:val="00CF7954"/>
    <w:rsid w:val="00D024D5"/>
    <w:rsid w:val="00D03DD5"/>
    <w:rsid w:val="00D04047"/>
    <w:rsid w:val="00D05136"/>
    <w:rsid w:val="00D05178"/>
    <w:rsid w:val="00D078ED"/>
    <w:rsid w:val="00D17F76"/>
    <w:rsid w:val="00D23434"/>
    <w:rsid w:val="00D26C63"/>
    <w:rsid w:val="00D30DF1"/>
    <w:rsid w:val="00D435D8"/>
    <w:rsid w:val="00D44694"/>
    <w:rsid w:val="00D56D50"/>
    <w:rsid w:val="00D57A12"/>
    <w:rsid w:val="00D62717"/>
    <w:rsid w:val="00D658DC"/>
    <w:rsid w:val="00D71094"/>
    <w:rsid w:val="00D75A65"/>
    <w:rsid w:val="00D80B00"/>
    <w:rsid w:val="00D8549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84E"/>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340A8"/>
    <w:rsid w:val="00E377D8"/>
    <w:rsid w:val="00E40BB4"/>
    <w:rsid w:val="00E416A0"/>
    <w:rsid w:val="00E41AC2"/>
    <w:rsid w:val="00E431C9"/>
    <w:rsid w:val="00E46F94"/>
    <w:rsid w:val="00E509A1"/>
    <w:rsid w:val="00E526F1"/>
    <w:rsid w:val="00E57C56"/>
    <w:rsid w:val="00E64CC6"/>
    <w:rsid w:val="00E676ED"/>
    <w:rsid w:val="00E7101A"/>
    <w:rsid w:val="00E71136"/>
    <w:rsid w:val="00E73316"/>
    <w:rsid w:val="00E7637A"/>
    <w:rsid w:val="00E84AEA"/>
    <w:rsid w:val="00E8640E"/>
    <w:rsid w:val="00E90A5B"/>
    <w:rsid w:val="00E94D69"/>
    <w:rsid w:val="00E96999"/>
    <w:rsid w:val="00E97A1C"/>
    <w:rsid w:val="00EA022F"/>
    <w:rsid w:val="00EA200E"/>
    <w:rsid w:val="00EA3C2A"/>
    <w:rsid w:val="00EB3F99"/>
    <w:rsid w:val="00EC2811"/>
    <w:rsid w:val="00EC402D"/>
    <w:rsid w:val="00EC4AC2"/>
    <w:rsid w:val="00EC60FF"/>
    <w:rsid w:val="00EC6377"/>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3C7A"/>
    <w:rsid w:val="00F940B4"/>
    <w:rsid w:val="00F952DF"/>
    <w:rsid w:val="00F95A54"/>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618D-A2C7-4FD7-9288-0ABE0E6D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Talent Search Program (MS Word)</vt:lpstr>
    </vt:vector>
  </TitlesOfParts>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Talent Search Program (MS Word)</dc:title>
  <dc:creator/>
  <cp:lastModifiedBy/>
  <cp:revision>1</cp:revision>
  <dcterms:created xsi:type="dcterms:W3CDTF">2018-10-31T16:38:00Z</dcterms:created>
  <dcterms:modified xsi:type="dcterms:W3CDTF">2018-10-31T16:38:00Z</dcterms:modified>
</cp:coreProperties>
</file>