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171A" w14:textId="4BB0C308" w:rsidR="00602B88" w:rsidRPr="00617F5F" w:rsidRDefault="00437943" w:rsidP="00200DD9">
      <w:pPr>
        <w:shd w:val="clear" w:color="auto" w:fill="FFFFFF"/>
        <w:spacing w:after="150" w:line="240" w:lineRule="auto"/>
        <w:jc w:val="center"/>
        <w:rPr>
          <w:rFonts w:ascii="Times New Roman" w:eastAsia="Times New Roman" w:hAnsi="Times New Roman"/>
          <w:color w:val="030A13"/>
          <w:sz w:val="24"/>
          <w:szCs w:val="24"/>
        </w:rPr>
      </w:pPr>
      <w:r>
        <w:rPr>
          <w:rFonts w:ascii="Times New Roman" w:eastAsia="Times New Roman" w:hAnsi="Times New Roman"/>
          <w:color w:val="030A13"/>
          <w:sz w:val="24"/>
          <w:szCs w:val="24"/>
        </w:rPr>
        <w:t>November 8</w:t>
      </w:r>
      <w:r w:rsidR="00E10344">
        <w:rPr>
          <w:rFonts w:ascii="Times New Roman" w:eastAsia="Times New Roman" w:hAnsi="Times New Roman"/>
          <w:color w:val="030A13"/>
          <w:sz w:val="24"/>
          <w:szCs w:val="24"/>
        </w:rPr>
        <w:t>, 202</w:t>
      </w:r>
      <w:r w:rsidR="00FA08CE">
        <w:rPr>
          <w:rFonts w:ascii="Times New Roman" w:eastAsia="Times New Roman" w:hAnsi="Times New Roman"/>
          <w:color w:val="030A13"/>
          <w:sz w:val="24"/>
          <w:szCs w:val="24"/>
        </w:rPr>
        <w:t>1</w:t>
      </w:r>
    </w:p>
    <w:p w14:paraId="24F2490B" w14:textId="77777777" w:rsidR="00602B88" w:rsidRPr="00617F5F" w:rsidRDefault="00602B88" w:rsidP="005818EA">
      <w:pPr>
        <w:shd w:val="clear" w:color="auto" w:fill="FFFFFF"/>
        <w:spacing w:after="150" w:line="240" w:lineRule="auto"/>
        <w:rPr>
          <w:rFonts w:ascii="Times New Roman" w:eastAsia="Times New Roman" w:hAnsi="Times New Roman"/>
          <w:color w:val="030A13"/>
          <w:sz w:val="24"/>
          <w:szCs w:val="24"/>
        </w:rPr>
      </w:pPr>
    </w:p>
    <w:p w14:paraId="7DE8E390" w14:textId="77777777" w:rsidR="006C3C31" w:rsidRDefault="006C3C31" w:rsidP="00F33ABC">
      <w:pPr>
        <w:spacing w:after="150" w:line="240" w:lineRule="auto"/>
        <w:rPr>
          <w:rFonts w:ascii="Times New Roman" w:eastAsia="Times New Roman" w:hAnsi="Times New Roman"/>
          <w:color w:val="030A13"/>
          <w:sz w:val="24"/>
          <w:szCs w:val="24"/>
        </w:rPr>
      </w:pPr>
      <w:r w:rsidRPr="00617F5F">
        <w:rPr>
          <w:rFonts w:ascii="Times New Roman" w:eastAsia="Times New Roman" w:hAnsi="Times New Roman"/>
          <w:color w:val="030A13"/>
          <w:sz w:val="24"/>
          <w:szCs w:val="24"/>
        </w:rPr>
        <w:t>Dear McNair Project Director:</w:t>
      </w:r>
    </w:p>
    <w:p w14:paraId="41E5AF98" w14:textId="6CF5B401" w:rsidR="006C3C31" w:rsidRPr="00006A3D" w:rsidRDefault="006C3C31" w:rsidP="00F33ABC">
      <w:pPr>
        <w:spacing w:after="15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 xml:space="preserve">It is time to prepare the Annual Performance Report (APR) for the Ronald E. McNair Postbaccalaureate </w:t>
      </w:r>
      <w:r w:rsidR="002116A4">
        <w:rPr>
          <w:rFonts w:ascii="Times New Roman" w:eastAsia="Times New Roman" w:hAnsi="Times New Roman"/>
          <w:color w:val="030A13"/>
          <w:sz w:val="24"/>
          <w:szCs w:val="24"/>
        </w:rPr>
        <w:t xml:space="preserve">Achievement </w:t>
      </w:r>
      <w:r w:rsidRPr="00006A3D">
        <w:rPr>
          <w:rFonts w:ascii="Times New Roman" w:eastAsia="Times New Roman" w:hAnsi="Times New Roman"/>
          <w:color w:val="030A13"/>
          <w:sz w:val="24"/>
          <w:szCs w:val="24"/>
        </w:rPr>
        <w:t xml:space="preserve">(McNair) Program for program year </w:t>
      </w:r>
      <w:r w:rsidR="00FA08CE" w:rsidRPr="00006A3D">
        <w:rPr>
          <w:rFonts w:ascii="Times New Roman" w:eastAsia="Times New Roman" w:hAnsi="Times New Roman"/>
          <w:color w:val="030A13"/>
          <w:sz w:val="24"/>
          <w:szCs w:val="24"/>
        </w:rPr>
        <w:t>20</w:t>
      </w:r>
      <w:r w:rsidR="00437943">
        <w:rPr>
          <w:rFonts w:ascii="Times New Roman" w:eastAsia="Times New Roman" w:hAnsi="Times New Roman"/>
          <w:color w:val="030A13"/>
          <w:sz w:val="24"/>
          <w:szCs w:val="24"/>
        </w:rPr>
        <w:t>20</w:t>
      </w:r>
      <w:r w:rsidRPr="00006A3D">
        <w:rPr>
          <w:rFonts w:ascii="Times New Roman" w:eastAsia="Times New Roman" w:hAnsi="Times New Roman"/>
          <w:color w:val="030A13"/>
          <w:sz w:val="24"/>
          <w:szCs w:val="24"/>
        </w:rPr>
        <w:t>-</w:t>
      </w:r>
      <w:r w:rsidR="00FA08CE" w:rsidRPr="00006A3D">
        <w:rPr>
          <w:rFonts w:ascii="Times New Roman" w:eastAsia="Times New Roman" w:hAnsi="Times New Roman"/>
          <w:color w:val="030A13"/>
          <w:sz w:val="24"/>
          <w:szCs w:val="24"/>
        </w:rPr>
        <w:t>2</w:t>
      </w:r>
      <w:r w:rsidR="00437943">
        <w:rPr>
          <w:rFonts w:ascii="Times New Roman" w:eastAsia="Times New Roman" w:hAnsi="Times New Roman"/>
          <w:color w:val="030A13"/>
          <w:sz w:val="24"/>
          <w:szCs w:val="24"/>
        </w:rPr>
        <w:t>1</w:t>
      </w:r>
      <w:r w:rsidRPr="00006A3D">
        <w:rPr>
          <w:rFonts w:ascii="Times New Roman" w:eastAsia="Times New Roman" w:hAnsi="Times New Roman"/>
          <w:color w:val="030A13"/>
          <w:sz w:val="24"/>
          <w:szCs w:val="24"/>
        </w:rPr>
        <w:t>.</w:t>
      </w:r>
      <w:r w:rsidR="00F038D2">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The Web application you will use to submit your report will "go live" on</w:t>
      </w:r>
      <w:r w:rsidR="000113C6" w:rsidRPr="00006A3D">
        <w:rPr>
          <w:rFonts w:ascii="Times New Roman" w:eastAsia="Times New Roman" w:hAnsi="Times New Roman"/>
          <w:color w:val="030A13"/>
          <w:sz w:val="24"/>
          <w:szCs w:val="24"/>
        </w:rPr>
        <w:t xml:space="preserve"> </w:t>
      </w:r>
      <w:r w:rsidR="00535692">
        <w:rPr>
          <w:rFonts w:ascii="Times New Roman" w:eastAsia="Times New Roman" w:hAnsi="Times New Roman"/>
          <w:color w:val="030A13"/>
          <w:sz w:val="24"/>
          <w:szCs w:val="24"/>
        </w:rPr>
        <w:t>Monday</w:t>
      </w:r>
      <w:r w:rsidR="000113C6" w:rsidRPr="00006A3D">
        <w:rPr>
          <w:rFonts w:ascii="Times New Roman" w:eastAsia="Times New Roman" w:hAnsi="Times New Roman"/>
          <w:color w:val="030A13"/>
          <w:sz w:val="24"/>
          <w:szCs w:val="24"/>
        </w:rPr>
        <w:t>,</w:t>
      </w:r>
      <w:r w:rsidRPr="00006A3D">
        <w:rPr>
          <w:rFonts w:ascii="Times New Roman" w:eastAsia="Times New Roman" w:hAnsi="Times New Roman"/>
          <w:color w:val="030A13"/>
          <w:sz w:val="24"/>
          <w:szCs w:val="24"/>
        </w:rPr>
        <w:t xml:space="preserve"> </w:t>
      </w:r>
      <w:r w:rsidR="00437943">
        <w:rPr>
          <w:rFonts w:ascii="Times New Roman" w:eastAsia="Times New Roman" w:hAnsi="Times New Roman"/>
          <w:color w:val="030A13"/>
          <w:sz w:val="24"/>
          <w:szCs w:val="24"/>
        </w:rPr>
        <w:t>November 8,</w:t>
      </w:r>
      <w:r w:rsidR="00E10344" w:rsidRPr="00006A3D">
        <w:rPr>
          <w:rFonts w:ascii="Times New Roman" w:eastAsia="Times New Roman" w:hAnsi="Times New Roman"/>
          <w:color w:val="030A13"/>
          <w:sz w:val="24"/>
          <w:szCs w:val="24"/>
        </w:rPr>
        <w:t xml:space="preserve"> 202</w:t>
      </w:r>
      <w:r w:rsidR="00FA08CE" w:rsidRPr="00006A3D">
        <w:rPr>
          <w:rFonts w:ascii="Times New Roman" w:eastAsia="Times New Roman" w:hAnsi="Times New Roman"/>
          <w:color w:val="030A13"/>
          <w:sz w:val="24"/>
          <w:szCs w:val="24"/>
        </w:rPr>
        <w:t>1</w:t>
      </w:r>
      <w:r w:rsidRPr="00006A3D">
        <w:rPr>
          <w:rFonts w:ascii="Times New Roman" w:eastAsia="Times New Roman" w:hAnsi="Times New Roman"/>
          <w:color w:val="030A13"/>
          <w:sz w:val="24"/>
          <w:szCs w:val="24"/>
        </w:rPr>
        <w:t>.</w:t>
      </w:r>
      <w:r w:rsidR="00F038D2">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The due date for submitting your APR is </w:t>
      </w:r>
      <w:r w:rsidR="00F50776" w:rsidRPr="00006A3D">
        <w:rPr>
          <w:rFonts w:ascii="Times New Roman" w:eastAsia="Times New Roman" w:hAnsi="Times New Roman"/>
          <w:color w:val="030A13"/>
          <w:sz w:val="24"/>
          <w:szCs w:val="24"/>
        </w:rPr>
        <w:t>Friday</w:t>
      </w:r>
      <w:r w:rsidR="000113C6" w:rsidRPr="00006A3D">
        <w:rPr>
          <w:rFonts w:ascii="Times New Roman" w:eastAsia="Times New Roman" w:hAnsi="Times New Roman"/>
          <w:color w:val="030A13"/>
          <w:sz w:val="24"/>
          <w:szCs w:val="24"/>
        </w:rPr>
        <w:t xml:space="preserve">, </w:t>
      </w:r>
      <w:r w:rsidR="001E07AD">
        <w:rPr>
          <w:rFonts w:ascii="Times New Roman" w:eastAsia="Times New Roman" w:hAnsi="Times New Roman"/>
          <w:b/>
          <w:bCs/>
          <w:color w:val="030A13"/>
          <w:sz w:val="24"/>
          <w:szCs w:val="24"/>
        </w:rPr>
        <w:t>December 10</w:t>
      </w:r>
      <w:r w:rsidR="00E10344" w:rsidRPr="00006A3D">
        <w:rPr>
          <w:rFonts w:ascii="Times New Roman" w:eastAsia="Times New Roman" w:hAnsi="Times New Roman"/>
          <w:b/>
          <w:bCs/>
          <w:color w:val="030A13"/>
          <w:sz w:val="24"/>
          <w:szCs w:val="24"/>
        </w:rPr>
        <w:t>, 202</w:t>
      </w:r>
      <w:r w:rsidR="004C603A" w:rsidRPr="00006A3D">
        <w:rPr>
          <w:rFonts w:ascii="Times New Roman" w:eastAsia="Times New Roman" w:hAnsi="Times New Roman"/>
          <w:b/>
          <w:bCs/>
          <w:color w:val="030A13"/>
          <w:sz w:val="24"/>
          <w:szCs w:val="24"/>
        </w:rPr>
        <w:t>1</w:t>
      </w:r>
      <w:r w:rsidRPr="00006A3D">
        <w:rPr>
          <w:rFonts w:ascii="Times New Roman" w:eastAsia="Times New Roman" w:hAnsi="Times New Roman"/>
          <w:color w:val="030A13"/>
          <w:sz w:val="24"/>
          <w:szCs w:val="24"/>
        </w:rPr>
        <w:t>.</w:t>
      </w:r>
    </w:p>
    <w:p w14:paraId="238E297F" w14:textId="34136E85" w:rsidR="006708D0" w:rsidRPr="00006A3D" w:rsidRDefault="006C3C31" w:rsidP="00F33ABC">
      <w:pPr>
        <w:spacing w:after="15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Please find the data structure and instructions for the report, along with links to the secured APR Web site maintained by our contractor</w:t>
      </w:r>
      <w:r w:rsidR="0005184C" w:rsidRPr="00006A3D">
        <w:rPr>
          <w:rFonts w:ascii="Times New Roman" w:eastAsia="Times New Roman" w:hAnsi="Times New Roman"/>
          <w:color w:val="030A13"/>
          <w:sz w:val="24"/>
          <w:szCs w:val="24"/>
        </w:rPr>
        <w:t>,</w:t>
      </w:r>
      <w:r w:rsidRPr="00006A3D">
        <w:rPr>
          <w:rFonts w:ascii="Times New Roman" w:eastAsia="Times New Roman" w:hAnsi="Times New Roman"/>
          <w:color w:val="030A13"/>
          <w:sz w:val="24"/>
          <w:szCs w:val="24"/>
        </w:rPr>
        <w:t xml:space="preserve"> at </w:t>
      </w:r>
      <w:hyperlink r:id="rId10" w:history="1">
        <w:r w:rsidR="00622EF4" w:rsidRPr="00006A3D">
          <w:rPr>
            <w:rStyle w:val="Hyperlink"/>
            <w:rFonts w:ascii="Times New Roman" w:hAnsi="Times New Roman"/>
            <w:sz w:val="24"/>
            <w:szCs w:val="24"/>
          </w:rPr>
          <w:t>20</w:t>
        </w:r>
        <w:r w:rsidR="001E07AD">
          <w:rPr>
            <w:rStyle w:val="Hyperlink"/>
            <w:rFonts w:ascii="Times New Roman" w:hAnsi="Times New Roman"/>
            <w:sz w:val="24"/>
            <w:szCs w:val="24"/>
          </w:rPr>
          <w:t>20</w:t>
        </w:r>
        <w:r w:rsidR="00622EF4" w:rsidRPr="00006A3D">
          <w:rPr>
            <w:rStyle w:val="Hyperlink"/>
            <w:rFonts w:ascii="Times New Roman" w:hAnsi="Times New Roman"/>
            <w:sz w:val="24"/>
            <w:szCs w:val="24"/>
          </w:rPr>
          <w:t>-2</w:t>
        </w:r>
        <w:r w:rsidR="001E07AD">
          <w:rPr>
            <w:rStyle w:val="Hyperlink"/>
            <w:rFonts w:ascii="Times New Roman" w:hAnsi="Times New Roman"/>
            <w:sz w:val="24"/>
            <w:szCs w:val="24"/>
          </w:rPr>
          <w:t>1</w:t>
        </w:r>
        <w:r w:rsidR="00622EF4" w:rsidRPr="00006A3D">
          <w:rPr>
            <w:rStyle w:val="Hyperlink"/>
            <w:rFonts w:ascii="Times New Roman" w:hAnsi="Times New Roman"/>
            <w:sz w:val="24"/>
            <w:szCs w:val="24"/>
          </w:rPr>
          <w:t xml:space="preserve"> McNair APR</w:t>
        </w:r>
        <w:r w:rsidR="00622EF4" w:rsidRPr="00006A3D">
          <w:rPr>
            <w:rStyle w:val="Hyperlink"/>
            <w:rFonts w:ascii="Times New Roman" w:eastAsia="Times New Roman" w:hAnsi="Times New Roman"/>
            <w:sz w:val="24"/>
            <w:szCs w:val="24"/>
          </w:rPr>
          <w:t>.</w:t>
        </w:r>
      </w:hyperlink>
      <w:r w:rsidR="00F038D2">
        <w:t xml:space="preserve"> </w:t>
      </w:r>
      <w:r w:rsidR="006708D0" w:rsidRPr="00006A3D">
        <w:rPr>
          <w:rFonts w:ascii="Times New Roman" w:eastAsia="Times New Roman" w:hAnsi="Times New Roman"/>
          <w:color w:val="030A13"/>
          <w:sz w:val="24"/>
          <w:szCs w:val="24"/>
        </w:rPr>
        <w:t xml:space="preserve">On </w:t>
      </w:r>
      <w:r w:rsidR="001E07AD">
        <w:rPr>
          <w:rFonts w:ascii="Times New Roman" w:eastAsia="Times New Roman" w:hAnsi="Times New Roman"/>
          <w:color w:val="030A13"/>
          <w:sz w:val="24"/>
          <w:szCs w:val="24"/>
        </w:rPr>
        <w:t>November 8</w:t>
      </w:r>
      <w:r w:rsidR="006708D0" w:rsidRPr="00006A3D">
        <w:rPr>
          <w:rFonts w:ascii="Times New Roman" w:eastAsia="Times New Roman" w:hAnsi="Times New Roman"/>
          <w:color w:val="030A13"/>
          <w:sz w:val="24"/>
          <w:szCs w:val="24"/>
        </w:rPr>
        <w:t>, 202</w:t>
      </w:r>
      <w:r w:rsidR="00622EF4" w:rsidRPr="00006A3D">
        <w:rPr>
          <w:rFonts w:ascii="Times New Roman" w:eastAsia="Times New Roman" w:hAnsi="Times New Roman"/>
          <w:color w:val="030A13"/>
          <w:sz w:val="24"/>
          <w:szCs w:val="24"/>
        </w:rPr>
        <w:t>1</w:t>
      </w:r>
      <w:r w:rsidR="0049361C" w:rsidRPr="00F33ABC">
        <w:rPr>
          <w:rFonts w:ascii="Times New Roman" w:eastAsia="Times New Roman" w:hAnsi="Times New Roman"/>
          <w:color w:val="030A13"/>
          <w:sz w:val="24"/>
          <w:szCs w:val="24"/>
        </w:rPr>
        <w:t>,</w:t>
      </w:r>
      <w:r w:rsidR="006708D0" w:rsidRPr="00006A3D">
        <w:rPr>
          <w:rFonts w:ascii="Times New Roman" w:eastAsia="Times New Roman" w:hAnsi="Times New Roman"/>
          <w:color w:val="030A13"/>
          <w:sz w:val="24"/>
          <w:szCs w:val="24"/>
        </w:rPr>
        <w:t xml:space="preserve"> you may begin your submission process at the following web location: </w:t>
      </w:r>
      <w:hyperlink r:id="rId11" w:history="1">
        <w:r w:rsidR="006708D0" w:rsidRPr="00006A3D">
          <w:rPr>
            <w:rStyle w:val="Hyperlink"/>
            <w:rFonts w:ascii="Times New Roman" w:eastAsia="Times New Roman" w:hAnsi="Times New Roman"/>
            <w:sz w:val="24"/>
            <w:szCs w:val="24"/>
          </w:rPr>
          <w:t>https://trio.ed.gov/</w:t>
        </w:r>
      </w:hyperlink>
    </w:p>
    <w:p w14:paraId="1FDAA75C" w14:textId="77777777" w:rsidR="005818EA" w:rsidRPr="00006A3D" w:rsidRDefault="005818EA" w:rsidP="00F33ABC">
      <w:pPr>
        <w:pStyle w:val="ListParagraph"/>
        <w:spacing w:after="150" w:line="240" w:lineRule="auto"/>
        <w:ind w:left="0"/>
        <w:rPr>
          <w:rFonts w:ascii="Times New Roman" w:eastAsia="Times New Roman" w:hAnsi="Times New Roman"/>
          <w:b/>
          <w:bCs/>
          <w:color w:val="030A13"/>
          <w:sz w:val="24"/>
          <w:szCs w:val="24"/>
        </w:rPr>
      </w:pPr>
    </w:p>
    <w:p w14:paraId="22532D12" w14:textId="77777777" w:rsidR="006C3C31" w:rsidRPr="00006A3D" w:rsidRDefault="006C3C31" w:rsidP="00F33ABC">
      <w:pPr>
        <w:pStyle w:val="ListParagraph"/>
        <w:numPr>
          <w:ilvl w:val="0"/>
          <w:numId w:val="1"/>
        </w:numPr>
        <w:tabs>
          <w:tab w:val="left" w:pos="270"/>
        </w:tabs>
        <w:spacing w:after="0" w:line="240" w:lineRule="auto"/>
        <w:ind w:left="270" w:hanging="270"/>
        <w:rPr>
          <w:rFonts w:ascii="Times New Roman" w:eastAsia="Times New Roman" w:hAnsi="Times New Roman"/>
          <w:color w:val="030A13"/>
          <w:sz w:val="24"/>
          <w:szCs w:val="24"/>
        </w:rPr>
      </w:pPr>
      <w:r w:rsidRPr="00006A3D">
        <w:rPr>
          <w:rFonts w:ascii="Times New Roman" w:eastAsia="Times New Roman" w:hAnsi="Times New Roman"/>
          <w:b/>
          <w:bCs/>
          <w:color w:val="030A13"/>
          <w:sz w:val="24"/>
          <w:szCs w:val="24"/>
        </w:rPr>
        <w:t>Who needs to be on your APR data file?</w:t>
      </w:r>
    </w:p>
    <w:p w14:paraId="6BF4CB4D" w14:textId="77777777" w:rsidR="00381E2B" w:rsidRPr="00F038D2" w:rsidRDefault="00381E2B" w:rsidP="00F038D2">
      <w:pPr>
        <w:tabs>
          <w:tab w:val="left" w:pos="270"/>
        </w:tabs>
        <w:spacing w:after="0" w:line="240" w:lineRule="auto"/>
        <w:rPr>
          <w:rFonts w:ascii="Times New Roman" w:eastAsia="Times New Roman" w:hAnsi="Times New Roman"/>
          <w:color w:val="030A13"/>
          <w:sz w:val="24"/>
          <w:szCs w:val="24"/>
        </w:rPr>
      </w:pPr>
    </w:p>
    <w:p w14:paraId="292838EB" w14:textId="6C933386" w:rsidR="005818EA" w:rsidRPr="00006A3D" w:rsidRDefault="006C3C31" w:rsidP="00F33ABC">
      <w:pPr>
        <w:numPr>
          <w:ilvl w:val="2"/>
          <w:numId w:val="1"/>
        </w:numPr>
        <w:tabs>
          <w:tab w:val="clear" w:pos="4320"/>
          <w:tab w:val="num" w:pos="450"/>
        </w:tabs>
        <w:spacing w:after="0" w:line="240" w:lineRule="auto"/>
        <w:ind w:left="450" w:hanging="180"/>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 xml:space="preserve">All participants on your </w:t>
      </w:r>
      <w:r w:rsidR="00622EF4" w:rsidRPr="00006A3D">
        <w:rPr>
          <w:rFonts w:ascii="Times New Roman" w:eastAsia="Times New Roman" w:hAnsi="Times New Roman"/>
          <w:color w:val="030A13"/>
          <w:sz w:val="24"/>
          <w:szCs w:val="24"/>
        </w:rPr>
        <w:t>201</w:t>
      </w:r>
      <w:r w:rsidR="001E07AD">
        <w:rPr>
          <w:rFonts w:ascii="Times New Roman" w:eastAsia="Times New Roman" w:hAnsi="Times New Roman"/>
          <w:color w:val="030A13"/>
          <w:sz w:val="24"/>
          <w:szCs w:val="24"/>
        </w:rPr>
        <w:t>9</w:t>
      </w:r>
      <w:r w:rsidRPr="00006A3D">
        <w:rPr>
          <w:rFonts w:ascii="Times New Roman" w:eastAsia="Times New Roman" w:hAnsi="Times New Roman"/>
          <w:color w:val="030A13"/>
          <w:sz w:val="24"/>
          <w:szCs w:val="24"/>
        </w:rPr>
        <w:t>-</w:t>
      </w:r>
      <w:r w:rsidR="001E07AD">
        <w:rPr>
          <w:rFonts w:ascii="Times New Roman" w:eastAsia="Times New Roman" w:hAnsi="Times New Roman"/>
          <w:color w:val="030A13"/>
          <w:sz w:val="24"/>
          <w:szCs w:val="24"/>
        </w:rPr>
        <w:t>20</w:t>
      </w:r>
      <w:r w:rsidR="00622EF4" w:rsidRPr="00006A3D">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 xml:space="preserve">APR data file, except those participants whose Graduating Cohort Year of Bachelor’s Degree (field 29) is prior to </w:t>
      </w:r>
      <w:r w:rsidR="001959CC" w:rsidRPr="00006A3D">
        <w:rPr>
          <w:rFonts w:ascii="Times New Roman" w:eastAsia="Times New Roman" w:hAnsi="Times New Roman"/>
          <w:color w:val="030A13"/>
          <w:sz w:val="24"/>
          <w:szCs w:val="24"/>
        </w:rPr>
        <w:t>20</w:t>
      </w:r>
      <w:r w:rsidR="001E07AD">
        <w:rPr>
          <w:rFonts w:ascii="Times New Roman" w:eastAsia="Times New Roman" w:hAnsi="Times New Roman"/>
          <w:color w:val="030A13"/>
          <w:sz w:val="24"/>
          <w:szCs w:val="24"/>
        </w:rPr>
        <w:t>10</w:t>
      </w:r>
      <w:r w:rsidRPr="00006A3D">
        <w:rPr>
          <w:rFonts w:ascii="Times New Roman" w:eastAsia="Times New Roman" w:hAnsi="Times New Roman"/>
          <w:color w:val="030A13"/>
          <w:sz w:val="24"/>
          <w:szCs w:val="24"/>
        </w:rPr>
        <w:t>-</w:t>
      </w:r>
      <w:r w:rsidR="001959CC" w:rsidRPr="00006A3D">
        <w:rPr>
          <w:rFonts w:ascii="Times New Roman" w:eastAsia="Times New Roman" w:hAnsi="Times New Roman"/>
          <w:color w:val="030A13"/>
          <w:sz w:val="24"/>
          <w:szCs w:val="24"/>
        </w:rPr>
        <w:t>1</w:t>
      </w:r>
      <w:r w:rsidR="001E07AD">
        <w:rPr>
          <w:rFonts w:ascii="Times New Roman" w:eastAsia="Times New Roman" w:hAnsi="Times New Roman"/>
          <w:color w:val="030A13"/>
          <w:sz w:val="24"/>
          <w:szCs w:val="24"/>
        </w:rPr>
        <w:t>1</w:t>
      </w:r>
      <w:r w:rsidRPr="00006A3D">
        <w:rPr>
          <w:rFonts w:ascii="Times New Roman" w:eastAsia="Times New Roman" w:hAnsi="Times New Roman"/>
          <w:color w:val="030A13"/>
          <w:sz w:val="24"/>
          <w:szCs w:val="24"/>
        </w:rPr>
        <w:t>;</w:t>
      </w:r>
    </w:p>
    <w:p w14:paraId="071C513D" w14:textId="77777777" w:rsidR="005818EA" w:rsidRPr="00006A3D" w:rsidRDefault="005818EA" w:rsidP="00F33ABC">
      <w:pPr>
        <w:spacing w:after="0" w:line="240" w:lineRule="auto"/>
        <w:ind w:left="450"/>
        <w:rPr>
          <w:rFonts w:ascii="Times New Roman" w:eastAsia="Times New Roman" w:hAnsi="Times New Roman"/>
          <w:color w:val="030A13"/>
          <w:sz w:val="24"/>
          <w:szCs w:val="24"/>
        </w:rPr>
      </w:pPr>
    </w:p>
    <w:p w14:paraId="646537AC" w14:textId="77777777" w:rsidR="005818EA" w:rsidRPr="00006A3D" w:rsidRDefault="006C3C31" w:rsidP="00F33ABC">
      <w:pPr>
        <w:numPr>
          <w:ilvl w:val="2"/>
          <w:numId w:val="1"/>
        </w:numPr>
        <w:tabs>
          <w:tab w:val="clear" w:pos="4320"/>
          <w:tab w:val="num" w:pos="450"/>
        </w:tabs>
        <w:spacing w:after="0" w:line="240" w:lineRule="auto"/>
        <w:ind w:left="450" w:hanging="180"/>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All new participants who were served in the reporting period; and</w:t>
      </w:r>
    </w:p>
    <w:p w14:paraId="1A15A943" w14:textId="77777777" w:rsidR="005818EA" w:rsidRPr="00006A3D" w:rsidRDefault="005818EA" w:rsidP="00F33ABC">
      <w:pPr>
        <w:spacing w:after="0" w:line="240" w:lineRule="auto"/>
        <w:rPr>
          <w:rFonts w:ascii="Times New Roman" w:eastAsia="Times New Roman" w:hAnsi="Times New Roman"/>
          <w:color w:val="030A13"/>
          <w:sz w:val="24"/>
          <w:szCs w:val="24"/>
        </w:rPr>
      </w:pPr>
    </w:p>
    <w:p w14:paraId="4C0B38C5" w14:textId="01D6AC35" w:rsidR="006C3C31" w:rsidRPr="00006A3D" w:rsidRDefault="006C3C31" w:rsidP="00F33ABC">
      <w:pPr>
        <w:numPr>
          <w:ilvl w:val="2"/>
          <w:numId w:val="1"/>
        </w:numPr>
        <w:tabs>
          <w:tab w:val="clear" w:pos="4320"/>
          <w:tab w:val="num" w:pos="450"/>
        </w:tabs>
        <w:spacing w:after="0" w:line="240" w:lineRule="auto"/>
        <w:ind w:left="450" w:hanging="180"/>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 xml:space="preserve">All participants who earned a Bachelor’s degree in the </w:t>
      </w:r>
      <w:r w:rsidR="001959CC" w:rsidRPr="00006A3D">
        <w:rPr>
          <w:rFonts w:ascii="Times New Roman" w:eastAsia="Times New Roman" w:hAnsi="Times New Roman"/>
          <w:color w:val="030A13"/>
          <w:sz w:val="24"/>
          <w:szCs w:val="24"/>
        </w:rPr>
        <w:t>20</w:t>
      </w:r>
      <w:r w:rsidR="001E07AD">
        <w:rPr>
          <w:rFonts w:ascii="Times New Roman" w:eastAsia="Times New Roman" w:hAnsi="Times New Roman"/>
          <w:color w:val="030A13"/>
          <w:sz w:val="24"/>
          <w:szCs w:val="24"/>
        </w:rPr>
        <w:t>20</w:t>
      </w:r>
      <w:r w:rsidRPr="00006A3D">
        <w:rPr>
          <w:rFonts w:ascii="Times New Roman" w:eastAsia="Times New Roman" w:hAnsi="Times New Roman"/>
          <w:color w:val="030A13"/>
          <w:sz w:val="24"/>
          <w:szCs w:val="24"/>
        </w:rPr>
        <w:t>-</w:t>
      </w:r>
      <w:r w:rsidR="001959CC" w:rsidRPr="00006A3D">
        <w:rPr>
          <w:rFonts w:ascii="Times New Roman" w:eastAsia="Times New Roman" w:hAnsi="Times New Roman"/>
          <w:color w:val="030A13"/>
          <w:sz w:val="24"/>
          <w:szCs w:val="24"/>
        </w:rPr>
        <w:t>2</w:t>
      </w:r>
      <w:r w:rsidR="001E07AD">
        <w:rPr>
          <w:rFonts w:ascii="Times New Roman" w:eastAsia="Times New Roman" w:hAnsi="Times New Roman"/>
          <w:color w:val="030A13"/>
          <w:sz w:val="24"/>
          <w:szCs w:val="24"/>
        </w:rPr>
        <w:t>1</w:t>
      </w:r>
      <w:r w:rsidR="001959CC" w:rsidRPr="00006A3D">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academic year.</w:t>
      </w:r>
    </w:p>
    <w:p w14:paraId="658DB7B4" w14:textId="77777777" w:rsidR="005818EA" w:rsidRPr="00006A3D" w:rsidRDefault="005818EA" w:rsidP="00F33ABC">
      <w:pPr>
        <w:spacing w:after="150" w:line="240" w:lineRule="auto"/>
        <w:ind w:left="630"/>
        <w:rPr>
          <w:rFonts w:ascii="Times New Roman" w:eastAsia="Times New Roman" w:hAnsi="Times New Roman"/>
          <w:color w:val="030A13"/>
          <w:sz w:val="24"/>
          <w:szCs w:val="24"/>
        </w:rPr>
      </w:pPr>
    </w:p>
    <w:p w14:paraId="08CD61F1" w14:textId="5154B50C" w:rsidR="006C3C31" w:rsidRPr="00006A3D" w:rsidRDefault="006C3C31" w:rsidP="00F33ABC">
      <w:pPr>
        <w:numPr>
          <w:ilvl w:val="0"/>
          <w:numId w:val="1"/>
        </w:numPr>
        <w:tabs>
          <w:tab w:val="left" w:pos="270"/>
        </w:tabs>
        <w:spacing w:after="0" w:line="240" w:lineRule="auto"/>
        <w:ind w:left="270" w:hanging="270"/>
        <w:rPr>
          <w:rFonts w:ascii="Times New Roman" w:eastAsia="Times New Roman" w:hAnsi="Times New Roman"/>
          <w:color w:val="030A13"/>
          <w:sz w:val="24"/>
          <w:szCs w:val="24"/>
        </w:rPr>
      </w:pPr>
      <w:r w:rsidRPr="00006A3D">
        <w:rPr>
          <w:rFonts w:ascii="Times New Roman" w:eastAsia="Times New Roman" w:hAnsi="Times New Roman"/>
          <w:b/>
          <w:bCs/>
          <w:color w:val="030A13"/>
          <w:sz w:val="24"/>
          <w:szCs w:val="24"/>
        </w:rPr>
        <w:t xml:space="preserve">Are there any changes to the </w:t>
      </w:r>
      <w:r w:rsidR="00890527" w:rsidRPr="00006A3D">
        <w:rPr>
          <w:rFonts w:ascii="Times New Roman" w:eastAsia="Times New Roman" w:hAnsi="Times New Roman"/>
          <w:b/>
          <w:bCs/>
          <w:color w:val="030A13"/>
          <w:sz w:val="24"/>
          <w:szCs w:val="24"/>
        </w:rPr>
        <w:t xml:space="preserve">APR and/or </w:t>
      </w:r>
      <w:r w:rsidRPr="00006A3D">
        <w:rPr>
          <w:rFonts w:ascii="Times New Roman" w:eastAsia="Times New Roman" w:hAnsi="Times New Roman"/>
          <w:b/>
          <w:bCs/>
          <w:color w:val="030A13"/>
          <w:sz w:val="24"/>
          <w:szCs w:val="24"/>
        </w:rPr>
        <w:t xml:space="preserve">Web application for the </w:t>
      </w:r>
      <w:r w:rsidR="00694631" w:rsidRPr="00006A3D">
        <w:rPr>
          <w:rFonts w:ascii="Times New Roman" w:eastAsia="Times New Roman" w:hAnsi="Times New Roman"/>
          <w:b/>
          <w:bCs/>
          <w:color w:val="030A13"/>
          <w:sz w:val="24"/>
          <w:szCs w:val="24"/>
        </w:rPr>
        <w:t>20</w:t>
      </w:r>
      <w:r w:rsidR="00C95B43">
        <w:rPr>
          <w:rFonts w:ascii="Times New Roman" w:eastAsia="Times New Roman" w:hAnsi="Times New Roman"/>
          <w:b/>
          <w:bCs/>
          <w:color w:val="030A13"/>
          <w:sz w:val="24"/>
          <w:szCs w:val="24"/>
        </w:rPr>
        <w:t>20-21</w:t>
      </w:r>
      <w:r w:rsidR="00694631" w:rsidRPr="00006A3D">
        <w:rPr>
          <w:rFonts w:ascii="Times New Roman" w:eastAsia="Times New Roman" w:hAnsi="Times New Roman"/>
          <w:b/>
          <w:bCs/>
          <w:color w:val="030A13"/>
          <w:sz w:val="24"/>
          <w:szCs w:val="24"/>
        </w:rPr>
        <w:t xml:space="preserve"> </w:t>
      </w:r>
      <w:r w:rsidRPr="00006A3D">
        <w:rPr>
          <w:rFonts w:ascii="Times New Roman" w:eastAsia="Times New Roman" w:hAnsi="Times New Roman"/>
          <w:b/>
          <w:bCs/>
          <w:color w:val="030A13"/>
          <w:sz w:val="24"/>
          <w:szCs w:val="24"/>
        </w:rPr>
        <w:t>reporting period?</w:t>
      </w:r>
    </w:p>
    <w:p w14:paraId="4A32FD18" w14:textId="77777777" w:rsidR="00381E2B" w:rsidRPr="00006A3D" w:rsidRDefault="00381E2B" w:rsidP="00F33ABC">
      <w:pPr>
        <w:tabs>
          <w:tab w:val="left" w:pos="270"/>
        </w:tabs>
        <w:spacing w:after="0" w:line="240" w:lineRule="auto"/>
        <w:ind w:left="270"/>
        <w:rPr>
          <w:rFonts w:ascii="Times New Roman" w:eastAsia="Times New Roman" w:hAnsi="Times New Roman"/>
          <w:color w:val="030A13"/>
          <w:sz w:val="24"/>
          <w:szCs w:val="24"/>
        </w:rPr>
      </w:pPr>
    </w:p>
    <w:p w14:paraId="219CDF16" w14:textId="4E02FBED" w:rsidR="008C69C9" w:rsidRPr="00754B19" w:rsidRDefault="005C2AAD" w:rsidP="008C69C9">
      <w:pPr>
        <w:autoSpaceDE w:val="0"/>
        <w:autoSpaceDN w:val="0"/>
        <w:rPr>
          <w:rFonts w:ascii="Times New Roman" w:hAnsi="Times New Roman"/>
          <w:sz w:val="24"/>
          <w:szCs w:val="24"/>
        </w:rPr>
      </w:pPr>
      <w:r w:rsidRPr="00754B19">
        <w:rPr>
          <w:rFonts w:ascii="Times New Roman" w:hAnsi="Times New Roman"/>
          <w:color w:val="030A13"/>
          <w:sz w:val="24"/>
          <w:szCs w:val="24"/>
        </w:rPr>
        <w:t>Yes.</w:t>
      </w:r>
      <w:r w:rsidR="00006A3D" w:rsidRPr="00754B19">
        <w:rPr>
          <w:rFonts w:ascii="Times New Roman" w:hAnsi="Times New Roman"/>
          <w:color w:val="030A13"/>
          <w:sz w:val="24"/>
          <w:szCs w:val="24"/>
        </w:rPr>
        <w:t xml:space="preserve">  </w:t>
      </w:r>
      <w:r w:rsidRPr="00754B19">
        <w:rPr>
          <w:rFonts w:ascii="Times New Roman" w:hAnsi="Times New Roman"/>
          <w:color w:val="030A13"/>
          <w:sz w:val="24"/>
          <w:szCs w:val="24"/>
        </w:rPr>
        <w:t xml:space="preserve">There </w:t>
      </w:r>
      <w:r w:rsidR="00443028" w:rsidRPr="00754B19">
        <w:rPr>
          <w:rFonts w:ascii="Times New Roman" w:hAnsi="Times New Roman"/>
          <w:color w:val="030A13"/>
          <w:sz w:val="24"/>
          <w:szCs w:val="24"/>
        </w:rPr>
        <w:t>is one</w:t>
      </w:r>
      <w:r w:rsidR="001E07AD" w:rsidRPr="00754B19">
        <w:rPr>
          <w:rFonts w:ascii="Times New Roman" w:hAnsi="Times New Roman"/>
          <w:color w:val="030A13"/>
          <w:sz w:val="24"/>
          <w:szCs w:val="24"/>
        </w:rPr>
        <w:t xml:space="preserve"> </w:t>
      </w:r>
      <w:r w:rsidR="00443028" w:rsidRPr="00754B19">
        <w:rPr>
          <w:rFonts w:ascii="Times New Roman" w:hAnsi="Times New Roman"/>
          <w:color w:val="030A13"/>
          <w:sz w:val="24"/>
          <w:szCs w:val="24"/>
        </w:rPr>
        <w:t>new report</w:t>
      </w:r>
      <w:r w:rsidRPr="00754B19">
        <w:rPr>
          <w:rFonts w:ascii="Times New Roman" w:hAnsi="Times New Roman"/>
          <w:color w:val="030A13"/>
          <w:sz w:val="24"/>
          <w:szCs w:val="24"/>
        </w:rPr>
        <w:t xml:space="preserve"> </w:t>
      </w:r>
      <w:r w:rsidR="00443028" w:rsidRPr="00754B19">
        <w:rPr>
          <w:rFonts w:ascii="Times New Roman" w:hAnsi="Times New Roman"/>
          <w:color w:val="030A13"/>
          <w:sz w:val="24"/>
          <w:szCs w:val="24"/>
        </w:rPr>
        <w:t>in</w:t>
      </w:r>
      <w:r w:rsidRPr="00754B19">
        <w:rPr>
          <w:rFonts w:ascii="Times New Roman" w:hAnsi="Times New Roman"/>
          <w:color w:val="030A13"/>
          <w:sz w:val="24"/>
          <w:szCs w:val="24"/>
        </w:rPr>
        <w:t xml:space="preserve"> the web application to </w:t>
      </w:r>
      <w:r w:rsidR="00443028" w:rsidRPr="00754B19">
        <w:rPr>
          <w:rFonts w:ascii="Times New Roman" w:hAnsi="Times New Roman"/>
          <w:color w:val="030A13"/>
          <w:sz w:val="24"/>
          <w:szCs w:val="24"/>
        </w:rPr>
        <w:t xml:space="preserve">solicit additional information on </w:t>
      </w:r>
      <w:r w:rsidR="00BA4018" w:rsidRPr="00754B19">
        <w:rPr>
          <w:rFonts w:ascii="Times New Roman" w:hAnsi="Times New Roman"/>
          <w:color w:val="030A13"/>
          <w:sz w:val="24"/>
          <w:szCs w:val="24"/>
        </w:rPr>
        <w:t>academic</w:t>
      </w:r>
      <w:r w:rsidR="00443028" w:rsidRPr="00754B19">
        <w:rPr>
          <w:rFonts w:ascii="Times New Roman" w:hAnsi="Times New Roman"/>
          <w:color w:val="030A13"/>
          <w:sz w:val="24"/>
          <w:szCs w:val="24"/>
        </w:rPr>
        <w:t xml:space="preserve"> progression for McNair scholars who enrolled in graduate school as first-year graduates between June 30, 2021 and July 31, 2021 and continued to be enrolled, that is, as second year graduates by the Fall of the next academic year.</w:t>
      </w:r>
      <w:r w:rsidR="00F038D2">
        <w:rPr>
          <w:rFonts w:ascii="Times New Roman" w:hAnsi="Times New Roman"/>
          <w:color w:val="030A13"/>
          <w:sz w:val="24"/>
          <w:szCs w:val="24"/>
        </w:rPr>
        <w:t xml:space="preserve"> </w:t>
      </w:r>
      <w:r w:rsidR="00754B19" w:rsidRPr="00754B19">
        <w:rPr>
          <w:rFonts w:ascii="Times New Roman" w:hAnsi="Times New Roman"/>
          <w:sz w:val="24"/>
          <w:szCs w:val="24"/>
        </w:rPr>
        <w:t xml:space="preserve">The </w:t>
      </w:r>
      <w:r w:rsidR="002116A4">
        <w:rPr>
          <w:rFonts w:ascii="Times New Roman" w:hAnsi="Times New Roman"/>
          <w:sz w:val="24"/>
          <w:szCs w:val="24"/>
        </w:rPr>
        <w:t xml:space="preserve">U.S. </w:t>
      </w:r>
      <w:r w:rsidR="00754B19" w:rsidRPr="00754B19">
        <w:rPr>
          <w:rFonts w:ascii="Times New Roman" w:hAnsi="Times New Roman"/>
          <w:sz w:val="24"/>
          <w:szCs w:val="24"/>
        </w:rPr>
        <w:t>Department</w:t>
      </w:r>
      <w:r w:rsidR="002116A4">
        <w:rPr>
          <w:rFonts w:ascii="Times New Roman" w:hAnsi="Times New Roman"/>
          <w:sz w:val="24"/>
          <w:szCs w:val="24"/>
        </w:rPr>
        <w:t xml:space="preserve"> of Education (Department)</w:t>
      </w:r>
      <w:r w:rsidR="00754B19" w:rsidRPr="00754B19">
        <w:rPr>
          <w:rFonts w:ascii="Times New Roman" w:hAnsi="Times New Roman"/>
          <w:sz w:val="24"/>
          <w:szCs w:val="24"/>
        </w:rPr>
        <w:t xml:space="preserve"> would like to improve data collection for students who first enroll in graduate school late within an academic year. To do so, the Department needs to better understand how students are actually progressing within graduate school as compared to how the APR collects data on these students.</w:t>
      </w:r>
      <w:r w:rsidR="008C69C9" w:rsidRPr="00754B19">
        <w:rPr>
          <w:rFonts w:ascii="Times New Roman" w:hAnsi="Times New Roman"/>
          <w:color w:val="030A13"/>
          <w:sz w:val="24"/>
          <w:szCs w:val="24"/>
        </w:rPr>
        <w:t xml:space="preserve"> </w:t>
      </w:r>
      <w:r w:rsidR="008C69C9" w:rsidRPr="00754B19">
        <w:rPr>
          <w:rFonts w:ascii="Times New Roman" w:hAnsi="Times New Roman"/>
          <w:sz w:val="24"/>
          <w:szCs w:val="24"/>
        </w:rPr>
        <w:t xml:space="preserve">As such, grantees </w:t>
      </w:r>
      <w:r w:rsidR="00754B19" w:rsidRPr="00754B19">
        <w:rPr>
          <w:rFonts w:ascii="Times New Roman" w:hAnsi="Times New Roman"/>
          <w:sz w:val="24"/>
          <w:szCs w:val="24"/>
        </w:rPr>
        <w:t>are expected to clarify the extent to which the student has progressed within graduate school</w:t>
      </w:r>
      <w:r w:rsidR="008C69C9" w:rsidRPr="00754B19">
        <w:rPr>
          <w:rFonts w:ascii="Times New Roman" w:hAnsi="Times New Roman"/>
          <w:sz w:val="24"/>
          <w:szCs w:val="24"/>
        </w:rPr>
        <w:t xml:space="preserve"> for any student they reported as:</w:t>
      </w:r>
    </w:p>
    <w:p w14:paraId="67B8AEB1" w14:textId="00EC1F6E" w:rsidR="008C69C9" w:rsidRPr="00E16BD4" w:rsidRDefault="008C69C9" w:rsidP="008C69C9">
      <w:pPr>
        <w:pStyle w:val="ListParagraph"/>
        <w:numPr>
          <w:ilvl w:val="0"/>
          <w:numId w:val="2"/>
        </w:numPr>
        <w:autoSpaceDE w:val="0"/>
        <w:autoSpaceDN w:val="0"/>
        <w:spacing w:after="0" w:line="240" w:lineRule="auto"/>
        <w:ind w:left="360"/>
        <w:contextualSpacing w:val="0"/>
        <w:rPr>
          <w:rFonts w:ascii="Times New Roman" w:hAnsi="Times New Roman"/>
          <w:b/>
          <w:bCs/>
          <w:spacing w:val="-52"/>
          <w:sz w:val="24"/>
          <w:szCs w:val="24"/>
        </w:rPr>
      </w:pPr>
      <w:r w:rsidRPr="00E16BD4">
        <w:rPr>
          <w:rFonts w:ascii="Times New Roman" w:hAnsi="Times New Roman"/>
          <w:sz w:val="24"/>
          <w:szCs w:val="24"/>
        </w:rPr>
        <w:t>having first enrolled between June 1, 2021 and July 31, 2021 (field #36—Date of First Graduate School Enrollment)</w:t>
      </w:r>
      <w:r w:rsidR="002116A4">
        <w:rPr>
          <w:rFonts w:ascii="Times New Roman" w:hAnsi="Times New Roman"/>
          <w:sz w:val="24"/>
          <w:szCs w:val="24"/>
        </w:rPr>
        <w:t>;</w:t>
      </w:r>
    </w:p>
    <w:p w14:paraId="3312AC52" w14:textId="7D7E63BF" w:rsidR="008C69C9" w:rsidRPr="00E16BD4" w:rsidRDefault="008C69C9" w:rsidP="008C69C9">
      <w:pPr>
        <w:pStyle w:val="ListParagraph"/>
        <w:numPr>
          <w:ilvl w:val="0"/>
          <w:numId w:val="2"/>
        </w:numPr>
        <w:autoSpaceDE w:val="0"/>
        <w:autoSpaceDN w:val="0"/>
        <w:spacing w:after="0" w:line="240" w:lineRule="auto"/>
        <w:ind w:left="360"/>
        <w:contextualSpacing w:val="0"/>
        <w:rPr>
          <w:rFonts w:ascii="Times New Roman" w:hAnsi="Times New Roman"/>
          <w:b/>
          <w:bCs/>
          <w:spacing w:val="-52"/>
          <w:sz w:val="24"/>
          <w:szCs w:val="24"/>
        </w:rPr>
      </w:pPr>
      <w:r w:rsidRPr="00E16BD4">
        <w:rPr>
          <w:rFonts w:ascii="Times New Roman" w:hAnsi="Times New Roman"/>
          <w:sz w:val="24"/>
          <w:szCs w:val="24"/>
        </w:rPr>
        <w:t>a first-year graduate (field 40—Year of Graduate Study, option 1— 1st yr. graduate/professional) in this reporting period</w:t>
      </w:r>
      <w:r w:rsidR="002116A4">
        <w:rPr>
          <w:rFonts w:ascii="Times New Roman" w:hAnsi="Times New Roman"/>
          <w:sz w:val="24"/>
          <w:szCs w:val="24"/>
        </w:rPr>
        <w:t xml:space="preserve">; and </w:t>
      </w:r>
      <w:r w:rsidRPr="00E16BD4">
        <w:rPr>
          <w:rFonts w:ascii="Times New Roman" w:hAnsi="Times New Roman"/>
          <w:sz w:val="24"/>
          <w:szCs w:val="24"/>
        </w:rPr>
        <w:t xml:space="preserve"> </w:t>
      </w:r>
    </w:p>
    <w:p w14:paraId="6E698E78" w14:textId="37C0297E" w:rsidR="008C69C9" w:rsidRPr="00E16BD4" w:rsidRDefault="008C69C9" w:rsidP="00EF46D2">
      <w:pPr>
        <w:pStyle w:val="ListParagraph"/>
        <w:numPr>
          <w:ilvl w:val="0"/>
          <w:numId w:val="2"/>
        </w:numPr>
        <w:autoSpaceDE w:val="0"/>
        <w:autoSpaceDN w:val="0"/>
        <w:spacing w:after="0" w:line="240" w:lineRule="auto"/>
        <w:ind w:left="360"/>
        <w:contextualSpacing w:val="0"/>
        <w:rPr>
          <w:rFonts w:ascii="Times New Roman" w:hAnsi="Times New Roman"/>
          <w:b/>
          <w:bCs/>
          <w:spacing w:val="-52"/>
          <w:sz w:val="24"/>
          <w:szCs w:val="24"/>
        </w:rPr>
      </w:pPr>
      <w:r w:rsidRPr="00E16BD4">
        <w:rPr>
          <w:rFonts w:ascii="Times New Roman" w:hAnsi="Times New Roman"/>
          <w:sz w:val="24"/>
          <w:szCs w:val="24"/>
        </w:rPr>
        <w:t>continued to be enrolled in graduate school at the</w:t>
      </w:r>
      <w:r w:rsidRPr="00E16BD4">
        <w:rPr>
          <w:rFonts w:ascii="Times New Roman" w:hAnsi="Times New Roman"/>
          <w:spacing w:val="1"/>
          <w:sz w:val="24"/>
          <w:szCs w:val="24"/>
        </w:rPr>
        <w:t xml:space="preserve"> </w:t>
      </w:r>
      <w:r w:rsidRPr="00E16BD4">
        <w:rPr>
          <w:rFonts w:ascii="Times New Roman" w:hAnsi="Times New Roman"/>
          <w:sz w:val="24"/>
          <w:szCs w:val="24"/>
        </w:rPr>
        <w:t xml:space="preserve">beginning of </w:t>
      </w:r>
      <w:r w:rsidRPr="00E16BD4">
        <w:rPr>
          <w:rFonts w:ascii="Times New Roman" w:hAnsi="Times New Roman"/>
          <w:spacing w:val="-52"/>
          <w:sz w:val="24"/>
          <w:szCs w:val="24"/>
        </w:rPr>
        <w:t> </w:t>
      </w:r>
      <w:r w:rsidRPr="00E16BD4">
        <w:rPr>
          <w:rFonts w:ascii="Times New Roman" w:hAnsi="Times New Roman"/>
          <w:sz w:val="24"/>
          <w:szCs w:val="24"/>
        </w:rPr>
        <w:t xml:space="preserve">the 2021-22 </w:t>
      </w:r>
      <w:r w:rsidRPr="00E16BD4">
        <w:rPr>
          <w:rFonts w:ascii="Times New Roman" w:hAnsi="Times New Roman"/>
          <w:spacing w:val="-52"/>
          <w:sz w:val="24"/>
          <w:szCs w:val="24"/>
        </w:rPr>
        <w:t> </w:t>
      </w:r>
      <w:r w:rsidRPr="00E16BD4">
        <w:rPr>
          <w:rFonts w:ascii="Times New Roman" w:hAnsi="Times New Roman"/>
          <w:sz w:val="24"/>
          <w:szCs w:val="24"/>
        </w:rPr>
        <w:t>academic</w:t>
      </w:r>
      <w:r w:rsidRPr="00E16BD4">
        <w:rPr>
          <w:rFonts w:ascii="Times New Roman" w:hAnsi="Times New Roman"/>
          <w:spacing w:val="1"/>
          <w:sz w:val="24"/>
          <w:szCs w:val="24"/>
        </w:rPr>
        <w:t xml:space="preserve"> </w:t>
      </w:r>
      <w:r w:rsidRPr="00E16BD4">
        <w:rPr>
          <w:rFonts w:ascii="Times New Roman" w:hAnsi="Times New Roman"/>
          <w:sz w:val="24"/>
          <w:szCs w:val="24"/>
        </w:rPr>
        <w:t>year (field #39—First-Year</w:t>
      </w:r>
      <w:r w:rsidRPr="00E16BD4">
        <w:rPr>
          <w:rFonts w:ascii="Times New Roman" w:hAnsi="Times New Roman"/>
          <w:spacing w:val="1"/>
          <w:sz w:val="24"/>
          <w:szCs w:val="24"/>
        </w:rPr>
        <w:t xml:space="preserve"> </w:t>
      </w:r>
      <w:r w:rsidRPr="00E16BD4">
        <w:rPr>
          <w:rFonts w:ascii="Times New Roman" w:hAnsi="Times New Roman"/>
          <w:sz w:val="24"/>
          <w:szCs w:val="24"/>
        </w:rPr>
        <w:t>Graduate</w:t>
      </w:r>
      <w:r w:rsidRPr="00E16BD4">
        <w:rPr>
          <w:rFonts w:ascii="Times New Roman" w:hAnsi="Times New Roman"/>
          <w:spacing w:val="1"/>
          <w:sz w:val="24"/>
          <w:szCs w:val="24"/>
        </w:rPr>
        <w:t xml:space="preserve"> </w:t>
      </w:r>
      <w:r w:rsidRPr="00E16BD4">
        <w:rPr>
          <w:rFonts w:ascii="Times New Roman" w:hAnsi="Times New Roman"/>
          <w:sz w:val="24"/>
          <w:szCs w:val="24"/>
        </w:rPr>
        <w:t>Student</w:t>
      </w:r>
      <w:r w:rsidRPr="00E16BD4">
        <w:rPr>
          <w:rFonts w:ascii="Times New Roman" w:hAnsi="Times New Roman"/>
          <w:spacing w:val="1"/>
          <w:sz w:val="24"/>
          <w:szCs w:val="24"/>
        </w:rPr>
        <w:t xml:space="preserve"> </w:t>
      </w:r>
      <w:r w:rsidRPr="00E16BD4">
        <w:rPr>
          <w:rFonts w:ascii="Times New Roman" w:hAnsi="Times New Roman"/>
          <w:spacing w:val="-1"/>
          <w:sz w:val="24"/>
          <w:szCs w:val="24"/>
        </w:rPr>
        <w:t>Persistence</w:t>
      </w:r>
      <w:r w:rsidRPr="00E16BD4">
        <w:rPr>
          <w:rFonts w:ascii="Times New Roman" w:hAnsi="Times New Roman"/>
          <w:spacing w:val="-52"/>
          <w:sz w:val="24"/>
          <w:szCs w:val="24"/>
        </w:rPr>
        <w:t xml:space="preserve">      </w:t>
      </w:r>
      <w:r w:rsidRPr="00E16BD4">
        <w:rPr>
          <w:rFonts w:ascii="Times New Roman" w:hAnsi="Times New Roman"/>
          <w:sz w:val="24"/>
          <w:szCs w:val="24"/>
        </w:rPr>
        <w:t>Status at the</w:t>
      </w:r>
      <w:r w:rsidRPr="00E16BD4">
        <w:rPr>
          <w:rFonts w:ascii="Times New Roman" w:hAnsi="Times New Roman"/>
          <w:spacing w:val="1"/>
          <w:sz w:val="24"/>
          <w:szCs w:val="24"/>
        </w:rPr>
        <w:t xml:space="preserve"> </w:t>
      </w:r>
      <w:r w:rsidRPr="00E16BD4">
        <w:rPr>
          <w:rFonts w:ascii="Times New Roman" w:hAnsi="Times New Roman"/>
          <w:sz w:val="24"/>
          <w:szCs w:val="24"/>
        </w:rPr>
        <w:t xml:space="preserve">beginning of </w:t>
      </w:r>
      <w:r w:rsidRPr="00E16BD4">
        <w:rPr>
          <w:rFonts w:ascii="Times New Roman" w:hAnsi="Times New Roman"/>
          <w:spacing w:val="-52"/>
          <w:sz w:val="24"/>
          <w:szCs w:val="24"/>
        </w:rPr>
        <w:t> </w:t>
      </w:r>
      <w:r w:rsidRPr="00E16BD4">
        <w:rPr>
          <w:rFonts w:ascii="Times New Roman" w:hAnsi="Times New Roman"/>
          <w:sz w:val="24"/>
          <w:szCs w:val="24"/>
        </w:rPr>
        <w:t>the 2021-22</w:t>
      </w:r>
      <w:r w:rsidRPr="00E16BD4">
        <w:rPr>
          <w:rFonts w:ascii="Times New Roman" w:hAnsi="Times New Roman"/>
          <w:b/>
          <w:bCs/>
          <w:spacing w:val="-52"/>
          <w:sz w:val="24"/>
          <w:szCs w:val="24"/>
        </w:rPr>
        <w:t xml:space="preserve">    </w:t>
      </w:r>
      <w:r w:rsidRPr="00E16BD4">
        <w:rPr>
          <w:rFonts w:ascii="Times New Roman" w:hAnsi="Times New Roman"/>
          <w:sz w:val="24"/>
          <w:szCs w:val="24"/>
        </w:rPr>
        <w:t> academic year, option 1).</w:t>
      </w:r>
    </w:p>
    <w:p w14:paraId="3E88C2C1" w14:textId="77777777" w:rsidR="00EF46D2" w:rsidRDefault="00EF46D2" w:rsidP="00EF46D2">
      <w:pPr>
        <w:autoSpaceDE w:val="0"/>
        <w:autoSpaceDN w:val="0"/>
        <w:spacing w:after="0" w:line="240" w:lineRule="auto"/>
        <w:rPr>
          <w:rFonts w:ascii="Times New Roman" w:eastAsiaTheme="minorHAnsi" w:hAnsi="Times New Roman"/>
          <w:sz w:val="24"/>
          <w:szCs w:val="24"/>
        </w:rPr>
      </w:pPr>
    </w:p>
    <w:p w14:paraId="6710F304" w14:textId="734CE0AE" w:rsidR="008C69C9" w:rsidRPr="00E16BD4" w:rsidRDefault="008C69C9" w:rsidP="00EF46D2">
      <w:pPr>
        <w:autoSpaceDE w:val="0"/>
        <w:autoSpaceDN w:val="0"/>
        <w:spacing w:line="240" w:lineRule="auto"/>
        <w:rPr>
          <w:rFonts w:ascii="Times New Roman" w:eastAsiaTheme="minorHAnsi" w:hAnsi="Times New Roman"/>
          <w:sz w:val="24"/>
          <w:szCs w:val="24"/>
        </w:rPr>
      </w:pPr>
      <w:r w:rsidRPr="00E16BD4">
        <w:rPr>
          <w:rFonts w:ascii="Times New Roman" w:eastAsiaTheme="minorHAnsi" w:hAnsi="Times New Roman"/>
          <w:sz w:val="24"/>
          <w:szCs w:val="24"/>
        </w:rPr>
        <w:t xml:space="preserve">A friendly reminder: When providing </w:t>
      </w:r>
      <w:r w:rsidR="00EF46D2">
        <w:rPr>
          <w:rFonts w:ascii="Times New Roman" w:eastAsiaTheme="minorHAnsi" w:hAnsi="Times New Roman"/>
          <w:sz w:val="24"/>
          <w:szCs w:val="24"/>
        </w:rPr>
        <w:t>the information</w:t>
      </w:r>
      <w:r w:rsidRPr="00E16BD4">
        <w:rPr>
          <w:rFonts w:ascii="Times New Roman" w:eastAsiaTheme="minorHAnsi" w:hAnsi="Times New Roman"/>
          <w:sz w:val="24"/>
          <w:szCs w:val="24"/>
        </w:rPr>
        <w:t xml:space="preserve">, please do not </w:t>
      </w:r>
      <w:r w:rsidR="002C6907">
        <w:rPr>
          <w:rFonts w:ascii="Times New Roman" w:eastAsiaTheme="minorHAnsi" w:hAnsi="Times New Roman"/>
          <w:sz w:val="24"/>
          <w:szCs w:val="24"/>
        </w:rPr>
        <w:t>enter</w:t>
      </w:r>
      <w:r w:rsidRPr="00E16BD4">
        <w:rPr>
          <w:rFonts w:ascii="Times New Roman" w:eastAsiaTheme="minorHAnsi" w:hAnsi="Times New Roman"/>
          <w:sz w:val="24"/>
          <w:szCs w:val="24"/>
        </w:rPr>
        <w:t xml:space="preserve"> any </w:t>
      </w:r>
      <w:r w:rsidR="002116A4" w:rsidRPr="00416724">
        <w:rPr>
          <w:rFonts w:ascii="Times New Roman" w:hAnsi="Times New Roman"/>
          <w:sz w:val="24"/>
          <w:szCs w:val="24"/>
        </w:rPr>
        <w:t>personal identifiable information (PII)</w:t>
      </w:r>
      <w:r w:rsidRPr="00E16BD4">
        <w:rPr>
          <w:rFonts w:ascii="Times New Roman" w:eastAsiaTheme="minorHAnsi" w:hAnsi="Times New Roman"/>
          <w:sz w:val="24"/>
          <w:szCs w:val="24"/>
        </w:rPr>
        <w:t>, instead use the student’s case number.</w:t>
      </w:r>
    </w:p>
    <w:p w14:paraId="79737298" w14:textId="77777777" w:rsidR="00754B19" w:rsidRDefault="00754B19">
      <w:pPr>
        <w:spacing w:after="0" w:line="240" w:lineRule="auto"/>
        <w:rPr>
          <w:rFonts w:ascii="Times New Roman" w:eastAsia="Times New Roman" w:hAnsi="Times New Roman"/>
          <w:b/>
          <w:bCs/>
          <w:color w:val="030A13"/>
          <w:sz w:val="24"/>
          <w:szCs w:val="24"/>
        </w:rPr>
      </w:pPr>
      <w:r>
        <w:rPr>
          <w:rFonts w:ascii="Times New Roman" w:eastAsia="Times New Roman" w:hAnsi="Times New Roman"/>
          <w:b/>
          <w:bCs/>
          <w:color w:val="030A13"/>
          <w:sz w:val="24"/>
          <w:szCs w:val="24"/>
        </w:rPr>
        <w:br w:type="page"/>
      </w:r>
    </w:p>
    <w:p w14:paraId="101DD470" w14:textId="1DDE6FCB" w:rsidR="00381E2B" w:rsidRPr="00006A3D" w:rsidRDefault="006C3C31" w:rsidP="00F33ABC">
      <w:pPr>
        <w:numPr>
          <w:ilvl w:val="0"/>
          <w:numId w:val="1"/>
        </w:numPr>
        <w:tabs>
          <w:tab w:val="left" w:pos="270"/>
        </w:tabs>
        <w:spacing w:before="100" w:beforeAutospacing="1" w:after="150" w:afterAutospacing="1" w:line="240" w:lineRule="auto"/>
        <w:ind w:left="270" w:hanging="270"/>
        <w:rPr>
          <w:rFonts w:ascii="Times New Roman" w:eastAsia="Times New Roman" w:hAnsi="Times New Roman"/>
          <w:color w:val="030A13"/>
          <w:sz w:val="24"/>
          <w:szCs w:val="24"/>
        </w:rPr>
      </w:pPr>
      <w:r w:rsidRPr="00006A3D">
        <w:rPr>
          <w:rFonts w:ascii="Times New Roman" w:eastAsia="Times New Roman" w:hAnsi="Times New Roman"/>
          <w:b/>
          <w:bCs/>
          <w:color w:val="030A13"/>
          <w:sz w:val="24"/>
          <w:szCs w:val="24"/>
        </w:rPr>
        <w:lastRenderedPageBreak/>
        <w:t>Prior Experience (PE) Points Report</w:t>
      </w:r>
    </w:p>
    <w:p w14:paraId="75E3FB12" w14:textId="5C400FC7" w:rsidR="00374F90" w:rsidRPr="00F038D2" w:rsidRDefault="009C7334">
      <w:pPr>
        <w:autoSpaceDE w:val="0"/>
        <w:autoSpaceDN w:val="0"/>
        <w:adjustRightInd w:val="0"/>
        <w:rPr>
          <w:rFonts w:ascii="Times New Roman" w:eastAsiaTheme="minorHAnsi" w:hAnsi="Times New Roman"/>
          <w:color w:val="000000"/>
          <w:sz w:val="24"/>
          <w:szCs w:val="24"/>
        </w:rPr>
      </w:pPr>
      <w:r w:rsidRPr="00F038D2">
        <w:rPr>
          <w:rFonts w:ascii="Times New Roman" w:eastAsiaTheme="minorHAnsi" w:hAnsi="Times New Roman"/>
          <w:color w:val="000000"/>
          <w:sz w:val="24"/>
          <w:szCs w:val="24"/>
        </w:rPr>
        <w:t xml:space="preserve">Generally, during a TRIO grant award competition, </w:t>
      </w:r>
      <w:r w:rsidR="00374F90" w:rsidRPr="00F038D2">
        <w:rPr>
          <w:rFonts w:ascii="Times New Roman" w:eastAsiaTheme="minorHAnsi" w:hAnsi="Times New Roman"/>
          <w:color w:val="000000"/>
          <w:sz w:val="24"/>
          <w:szCs w:val="24"/>
        </w:rPr>
        <w:t xml:space="preserve">the Department </w:t>
      </w:r>
      <w:r w:rsidRPr="00F038D2">
        <w:rPr>
          <w:rFonts w:ascii="Times New Roman" w:eastAsiaTheme="minorHAnsi" w:hAnsi="Times New Roman"/>
          <w:color w:val="000000"/>
          <w:sz w:val="24"/>
          <w:szCs w:val="24"/>
        </w:rPr>
        <w:t xml:space="preserve">uses the </w:t>
      </w:r>
      <w:r w:rsidR="00374F90" w:rsidRPr="00F038D2">
        <w:rPr>
          <w:rFonts w:ascii="Times New Roman" w:eastAsiaTheme="minorHAnsi" w:hAnsi="Times New Roman"/>
          <w:color w:val="000000"/>
          <w:sz w:val="24"/>
          <w:szCs w:val="24"/>
        </w:rPr>
        <w:t xml:space="preserve">second, third and fourth year of </w:t>
      </w:r>
      <w:r w:rsidR="002116A4">
        <w:rPr>
          <w:rFonts w:ascii="Times New Roman" w:eastAsiaTheme="minorHAnsi" w:hAnsi="Times New Roman"/>
          <w:color w:val="000000"/>
          <w:sz w:val="24"/>
          <w:szCs w:val="24"/>
        </w:rPr>
        <w:t xml:space="preserve">the </w:t>
      </w:r>
      <w:r w:rsidR="00374F90" w:rsidRPr="00F038D2">
        <w:rPr>
          <w:rFonts w:ascii="Times New Roman" w:eastAsiaTheme="minorHAnsi" w:hAnsi="Times New Roman"/>
          <w:color w:val="000000"/>
          <w:sz w:val="24"/>
          <w:szCs w:val="24"/>
        </w:rPr>
        <w:t xml:space="preserve">expiring grants as PE assessment years. </w:t>
      </w:r>
      <w:r w:rsidR="00724525">
        <w:rPr>
          <w:rFonts w:ascii="Times New Roman" w:eastAsiaTheme="minorHAnsi" w:hAnsi="Times New Roman"/>
          <w:color w:val="000000"/>
          <w:sz w:val="24"/>
          <w:szCs w:val="24"/>
        </w:rPr>
        <w:t xml:space="preserve"> </w:t>
      </w:r>
      <w:r w:rsidR="00374F90" w:rsidRPr="00F038D2">
        <w:rPr>
          <w:rFonts w:ascii="Times New Roman" w:eastAsiaTheme="minorHAnsi" w:hAnsi="Times New Roman"/>
          <w:color w:val="000000"/>
          <w:sz w:val="24"/>
          <w:szCs w:val="24"/>
        </w:rPr>
        <w:t>However, due to the challenges that current grantees face as a result of the global pandemic, the following methodology will be used in order to diminish the negative programmatic impact that has occurred regarding the attainment of objectives and PE.</w:t>
      </w:r>
    </w:p>
    <w:p w14:paraId="5C527C0F" w14:textId="3C59BD89" w:rsidR="00374F90" w:rsidRPr="00F038D2" w:rsidRDefault="00374F90" w:rsidP="00374F90">
      <w:pPr>
        <w:tabs>
          <w:tab w:val="left" w:pos="270"/>
        </w:tabs>
        <w:spacing w:before="100" w:beforeAutospacing="1" w:after="150" w:afterAutospacing="1" w:line="240" w:lineRule="auto"/>
        <w:rPr>
          <w:rFonts w:ascii="Times New Roman" w:eastAsiaTheme="minorHAnsi" w:hAnsi="Times New Roman"/>
          <w:color w:val="000000"/>
          <w:sz w:val="24"/>
          <w:szCs w:val="24"/>
        </w:rPr>
      </w:pPr>
      <w:r w:rsidRPr="00F038D2">
        <w:rPr>
          <w:rFonts w:ascii="Times New Roman" w:eastAsiaTheme="minorHAnsi" w:hAnsi="Times New Roman"/>
          <w:color w:val="000000"/>
          <w:sz w:val="24"/>
          <w:szCs w:val="24"/>
        </w:rPr>
        <w:t xml:space="preserve">The highest scoring </w:t>
      </w:r>
      <w:r w:rsidRPr="00F038D2">
        <w:rPr>
          <w:rFonts w:ascii="Times New Roman" w:eastAsiaTheme="minorHAnsi" w:hAnsi="Times New Roman"/>
          <w:b/>
          <w:bCs/>
          <w:color w:val="000000"/>
          <w:sz w:val="24"/>
          <w:szCs w:val="24"/>
        </w:rPr>
        <w:t>two</w:t>
      </w:r>
      <w:r w:rsidRPr="00F038D2">
        <w:rPr>
          <w:rFonts w:ascii="Times New Roman" w:eastAsiaTheme="minorHAnsi" w:hAnsi="Times New Roman"/>
          <w:color w:val="000000"/>
          <w:sz w:val="24"/>
          <w:szCs w:val="24"/>
        </w:rPr>
        <w:t xml:space="preserve"> years of data from the following </w:t>
      </w:r>
      <w:r w:rsidR="009C7334" w:rsidRPr="00F038D2">
        <w:rPr>
          <w:rFonts w:ascii="Times New Roman" w:eastAsiaTheme="minorHAnsi" w:hAnsi="Times New Roman"/>
          <w:b/>
          <w:bCs/>
          <w:color w:val="000000"/>
          <w:sz w:val="24"/>
          <w:szCs w:val="24"/>
        </w:rPr>
        <w:t xml:space="preserve">four </w:t>
      </w:r>
      <w:r w:rsidRPr="00F038D2">
        <w:rPr>
          <w:rFonts w:ascii="Times New Roman" w:eastAsiaTheme="minorHAnsi" w:hAnsi="Times New Roman"/>
          <w:color w:val="000000"/>
          <w:sz w:val="24"/>
          <w:szCs w:val="24"/>
        </w:rPr>
        <w:t xml:space="preserve">assessment years:  </w:t>
      </w:r>
      <w:r w:rsidR="009C7334" w:rsidRPr="00F038D2">
        <w:rPr>
          <w:rFonts w:ascii="Times New Roman" w:eastAsiaTheme="minorHAnsi" w:hAnsi="Times New Roman"/>
          <w:color w:val="000000"/>
          <w:sz w:val="24"/>
          <w:szCs w:val="24"/>
        </w:rPr>
        <w:t xml:space="preserve">2017-18, </w:t>
      </w:r>
      <w:r w:rsidRPr="00F038D2">
        <w:rPr>
          <w:rFonts w:ascii="Times New Roman" w:eastAsiaTheme="minorHAnsi" w:hAnsi="Times New Roman"/>
          <w:color w:val="000000"/>
          <w:sz w:val="24"/>
          <w:szCs w:val="24"/>
        </w:rPr>
        <w:t xml:space="preserve">2018-19; </w:t>
      </w:r>
      <w:r w:rsidR="009C7334" w:rsidRPr="00F038D2">
        <w:rPr>
          <w:rFonts w:ascii="Times New Roman" w:eastAsiaTheme="minorHAnsi" w:hAnsi="Times New Roman"/>
          <w:color w:val="000000"/>
          <w:sz w:val="24"/>
          <w:szCs w:val="24"/>
        </w:rPr>
        <w:t xml:space="preserve">2019-20, </w:t>
      </w:r>
      <w:r w:rsidR="00F038D2">
        <w:rPr>
          <w:rFonts w:ascii="Times New Roman" w:eastAsiaTheme="minorHAnsi" w:hAnsi="Times New Roman"/>
          <w:color w:val="000000"/>
          <w:sz w:val="24"/>
          <w:szCs w:val="24"/>
        </w:rPr>
        <w:t xml:space="preserve">and </w:t>
      </w:r>
      <w:r w:rsidRPr="00F038D2">
        <w:rPr>
          <w:rFonts w:ascii="Times New Roman" w:eastAsiaTheme="minorHAnsi" w:hAnsi="Times New Roman"/>
          <w:color w:val="000000"/>
          <w:sz w:val="24"/>
          <w:szCs w:val="24"/>
        </w:rPr>
        <w:t xml:space="preserve">2020-21; </w:t>
      </w:r>
      <w:r w:rsidR="00DA5D61" w:rsidRPr="00F038D2">
        <w:rPr>
          <w:rFonts w:ascii="Times New Roman" w:eastAsiaTheme="minorHAnsi" w:hAnsi="Times New Roman"/>
          <w:color w:val="000000"/>
          <w:sz w:val="24"/>
          <w:szCs w:val="24"/>
        </w:rPr>
        <w:t>will be used</w:t>
      </w:r>
      <w:r w:rsidRPr="00F038D2">
        <w:rPr>
          <w:rFonts w:ascii="Times New Roman" w:eastAsiaTheme="minorHAnsi" w:hAnsi="Times New Roman"/>
          <w:color w:val="000000"/>
          <w:sz w:val="24"/>
          <w:szCs w:val="24"/>
        </w:rPr>
        <w:t>.</w:t>
      </w:r>
    </w:p>
    <w:p w14:paraId="2E293C8B" w14:textId="6FCE6701" w:rsidR="00381E2B" w:rsidRPr="00F038D2" w:rsidRDefault="007E585D" w:rsidP="00374F90">
      <w:pPr>
        <w:tabs>
          <w:tab w:val="left" w:pos="270"/>
        </w:tabs>
        <w:spacing w:before="100" w:beforeAutospacing="1" w:after="150" w:afterAutospacing="1" w:line="240" w:lineRule="auto"/>
        <w:rPr>
          <w:rFonts w:ascii="Times New Roman" w:eastAsia="Times New Roman" w:hAnsi="Times New Roman"/>
          <w:color w:val="030A13"/>
          <w:sz w:val="24"/>
          <w:szCs w:val="24"/>
        </w:rPr>
      </w:pPr>
      <w:r w:rsidRPr="00F038D2">
        <w:rPr>
          <w:rFonts w:ascii="Times New Roman" w:eastAsia="Times New Roman" w:hAnsi="Times New Roman"/>
          <w:color w:val="030A13"/>
          <w:sz w:val="24"/>
          <w:szCs w:val="24"/>
        </w:rPr>
        <w:t>A</w:t>
      </w:r>
      <w:r w:rsidR="00C000C1" w:rsidRPr="00F038D2">
        <w:rPr>
          <w:rFonts w:ascii="Times New Roman" w:eastAsia="Times New Roman" w:hAnsi="Times New Roman"/>
          <w:color w:val="030A13"/>
          <w:sz w:val="24"/>
          <w:szCs w:val="24"/>
        </w:rPr>
        <w:t xml:space="preserve">fter submitting the APR, </w:t>
      </w:r>
      <w:r w:rsidR="00A44B1B" w:rsidRPr="00F038D2">
        <w:rPr>
          <w:rFonts w:ascii="Times New Roman" w:eastAsia="Times New Roman" w:hAnsi="Times New Roman"/>
          <w:color w:val="030A13"/>
          <w:sz w:val="24"/>
          <w:szCs w:val="24"/>
        </w:rPr>
        <w:t xml:space="preserve">you </w:t>
      </w:r>
      <w:r w:rsidR="00381E2B" w:rsidRPr="00F038D2">
        <w:rPr>
          <w:rFonts w:ascii="Times New Roman" w:eastAsia="Times New Roman" w:hAnsi="Times New Roman"/>
          <w:color w:val="030A13"/>
          <w:sz w:val="24"/>
          <w:szCs w:val="24"/>
        </w:rPr>
        <w:t xml:space="preserve">will receive a </w:t>
      </w:r>
      <w:r w:rsidR="00560D9E" w:rsidRPr="00F038D2">
        <w:rPr>
          <w:rFonts w:ascii="Times New Roman" w:eastAsia="Times New Roman" w:hAnsi="Times New Roman"/>
          <w:color w:val="030A13"/>
          <w:sz w:val="24"/>
          <w:szCs w:val="24"/>
        </w:rPr>
        <w:t xml:space="preserve">summary of </w:t>
      </w:r>
      <w:r w:rsidR="00A44B1B" w:rsidRPr="00F038D2">
        <w:rPr>
          <w:rFonts w:ascii="Times New Roman" w:eastAsia="Times New Roman" w:hAnsi="Times New Roman"/>
          <w:color w:val="030A13"/>
          <w:sz w:val="24"/>
          <w:szCs w:val="24"/>
        </w:rPr>
        <w:t>your reported information</w:t>
      </w:r>
      <w:r w:rsidR="00560D9E" w:rsidRPr="00F038D2">
        <w:rPr>
          <w:rFonts w:ascii="Times New Roman" w:eastAsia="Times New Roman" w:hAnsi="Times New Roman"/>
          <w:color w:val="030A13"/>
          <w:sz w:val="24"/>
          <w:szCs w:val="24"/>
        </w:rPr>
        <w:t>, including tabulations of PE points earned during this reporting period.</w:t>
      </w:r>
    </w:p>
    <w:p w14:paraId="7F046D85" w14:textId="1F80A98F" w:rsidR="006C3C31" w:rsidRPr="002C6907" w:rsidRDefault="006C3C31" w:rsidP="00DA5D61">
      <w:pPr>
        <w:tabs>
          <w:tab w:val="left" w:pos="270"/>
        </w:tabs>
        <w:spacing w:before="100" w:beforeAutospacing="1" w:after="150" w:afterAutospacing="1" w:line="240" w:lineRule="auto"/>
      </w:pPr>
      <w:r w:rsidRPr="00F038D2">
        <w:rPr>
          <w:rFonts w:ascii="Times New Roman" w:eastAsia="Times New Roman" w:hAnsi="Times New Roman"/>
          <w:color w:val="030A13"/>
          <w:sz w:val="24"/>
          <w:szCs w:val="24"/>
        </w:rPr>
        <w:t xml:space="preserve">The method used to calculate </w:t>
      </w:r>
      <w:r w:rsidR="00BB2796" w:rsidRPr="00F038D2">
        <w:rPr>
          <w:rFonts w:ascii="Times New Roman" w:eastAsia="Times New Roman" w:hAnsi="Times New Roman"/>
          <w:color w:val="030A13"/>
          <w:sz w:val="24"/>
          <w:szCs w:val="24"/>
        </w:rPr>
        <w:t>values in this report</w:t>
      </w:r>
      <w:r w:rsidRPr="00F038D2">
        <w:rPr>
          <w:rFonts w:ascii="Times New Roman" w:eastAsia="Times New Roman" w:hAnsi="Times New Roman"/>
          <w:color w:val="030A13"/>
          <w:sz w:val="24"/>
          <w:szCs w:val="24"/>
        </w:rPr>
        <w:t xml:space="preserve"> is available at </w:t>
      </w:r>
      <w:hyperlink r:id="rId12" w:history="1">
        <w:r w:rsidR="002C6907" w:rsidRPr="002C6907">
          <w:rPr>
            <w:rStyle w:val="Hyperlink"/>
            <w:rFonts w:ascii="Times New Roman" w:hAnsi="Times New Roman"/>
            <w:sz w:val="24"/>
            <w:szCs w:val="24"/>
          </w:rPr>
          <w:t>2020-21 McNair APR</w:t>
        </w:r>
      </w:hyperlink>
      <w:r w:rsidR="00421C05" w:rsidRPr="002C6907">
        <w:rPr>
          <w:rFonts w:ascii="Times New Roman" w:eastAsia="Times New Roman" w:hAnsi="Times New Roman"/>
          <w:color w:val="030A13"/>
          <w:sz w:val="24"/>
          <w:szCs w:val="24"/>
        </w:rPr>
        <w:t>.</w:t>
      </w:r>
    </w:p>
    <w:p w14:paraId="67EA7D07" w14:textId="378CE655" w:rsidR="0023159F" w:rsidRPr="00006A3D" w:rsidRDefault="006C3C31" w:rsidP="00F33ABC">
      <w:pPr>
        <w:pStyle w:val="CommentText"/>
        <w:rPr>
          <w:rFonts w:ascii="Times New Roman" w:eastAsia="Times New Roman" w:hAnsi="Times New Roman"/>
          <w:color w:val="030A13"/>
          <w:sz w:val="24"/>
          <w:szCs w:val="24"/>
        </w:rPr>
      </w:pPr>
      <w:r w:rsidRPr="00006A3D">
        <w:rPr>
          <w:rFonts w:ascii="Times New Roman" w:eastAsia="Times New Roman" w:hAnsi="Times New Roman"/>
          <w:b/>
          <w:bCs/>
          <w:color w:val="030A13"/>
          <w:sz w:val="24"/>
          <w:szCs w:val="24"/>
        </w:rPr>
        <w:t>Registration</w:t>
      </w:r>
      <w:r w:rsidRPr="00F33ABC">
        <w:rPr>
          <w:rFonts w:ascii="Times New Roman" w:eastAsia="Times New Roman" w:hAnsi="Times New Roman"/>
          <w:b/>
          <w:bCs/>
          <w:color w:val="030A13"/>
          <w:sz w:val="24"/>
          <w:szCs w:val="24"/>
          <w:shd w:val="clear" w:color="auto" w:fill="FFFFFF" w:themeFill="background1"/>
        </w:rPr>
        <w:t>.</w:t>
      </w:r>
      <w:r w:rsidR="00840A52" w:rsidRPr="00F33ABC">
        <w:rPr>
          <w:rFonts w:ascii="Times New Roman" w:eastAsia="Times New Roman" w:hAnsi="Times New Roman"/>
          <w:color w:val="030A13"/>
          <w:sz w:val="24"/>
          <w:szCs w:val="24"/>
          <w:shd w:val="clear" w:color="auto" w:fill="FFFFFF" w:themeFill="background1"/>
        </w:rPr>
        <w:t xml:space="preserve"> </w:t>
      </w:r>
      <w:r w:rsidR="00A44B1B" w:rsidRPr="00F33ABC">
        <w:rPr>
          <w:rFonts w:ascii="Times New Roman" w:eastAsia="Times New Roman" w:hAnsi="Times New Roman"/>
          <w:color w:val="030A13"/>
          <w:sz w:val="24"/>
          <w:szCs w:val="24"/>
          <w:shd w:val="clear" w:color="auto" w:fill="FFFFFF" w:themeFill="background1"/>
        </w:rPr>
        <w:t>G</w:t>
      </w:r>
      <w:r w:rsidR="0023159F" w:rsidRPr="00006A3D">
        <w:rPr>
          <w:rFonts w:ascii="Times New Roman" w:eastAsia="Times New Roman" w:hAnsi="Times New Roman"/>
          <w:color w:val="030A13"/>
          <w:sz w:val="24"/>
          <w:szCs w:val="24"/>
        </w:rPr>
        <w:t>rantees must register a password in order to protect the security of their APR data.</w:t>
      </w:r>
      <w:r w:rsidR="00840A52" w:rsidRPr="00F33ABC">
        <w:rPr>
          <w:rFonts w:ascii="Times New Roman" w:eastAsia="Times New Roman" w:hAnsi="Times New Roman"/>
          <w:color w:val="030A13"/>
          <w:sz w:val="24"/>
          <w:szCs w:val="24"/>
          <w:shd w:val="clear" w:color="auto" w:fill="FFFFFF" w:themeFill="background1"/>
        </w:rPr>
        <w:t xml:space="preserve"> </w:t>
      </w:r>
      <w:r w:rsidR="0023159F" w:rsidRPr="00F33ABC">
        <w:rPr>
          <w:rFonts w:ascii="Times New Roman" w:eastAsia="Times New Roman" w:hAnsi="Times New Roman"/>
          <w:color w:val="030A13"/>
          <w:sz w:val="24"/>
          <w:szCs w:val="24"/>
          <w:shd w:val="clear" w:color="auto" w:fill="FFFFFF" w:themeFill="background1"/>
        </w:rPr>
        <w:t xml:space="preserve"> </w:t>
      </w:r>
      <w:r w:rsidR="0023159F" w:rsidRPr="00006A3D">
        <w:rPr>
          <w:rFonts w:ascii="Times New Roman" w:eastAsia="Times New Roman" w:hAnsi="Times New Roman"/>
          <w:color w:val="030A13"/>
          <w:sz w:val="24"/>
          <w:szCs w:val="24"/>
        </w:rPr>
        <w:t xml:space="preserve">All first-time users must register on the </w:t>
      </w:r>
      <w:hyperlink r:id="rId13" w:history="1">
        <w:r w:rsidR="0023159F" w:rsidRPr="00FA74D3">
          <w:rPr>
            <w:rStyle w:val="Hyperlink"/>
            <w:rFonts w:ascii="Times New Roman" w:eastAsia="Times New Roman" w:hAnsi="Times New Roman"/>
            <w:sz w:val="24"/>
            <w:szCs w:val="24"/>
          </w:rPr>
          <w:t>site</w:t>
        </w:r>
      </w:hyperlink>
      <w:r w:rsidR="0023159F" w:rsidRPr="00006A3D">
        <w:rPr>
          <w:rFonts w:ascii="Times New Roman" w:eastAsia="Times New Roman" w:hAnsi="Times New Roman"/>
          <w:color w:val="030A13"/>
          <w:sz w:val="24"/>
          <w:szCs w:val="24"/>
        </w:rPr>
        <w:t xml:space="preserve"> in order to set up their account.</w:t>
      </w:r>
      <w:r w:rsidR="00840A52" w:rsidRPr="00F33ABC">
        <w:rPr>
          <w:rFonts w:ascii="Times New Roman" w:eastAsia="Times New Roman" w:hAnsi="Times New Roman"/>
          <w:color w:val="030A13"/>
          <w:sz w:val="24"/>
          <w:szCs w:val="24"/>
          <w:shd w:val="clear" w:color="auto" w:fill="FFFFFF" w:themeFill="background1"/>
        </w:rPr>
        <w:t xml:space="preserve"> </w:t>
      </w:r>
      <w:r w:rsidR="00724525">
        <w:rPr>
          <w:rFonts w:ascii="Times New Roman" w:eastAsia="Times New Roman" w:hAnsi="Times New Roman"/>
          <w:color w:val="030A13"/>
          <w:sz w:val="24"/>
          <w:szCs w:val="24"/>
          <w:shd w:val="clear" w:color="auto" w:fill="FFFFFF" w:themeFill="background1"/>
        </w:rPr>
        <w:t xml:space="preserve"> </w:t>
      </w:r>
      <w:r w:rsidR="0023159F" w:rsidRPr="00006A3D">
        <w:rPr>
          <w:rFonts w:ascii="Times New Roman" w:eastAsia="Times New Roman" w:hAnsi="Times New Roman"/>
          <w:color w:val="030A13"/>
          <w:sz w:val="24"/>
          <w:szCs w:val="24"/>
        </w:rPr>
        <w:t>To register, click on the "Login and Registration" link and provide the Project Director’s first and last name and email address.</w:t>
      </w:r>
      <w:r w:rsidR="00F038D2">
        <w:rPr>
          <w:rFonts w:ascii="Times New Roman" w:eastAsia="Times New Roman" w:hAnsi="Times New Roman"/>
          <w:color w:val="030A13"/>
          <w:sz w:val="24"/>
          <w:szCs w:val="24"/>
          <w:shd w:val="clear" w:color="auto" w:fill="FFFFFF" w:themeFill="background1"/>
        </w:rPr>
        <w:t xml:space="preserve"> </w:t>
      </w:r>
      <w:r w:rsidR="0023159F" w:rsidRPr="00006A3D">
        <w:rPr>
          <w:rFonts w:ascii="Times New Roman" w:eastAsia="Times New Roman" w:hAnsi="Times New Roman"/>
          <w:color w:val="030A13"/>
          <w:sz w:val="24"/>
          <w:szCs w:val="24"/>
        </w:rPr>
        <w:t>If the PR number, last name, and email address match the data that the Department currently has on file, users will proceed with the registration process by providing a password, password confirmation, and selecting two security questions before submitting the form.</w:t>
      </w:r>
      <w:r w:rsidR="00840A52" w:rsidRPr="00F33ABC">
        <w:rPr>
          <w:rFonts w:ascii="Times New Roman" w:eastAsia="Times New Roman" w:hAnsi="Times New Roman"/>
          <w:color w:val="030A13"/>
          <w:sz w:val="24"/>
          <w:szCs w:val="24"/>
          <w:shd w:val="clear" w:color="auto" w:fill="FFFFFF" w:themeFill="background1"/>
        </w:rPr>
        <w:t xml:space="preserve"> </w:t>
      </w:r>
      <w:r w:rsidR="00724525">
        <w:rPr>
          <w:rFonts w:ascii="Times New Roman" w:eastAsia="Times New Roman" w:hAnsi="Times New Roman"/>
          <w:color w:val="030A13"/>
          <w:sz w:val="24"/>
          <w:szCs w:val="24"/>
          <w:shd w:val="clear" w:color="auto" w:fill="FFFFFF" w:themeFill="background1"/>
        </w:rPr>
        <w:t xml:space="preserve"> </w:t>
      </w:r>
      <w:r w:rsidR="0023159F" w:rsidRPr="00006A3D">
        <w:rPr>
          <w:rFonts w:ascii="Times New Roman" w:eastAsia="Times New Roman" w:hAnsi="Times New Roman"/>
          <w:color w:val="030A13"/>
          <w:sz w:val="24"/>
          <w:szCs w:val="24"/>
        </w:rPr>
        <w:t>Users will be required to login again using the PR number and re-entering the password.</w:t>
      </w:r>
    </w:p>
    <w:p w14:paraId="29CB5D2C" w14:textId="78B185ED" w:rsidR="006C3C31" w:rsidRPr="00006A3D" w:rsidRDefault="0023159F" w:rsidP="00F33ABC">
      <w:pPr>
        <w:spacing w:after="15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If the project director’s information has changed</w:t>
      </w:r>
      <w:r w:rsidR="00840A52" w:rsidRPr="00F33ABC">
        <w:rPr>
          <w:rFonts w:ascii="Times New Roman" w:eastAsia="Times New Roman" w:hAnsi="Times New Roman"/>
          <w:color w:val="030A13"/>
          <w:sz w:val="24"/>
          <w:szCs w:val="24"/>
          <w:shd w:val="clear" w:color="auto" w:fill="FFFFFF" w:themeFill="background1"/>
        </w:rPr>
        <w:t>,</w:t>
      </w:r>
      <w:r w:rsidRPr="00F33ABC">
        <w:rPr>
          <w:rFonts w:ascii="Times New Roman" w:eastAsia="Times New Roman" w:hAnsi="Times New Roman"/>
          <w:color w:val="030A13"/>
          <w:sz w:val="24"/>
          <w:szCs w:val="24"/>
          <w:shd w:val="clear" w:color="auto" w:fill="FFFFFF" w:themeFill="background1"/>
        </w:rPr>
        <w:t xml:space="preserve"> </w:t>
      </w:r>
      <w:r w:rsidRPr="00006A3D">
        <w:rPr>
          <w:rFonts w:ascii="Times New Roman" w:eastAsia="Times New Roman" w:hAnsi="Times New Roman"/>
          <w:color w:val="030A13"/>
          <w:sz w:val="24"/>
          <w:szCs w:val="24"/>
        </w:rPr>
        <w:t>or need</w:t>
      </w:r>
      <w:r w:rsidR="00DE29C7" w:rsidRPr="00006A3D">
        <w:rPr>
          <w:rFonts w:ascii="Times New Roman" w:eastAsia="Times New Roman" w:hAnsi="Times New Roman"/>
          <w:color w:val="030A13"/>
          <w:sz w:val="24"/>
          <w:szCs w:val="24"/>
        </w:rPr>
        <w:t xml:space="preserve">s </w:t>
      </w:r>
      <w:r w:rsidRPr="00006A3D">
        <w:rPr>
          <w:rFonts w:ascii="Times New Roman" w:eastAsia="Times New Roman" w:hAnsi="Times New Roman"/>
          <w:color w:val="030A13"/>
          <w:sz w:val="24"/>
          <w:szCs w:val="24"/>
        </w:rPr>
        <w:t xml:space="preserve">to be updated from what the system holds, </w:t>
      </w:r>
      <w:r w:rsidR="00DE29C7" w:rsidRPr="00006A3D">
        <w:rPr>
          <w:rFonts w:ascii="Times New Roman" w:eastAsia="Times New Roman" w:hAnsi="Times New Roman"/>
          <w:color w:val="030A13"/>
          <w:sz w:val="24"/>
          <w:szCs w:val="24"/>
        </w:rPr>
        <w:t xml:space="preserve">the user may submit updated information through </w:t>
      </w:r>
      <w:r w:rsidRPr="00006A3D">
        <w:rPr>
          <w:rFonts w:ascii="Times New Roman" w:eastAsia="Times New Roman" w:hAnsi="Times New Roman"/>
          <w:color w:val="030A13"/>
          <w:sz w:val="24"/>
          <w:szCs w:val="24"/>
        </w:rPr>
        <w:t xml:space="preserve">the registration page </w:t>
      </w:r>
      <w:r w:rsidR="00DE29C7" w:rsidRPr="00006A3D">
        <w:rPr>
          <w:rFonts w:ascii="Times New Roman" w:eastAsia="Times New Roman" w:hAnsi="Times New Roman"/>
          <w:color w:val="030A13"/>
          <w:sz w:val="24"/>
          <w:szCs w:val="24"/>
        </w:rPr>
        <w:t>to initiate a change verification process.</w:t>
      </w:r>
      <w:r w:rsidRPr="00006A3D">
        <w:rPr>
          <w:rFonts w:ascii="Times New Roman" w:eastAsia="Times New Roman" w:hAnsi="Times New Roman"/>
          <w:color w:val="030A13"/>
          <w:sz w:val="24"/>
          <w:szCs w:val="24"/>
        </w:rPr>
        <w:t xml:space="preserve"> </w:t>
      </w:r>
      <w:r w:rsidR="00DE29C7" w:rsidRPr="00006A3D">
        <w:rPr>
          <w:rFonts w:ascii="Times New Roman" w:eastAsia="Times New Roman" w:hAnsi="Times New Roman"/>
          <w:color w:val="030A13"/>
          <w:sz w:val="24"/>
          <w:szCs w:val="24"/>
        </w:rPr>
        <w:t xml:space="preserve">The information that the user submits will be verified by a program specialist.  Only after the new project director information has been </w:t>
      </w:r>
      <w:r w:rsidRPr="00006A3D">
        <w:rPr>
          <w:rFonts w:ascii="Times New Roman" w:eastAsia="Times New Roman" w:hAnsi="Times New Roman"/>
          <w:color w:val="030A13"/>
          <w:sz w:val="24"/>
          <w:szCs w:val="24"/>
        </w:rPr>
        <w:t>verifi</w:t>
      </w:r>
      <w:r w:rsidR="00DE29C7" w:rsidRPr="00006A3D">
        <w:rPr>
          <w:rFonts w:ascii="Times New Roman" w:eastAsia="Times New Roman" w:hAnsi="Times New Roman"/>
          <w:color w:val="030A13"/>
          <w:sz w:val="24"/>
          <w:szCs w:val="24"/>
        </w:rPr>
        <w:t xml:space="preserve">ed can the user proceed with registration.  </w:t>
      </w:r>
      <w:r w:rsidRPr="00006A3D">
        <w:rPr>
          <w:rFonts w:ascii="Times New Roman" w:eastAsia="Times New Roman" w:hAnsi="Times New Roman"/>
          <w:color w:val="030A13"/>
          <w:sz w:val="24"/>
          <w:szCs w:val="24"/>
        </w:rPr>
        <w:t xml:space="preserve"> </w:t>
      </w:r>
    </w:p>
    <w:p w14:paraId="79C21C79" w14:textId="053F0FD2" w:rsidR="006C3C31" w:rsidRPr="00006A3D" w:rsidRDefault="006C3C31" w:rsidP="00F33ABC">
      <w:pPr>
        <w:spacing w:after="150" w:line="240" w:lineRule="auto"/>
        <w:rPr>
          <w:rFonts w:ascii="Times New Roman" w:eastAsia="Times New Roman" w:hAnsi="Times New Roman"/>
          <w:color w:val="030A13"/>
          <w:sz w:val="24"/>
          <w:szCs w:val="24"/>
        </w:rPr>
      </w:pPr>
      <w:r w:rsidRPr="00006A3D">
        <w:rPr>
          <w:rFonts w:ascii="Times New Roman" w:eastAsia="Times New Roman" w:hAnsi="Times New Roman"/>
          <w:b/>
          <w:bCs/>
          <w:color w:val="030A13"/>
          <w:sz w:val="24"/>
          <w:szCs w:val="24"/>
        </w:rPr>
        <w:t>Help Desk</w:t>
      </w:r>
      <w:r w:rsidRPr="00F33ABC">
        <w:rPr>
          <w:rFonts w:ascii="Times New Roman" w:eastAsia="Times New Roman" w:hAnsi="Times New Roman"/>
          <w:b/>
          <w:bCs/>
          <w:color w:val="030A13"/>
          <w:sz w:val="24"/>
          <w:szCs w:val="24"/>
          <w:shd w:val="clear" w:color="auto" w:fill="FFFFFF" w:themeFill="background1"/>
        </w:rPr>
        <w:t>.</w:t>
      </w:r>
      <w:r w:rsidR="00840A52" w:rsidRPr="00F33ABC">
        <w:rPr>
          <w:rFonts w:ascii="Times New Roman" w:eastAsia="Times New Roman" w:hAnsi="Times New Roman"/>
          <w:color w:val="030A13"/>
          <w:sz w:val="24"/>
          <w:szCs w:val="24"/>
          <w:shd w:val="clear" w:color="auto" w:fill="FFFFFF" w:themeFill="background1"/>
        </w:rPr>
        <w:t xml:space="preserve"> </w:t>
      </w:r>
      <w:r w:rsidRPr="00F33ABC">
        <w:rPr>
          <w:rFonts w:ascii="Times New Roman" w:eastAsia="Times New Roman" w:hAnsi="Times New Roman"/>
          <w:color w:val="030A13"/>
          <w:sz w:val="24"/>
          <w:szCs w:val="24"/>
          <w:shd w:val="clear" w:color="auto" w:fill="FFFFFF" w:themeFill="background1"/>
        </w:rPr>
        <w:t>I</w:t>
      </w:r>
      <w:r w:rsidRPr="00006A3D">
        <w:rPr>
          <w:rFonts w:ascii="Times New Roman" w:eastAsia="Times New Roman" w:hAnsi="Times New Roman"/>
          <w:color w:val="030A13"/>
          <w:sz w:val="24"/>
          <w:szCs w:val="24"/>
        </w:rPr>
        <w:t xml:space="preserve">f you encounter technical problems accessing the Web site or using the Web application, please contact the Help Desk </w:t>
      </w:r>
      <w:r w:rsidR="004F35CC" w:rsidRPr="00006A3D">
        <w:rPr>
          <w:rFonts w:ascii="Times New Roman" w:eastAsia="Times New Roman" w:hAnsi="Times New Roman"/>
          <w:color w:val="030A13"/>
          <w:sz w:val="24"/>
          <w:szCs w:val="24"/>
        </w:rPr>
        <w:t xml:space="preserve">at any time </w:t>
      </w:r>
      <w:r w:rsidRPr="00006A3D">
        <w:rPr>
          <w:rFonts w:ascii="Times New Roman" w:eastAsia="Times New Roman" w:hAnsi="Times New Roman"/>
          <w:color w:val="030A13"/>
          <w:sz w:val="24"/>
          <w:szCs w:val="24"/>
        </w:rPr>
        <w:t xml:space="preserve">at (703) </w:t>
      </w:r>
      <w:r w:rsidR="00C631AA" w:rsidRPr="00006A3D">
        <w:rPr>
          <w:rFonts w:ascii="Times New Roman" w:eastAsia="Times New Roman" w:hAnsi="Times New Roman"/>
          <w:color w:val="030A13"/>
          <w:sz w:val="24"/>
          <w:szCs w:val="24"/>
        </w:rPr>
        <w:t>885-8008</w:t>
      </w:r>
      <w:r w:rsidRPr="00006A3D">
        <w:rPr>
          <w:rFonts w:ascii="Times New Roman" w:eastAsia="Times New Roman" w:hAnsi="Times New Roman"/>
          <w:color w:val="030A13"/>
          <w:sz w:val="24"/>
          <w:szCs w:val="24"/>
        </w:rPr>
        <w:t xml:space="preserve"> or via e-mail at </w:t>
      </w:r>
      <w:hyperlink r:id="rId14" w:history="1">
        <w:r w:rsidR="00B66240" w:rsidRPr="00A93F7F">
          <w:rPr>
            <w:rStyle w:val="Hyperlink"/>
            <w:rFonts w:ascii="Times New Roman" w:eastAsia="Times New Roman" w:hAnsi="Times New Roman"/>
          </w:rPr>
          <w:t>generaltrio@collabralink.com</w:t>
        </w:r>
      </w:hyperlink>
      <w:r w:rsidRPr="00006A3D">
        <w:rPr>
          <w:rFonts w:ascii="Times New Roman" w:eastAsia="Times New Roman" w:hAnsi="Times New Roman"/>
          <w:color w:val="030A13"/>
        </w:rPr>
        <w:t>.</w:t>
      </w:r>
      <w:r w:rsidRPr="00006A3D">
        <w:rPr>
          <w:rFonts w:ascii="Times New Roman" w:eastAsia="Times New Roman" w:hAnsi="Times New Roman"/>
          <w:color w:val="030A13"/>
          <w:sz w:val="24"/>
          <w:szCs w:val="24"/>
        </w:rPr>
        <w:t xml:space="preserve"> </w:t>
      </w:r>
      <w:r w:rsidR="001A5B15" w:rsidRPr="00006A3D">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 xml:space="preserve">Please note that the Help Desk will </w:t>
      </w:r>
      <w:r w:rsidR="004F35CC" w:rsidRPr="00006A3D">
        <w:rPr>
          <w:rFonts w:ascii="Times New Roman" w:eastAsia="Times New Roman" w:hAnsi="Times New Roman"/>
          <w:color w:val="030A13"/>
          <w:sz w:val="24"/>
          <w:szCs w:val="24"/>
        </w:rPr>
        <w:t>respond to inquiries from</w:t>
      </w:r>
      <w:r w:rsidRPr="00006A3D">
        <w:rPr>
          <w:rFonts w:ascii="Times New Roman" w:eastAsia="Times New Roman" w:hAnsi="Times New Roman"/>
          <w:color w:val="030A13"/>
          <w:sz w:val="24"/>
          <w:szCs w:val="24"/>
        </w:rPr>
        <w:t xml:space="preserve"> grantees within </w:t>
      </w:r>
      <w:r w:rsidR="0035255E" w:rsidRPr="00006A3D">
        <w:rPr>
          <w:rFonts w:ascii="Times New Roman" w:eastAsia="Times New Roman" w:hAnsi="Times New Roman"/>
          <w:color w:val="030A13"/>
          <w:sz w:val="24"/>
          <w:szCs w:val="24"/>
        </w:rPr>
        <w:t>two business days</w:t>
      </w:r>
      <w:r w:rsidRPr="00006A3D">
        <w:rPr>
          <w:rFonts w:ascii="Times New Roman" w:eastAsia="Times New Roman" w:hAnsi="Times New Roman"/>
          <w:color w:val="030A13"/>
          <w:sz w:val="24"/>
          <w:szCs w:val="24"/>
        </w:rPr>
        <w:t xml:space="preserve"> of receiving the telephone call or e-mail. </w:t>
      </w:r>
      <w:r w:rsidR="00724525">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The Help Desk will be available to respond to questions on weekdays</w:t>
      </w:r>
      <w:r w:rsidR="003F65C7" w:rsidRPr="00006A3D">
        <w:rPr>
          <w:rFonts w:ascii="Times New Roman" w:eastAsia="Times New Roman" w:hAnsi="Times New Roman"/>
          <w:color w:val="030A13"/>
          <w:sz w:val="24"/>
          <w:szCs w:val="24"/>
        </w:rPr>
        <w:t xml:space="preserve"> (excluding Federal Holidays)</w:t>
      </w:r>
      <w:r w:rsidRPr="00006A3D">
        <w:rPr>
          <w:rFonts w:ascii="Times New Roman" w:eastAsia="Times New Roman" w:hAnsi="Times New Roman"/>
          <w:color w:val="030A13"/>
          <w:sz w:val="24"/>
          <w:szCs w:val="24"/>
        </w:rPr>
        <w:t xml:space="preserve"> from </w:t>
      </w:r>
      <w:r w:rsidR="00E16BD4">
        <w:rPr>
          <w:rFonts w:ascii="Times New Roman" w:eastAsia="Times New Roman" w:hAnsi="Times New Roman"/>
          <w:color w:val="030A13"/>
          <w:sz w:val="24"/>
          <w:szCs w:val="24"/>
        </w:rPr>
        <w:t>November 8</w:t>
      </w:r>
      <w:r w:rsidR="00B722E0" w:rsidRPr="00006A3D">
        <w:rPr>
          <w:rFonts w:ascii="Times New Roman" w:eastAsia="Times New Roman" w:hAnsi="Times New Roman"/>
          <w:color w:val="030A13"/>
          <w:sz w:val="24"/>
          <w:szCs w:val="24"/>
        </w:rPr>
        <w:t xml:space="preserve">, </w:t>
      </w:r>
      <w:r w:rsidR="00C53A3F" w:rsidRPr="00006A3D">
        <w:rPr>
          <w:rFonts w:ascii="Times New Roman" w:eastAsia="Times New Roman" w:hAnsi="Times New Roman"/>
          <w:color w:val="030A13"/>
          <w:sz w:val="24"/>
          <w:szCs w:val="24"/>
        </w:rPr>
        <w:t xml:space="preserve">2021 </w:t>
      </w:r>
      <w:r w:rsidR="00B722E0" w:rsidRPr="00006A3D">
        <w:rPr>
          <w:rFonts w:ascii="Times New Roman" w:eastAsia="Times New Roman" w:hAnsi="Times New Roman"/>
          <w:color w:val="030A13"/>
          <w:sz w:val="24"/>
          <w:szCs w:val="24"/>
        </w:rPr>
        <w:t xml:space="preserve">to </w:t>
      </w:r>
      <w:r w:rsidR="00E16BD4">
        <w:rPr>
          <w:rFonts w:ascii="Times New Roman" w:eastAsia="Times New Roman" w:hAnsi="Times New Roman"/>
          <w:color w:val="030A13"/>
          <w:sz w:val="24"/>
          <w:szCs w:val="24"/>
        </w:rPr>
        <w:t>December</w:t>
      </w:r>
      <w:r w:rsidR="0023159F" w:rsidRPr="00006A3D">
        <w:rPr>
          <w:rFonts w:ascii="Times New Roman" w:eastAsia="Times New Roman" w:hAnsi="Times New Roman"/>
          <w:color w:val="030A13"/>
          <w:sz w:val="24"/>
          <w:szCs w:val="24"/>
        </w:rPr>
        <w:t xml:space="preserve"> </w:t>
      </w:r>
      <w:r w:rsidR="00E16BD4">
        <w:rPr>
          <w:rFonts w:ascii="Times New Roman" w:eastAsia="Times New Roman" w:hAnsi="Times New Roman"/>
          <w:color w:val="030A13"/>
          <w:sz w:val="24"/>
          <w:szCs w:val="24"/>
        </w:rPr>
        <w:t>10</w:t>
      </w:r>
      <w:r w:rsidR="00B722E0" w:rsidRPr="00006A3D">
        <w:rPr>
          <w:rFonts w:ascii="Times New Roman" w:eastAsia="Times New Roman" w:hAnsi="Times New Roman"/>
          <w:color w:val="030A13"/>
          <w:sz w:val="24"/>
          <w:szCs w:val="24"/>
        </w:rPr>
        <w:t xml:space="preserve">, </w:t>
      </w:r>
      <w:r w:rsidR="00C53A3F" w:rsidRPr="00006A3D">
        <w:rPr>
          <w:rFonts w:ascii="Times New Roman" w:eastAsia="Times New Roman" w:hAnsi="Times New Roman"/>
          <w:color w:val="030A13"/>
          <w:sz w:val="24"/>
          <w:szCs w:val="24"/>
        </w:rPr>
        <w:t>2021</w:t>
      </w:r>
      <w:r w:rsidRPr="00006A3D">
        <w:rPr>
          <w:rFonts w:ascii="Times New Roman" w:eastAsia="Times New Roman" w:hAnsi="Times New Roman"/>
          <w:color w:val="030A13"/>
          <w:sz w:val="24"/>
          <w:szCs w:val="24"/>
        </w:rPr>
        <w:t xml:space="preserve">. </w:t>
      </w:r>
      <w:r w:rsidR="00F373C2">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 xml:space="preserve">During peak times, it may take longer to receive a response; thus, </w:t>
      </w:r>
      <w:r w:rsidR="0023159F" w:rsidRPr="00006A3D">
        <w:rPr>
          <w:rFonts w:ascii="Times New Roman" w:eastAsia="Times New Roman" w:hAnsi="Times New Roman"/>
          <w:color w:val="030A13"/>
          <w:sz w:val="24"/>
          <w:szCs w:val="24"/>
        </w:rPr>
        <w:t>we</w:t>
      </w:r>
      <w:r w:rsidRPr="00006A3D">
        <w:rPr>
          <w:rFonts w:ascii="Times New Roman" w:eastAsia="Times New Roman" w:hAnsi="Times New Roman"/>
          <w:color w:val="030A13"/>
          <w:sz w:val="24"/>
          <w:szCs w:val="24"/>
        </w:rPr>
        <w:t xml:space="preserve"> encourage you to prepare and submit your performance report as soon as you have collected the complete set of data.</w:t>
      </w:r>
    </w:p>
    <w:p w14:paraId="26CB56B4" w14:textId="20AA3C35" w:rsidR="00617F5F" w:rsidRPr="00006A3D" w:rsidRDefault="00617F5F" w:rsidP="00F33ABC">
      <w:pPr>
        <w:spacing w:after="15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Please remember</w:t>
      </w:r>
      <w:r w:rsidR="00805AEB">
        <w:rPr>
          <w:rFonts w:ascii="Times New Roman" w:eastAsia="Times New Roman" w:hAnsi="Times New Roman"/>
          <w:color w:val="030A13"/>
          <w:sz w:val="24"/>
          <w:szCs w:val="24"/>
        </w:rPr>
        <w:t>,</w:t>
      </w:r>
      <w:r w:rsidRPr="00006A3D">
        <w:rPr>
          <w:rFonts w:ascii="Times New Roman" w:eastAsia="Times New Roman" w:hAnsi="Times New Roman"/>
          <w:color w:val="030A13"/>
          <w:sz w:val="24"/>
          <w:szCs w:val="24"/>
        </w:rPr>
        <w:t xml:space="preserve"> </w:t>
      </w:r>
      <w:r w:rsidRPr="00006A3D">
        <w:rPr>
          <w:rFonts w:ascii="Times New Roman" w:eastAsia="Times New Roman" w:hAnsi="Times New Roman"/>
          <w:b/>
          <w:color w:val="030A13"/>
          <w:sz w:val="24"/>
          <w:szCs w:val="24"/>
        </w:rPr>
        <w:t>within five business days after final submission of your completed online APR</w:t>
      </w:r>
      <w:r w:rsidRPr="00F33ABC">
        <w:rPr>
          <w:rFonts w:ascii="Times New Roman" w:eastAsia="Times New Roman" w:hAnsi="Times New Roman"/>
          <w:b/>
          <w:color w:val="030A13"/>
          <w:sz w:val="24"/>
          <w:szCs w:val="24"/>
          <w:shd w:val="clear" w:color="auto" w:fill="FFFFFF" w:themeFill="background1"/>
        </w:rPr>
        <w:t>,</w:t>
      </w:r>
      <w:r w:rsidR="00006A3D" w:rsidRPr="00F33ABC">
        <w:rPr>
          <w:rFonts w:ascii="Times New Roman" w:eastAsia="Times New Roman" w:hAnsi="Times New Roman"/>
          <w:b/>
          <w:color w:val="030A13"/>
          <w:sz w:val="24"/>
          <w:szCs w:val="24"/>
          <w:shd w:val="clear" w:color="auto" w:fill="FFFFFF" w:themeFill="background1"/>
        </w:rPr>
        <w:t xml:space="preserve"> </w:t>
      </w:r>
      <w:r w:rsidRPr="00006A3D">
        <w:rPr>
          <w:rFonts w:ascii="Times New Roman" w:eastAsia="Times New Roman" w:hAnsi="Times New Roman"/>
          <w:b/>
          <w:color w:val="030A13"/>
          <w:sz w:val="24"/>
          <w:szCs w:val="24"/>
        </w:rPr>
        <w:t>you must scan and upload a signed copy of Section I of the report form</w:t>
      </w:r>
      <w:r w:rsidR="00840A52" w:rsidRPr="00006A3D">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 xml:space="preserve">that certifies that the information submitted electronically </w:t>
      </w:r>
      <w:r w:rsidR="000113C6" w:rsidRPr="00006A3D">
        <w:rPr>
          <w:rFonts w:ascii="Times New Roman" w:eastAsia="Times New Roman" w:hAnsi="Times New Roman"/>
          <w:color w:val="030A13"/>
          <w:sz w:val="24"/>
          <w:szCs w:val="24"/>
        </w:rPr>
        <w:t>has been verified to be accurate and complete.</w:t>
      </w:r>
      <w:r w:rsidRPr="00006A3D">
        <w:rPr>
          <w:rFonts w:ascii="Times New Roman" w:eastAsia="Times New Roman" w:hAnsi="Times New Roman"/>
          <w:color w:val="030A13"/>
          <w:sz w:val="24"/>
          <w:szCs w:val="24"/>
        </w:rPr>
        <w:t xml:space="preserve"> </w:t>
      </w:r>
      <w:r w:rsidR="00F373C2">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Should you have any problems uploading Section I, please contact the Help Desk for assistance at (703) 885-8008.</w:t>
      </w:r>
    </w:p>
    <w:p w14:paraId="61C9FDE5" w14:textId="51AAFE39" w:rsidR="006C3C31" w:rsidRPr="00006A3D" w:rsidRDefault="00617F5F" w:rsidP="00F33ABC">
      <w:pPr>
        <w:spacing w:after="15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 xml:space="preserve">If you need to revise your performance report data after </w:t>
      </w:r>
      <w:r w:rsidR="007E585D" w:rsidRPr="00006A3D">
        <w:rPr>
          <w:rFonts w:ascii="Times New Roman" w:eastAsia="Times New Roman" w:hAnsi="Times New Roman"/>
          <w:color w:val="030A13"/>
          <w:sz w:val="24"/>
          <w:szCs w:val="24"/>
        </w:rPr>
        <w:t>submission</w:t>
      </w:r>
      <w:r w:rsidRPr="00006A3D">
        <w:rPr>
          <w:rFonts w:ascii="Times New Roman" w:eastAsia="Times New Roman" w:hAnsi="Times New Roman"/>
          <w:color w:val="030A13"/>
          <w:sz w:val="24"/>
          <w:szCs w:val="24"/>
        </w:rPr>
        <w:t xml:space="preserve">, please contact the Help Desk for </w:t>
      </w:r>
      <w:r w:rsidR="000B3FA4" w:rsidRPr="00006A3D">
        <w:rPr>
          <w:rFonts w:ascii="Times New Roman" w:eastAsia="Times New Roman" w:hAnsi="Times New Roman"/>
          <w:color w:val="030A13"/>
          <w:sz w:val="24"/>
          <w:szCs w:val="24"/>
        </w:rPr>
        <w:t>assistance</w:t>
      </w:r>
      <w:r w:rsidRPr="00006A3D">
        <w:rPr>
          <w:rFonts w:ascii="Times New Roman" w:eastAsia="Times New Roman" w:hAnsi="Times New Roman"/>
          <w:color w:val="030A13"/>
          <w:sz w:val="24"/>
          <w:szCs w:val="24"/>
        </w:rPr>
        <w:t>.</w:t>
      </w:r>
      <w:r w:rsidR="001A5B15" w:rsidRPr="00006A3D">
        <w:rPr>
          <w:rFonts w:ascii="Times New Roman" w:eastAsia="Times New Roman" w:hAnsi="Times New Roman"/>
          <w:color w:val="030A13"/>
          <w:sz w:val="24"/>
          <w:szCs w:val="24"/>
        </w:rPr>
        <w:t xml:space="preserve"> </w:t>
      </w:r>
      <w:r w:rsidR="00F373C2">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Please note that generally the Department will be able to accommodate revisions only until the due date for submitting your APR.</w:t>
      </w:r>
    </w:p>
    <w:p w14:paraId="5BD97F66" w14:textId="675C0EA7" w:rsidR="00F038D2" w:rsidRDefault="006C3C31" w:rsidP="00F33ABC">
      <w:pPr>
        <w:spacing w:after="15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Thank you for the time and effort you devote to the performance reporting process and for your commitment to providing complete and accurate data for the McNair Program.</w:t>
      </w:r>
      <w:r w:rsidR="00F373C2">
        <w:rPr>
          <w:rFonts w:ascii="Times New Roman" w:eastAsia="Times New Roman" w:hAnsi="Times New Roman"/>
          <w:color w:val="030A13"/>
          <w:sz w:val="24"/>
          <w:szCs w:val="24"/>
        </w:rPr>
        <w:t xml:space="preserve"> </w:t>
      </w:r>
      <w:r w:rsidR="001A5B15" w:rsidRPr="00006A3D">
        <w:rPr>
          <w:rFonts w:ascii="Times New Roman" w:eastAsia="Times New Roman" w:hAnsi="Times New Roman"/>
          <w:color w:val="030A13"/>
          <w:sz w:val="24"/>
          <w:szCs w:val="24"/>
        </w:rPr>
        <w:t xml:space="preserve"> </w:t>
      </w:r>
      <w:r w:rsidRPr="00006A3D">
        <w:rPr>
          <w:rFonts w:ascii="Times New Roman" w:eastAsia="Times New Roman" w:hAnsi="Times New Roman"/>
          <w:color w:val="030A13"/>
          <w:sz w:val="24"/>
          <w:szCs w:val="24"/>
        </w:rPr>
        <w:t>Please retain source documents in a readily accessible form so that they can be verified during an on-site visit.</w:t>
      </w:r>
    </w:p>
    <w:p w14:paraId="12AD975C" w14:textId="77777777" w:rsidR="00F038D2" w:rsidRDefault="00F038D2" w:rsidP="00F33ABC">
      <w:pPr>
        <w:spacing w:after="150" w:line="240" w:lineRule="auto"/>
        <w:rPr>
          <w:rFonts w:ascii="Times New Roman" w:eastAsia="Times New Roman" w:hAnsi="Times New Roman"/>
          <w:color w:val="030A13"/>
          <w:sz w:val="24"/>
          <w:szCs w:val="24"/>
        </w:rPr>
      </w:pPr>
    </w:p>
    <w:p w14:paraId="66E9F145" w14:textId="77777777" w:rsidR="00F373C2" w:rsidRPr="00006A3D" w:rsidRDefault="00F373C2" w:rsidP="00F373C2">
      <w:pPr>
        <w:spacing w:after="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Sincerely,</w:t>
      </w:r>
      <w:r w:rsidRPr="00006A3D">
        <w:rPr>
          <w:noProof/>
          <w:sz w:val="20"/>
        </w:rPr>
        <w:t xml:space="preserve"> </w:t>
      </w:r>
    </w:p>
    <w:p w14:paraId="3BA42D6C" w14:textId="77777777" w:rsidR="00F373C2" w:rsidRPr="00006A3D" w:rsidRDefault="00F373C2" w:rsidP="00F373C2">
      <w:pPr>
        <w:spacing w:after="0" w:line="240" w:lineRule="auto"/>
        <w:rPr>
          <w:rFonts w:ascii="Times New Roman" w:eastAsia="Times New Roman" w:hAnsi="Times New Roman"/>
          <w:color w:val="030A13"/>
          <w:sz w:val="24"/>
          <w:szCs w:val="24"/>
        </w:rPr>
      </w:pPr>
    </w:p>
    <w:p w14:paraId="5CB60EDF" w14:textId="283A5C38" w:rsidR="00F373C2" w:rsidRDefault="00F373C2" w:rsidP="00F373C2">
      <w:pPr>
        <w:spacing w:after="0" w:line="240" w:lineRule="auto"/>
        <w:rPr>
          <w:rFonts w:ascii="Times New Roman" w:eastAsia="Times New Roman" w:hAnsi="Times New Roman"/>
          <w:color w:val="030A13"/>
          <w:sz w:val="24"/>
          <w:szCs w:val="24"/>
        </w:rPr>
      </w:pPr>
    </w:p>
    <w:p w14:paraId="61F0A0F7" w14:textId="77777777" w:rsidR="00F373C2" w:rsidRDefault="00F373C2" w:rsidP="00F373C2">
      <w:pPr>
        <w:spacing w:after="0" w:line="240" w:lineRule="auto"/>
        <w:rPr>
          <w:rFonts w:ascii="Times New Roman" w:eastAsia="Times New Roman" w:hAnsi="Times New Roman"/>
          <w:color w:val="030A13"/>
          <w:sz w:val="24"/>
          <w:szCs w:val="24"/>
        </w:rPr>
      </w:pPr>
    </w:p>
    <w:p w14:paraId="246F5C28" w14:textId="7342975F" w:rsidR="00F373C2" w:rsidRPr="00617F5F" w:rsidRDefault="00F373C2" w:rsidP="00F373C2">
      <w:pPr>
        <w:spacing w:after="0" w:line="240" w:lineRule="auto"/>
        <w:rPr>
          <w:rFonts w:ascii="Times New Roman" w:eastAsia="Times New Roman" w:hAnsi="Times New Roman"/>
          <w:color w:val="030A13"/>
          <w:sz w:val="24"/>
          <w:szCs w:val="24"/>
        </w:rPr>
      </w:pPr>
      <w:r w:rsidRPr="00006A3D">
        <w:rPr>
          <w:rFonts w:ascii="Times New Roman" w:eastAsia="Times New Roman" w:hAnsi="Times New Roman"/>
          <w:color w:val="030A13"/>
          <w:sz w:val="24"/>
          <w:szCs w:val="24"/>
        </w:rPr>
        <w:t>ReShone Moore, Ph</w:t>
      </w:r>
      <w:r>
        <w:rPr>
          <w:rFonts w:ascii="Times New Roman" w:eastAsia="Times New Roman" w:hAnsi="Times New Roman"/>
          <w:color w:val="030A13"/>
          <w:sz w:val="24"/>
          <w:szCs w:val="24"/>
        </w:rPr>
        <w:t>.</w:t>
      </w:r>
      <w:r w:rsidRPr="00006A3D">
        <w:rPr>
          <w:rFonts w:ascii="Times New Roman" w:eastAsia="Times New Roman" w:hAnsi="Times New Roman"/>
          <w:color w:val="030A13"/>
          <w:sz w:val="24"/>
          <w:szCs w:val="24"/>
        </w:rPr>
        <w:t>D</w:t>
      </w:r>
      <w:r>
        <w:rPr>
          <w:rFonts w:ascii="Times New Roman" w:eastAsia="Times New Roman" w:hAnsi="Times New Roman"/>
          <w:color w:val="030A13"/>
          <w:sz w:val="24"/>
          <w:szCs w:val="24"/>
        </w:rPr>
        <w:t>.</w:t>
      </w:r>
      <w:r w:rsidRPr="00006A3D">
        <w:rPr>
          <w:rFonts w:ascii="Times New Roman" w:eastAsia="Times New Roman" w:hAnsi="Times New Roman"/>
          <w:color w:val="030A13"/>
          <w:sz w:val="24"/>
          <w:szCs w:val="24"/>
        </w:rPr>
        <w:br/>
        <w:t>Director</w:t>
      </w:r>
      <w:r w:rsidRPr="00006A3D">
        <w:rPr>
          <w:rFonts w:ascii="Times New Roman" w:eastAsia="Times New Roman" w:hAnsi="Times New Roman"/>
          <w:color w:val="030A13"/>
          <w:sz w:val="24"/>
          <w:szCs w:val="24"/>
        </w:rPr>
        <w:br/>
        <w:t>Graduate and Special Focus Programs Division</w:t>
      </w:r>
    </w:p>
    <w:p w14:paraId="43BD262A" w14:textId="77777777" w:rsidR="00F038D2" w:rsidRDefault="00F038D2">
      <w:pPr>
        <w:spacing w:after="0" w:line="240" w:lineRule="auto"/>
        <w:rPr>
          <w:rFonts w:ascii="Times New Roman" w:eastAsia="Times New Roman" w:hAnsi="Times New Roman"/>
          <w:color w:val="030A13"/>
          <w:sz w:val="24"/>
          <w:szCs w:val="24"/>
        </w:rPr>
      </w:pPr>
      <w:r>
        <w:rPr>
          <w:rFonts w:ascii="Times New Roman" w:eastAsia="Times New Roman" w:hAnsi="Times New Roman"/>
          <w:color w:val="030A13"/>
          <w:sz w:val="24"/>
          <w:szCs w:val="24"/>
        </w:rPr>
        <w:br w:type="page"/>
      </w:r>
    </w:p>
    <w:p w14:paraId="62020FAA" w14:textId="45DE59AD" w:rsidR="00695C17" w:rsidRPr="00617F5F" w:rsidRDefault="00695C17" w:rsidP="00F33ABC">
      <w:pPr>
        <w:spacing w:after="150" w:line="240" w:lineRule="auto"/>
        <w:rPr>
          <w:rFonts w:ascii="Times New Roman" w:eastAsia="Times New Roman" w:hAnsi="Times New Roman"/>
          <w:color w:val="030A13"/>
          <w:sz w:val="24"/>
          <w:szCs w:val="24"/>
        </w:rPr>
      </w:pPr>
    </w:p>
    <w:sectPr w:rsidR="00695C17" w:rsidRPr="00617F5F" w:rsidSect="00602B88">
      <w:pgSz w:w="12240" w:h="15840"/>
      <w:pgMar w:top="108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D4C0" w14:textId="77777777" w:rsidR="000F3849" w:rsidRDefault="000F3849" w:rsidP="00914C3B">
      <w:pPr>
        <w:spacing w:after="0" w:line="240" w:lineRule="auto"/>
      </w:pPr>
      <w:r>
        <w:separator/>
      </w:r>
    </w:p>
  </w:endnote>
  <w:endnote w:type="continuationSeparator" w:id="0">
    <w:p w14:paraId="46E5ADDB" w14:textId="77777777" w:rsidR="000F3849" w:rsidRDefault="000F3849" w:rsidP="0091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03FE" w14:textId="77777777" w:rsidR="000F3849" w:rsidRDefault="000F3849" w:rsidP="00914C3B">
      <w:pPr>
        <w:spacing w:after="0" w:line="240" w:lineRule="auto"/>
      </w:pPr>
      <w:r>
        <w:separator/>
      </w:r>
    </w:p>
  </w:footnote>
  <w:footnote w:type="continuationSeparator" w:id="0">
    <w:p w14:paraId="5EFBDD61" w14:textId="77777777" w:rsidR="000F3849" w:rsidRDefault="000F3849" w:rsidP="00914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C4A"/>
    <w:multiLevelType w:val="hybridMultilevel"/>
    <w:tmpl w:val="5416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D477D4"/>
    <w:multiLevelType w:val="multilevel"/>
    <w:tmpl w:val="6684323A"/>
    <w:lvl w:ilvl="0">
      <w:start w:val="1"/>
      <w:numFmt w:val="upperLetter"/>
      <w:lvlText w:val="%1."/>
      <w:lvlJc w:val="left"/>
      <w:pPr>
        <w:tabs>
          <w:tab w:val="num" w:pos="630"/>
        </w:tabs>
        <w:ind w:left="630" w:hanging="360"/>
      </w:pPr>
      <w:rPr>
        <w:rFonts w:ascii="Times New Roman" w:eastAsia="Times New Roman" w:hAnsi="Times New Roman" w:cs="Times New Roman"/>
        <w:b/>
        <w:bCs/>
      </w:rPr>
    </w:lvl>
    <w:lvl w:ilvl="1">
      <w:start w:val="1"/>
      <w:numFmt w:val="bullet"/>
      <w:lvlText w:val="o"/>
      <w:lvlJc w:val="left"/>
      <w:pPr>
        <w:tabs>
          <w:tab w:val="num" w:pos="3600"/>
        </w:tabs>
        <w:ind w:left="3600" w:hanging="360"/>
      </w:pPr>
      <w:rPr>
        <w:rFonts w:ascii="Courier New" w:hAnsi="Courier New" w:hint="default"/>
        <w:sz w:val="20"/>
      </w:rPr>
    </w:lvl>
    <w:lvl w:ilvl="2">
      <w:start w:val="1"/>
      <w:numFmt w:val="bullet"/>
      <w:lvlText w:val=""/>
      <w:lvlJc w:val="left"/>
      <w:pPr>
        <w:tabs>
          <w:tab w:val="num" w:pos="4320"/>
        </w:tabs>
        <w:ind w:left="4320" w:hanging="360"/>
      </w:pPr>
      <w:rPr>
        <w:rFonts w:ascii="Symbol" w:hAnsi="Symbol" w:hint="default"/>
      </w:rPr>
    </w:lvl>
    <w:lvl w:ilvl="3" w:tentative="1">
      <w:start w:val="1"/>
      <w:numFmt w:val="upperLetter"/>
      <w:lvlText w:val="%4."/>
      <w:lvlJc w:val="left"/>
      <w:pPr>
        <w:tabs>
          <w:tab w:val="num" w:pos="5040"/>
        </w:tabs>
        <w:ind w:left="5040" w:hanging="360"/>
      </w:pPr>
    </w:lvl>
    <w:lvl w:ilvl="4" w:tentative="1">
      <w:start w:val="1"/>
      <w:numFmt w:val="upperLetter"/>
      <w:lvlText w:val="%5."/>
      <w:lvlJc w:val="left"/>
      <w:pPr>
        <w:tabs>
          <w:tab w:val="num" w:pos="5760"/>
        </w:tabs>
        <w:ind w:left="5760" w:hanging="360"/>
      </w:pPr>
    </w:lvl>
    <w:lvl w:ilvl="5" w:tentative="1">
      <w:start w:val="1"/>
      <w:numFmt w:val="upperLetter"/>
      <w:lvlText w:val="%6."/>
      <w:lvlJc w:val="left"/>
      <w:pPr>
        <w:tabs>
          <w:tab w:val="num" w:pos="6480"/>
        </w:tabs>
        <w:ind w:left="6480" w:hanging="360"/>
      </w:pPr>
    </w:lvl>
    <w:lvl w:ilvl="6" w:tentative="1">
      <w:start w:val="1"/>
      <w:numFmt w:val="upperLetter"/>
      <w:lvlText w:val="%7."/>
      <w:lvlJc w:val="left"/>
      <w:pPr>
        <w:tabs>
          <w:tab w:val="num" w:pos="7200"/>
        </w:tabs>
        <w:ind w:left="7200" w:hanging="360"/>
      </w:pPr>
    </w:lvl>
    <w:lvl w:ilvl="7" w:tentative="1">
      <w:start w:val="1"/>
      <w:numFmt w:val="upperLetter"/>
      <w:lvlText w:val="%8."/>
      <w:lvlJc w:val="left"/>
      <w:pPr>
        <w:tabs>
          <w:tab w:val="num" w:pos="7920"/>
        </w:tabs>
        <w:ind w:left="7920" w:hanging="360"/>
      </w:pPr>
    </w:lvl>
    <w:lvl w:ilvl="8" w:tentative="1">
      <w:start w:val="1"/>
      <w:numFmt w:val="upperLetter"/>
      <w:lvlText w:val="%9."/>
      <w:lvlJc w:val="left"/>
      <w:pPr>
        <w:tabs>
          <w:tab w:val="num" w:pos="8640"/>
        </w:tabs>
        <w:ind w:left="86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1"/>
    <w:rsid w:val="00006A3D"/>
    <w:rsid w:val="000113C6"/>
    <w:rsid w:val="00013135"/>
    <w:rsid w:val="00023BD3"/>
    <w:rsid w:val="0003278A"/>
    <w:rsid w:val="00044BF9"/>
    <w:rsid w:val="0005184C"/>
    <w:rsid w:val="000610BD"/>
    <w:rsid w:val="00074839"/>
    <w:rsid w:val="000B267F"/>
    <w:rsid w:val="000B3FA4"/>
    <w:rsid w:val="000B4713"/>
    <w:rsid w:val="000C5018"/>
    <w:rsid w:val="000F3849"/>
    <w:rsid w:val="000F6FD2"/>
    <w:rsid w:val="00131D59"/>
    <w:rsid w:val="001347FF"/>
    <w:rsid w:val="00135DF7"/>
    <w:rsid w:val="00137F92"/>
    <w:rsid w:val="0014407C"/>
    <w:rsid w:val="001643F0"/>
    <w:rsid w:val="0016532B"/>
    <w:rsid w:val="00194880"/>
    <w:rsid w:val="001959CC"/>
    <w:rsid w:val="001A5B15"/>
    <w:rsid w:val="001C0206"/>
    <w:rsid w:val="001E07AD"/>
    <w:rsid w:val="001F4752"/>
    <w:rsid w:val="00200DD9"/>
    <w:rsid w:val="002116A4"/>
    <w:rsid w:val="00221171"/>
    <w:rsid w:val="0023159F"/>
    <w:rsid w:val="00241D8C"/>
    <w:rsid w:val="00262125"/>
    <w:rsid w:val="00294AEB"/>
    <w:rsid w:val="002A21D7"/>
    <w:rsid w:val="002C4A41"/>
    <w:rsid w:val="002C6907"/>
    <w:rsid w:val="00301E77"/>
    <w:rsid w:val="00306288"/>
    <w:rsid w:val="00331AE4"/>
    <w:rsid w:val="00332A71"/>
    <w:rsid w:val="0035255E"/>
    <w:rsid w:val="00374F90"/>
    <w:rsid w:val="00381E2B"/>
    <w:rsid w:val="00387DEA"/>
    <w:rsid w:val="00394215"/>
    <w:rsid w:val="003F65C7"/>
    <w:rsid w:val="00406166"/>
    <w:rsid w:val="00416724"/>
    <w:rsid w:val="00421C05"/>
    <w:rsid w:val="00437943"/>
    <w:rsid w:val="00443028"/>
    <w:rsid w:val="00473CF9"/>
    <w:rsid w:val="00477D6C"/>
    <w:rsid w:val="00493474"/>
    <w:rsid w:val="0049361C"/>
    <w:rsid w:val="00493685"/>
    <w:rsid w:val="004A3591"/>
    <w:rsid w:val="004A48B5"/>
    <w:rsid w:val="004A72DD"/>
    <w:rsid w:val="004C2EF2"/>
    <w:rsid w:val="004C603A"/>
    <w:rsid w:val="004D0594"/>
    <w:rsid w:val="004D141F"/>
    <w:rsid w:val="004F35CC"/>
    <w:rsid w:val="0050010D"/>
    <w:rsid w:val="00501FEC"/>
    <w:rsid w:val="00504D06"/>
    <w:rsid w:val="0051381C"/>
    <w:rsid w:val="00535692"/>
    <w:rsid w:val="0054273C"/>
    <w:rsid w:val="00550283"/>
    <w:rsid w:val="00560D9E"/>
    <w:rsid w:val="0056553E"/>
    <w:rsid w:val="005818EA"/>
    <w:rsid w:val="0058334E"/>
    <w:rsid w:val="00583BAB"/>
    <w:rsid w:val="005C2AAD"/>
    <w:rsid w:val="005D4A71"/>
    <w:rsid w:val="005F2208"/>
    <w:rsid w:val="00602B88"/>
    <w:rsid w:val="00606BA7"/>
    <w:rsid w:val="0061118B"/>
    <w:rsid w:val="00617F5F"/>
    <w:rsid w:val="00622BDC"/>
    <w:rsid w:val="00622EF4"/>
    <w:rsid w:val="00644033"/>
    <w:rsid w:val="006625E6"/>
    <w:rsid w:val="006708D0"/>
    <w:rsid w:val="00677C90"/>
    <w:rsid w:val="00686A01"/>
    <w:rsid w:val="00690291"/>
    <w:rsid w:val="00694631"/>
    <w:rsid w:val="00695C17"/>
    <w:rsid w:val="006C2A45"/>
    <w:rsid w:val="006C2B66"/>
    <w:rsid w:val="006C3C31"/>
    <w:rsid w:val="006D5312"/>
    <w:rsid w:val="006F401D"/>
    <w:rsid w:val="00714115"/>
    <w:rsid w:val="00715622"/>
    <w:rsid w:val="0072238F"/>
    <w:rsid w:val="00724525"/>
    <w:rsid w:val="00740F54"/>
    <w:rsid w:val="00754B19"/>
    <w:rsid w:val="007754DA"/>
    <w:rsid w:val="007826F1"/>
    <w:rsid w:val="00791D9F"/>
    <w:rsid w:val="007A125F"/>
    <w:rsid w:val="007B35B6"/>
    <w:rsid w:val="007C3C58"/>
    <w:rsid w:val="007E0C9F"/>
    <w:rsid w:val="007E585D"/>
    <w:rsid w:val="007F0577"/>
    <w:rsid w:val="007F55C8"/>
    <w:rsid w:val="00803A77"/>
    <w:rsid w:val="00805AEB"/>
    <w:rsid w:val="00833A30"/>
    <w:rsid w:val="00840A52"/>
    <w:rsid w:val="00862339"/>
    <w:rsid w:val="00877042"/>
    <w:rsid w:val="008824FD"/>
    <w:rsid w:val="00890527"/>
    <w:rsid w:val="008A72EB"/>
    <w:rsid w:val="008B1BAE"/>
    <w:rsid w:val="008C32FA"/>
    <w:rsid w:val="008C69C9"/>
    <w:rsid w:val="008F65A8"/>
    <w:rsid w:val="009002B4"/>
    <w:rsid w:val="00904870"/>
    <w:rsid w:val="00914C3B"/>
    <w:rsid w:val="009603B6"/>
    <w:rsid w:val="00976890"/>
    <w:rsid w:val="009927EA"/>
    <w:rsid w:val="009C7334"/>
    <w:rsid w:val="009D3D7B"/>
    <w:rsid w:val="009D593C"/>
    <w:rsid w:val="009F53B5"/>
    <w:rsid w:val="009F6C97"/>
    <w:rsid w:val="00A02E02"/>
    <w:rsid w:val="00A16075"/>
    <w:rsid w:val="00A3373D"/>
    <w:rsid w:val="00A44B1B"/>
    <w:rsid w:val="00A65CAE"/>
    <w:rsid w:val="00B23D2B"/>
    <w:rsid w:val="00B44990"/>
    <w:rsid w:val="00B66240"/>
    <w:rsid w:val="00B66CF7"/>
    <w:rsid w:val="00B722E0"/>
    <w:rsid w:val="00B825AF"/>
    <w:rsid w:val="00BA4018"/>
    <w:rsid w:val="00BA7912"/>
    <w:rsid w:val="00BB2796"/>
    <w:rsid w:val="00BE4567"/>
    <w:rsid w:val="00C000C1"/>
    <w:rsid w:val="00C53A3F"/>
    <w:rsid w:val="00C61F48"/>
    <w:rsid w:val="00C6288E"/>
    <w:rsid w:val="00C631AA"/>
    <w:rsid w:val="00C95B43"/>
    <w:rsid w:val="00CB7C10"/>
    <w:rsid w:val="00CC77FB"/>
    <w:rsid w:val="00D057F8"/>
    <w:rsid w:val="00D10983"/>
    <w:rsid w:val="00D165D8"/>
    <w:rsid w:val="00D21622"/>
    <w:rsid w:val="00D251D7"/>
    <w:rsid w:val="00D64836"/>
    <w:rsid w:val="00D92744"/>
    <w:rsid w:val="00DA5D61"/>
    <w:rsid w:val="00DA71BF"/>
    <w:rsid w:val="00DB29AC"/>
    <w:rsid w:val="00DE2746"/>
    <w:rsid w:val="00DE29C7"/>
    <w:rsid w:val="00DF4BCE"/>
    <w:rsid w:val="00E10344"/>
    <w:rsid w:val="00E16BD4"/>
    <w:rsid w:val="00E25B69"/>
    <w:rsid w:val="00E30A61"/>
    <w:rsid w:val="00E470B8"/>
    <w:rsid w:val="00E52D06"/>
    <w:rsid w:val="00E85391"/>
    <w:rsid w:val="00EA3F05"/>
    <w:rsid w:val="00EB1824"/>
    <w:rsid w:val="00EB4BED"/>
    <w:rsid w:val="00EB6719"/>
    <w:rsid w:val="00EE0013"/>
    <w:rsid w:val="00EF46D2"/>
    <w:rsid w:val="00F02116"/>
    <w:rsid w:val="00F038D2"/>
    <w:rsid w:val="00F1233C"/>
    <w:rsid w:val="00F12475"/>
    <w:rsid w:val="00F14ABC"/>
    <w:rsid w:val="00F33ABC"/>
    <w:rsid w:val="00F373C2"/>
    <w:rsid w:val="00F50776"/>
    <w:rsid w:val="00FA08CE"/>
    <w:rsid w:val="00FA5C1C"/>
    <w:rsid w:val="00FA7139"/>
    <w:rsid w:val="00FA74D3"/>
    <w:rsid w:val="00FD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468"/>
  <w15:chartTrackingRefBased/>
  <w15:docId w15:val="{E950BA2F-706A-4222-80FF-92BA9C7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C3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C3C31"/>
  </w:style>
  <w:style w:type="character" w:styleId="Strong">
    <w:name w:val="Strong"/>
    <w:uiPriority w:val="22"/>
    <w:qFormat/>
    <w:rsid w:val="006C3C31"/>
    <w:rPr>
      <w:b/>
      <w:bCs/>
    </w:rPr>
  </w:style>
  <w:style w:type="character" w:styleId="Hyperlink">
    <w:name w:val="Hyperlink"/>
    <w:uiPriority w:val="99"/>
    <w:unhideWhenUsed/>
    <w:rsid w:val="006C3C31"/>
    <w:rPr>
      <w:color w:val="0000FF"/>
      <w:u w:val="single"/>
    </w:rPr>
  </w:style>
  <w:style w:type="paragraph" w:styleId="ListParagraph">
    <w:name w:val="List Paragraph"/>
    <w:basedOn w:val="Normal"/>
    <w:uiPriority w:val="34"/>
    <w:qFormat/>
    <w:rsid w:val="005818EA"/>
    <w:pPr>
      <w:ind w:left="720"/>
      <w:contextualSpacing/>
    </w:pPr>
  </w:style>
  <w:style w:type="character" w:styleId="FollowedHyperlink">
    <w:name w:val="FollowedHyperlink"/>
    <w:uiPriority w:val="99"/>
    <w:semiHidden/>
    <w:unhideWhenUsed/>
    <w:rsid w:val="00421C05"/>
    <w:rPr>
      <w:color w:val="800080"/>
      <w:u w:val="single"/>
    </w:rPr>
  </w:style>
  <w:style w:type="character" w:styleId="CommentReference">
    <w:name w:val="annotation reference"/>
    <w:uiPriority w:val="99"/>
    <w:semiHidden/>
    <w:unhideWhenUsed/>
    <w:rsid w:val="007C3C58"/>
    <w:rPr>
      <w:sz w:val="16"/>
      <w:szCs w:val="16"/>
    </w:rPr>
  </w:style>
  <w:style w:type="paragraph" w:styleId="CommentText">
    <w:name w:val="annotation text"/>
    <w:basedOn w:val="Normal"/>
    <w:link w:val="CommentTextChar"/>
    <w:uiPriority w:val="99"/>
    <w:unhideWhenUsed/>
    <w:rsid w:val="007C3C58"/>
    <w:pPr>
      <w:spacing w:line="240" w:lineRule="auto"/>
    </w:pPr>
    <w:rPr>
      <w:sz w:val="20"/>
      <w:szCs w:val="20"/>
    </w:rPr>
  </w:style>
  <w:style w:type="character" w:customStyle="1" w:styleId="CommentTextChar">
    <w:name w:val="Comment Text Char"/>
    <w:link w:val="CommentText"/>
    <w:uiPriority w:val="99"/>
    <w:rsid w:val="007C3C58"/>
    <w:rPr>
      <w:sz w:val="20"/>
      <w:szCs w:val="20"/>
    </w:rPr>
  </w:style>
  <w:style w:type="paragraph" w:styleId="CommentSubject">
    <w:name w:val="annotation subject"/>
    <w:basedOn w:val="CommentText"/>
    <w:next w:val="CommentText"/>
    <w:link w:val="CommentSubjectChar"/>
    <w:uiPriority w:val="99"/>
    <w:semiHidden/>
    <w:unhideWhenUsed/>
    <w:rsid w:val="007C3C58"/>
    <w:rPr>
      <w:b/>
      <w:bCs/>
    </w:rPr>
  </w:style>
  <w:style w:type="character" w:customStyle="1" w:styleId="CommentSubjectChar">
    <w:name w:val="Comment Subject Char"/>
    <w:link w:val="CommentSubject"/>
    <w:uiPriority w:val="99"/>
    <w:semiHidden/>
    <w:rsid w:val="007C3C58"/>
    <w:rPr>
      <w:b/>
      <w:bCs/>
      <w:sz w:val="20"/>
      <w:szCs w:val="20"/>
    </w:rPr>
  </w:style>
  <w:style w:type="paragraph" w:styleId="BalloonText">
    <w:name w:val="Balloon Text"/>
    <w:basedOn w:val="Normal"/>
    <w:link w:val="BalloonTextChar"/>
    <w:uiPriority w:val="99"/>
    <w:semiHidden/>
    <w:unhideWhenUsed/>
    <w:rsid w:val="007C3C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C58"/>
    <w:rPr>
      <w:rFonts w:ascii="Tahoma" w:hAnsi="Tahoma" w:cs="Tahoma"/>
      <w:sz w:val="16"/>
      <w:szCs w:val="16"/>
    </w:rPr>
  </w:style>
  <w:style w:type="character" w:styleId="UnresolvedMention">
    <w:name w:val="Unresolved Mention"/>
    <w:uiPriority w:val="99"/>
    <w:semiHidden/>
    <w:unhideWhenUsed/>
    <w:rsid w:val="00E10344"/>
    <w:rPr>
      <w:color w:val="605E5C"/>
      <w:shd w:val="clear" w:color="auto" w:fill="E1DFDD"/>
    </w:rPr>
  </w:style>
  <w:style w:type="paragraph" w:styleId="Header">
    <w:name w:val="header"/>
    <w:basedOn w:val="Normal"/>
    <w:link w:val="HeaderChar"/>
    <w:uiPriority w:val="99"/>
    <w:unhideWhenUsed/>
    <w:rsid w:val="00914C3B"/>
    <w:pPr>
      <w:tabs>
        <w:tab w:val="center" w:pos="4680"/>
        <w:tab w:val="right" w:pos="9360"/>
      </w:tabs>
    </w:pPr>
  </w:style>
  <w:style w:type="character" w:customStyle="1" w:styleId="HeaderChar">
    <w:name w:val="Header Char"/>
    <w:link w:val="Header"/>
    <w:uiPriority w:val="99"/>
    <w:rsid w:val="00914C3B"/>
    <w:rPr>
      <w:sz w:val="22"/>
      <w:szCs w:val="22"/>
    </w:rPr>
  </w:style>
  <w:style w:type="paragraph" w:styleId="Footer">
    <w:name w:val="footer"/>
    <w:basedOn w:val="Normal"/>
    <w:link w:val="FooterChar"/>
    <w:uiPriority w:val="99"/>
    <w:unhideWhenUsed/>
    <w:rsid w:val="00914C3B"/>
    <w:pPr>
      <w:tabs>
        <w:tab w:val="center" w:pos="4680"/>
        <w:tab w:val="right" w:pos="9360"/>
      </w:tabs>
    </w:pPr>
  </w:style>
  <w:style w:type="character" w:customStyle="1" w:styleId="FooterChar">
    <w:name w:val="Footer Char"/>
    <w:link w:val="Footer"/>
    <w:uiPriority w:val="99"/>
    <w:rsid w:val="00914C3B"/>
    <w:rPr>
      <w:sz w:val="22"/>
      <w:szCs w:val="22"/>
    </w:rPr>
  </w:style>
  <w:style w:type="paragraph" w:customStyle="1" w:styleId="Default">
    <w:name w:val="Default"/>
    <w:rsid w:val="00374F90"/>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0430">
      <w:bodyDiv w:val="1"/>
      <w:marLeft w:val="0"/>
      <w:marRight w:val="0"/>
      <w:marTop w:val="0"/>
      <w:marBottom w:val="0"/>
      <w:divBdr>
        <w:top w:val="none" w:sz="0" w:space="0" w:color="auto"/>
        <w:left w:val="none" w:sz="0" w:space="0" w:color="auto"/>
        <w:bottom w:val="none" w:sz="0" w:space="0" w:color="auto"/>
        <w:right w:val="none" w:sz="0" w:space="0" w:color="auto"/>
      </w:divBdr>
      <w:divsChild>
        <w:div w:id="177502380">
          <w:marLeft w:val="0"/>
          <w:marRight w:val="0"/>
          <w:marTop w:val="0"/>
          <w:marBottom w:val="0"/>
          <w:divBdr>
            <w:top w:val="none" w:sz="0" w:space="0" w:color="auto"/>
            <w:left w:val="none" w:sz="0" w:space="0" w:color="auto"/>
            <w:bottom w:val="none" w:sz="0" w:space="0" w:color="auto"/>
            <w:right w:val="none" w:sz="0" w:space="0" w:color="auto"/>
          </w:divBdr>
          <w:divsChild>
            <w:div w:id="508105586">
              <w:marLeft w:val="-225"/>
              <w:marRight w:val="-225"/>
              <w:marTop w:val="0"/>
              <w:marBottom w:val="0"/>
              <w:divBdr>
                <w:top w:val="none" w:sz="0" w:space="0" w:color="auto"/>
                <w:left w:val="none" w:sz="0" w:space="0" w:color="auto"/>
                <w:bottom w:val="none" w:sz="0" w:space="0" w:color="auto"/>
                <w:right w:val="none" w:sz="0" w:space="0" w:color="auto"/>
              </w:divBdr>
              <w:divsChild>
                <w:div w:id="1436319600">
                  <w:marLeft w:val="0"/>
                  <w:marRight w:val="0"/>
                  <w:marTop w:val="0"/>
                  <w:marBottom w:val="0"/>
                  <w:divBdr>
                    <w:top w:val="none" w:sz="0" w:space="0" w:color="auto"/>
                    <w:left w:val="none" w:sz="0" w:space="0" w:color="auto"/>
                    <w:bottom w:val="none" w:sz="0" w:space="0" w:color="auto"/>
                    <w:right w:val="none" w:sz="0" w:space="0" w:color="auto"/>
                  </w:divBdr>
                  <w:divsChild>
                    <w:div w:id="1458718941">
                      <w:marLeft w:val="0"/>
                      <w:marRight w:val="0"/>
                      <w:marTop w:val="0"/>
                      <w:marBottom w:val="0"/>
                      <w:divBdr>
                        <w:top w:val="none" w:sz="0" w:space="0" w:color="auto"/>
                        <w:left w:val="none" w:sz="0" w:space="0" w:color="auto"/>
                        <w:bottom w:val="none" w:sz="0" w:space="0" w:color="auto"/>
                        <w:right w:val="none" w:sz="0" w:space="0" w:color="auto"/>
                      </w:divBdr>
                      <w:divsChild>
                        <w:div w:id="113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032524">
      <w:bodyDiv w:val="1"/>
      <w:marLeft w:val="0"/>
      <w:marRight w:val="0"/>
      <w:marTop w:val="0"/>
      <w:marBottom w:val="0"/>
      <w:divBdr>
        <w:top w:val="none" w:sz="0" w:space="0" w:color="auto"/>
        <w:left w:val="none" w:sz="0" w:space="0" w:color="auto"/>
        <w:bottom w:val="none" w:sz="0" w:space="0" w:color="auto"/>
        <w:right w:val="none" w:sz="0" w:space="0" w:color="auto"/>
      </w:divBdr>
    </w:div>
    <w:div w:id="1414232693">
      <w:bodyDiv w:val="1"/>
      <w:marLeft w:val="0"/>
      <w:marRight w:val="0"/>
      <w:marTop w:val="0"/>
      <w:marBottom w:val="0"/>
      <w:divBdr>
        <w:top w:val="none" w:sz="0" w:space="0" w:color="auto"/>
        <w:left w:val="none" w:sz="0" w:space="0" w:color="auto"/>
        <w:bottom w:val="none" w:sz="0" w:space="0" w:color="auto"/>
        <w:right w:val="none" w:sz="0" w:space="0" w:color="auto"/>
      </w:divBdr>
    </w:div>
    <w:div w:id="18176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io.e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gov/programs/triomcnair/repor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io.ed.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gov/programs/triomcnair/repor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neraltrio@collabra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412f683fc76309b89370c401a2a4cda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397fd4242fc17626a3a7ff4ccf35de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23AAC-8BDC-4516-8A6B-50229EC009CB}">
  <ds:schemaRefs>
    <ds:schemaRef ds:uri="http://schemas.microsoft.com/sharepoint/v3/contenttype/forms"/>
  </ds:schemaRefs>
</ds:datastoreItem>
</file>

<file path=customXml/itemProps2.xml><?xml version="1.0" encoding="utf-8"?>
<ds:datastoreItem xmlns:ds="http://schemas.openxmlformats.org/officeDocument/2006/customXml" ds:itemID="{AF098A59-5374-4BB9-8D6B-3F1300633E90}">
  <ds:schemaRefs>
    <ds:schemaRef ds:uri="http://schemas.microsoft.com/office/infopath/2007/PartnerControls"/>
    <ds:schemaRef ds:uri="http://www.w3.org/XML/1998/namespace"/>
    <ds:schemaRef ds:uri="http://purl.org/dc/elements/1.1/"/>
    <ds:schemaRef ds:uri="http://purl.org/dc/terms/"/>
    <ds:schemaRef ds:uri="f87c7b8b-c0e7-4b77-a067-2c707fd1239f"/>
    <ds:schemaRef ds:uri="http://schemas.openxmlformats.org/package/2006/metadata/core-properties"/>
    <ds:schemaRef ds:uri="02e41e38-1731-4866-b09a-6257d8bc047f"/>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F3E3012C-EBF9-4720-AA3F-42E3C3DC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 - Annual Performance Report (APR) for the Ronald E. McNair Postbaccalaureate Achievement (McNair) Program for program year 2020-21 (MS Word)</vt:lpstr>
    </vt:vector>
  </TitlesOfParts>
  <Company>U.S. Department of Education</Company>
  <LinksUpToDate>false</LinksUpToDate>
  <CharactersWithSpaces>6340</CharactersWithSpaces>
  <SharedDoc>false</SharedDoc>
  <HLinks>
    <vt:vector size="30" baseType="variant">
      <vt:variant>
        <vt:i4>3604503</vt:i4>
      </vt:variant>
      <vt:variant>
        <vt:i4>12</vt:i4>
      </vt:variant>
      <vt:variant>
        <vt:i4>0</vt:i4>
      </vt:variant>
      <vt:variant>
        <vt:i4>5</vt:i4>
      </vt:variant>
      <vt:variant>
        <vt:lpwstr>mailto:generaltrio@collabralink.com</vt:lpwstr>
      </vt:variant>
      <vt:variant>
        <vt:lpwstr/>
      </vt:variant>
      <vt:variant>
        <vt:i4>4915204</vt:i4>
      </vt:variant>
      <vt:variant>
        <vt:i4>9</vt:i4>
      </vt:variant>
      <vt:variant>
        <vt:i4>0</vt:i4>
      </vt:variant>
      <vt:variant>
        <vt:i4>5</vt:i4>
      </vt:variant>
      <vt:variant>
        <vt:lpwstr>https://www2.ed.gov/programs/triomcnair/mcnaprappendixpe2017-22cycle.docx</vt:lpwstr>
      </vt:variant>
      <vt:variant>
        <vt:lpwstr/>
      </vt:variant>
      <vt:variant>
        <vt:i4>983066</vt:i4>
      </vt:variant>
      <vt:variant>
        <vt:i4>6</vt:i4>
      </vt:variant>
      <vt:variant>
        <vt:i4>0</vt:i4>
      </vt:variant>
      <vt:variant>
        <vt:i4>5</vt:i4>
      </vt:variant>
      <vt:variant>
        <vt:lpwstr>https://www2.ed.gov/programs/triomcnair/mcnairapr1819casenuminstruct.docx</vt:lpwstr>
      </vt:variant>
      <vt:variant>
        <vt:lpwstr/>
      </vt:variant>
      <vt:variant>
        <vt:i4>458758</vt:i4>
      </vt:variant>
      <vt:variant>
        <vt:i4>3</vt:i4>
      </vt:variant>
      <vt:variant>
        <vt:i4>0</vt:i4>
      </vt:variant>
      <vt:variant>
        <vt:i4>5</vt:i4>
      </vt:variant>
      <vt:variant>
        <vt:lpwstr>https://trio.ed.gov/</vt:lpwstr>
      </vt:variant>
      <vt:variant>
        <vt:lpwstr/>
      </vt:variant>
      <vt:variant>
        <vt:i4>8061043</vt:i4>
      </vt:variant>
      <vt:variant>
        <vt:i4>0</vt:i4>
      </vt:variant>
      <vt:variant>
        <vt:i4>0</vt:i4>
      </vt:variant>
      <vt:variant>
        <vt:i4>5</vt:i4>
      </vt:variant>
      <vt:variant>
        <vt:lpwstr>https://www2.ed.gov/programs/triomcnair/report.html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Annual Performance Report (APR) for the Ronald E. McNair Postbaccalaureate Achievement (McNair) Program for program year 2020-21 (MS Word)</dc:title>
  <dc:subject/>
  <dc:creator>US Department of Education;Laurel, Julie</dc:creator>
  <cp:keywords/>
  <dc:description/>
  <cp:lastModifiedBy>David Chin</cp:lastModifiedBy>
  <cp:revision>2</cp:revision>
  <dcterms:created xsi:type="dcterms:W3CDTF">2021-11-03T12:08:00Z</dcterms:created>
  <dcterms:modified xsi:type="dcterms:W3CDTF">2021-11-03T12:08:00Z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