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28"/>
          <w:szCs w:val="28"/>
        </w:rPr>
        <w:id w:val="676398457"/>
        <w:docPartObj>
          <w:docPartGallery w:val="Cover Pages"/>
          <w:docPartUnique/>
        </w:docPartObj>
      </w:sdtPr>
      <w:sdtEndPr>
        <w:rPr>
          <w:sz w:val="22"/>
          <w:szCs w:val="22"/>
        </w:rPr>
      </w:sdtEndPr>
      <w:sdtContent>
        <w:p w14:paraId="2CD2D28B" w14:textId="77F88591" w:rsidR="009102E1" w:rsidRPr="007D2088" w:rsidRDefault="009102E1" w:rsidP="000440F5">
          <w:pPr>
            <w:spacing w:after="0"/>
            <w:jc w:val="right"/>
            <w:rPr>
              <w:b/>
              <w:bCs/>
              <w:sz w:val="28"/>
              <w:szCs w:val="28"/>
            </w:rPr>
          </w:pPr>
          <w:r w:rsidRPr="007D2088">
            <w:rPr>
              <w:b/>
              <w:bCs/>
              <w:sz w:val="28"/>
              <w:szCs w:val="28"/>
            </w:rPr>
            <w:t>U.S. Department of Education</w:t>
          </w:r>
        </w:p>
        <w:p w14:paraId="2EE3EA66" w14:textId="77777777" w:rsidR="009102E1" w:rsidRPr="00126B22" w:rsidRDefault="009102E1" w:rsidP="000440F5">
          <w:pPr>
            <w:spacing w:after="0"/>
            <w:jc w:val="right"/>
            <w:rPr>
              <w:sz w:val="20"/>
              <w:szCs w:val="20"/>
            </w:rPr>
          </w:pPr>
          <w:r w:rsidRPr="00126B22">
            <w:rPr>
              <w:sz w:val="20"/>
              <w:szCs w:val="20"/>
            </w:rPr>
            <w:t>Office of Postsecondary Education</w:t>
          </w:r>
        </w:p>
        <w:p w14:paraId="78A424F7" w14:textId="77777777" w:rsidR="009102E1" w:rsidRPr="00126B22" w:rsidRDefault="009102E1" w:rsidP="000440F5">
          <w:pPr>
            <w:spacing w:after="0"/>
            <w:jc w:val="right"/>
            <w:rPr>
              <w:sz w:val="20"/>
              <w:szCs w:val="20"/>
            </w:rPr>
          </w:pPr>
          <w:r w:rsidRPr="00126B22">
            <w:rPr>
              <w:sz w:val="20"/>
              <w:szCs w:val="20"/>
            </w:rPr>
            <w:t xml:space="preserve">Higher Education Programs </w:t>
          </w:r>
        </w:p>
        <w:p w14:paraId="4C2B16BC" w14:textId="77777777" w:rsidR="009102E1" w:rsidRDefault="009102E1" w:rsidP="000440F5">
          <w:pPr>
            <w:spacing w:after="0"/>
            <w:jc w:val="right"/>
            <w:rPr>
              <w:sz w:val="20"/>
              <w:szCs w:val="20"/>
            </w:rPr>
          </w:pPr>
          <w:r w:rsidRPr="00126B22">
            <w:rPr>
              <w:sz w:val="20"/>
              <w:szCs w:val="20"/>
            </w:rPr>
            <w:t>Student Service</w:t>
          </w:r>
        </w:p>
        <w:p w14:paraId="2C13FFA4" w14:textId="77777777" w:rsidR="009102E1" w:rsidRPr="00126B22" w:rsidRDefault="009102E1" w:rsidP="000440F5">
          <w:pPr>
            <w:spacing w:after="0"/>
            <w:jc w:val="right"/>
            <w:rPr>
              <w:sz w:val="20"/>
              <w:szCs w:val="20"/>
            </w:rPr>
          </w:pPr>
          <w:r w:rsidRPr="00FC19C1">
            <w:rPr>
              <w:noProof/>
            </w:rPr>
            <w:drawing>
              <wp:anchor distT="0" distB="0" distL="114300" distR="114300" simplePos="0" relativeHeight="251659264" behindDoc="1" locked="0" layoutInCell="1" allowOverlap="1" wp14:anchorId="7A834A21" wp14:editId="19BFCF06">
                <wp:simplePos x="0" y="0"/>
                <wp:positionH relativeFrom="margin">
                  <wp:posOffset>-374333</wp:posOffset>
                </wp:positionH>
                <wp:positionV relativeFrom="margin">
                  <wp:posOffset>902970</wp:posOffset>
                </wp:positionV>
                <wp:extent cx="6635750" cy="6426200"/>
                <wp:effectExtent l="38100" t="0" r="31750" b="317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alphaModFix amt="3000"/>
                          <a:extLst>
                            <a:ext uri="{28A0092B-C50C-407E-A947-70E740481C1C}">
                              <a14:useLocalDpi xmlns:a14="http://schemas.microsoft.com/office/drawing/2010/main" val="0"/>
                            </a:ext>
                          </a:extLst>
                        </a:blip>
                        <a:stretch>
                          <a:fillRect/>
                        </a:stretch>
                      </pic:blipFill>
                      <pic:spPr>
                        <a:xfrm>
                          <a:off x="0" y="0"/>
                          <a:ext cx="6635750" cy="6426200"/>
                        </a:xfrm>
                        <a:prstGeom prst="rect">
                          <a:avLst/>
                        </a:prstGeom>
                        <a:effectLst>
                          <a:glow>
                            <a:schemeClr val="accent1">
                              <a:alpha val="40000"/>
                            </a:schemeClr>
                          </a:glow>
                          <a:reflection blurRad="1270000" stA="0" dist="1270000" dir="5400000" sy="-100000" algn="bl" rotWithShape="0"/>
                        </a:effectLst>
                      </pic:spPr>
                    </pic:pic>
                  </a:graphicData>
                </a:graphic>
                <wp14:sizeRelH relativeFrom="margin">
                  <wp14:pctWidth>0</wp14:pctWidth>
                </wp14:sizeRelH>
                <wp14:sizeRelV relativeFrom="margin">
                  <wp14:pctHeight>0</wp14:pctHeight>
                </wp14:sizeRelV>
              </wp:anchor>
            </w:drawing>
          </w:r>
          <w:r>
            <w:rPr>
              <w:sz w:val="20"/>
              <w:szCs w:val="20"/>
            </w:rPr>
            <w:t>Federal TRIO Programs</w:t>
          </w:r>
        </w:p>
        <w:p w14:paraId="44B3484D" w14:textId="77777777" w:rsidR="009102E1" w:rsidRDefault="009102E1" w:rsidP="002D5ED0">
          <w:pPr>
            <w:pStyle w:val="Heading1"/>
            <w:jc w:val="center"/>
            <w:rPr>
              <w:bCs/>
              <w:lang w:eastAsia="en-US"/>
            </w:rPr>
          </w:pPr>
          <w:r w:rsidRPr="009102E1">
            <w:rPr>
              <w:lang w:eastAsia="en-US"/>
            </w:rPr>
            <w:t>Ronald E. McNair Postbaccalaureate Achievement Program</w:t>
          </w:r>
        </w:p>
        <w:p w14:paraId="2535D1EB" w14:textId="6AEDED3E" w:rsidR="009102E1" w:rsidRPr="002D5ED0" w:rsidRDefault="009102E1" w:rsidP="002D5ED0">
          <w:pPr>
            <w:pStyle w:val="Heading2-Cover"/>
          </w:pPr>
          <w:r w:rsidRPr="002D5ED0">
            <w:t>Project and Program Measures for Government Performance and Results Act (GPRA)</w:t>
          </w:r>
        </w:p>
        <w:p w14:paraId="1CC2DC1F" w14:textId="77777777" w:rsidR="009102E1" w:rsidRPr="002D5ED0" w:rsidRDefault="009102E1" w:rsidP="002D5ED0">
          <w:pPr>
            <w:pStyle w:val="Heading2-Cover"/>
          </w:pPr>
          <w:r w:rsidRPr="002D5ED0">
            <w:t>Reporting Period: 2020-21</w:t>
          </w:r>
        </w:p>
        <w:p w14:paraId="4B81533F" w14:textId="606E0667" w:rsidR="009102E1" w:rsidRDefault="009102E1">
          <w:pPr>
            <w:rPr>
              <w:b/>
              <w:bCs/>
            </w:rPr>
          </w:pPr>
          <w:r>
            <w:rPr>
              <w:b/>
              <w:bCs/>
            </w:rPr>
            <w:br w:type="page"/>
          </w:r>
        </w:p>
      </w:sdtContent>
    </w:sdt>
    <w:sdt>
      <w:sdtPr>
        <w:rPr>
          <w:rFonts w:asciiTheme="minorHAnsi" w:eastAsiaTheme="minorEastAsia" w:hAnsiTheme="minorHAnsi" w:cstheme="minorBidi"/>
          <w:b/>
          <w:bCs/>
          <w:color w:val="auto"/>
          <w:sz w:val="22"/>
          <w:szCs w:val="22"/>
        </w:rPr>
        <w:id w:val="-1765302594"/>
        <w:docPartObj>
          <w:docPartGallery w:val="Table of Contents"/>
          <w:docPartUnique/>
        </w:docPartObj>
      </w:sdtPr>
      <w:sdtEndPr>
        <w:rPr>
          <w:b w:val="0"/>
          <w:bCs w:val="0"/>
          <w:noProof/>
        </w:rPr>
      </w:sdtEndPr>
      <w:sdtContent>
        <w:p w14:paraId="1602A1CE" w14:textId="5678A4C5" w:rsidR="00E13A09" w:rsidRPr="00CF6E3C" w:rsidRDefault="00E13A09" w:rsidP="0034786E">
          <w:pPr>
            <w:pStyle w:val="TOCHeading"/>
            <w:tabs>
              <w:tab w:val="center" w:pos="4680"/>
            </w:tabs>
            <w:jc w:val="both"/>
            <w:rPr>
              <w:rFonts w:eastAsiaTheme="minorEastAsia" w:cstheme="minorBidi"/>
              <w:b/>
              <w:bCs/>
              <w:color w:val="auto"/>
              <w:sz w:val="22"/>
              <w:szCs w:val="22"/>
            </w:rPr>
          </w:pPr>
          <w:r w:rsidRPr="00CF6E3C">
            <w:rPr>
              <w:b/>
              <w:bCs/>
            </w:rPr>
            <w:t>Table of Contents</w:t>
          </w:r>
        </w:p>
        <w:p w14:paraId="57263A77" w14:textId="4C1E1C23" w:rsidR="002A7B9B" w:rsidRDefault="00E13A09">
          <w:pPr>
            <w:pStyle w:val="TOC1"/>
            <w:tabs>
              <w:tab w:val="right" w:leader="dot" w:pos="9350"/>
            </w:tabs>
            <w:rPr>
              <w:rFonts w:cstheme="minorBidi"/>
              <w:b w:val="0"/>
              <w:bCs w:val="0"/>
              <w:noProof/>
              <w:sz w:val="22"/>
              <w:szCs w:val="22"/>
            </w:rPr>
          </w:pPr>
          <w:r>
            <w:rPr>
              <w:b w:val="0"/>
              <w:bCs w:val="0"/>
            </w:rPr>
            <w:fldChar w:fldCharType="begin"/>
          </w:r>
          <w:r>
            <w:instrText xml:space="preserve"> TOC \o "1-3" \h \z \u </w:instrText>
          </w:r>
          <w:r>
            <w:rPr>
              <w:b w:val="0"/>
              <w:bCs w:val="0"/>
            </w:rPr>
            <w:fldChar w:fldCharType="separate"/>
          </w:r>
          <w:hyperlink w:anchor="_Toc114840531" w:history="1">
            <w:r w:rsidR="002A7B9B" w:rsidRPr="000251D3">
              <w:rPr>
                <w:rStyle w:val="Hyperlink"/>
                <w:noProof/>
              </w:rPr>
              <w:t>Introduction</w:t>
            </w:r>
            <w:r w:rsidR="002A7B9B">
              <w:rPr>
                <w:noProof/>
                <w:webHidden/>
              </w:rPr>
              <w:tab/>
            </w:r>
            <w:r w:rsidR="002A7B9B">
              <w:rPr>
                <w:noProof/>
                <w:webHidden/>
              </w:rPr>
              <w:fldChar w:fldCharType="begin"/>
            </w:r>
            <w:r w:rsidR="002A7B9B">
              <w:rPr>
                <w:noProof/>
                <w:webHidden/>
              </w:rPr>
              <w:instrText xml:space="preserve"> PAGEREF _Toc114840531 \h </w:instrText>
            </w:r>
            <w:r w:rsidR="002A7B9B">
              <w:rPr>
                <w:noProof/>
                <w:webHidden/>
              </w:rPr>
            </w:r>
            <w:r w:rsidR="002A7B9B">
              <w:rPr>
                <w:noProof/>
                <w:webHidden/>
              </w:rPr>
              <w:fldChar w:fldCharType="separate"/>
            </w:r>
            <w:r w:rsidR="002A7B9B">
              <w:rPr>
                <w:noProof/>
                <w:webHidden/>
              </w:rPr>
              <w:t>1</w:t>
            </w:r>
            <w:r w:rsidR="002A7B9B">
              <w:rPr>
                <w:noProof/>
                <w:webHidden/>
              </w:rPr>
              <w:fldChar w:fldCharType="end"/>
            </w:r>
          </w:hyperlink>
        </w:p>
        <w:p w14:paraId="709DB8F9" w14:textId="1B86A47C" w:rsidR="002A7B9B" w:rsidRDefault="00695AF1">
          <w:pPr>
            <w:pStyle w:val="TOC1"/>
            <w:tabs>
              <w:tab w:val="right" w:leader="dot" w:pos="9350"/>
            </w:tabs>
            <w:rPr>
              <w:rFonts w:cstheme="minorBidi"/>
              <w:b w:val="0"/>
              <w:bCs w:val="0"/>
              <w:noProof/>
              <w:sz w:val="22"/>
              <w:szCs w:val="22"/>
            </w:rPr>
          </w:pPr>
          <w:hyperlink w:anchor="_Toc114840532" w:history="1">
            <w:r w:rsidR="002A7B9B" w:rsidRPr="000251D3">
              <w:rPr>
                <w:rStyle w:val="Hyperlink"/>
                <w:noProof/>
              </w:rPr>
              <w:t>Program Performance</w:t>
            </w:r>
            <w:r w:rsidR="002A7B9B">
              <w:rPr>
                <w:noProof/>
                <w:webHidden/>
              </w:rPr>
              <w:tab/>
            </w:r>
            <w:r w:rsidR="002A7B9B">
              <w:rPr>
                <w:noProof/>
                <w:webHidden/>
              </w:rPr>
              <w:fldChar w:fldCharType="begin"/>
            </w:r>
            <w:r w:rsidR="002A7B9B">
              <w:rPr>
                <w:noProof/>
                <w:webHidden/>
              </w:rPr>
              <w:instrText xml:space="preserve"> PAGEREF _Toc114840532 \h </w:instrText>
            </w:r>
            <w:r w:rsidR="002A7B9B">
              <w:rPr>
                <w:noProof/>
                <w:webHidden/>
              </w:rPr>
            </w:r>
            <w:r w:rsidR="002A7B9B">
              <w:rPr>
                <w:noProof/>
                <w:webHidden/>
              </w:rPr>
              <w:fldChar w:fldCharType="separate"/>
            </w:r>
            <w:r w:rsidR="002A7B9B">
              <w:rPr>
                <w:noProof/>
                <w:webHidden/>
              </w:rPr>
              <w:t>1</w:t>
            </w:r>
            <w:r w:rsidR="002A7B9B">
              <w:rPr>
                <w:noProof/>
                <w:webHidden/>
              </w:rPr>
              <w:fldChar w:fldCharType="end"/>
            </w:r>
          </w:hyperlink>
        </w:p>
        <w:p w14:paraId="6DCE2F2D" w14:textId="1C06C8BB" w:rsidR="002A7B9B" w:rsidRDefault="00695AF1" w:rsidP="00DC01F9">
          <w:pPr>
            <w:pStyle w:val="TOC2"/>
            <w:rPr>
              <w:rFonts w:cstheme="minorBidi"/>
              <w:noProof/>
              <w:sz w:val="22"/>
              <w:szCs w:val="22"/>
            </w:rPr>
          </w:pPr>
          <w:hyperlink w:anchor="_Toc114840533" w:history="1">
            <w:r w:rsidR="002A7B9B" w:rsidRPr="000251D3">
              <w:rPr>
                <w:rStyle w:val="Hyperlink"/>
                <w:rFonts w:cs="Arial"/>
                <w:noProof/>
              </w:rPr>
              <w:t>Program Targets</w:t>
            </w:r>
            <w:r w:rsidR="002A7B9B">
              <w:rPr>
                <w:noProof/>
                <w:webHidden/>
              </w:rPr>
              <w:tab/>
            </w:r>
            <w:r w:rsidR="002A7B9B">
              <w:rPr>
                <w:noProof/>
                <w:webHidden/>
              </w:rPr>
              <w:fldChar w:fldCharType="begin"/>
            </w:r>
            <w:r w:rsidR="002A7B9B">
              <w:rPr>
                <w:noProof/>
                <w:webHidden/>
              </w:rPr>
              <w:instrText xml:space="preserve"> PAGEREF _Toc114840533 \h </w:instrText>
            </w:r>
            <w:r w:rsidR="002A7B9B">
              <w:rPr>
                <w:noProof/>
                <w:webHidden/>
              </w:rPr>
            </w:r>
            <w:r w:rsidR="002A7B9B">
              <w:rPr>
                <w:noProof/>
                <w:webHidden/>
              </w:rPr>
              <w:fldChar w:fldCharType="separate"/>
            </w:r>
            <w:r w:rsidR="002A7B9B">
              <w:rPr>
                <w:noProof/>
                <w:webHidden/>
              </w:rPr>
              <w:t>1</w:t>
            </w:r>
            <w:r w:rsidR="002A7B9B">
              <w:rPr>
                <w:noProof/>
                <w:webHidden/>
              </w:rPr>
              <w:fldChar w:fldCharType="end"/>
            </w:r>
          </w:hyperlink>
        </w:p>
        <w:p w14:paraId="19F4C1F8" w14:textId="65084546" w:rsidR="002A7B9B" w:rsidRDefault="00695AF1" w:rsidP="00DC01F9">
          <w:pPr>
            <w:pStyle w:val="TOC2"/>
            <w:rPr>
              <w:rFonts w:cstheme="minorBidi"/>
              <w:noProof/>
              <w:sz w:val="22"/>
              <w:szCs w:val="22"/>
            </w:rPr>
          </w:pPr>
          <w:hyperlink w:anchor="_Toc114840534" w:history="1">
            <w:r w:rsidR="002A7B9B" w:rsidRPr="000251D3">
              <w:rPr>
                <w:rStyle w:val="Hyperlink"/>
                <w:noProof/>
              </w:rPr>
              <w:t>Outcome Summary</w:t>
            </w:r>
            <w:r w:rsidR="002A7B9B">
              <w:rPr>
                <w:noProof/>
                <w:webHidden/>
              </w:rPr>
              <w:tab/>
            </w:r>
            <w:r w:rsidR="002A7B9B">
              <w:rPr>
                <w:noProof/>
                <w:webHidden/>
              </w:rPr>
              <w:fldChar w:fldCharType="begin"/>
            </w:r>
            <w:r w:rsidR="002A7B9B">
              <w:rPr>
                <w:noProof/>
                <w:webHidden/>
              </w:rPr>
              <w:instrText xml:space="preserve"> PAGEREF _Toc114840534 \h </w:instrText>
            </w:r>
            <w:r w:rsidR="002A7B9B">
              <w:rPr>
                <w:noProof/>
                <w:webHidden/>
              </w:rPr>
            </w:r>
            <w:r w:rsidR="002A7B9B">
              <w:rPr>
                <w:noProof/>
                <w:webHidden/>
              </w:rPr>
              <w:fldChar w:fldCharType="separate"/>
            </w:r>
            <w:r w:rsidR="002A7B9B">
              <w:rPr>
                <w:noProof/>
                <w:webHidden/>
              </w:rPr>
              <w:t>2</w:t>
            </w:r>
            <w:r w:rsidR="002A7B9B">
              <w:rPr>
                <w:noProof/>
                <w:webHidden/>
              </w:rPr>
              <w:fldChar w:fldCharType="end"/>
            </w:r>
          </w:hyperlink>
        </w:p>
        <w:p w14:paraId="5DC1FADE" w14:textId="1195685C" w:rsidR="002A7B9B" w:rsidRDefault="00695AF1">
          <w:pPr>
            <w:pStyle w:val="TOC3"/>
            <w:tabs>
              <w:tab w:val="right" w:leader="dot" w:pos="9350"/>
            </w:tabs>
            <w:rPr>
              <w:rFonts w:cstheme="minorBidi"/>
              <w:noProof/>
              <w:sz w:val="22"/>
              <w:szCs w:val="22"/>
            </w:rPr>
          </w:pPr>
          <w:hyperlink w:anchor="_Toc114840535" w:history="1">
            <w:r w:rsidR="002A7B9B" w:rsidRPr="000251D3">
              <w:rPr>
                <w:rStyle w:val="Hyperlink"/>
                <w:noProof/>
              </w:rPr>
              <w:t>Performance Measure Definitions</w:t>
            </w:r>
            <w:r w:rsidR="002A7B9B">
              <w:rPr>
                <w:noProof/>
                <w:webHidden/>
              </w:rPr>
              <w:tab/>
            </w:r>
            <w:r w:rsidR="002A7B9B">
              <w:rPr>
                <w:noProof/>
                <w:webHidden/>
              </w:rPr>
              <w:fldChar w:fldCharType="begin"/>
            </w:r>
            <w:r w:rsidR="002A7B9B">
              <w:rPr>
                <w:noProof/>
                <w:webHidden/>
              </w:rPr>
              <w:instrText xml:space="preserve"> PAGEREF _Toc114840535 \h </w:instrText>
            </w:r>
            <w:r w:rsidR="002A7B9B">
              <w:rPr>
                <w:noProof/>
                <w:webHidden/>
              </w:rPr>
            </w:r>
            <w:r w:rsidR="002A7B9B">
              <w:rPr>
                <w:noProof/>
                <w:webHidden/>
              </w:rPr>
              <w:fldChar w:fldCharType="separate"/>
            </w:r>
            <w:r w:rsidR="002A7B9B">
              <w:rPr>
                <w:noProof/>
                <w:webHidden/>
              </w:rPr>
              <w:t>2</w:t>
            </w:r>
            <w:r w:rsidR="002A7B9B">
              <w:rPr>
                <w:noProof/>
                <w:webHidden/>
              </w:rPr>
              <w:fldChar w:fldCharType="end"/>
            </w:r>
          </w:hyperlink>
        </w:p>
        <w:p w14:paraId="75C20431" w14:textId="3CC62073" w:rsidR="002A7B9B" w:rsidRDefault="00695AF1">
          <w:pPr>
            <w:pStyle w:val="TOC3"/>
            <w:tabs>
              <w:tab w:val="right" w:leader="dot" w:pos="9350"/>
            </w:tabs>
            <w:rPr>
              <w:rFonts w:cstheme="minorBidi"/>
              <w:noProof/>
              <w:sz w:val="22"/>
              <w:szCs w:val="22"/>
            </w:rPr>
          </w:pPr>
          <w:hyperlink w:anchor="_Toc114840536" w:history="1">
            <w:r w:rsidR="002A7B9B" w:rsidRPr="000251D3">
              <w:rPr>
                <w:rStyle w:val="Hyperlink"/>
                <w:noProof/>
              </w:rPr>
              <w:t>Research Doctorate Completion Rate Definition</w:t>
            </w:r>
            <w:r w:rsidR="002A7B9B">
              <w:rPr>
                <w:noProof/>
                <w:webHidden/>
              </w:rPr>
              <w:tab/>
            </w:r>
            <w:r w:rsidR="002A7B9B">
              <w:rPr>
                <w:noProof/>
                <w:webHidden/>
              </w:rPr>
              <w:fldChar w:fldCharType="begin"/>
            </w:r>
            <w:r w:rsidR="002A7B9B">
              <w:rPr>
                <w:noProof/>
                <w:webHidden/>
              </w:rPr>
              <w:instrText xml:space="preserve"> PAGEREF _Toc114840536 \h </w:instrText>
            </w:r>
            <w:r w:rsidR="002A7B9B">
              <w:rPr>
                <w:noProof/>
                <w:webHidden/>
              </w:rPr>
            </w:r>
            <w:r w:rsidR="002A7B9B">
              <w:rPr>
                <w:noProof/>
                <w:webHidden/>
              </w:rPr>
              <w:fldChar w:fldCharType="separate"/>
            </w:r>
            <w:r w:rsidR="002A7B9B">
              <w:rPr>
                <w:noProof/>
                <w:webHidden/>
              </w:rPr>
              <w:t>2</w:t>
            </w:r>
            <w:r w:rsidR="002A7B9B">
              <w:rPr>
                <w:noProof/>
                <w:webHidden/>
              </w:rPr>
              <w:fldChar w:fldCharType="end"/>
            </w:r>
          </w:hyperlink>
        </w:p>
        <w:p w14:paraId="2F27BB12" w14:textId="59F72EEA" w:rsidR="002A7B9B" w:rsidRDefault="00695AF1">
          <w:pPr>
            <w:pStyle w:val="TOC1"/>
            <w:tabs>
              <w:tab w:val="right" w:leader="dot" w:pos="9350"/>
            </w:tabs>
            <w:rPr>
              <w:rFonts w:cstheme="minorBidi"/>
              <w:b w:val="0"/>
              <w:bCs w:val="0"/>
              <w:noProof/>
              <w:sz w:val="22"/>
              <w:szCs w:val="22"/>
            </w:rPr>
          </w:pPr>
          <w:hyperlink w:anchor="_Toc114840537" w:history="1">
            <w:r w:rsidR="002A7B9B" w:rsidRPr="000251D3">
              <w:rPr>
                <w:rStyle w:val="Hyperlink"/>
                <w:noProof/>
              </w:rPr>
              <w:t>Grantee-level Data</w:t>
            </w:r>
            <w:r w:rsidR="002A7B9B">
              <w:rPr>
                <w:noProof/>
                <w:webHidden/>
              </w:rPr>
              <w:tab/>
            </w:r>
            <w:r w:rsidR="002A7B9B">
              <w:rPr>
                <w:noProof/>
                <w:webHidden/>
              </w:rPr>
              <w:fldChar w:fldCharType="begin"/>
            </w:r>
            <w:r w:rsidR="002A7B9B">
              <w:rPr>
                <w:noProof/>
                <w:webHidden/>
              </w:rPr>
              <w:instrText xml:space="preserve"> PAGEREF _Toc114840537 \h </w:instrText>
            </w:r>
            <w:r w:rsidR="002A7B9B">
              <w:rPr>
                <w:noProof/>
                <w:webHidden/>
              </w:rPr>
            </w:r>
            <w:r w:rsidR="002A7B9B">
              <w:rPr>
                <w:noProof/>
                <w:webHidden/>
              </w:rPr>
              <w:fldChar w:fldCharType="separate"/>
            </w:r>
            <w:r w:rsidR="002A7B9B">
              <w:rPr>
                <w:noProof/>
                <w:webHidden/>
              </w:rPr>
              <w:t>3</w:t>
            </w:r>
            <w:r w:rsidR="002A7B9B">
              <w:rPr>
                <w:noProof/>
                <w:webHidden/>
              </w:rPr>
              <w:fldChar w:fldCharType="end"/>
            </w:r>
          </w:hyperlink>
        </w:p>
        <w:p w14:paraId="22407157" w14:textId="75959E7D" w:rsidR="002A7B9B" w:rsidRDefault="00695AF1">
          <w:pPr>
            <w:pStyle w:val="TOC1"/>
            <w:tabs>
              <w:tab w:val="right" w:leader="dot" w:pos="9350"/>
            </w:tabs>
            <w:rPr>
              <w:rFonts w:cstheme="minorBidi"/>
              <w:b w:val="0"/>
              <w:bCs w:val="0"/>
              <w:noProof/>
              <w:sz w:val="22"/>
              <w:szCs w:val="22"/>
            </w:rPr>
          </w:pPr>
          <w:hyperlink w:anchor="_Toc114840538" w:history="1">
            <w:r w:rsidR="002A7B9B" w:rsidRPr="000251D3">
              <w:rPr>
                <w:rStyle w:val="Hyperlink"/>
                <w:noProof/>
              </w:rPr>
              <w:t>Findings</w:t>
            </w:r>
            <w:r w:rsidR="002A7B9B">
              <w:rPr>
                <w:noProof/>
                <w:webHidden/>
              </w:rPr>
              <w:tab/>
            </w:r>
            <w:r w:rsidR="002A7B9B">
              <w:rPr>
                <w:noProof/>
                <w:webHidden/>
              </w:rPr>
              <w:fldChar w:fldCharType="begin"/>
            </w:r>
            <w:r w:rsidR="002A7B9B">
              <w:rPr>
                <w:noProof/>
                <w:webHidden/>
              </w:rPr>
              <w:instrText xml:space="preserve"> PAGEREF _Toc114840538 \h </w:instrText>
            </w:r>
            <w:r w:rsidR="002A7B9B">
              <w:rPr>
                <w:noProof/>
                <w:webHidden/>
              </w:rPr>
            </w:r>
            <w:r w:rsidR="002A7B9B">
              <w:rPr>
                <w:noProof/>
                <w:webHidden/>
              </w:rPr>
              <w:fldChar w:fldCharType="separate"/>
            </w:r>
            <w:r w:rsidR="002A7B9B">
              <w:rPr>
                <w:noProof/>
                <w:webHidden/>
              </w:rPr>
              <w:t>4</w:t>
            </w:r>
            <w:r w:rsidR="002A7B9B">
              <w:rPr>
                <w:noProof/>
                <w:webHidden/>
              </w:rPr>
              <w:fldChar w:fldCharType="end"/>
            </w:r>
          </w:hyperlink>
        </w:p>
        <w:p w14:paraId="1D48DB3E" w14:textId="00ED53D4" w:rsidR="002A7B9B" w:rsidRDefault="00695AF1">
          <w:pPr>
            <w:pStyle w:val="TOC1"/>
            <w:tabs>
              <w:tab w:val="right" w:leader="dot" w:pos="9350"/>
            </w:tabs>
            <w:rPr>
              <w:rFonts w:cstheme="minorBidi"/>
              <w:b w:val="0"/>
              <w:bCs w:val="0"/>
              <w:noProof/>
              <w:sz w:val="22"/>
              <w:szCs w:val="22"/>
            </w:rPr>
          </w:pPr>
          <w:hyperlink w:anchor="_Toc114840539" w:history="1">
            <w:r w:rsidR="002A7B9B" w:rsidRPr="000251D3">
              <w:rPr>
                <w:rStyle w:val="Hyperlink"/>
                <w:noProof/>
              </w:rPr>
              <w:t>Data Limitations</w:t>
            </w:r>
            <w:r w:rsidR="002A7B9B">
              <w:rPr>
                <w:noProof/>
                <w:webHidden/>
              </w:rPr>
              <w:tab/>
            </w:r>
            <w:r w:rsidR="002A7B9B">
              <w:rPr>
                <w:noProof/>
                <w:webHidden/>
              </w:rPr>
              <w:fldChar w:fldCharType="begin"/>
            </w:r>
            <w:r w:rsidR="002A7B9B">
              <w:rPr>
                <w:noProof/>
                <w:webHidden/>
              </w:rPr>
              <w:instrText xml:space="preserve"> PAGEREF _Toc114840539 \h </w:instrText>
            </w:r>
            <w:r w:rsidR="002A7B9B">
              <w:rPr>
                <w:noProof/>
                <w:webHidden/>
              </w:rPr>
            </w:r>
            <w:r w:rsidR="002A7B9B">
              <w:rPr>
                <w:noProof/>
                <w:webHidden/>
              </w:rPr>
              <w:fldChar w:fldCharType="separate"/>
            </w:r>
            <w:r w:rsidR="002A7B9B">
              <w:rPr>
                <w:noProof/>
                <w:webHidden/>
              </w:rPr>
              <w:t>5</w:t>
            </w:r>
            <w:r w:rsidR="002A7B9B">
              <w:rPr>
                <w:noProof/>
                <w:webHidden/>
              </w:rPr>
              <w:fldChar w:fldCharType="end"/>
            </w:r>
          </w:hyperlink>
        </w:p>
        <w:p w14:paraId="0F0F9BB0" w14:textId="1A65CB56" w:rsidR="002A7B9B" w:rsidRDefault="00695AF1">
          <w:pPr>
            <w:pStyle w:val="TOC1"/>
            <w:tabs>
              <w:tab w:val="right" w:leader="dot" w:pos="9350"/>
            </w:tabs>
            <w:rPr>
              <w:rFonts w:cstheme="minorBidi"/>
              <w:b w:val="0"/>
              <w:bCs w:val="0"/>
              <w:noProof/>
              <w:sz w:val="22"/>
              <w:szCs w:val="22"/>
            </w:rPr>
          </w:pPr>
          <w:hyperlink w:anchor="_Toc114840540" w:history="1">
            <w:r w:rsidR="002A7B9B" w:rsidRPr="000251D3">
              <w:rPr>
                <w:rStyle w:val="Hyperlink"/>
                <w:noProof/>
              </w:rPr>
              <w:t>Appendix: Calculation Rules</w:t>
            </w:r>
            <w:r w:rsidR="002A7B9B">
              <w:rPr>
                <w:noProof/>
                <w:webHidden/>
              </w:rPr>
              <w:tab/>
            </w:r>
            <w:r w:rsidR="002A7B9B">
              <w:rPr>
                <w:noProof/>
                <w:webHidden/>
              </w:rPr>
              <w:fldChar w:fldCharType="begin"/>
            </w:r>
            <w:r w:rsidR="002A7B9B">
              <w:rPr>
                <w:noProof/>
                <w:webHidden/>
              </w:rPr>
              <w:instrText xml:space="preserve"> PAGEREF _Toc114840540 \h </w:instrText>
            </w:r>
            <w:r w:rsidR="002A7B9B">
              <w:rPr>
                <w:noProof/>
                <w:webHidden/>
              </w:rPr>
            </w:r>
            <w:r w:rsidR="002A7B9B">
              <w:rPr>
                <w:noProof/>
                <w:webHidden/>
              </w:rPr>
              <w:fldChar w:fldCharType="separate"/>
            </w:r>
            <w:r w:rsidR="002A7B9B">
              <w:rPr>
                <w:noProof/>
                <w:webHidden/>
              </w:rPr>
              <w:t>7</w:t>
            </w:r>
            <w:r w:rsidR="002A7B9B">
              <w:rPr>
                <w:noProof/>
                <w:webHidden/>
              </w:rPr>
              <w:fldChar w:fldCharType="end"/>
            </w:r>
          </w:hyperlink>
        </w:p>
        <w:p w14:paraId="64D47152" w14:textId="6AB05109" w:rsidR="002A7B9B" w:rsidRDefault="00695AF1" w:rsidP="00DC01F9">
          <w:pPr>
            <w:pStyle w:val="TOC2"/>
            <w:rPr>
              <w:rFonts w:cstheme="minorBidi"/>
              <w:noProof/>
              <w:sz w:val="22"/>
              <w:szCs w:val="22"/>
            </w:rPr>
          </w:pPr>
          <w:hyperlink w:anchor="_Toc114840541" w:history="1">
            <w:r w:rsidR="002A7B9B" w:rsidRPr="000251D3">
              <w:rPr>
                <w:rStyle w:val="Hyperlink"/>
                <w:noProof/>
              </w:rPr>
              <w:t>Graduate School Enrollment Rate</w:t>
            </w:r>
            <w:r w:rsidR="002A7B9B">
              <w:rPr>
                <w:noProof/>
                <w:webHidden/>
              </w:rPr>
              <w:tab/>
            </w:r>
            <w:r w:rsidR="002A7B9B">
              <w:rPr>
                <w:noProof/>
                <w:webHidden/>
              </w:rPr>
              <w:fldChar w:fldCharType="begin"/>
            </w:r>
            <w:r w:rsidR="002A7B9B">
              <w:rPr>
                <w:noProof/>
                <w:webHidden/>
              </w:rPr>
              <w:instrText xml:space="preserve"> PAGEREF _Toc114840541 \h </w:instrText>
            </w:r>
            <w:r w:rsidR="002A7B9B">
              <w:rPr>
                <w:noProof/>
                <w:webHidden/>
              </w:rPr>
            </w:r>
            <w:r w:rsidR="002A7B9B">
              <w:rPr>
                <w:noProof/>
                <w:webHidden/>
              </w:rPr>
              <w:fldChar w:fldCharType="separate"/>
            </w:r>
            <w:r w:rsidR="002A7B9B">
              <w:rPr>
                <w:noProof/>
                <w:webHidden/>
              </w:rPr>
              <w:t>7</w:t>
            </w:r>
            <w:r w:rsidR="002A7B9B">
              <w:rPr>
                <w:noProof/>
                <w:webHidden/>
              </w:rPr>
              <w:fldChar w:fldCharType="end"/>
            </w:r>
          </w:hyperlink>
        </w:p>
        <w:p w14:paraId="450C5472" w14:textId="32E315B3" w:rsidR="002A7B9B" w:rsidRDefault="00695AF1" w:rsidP="00DC01F9">
          <w:pPr>
            <w:pStyle w:val="TOC2"/>
            <w:rPr>
              <w:rFonts w:cstheme="minorBidi"/>
              <w:noProof/>
              <w:sz w:val="22"/>
              <w:szCs w:val="22"/>
            </w:rPr>
          </w:pPr>
          <w:hyperlink w:anchor="_Toc114840542" w:history="1">
            <w:r w:rsidR="002A7B9B" w:rsidRPr="000251D3">
              <w:rPr>
                <w:rStyle w:val="Hyperlink"/>
                <w:noProof/>
              </w:rPr>
              <w:t>Graduate School Persistence Rate</w:t>
            </w:r>
            <w:r w:rsidR="002A7B9B">
              <w:rPr>
                <w:noProof/>
                <w:webHidden/>
              </w:rPr>
              <w:tab/>
            </w:r>
            <w:r w:rsidR="002A7B9B">
              <w:rPr>
                <w:noProof/>
                <w:webHidden/>
              </w:rPr>
              <w:fldChar w:fldCharType="begin"/>
            </w:r>
            <w:r w:rsidR="002A7B9B">
              <w:rPr>
                <w:noProof/>
                <w:webHidden/>
              </w:rPr>
              <w:instrText xml:space="preserve"> PAGEREF _Toc114840542 \h </w:instrText>
            </w:r>
            <w:r w:rsidR="002A7B9B">
              <w:rPr>
                <w:noProof/>
                <w:webHidden/>
              </w:rPr>
            </w:r>
            <w:r w:rsidR="002A7B9B">
              <w:rPr>
                <w:noProof/>
                <w:webHidden/>
              </w:rPr>
              <w:fldChar w:fldCharType="separate"/>
            </w:r>
            <w:r w:rsidR="002A7B9B">
              <w:rPr>
                <w:noProof/>
                <w:webHidden/>
              </w:rPr>
              <w:t>7</w:t>
            </w:r>
            <w:r w:rsidR="002A7B9B">
              <w:rPr>
                <w:noProof/>
                <w:webHidden/>
              </w:rPr>
              <w:fldChar w:fldCharType="end"/>
            </w:r>
          </w:hyperlink>
        </w:p>
        <w:p w14:paraId="05106459" w14:textId="65E06BEC" w:rsidR="002A7B9B" w:rsidRDefault="00695AF1" w:rsidP="00DC01F9">
          <w:pPr>
            <w:pStyle w:val="TOC2"/>
            <w:rPr>
              <w:rFonts w:cstheme="minorBidi"/>
              <w:noProof/>
              <w:sz w:val="22"/>
              <w:szCs w:val="22"/>
            </w:rPr>
          </w:pPr>
          <w:hyperlink w:anchor="_Toc114840543" w:history="1">
            <w:r w:rsidR="002A7B9B" w:rsidRPr="000251D3">
              <w:rPr>
                <w:rStyle w:val="Hyperlink"/>
                <w:noProof/>
              </w:rPr>
              <w:t>Research Doctorate Completion Rate</w:t>
            </w:r>
            <w:r w:rsidR="002A7B9B">
              <w:rPr>
                <w:noProof/>
                <w:webHidden/>
              </w:rPr>
              <w:tab/>
            </w:r>
            <w:r w:rsidR="002A7B9B">
              <w:rPr>
                <w:noProof/>
                <w:webHidden/>
              </w:rPr>
              <w:fldChar w:fldCharType="begin"/>
            </w:r>
            <w:r w:rsidR="002A7B9B">
              <w:rPr>
                <w:noProof/>
                <w:webHidden/>
              </w:rPr>
              <w:instrText xml:space="preserve"> PAGEREF _Toc114840543 \h </w:instrText>
            </w:r>
            <w:r w:rsidR="002A7B9B">
              <w:rPr>
                <w:noProof/>
                <w:webHidden/>
              </w:rPr>
            </w:r>
            <w:r w:rsidR="002A7B9B">
              <w:rPr>
                <w:noProof/>
                <w:webHidden/>
              </w:rPr>
              <w:fldChar w:fldCharType="separate"/>
            </w:r>
            <w:r w:rsidR="002A7B9B">
              <w:rPr>
                <w:noProof/>
                <w:webHidden/>
              </w:rPr>
              <w:t>8</w:t>
            </w:r>
            <w:r w:rsidR="002A7B9B">
              <w:rPr>
                <w:noProof/>
                <w:webHidden/>
              </w:rPr>
              <w:fldChar w:fldCharType="end"/>
            </w:r>
          </w:hyperlink>
        </w:p>
        <w:p w14:paraId="14F6810B" w14:textId="60E65005" w:rsidR="008D3B4D" w:rsidRPr="008D3B4D" w:rsidRDefault="00E13A09">
          <w:pPr>
            <w:sectPr w:rsidR="008D3B4D" w:rsidRPr="008D3B4D" w:rsidSect="009102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pPr>
          <w:r>
            <w:rPr>
              <w:b/>
              <w:bCs/>
              <w:noProof/>
            </w:rPr>
            <w:fldChar w:fldCharType="end"/>
          </w:r>
        </w:p>
      </w:sdtContent>
    </w:sdt>
    <w:p w14:paraId="2A7C5796" w14:textId="2C487FCE" w:rsidR="00253309" w:rsidRPr="00C51AC2" w:rsidRDefault="12A085A2" w:rsidP="00C51AC2">
      <w:pPr>
        <w:pStyle w:val="Heading2"/>
      </w:pPr>
      <w:bookmarkStart w:id="0" w:name="_Toc114840531"/>
      <w:r w:rsidRPr="00C51AC2">
        <w:lastRenderedPageBreak/>
        <w:t>Introduction</w:t>
      </w:r>
      <w:bookmarkEnd w:id="0"/>
    </w:p>
    <w:p w14:paraId="7450FD31" w14:textId="5FD97EB4" w:rsidR="00253309" w:rsidRPr="00C9424F" w:rsidRDefault="17C9D7D8" w:rsidP="00DC01F9">
      <w:pPr>
        <w:pStyle w:val="BodyText"/>
        <w:ind w:left="0"/>
        <w:rPr>
          <w:rFonts w:ascii="Times New Roman" w:hAnsi="Times New Roman"/>
        </w:rPr>
      </w:pPr>
      <w:r w:rsidRPr="17C9D7D8">
        <w:rPr>
          <w:rFonts w:ascii="Times New Roman" w:hAnsi="Times New Roman"/>
        </w:rPr>
        <w:t xml:space="preserve">This document presents the program performance for the Ronald E. McNair Postbaccalaureate Achievement Program (McNair) in the 2020–21 reporting year for </w:t>
      </w:r>
      <w:r w:rsidRPr="00966C1A">
        <w:rPr>
          <w:rFonts w:ascii="Times New Roman" w:hAnsi="Times New Roman"/>
          <w:i/>
          <w:iCs/>
        </w:rPr>
        <w:t>Government Performance and Results Act</w:t>
      </w:r>
      <w:r w:rsidRPr="17C9D7D8">
        <w:rPr>
          <w:rFonts w:ascii="Times New Roman" w:hAnsi="Times New Roman"/>
        </w:rPr>
        <w:t xml:space="preserve"> (GPRA) reporting. McNair program performance is measured by two student achievement outcomes: graduate school enrollment within three years of bachelor’s degree completion and one-year graduate school persistence. These rates are calculated at the grantee- and program-levels.</w:t>
      </w:r>
    </w:p>
    <w:p w14:paraId="620E4652" w14:textId="64111FA9" w:rsidR="00253309" w:rsidRPr="00C9424F" w:rsidRDefault="0E1DE3CF" w:rsidP="00DC01F9">
      <w:pPr>
        <w:pStyle w:val="BodyText"/>
        <w:ind w:left="0"/>
        <w:rPr>
          <w:rFonts w:ascii="Times New Roman" w:hAnsi="Times New Roman"/>
        </w:rPr>
      </w:pPr>
      <w:r w:rsidRPr="0E1DE3CF">
        <w:rPr>
          <w:rFonts w:ascii="Times New Roman" w:hAnsi="Times New Roman"/>
        </w:rPr>
        <w:t xml:space="preserve">This document provides </w:t>
      </w:r>
      <w:r w:rsidR="001E30DD">
        <w:rPr>
          <w:rFonts w:ascii="Times New Roman" w:hAnsi="Times New Roman"/>
        </w:rPr>
        <w:t>a</w:t>
      </w:r>
      <w:r w:rsidRPr="0E1DE3CF">
        <w:rPr>
          <w:rFonts w:ascii="Times New Roman" w:hAnsi="Times New Roman"/>
        </w:rPr>
        <w:t xml:space="preserve"> description of the methodology and data used to calculate and analyze the three-year graduate school enrollment rates, the one-year graduate school persistence rates, and the research doctorate completion rates of McNair projects; and a summary of the preliminary findings. The accompanying Excel workbook contains grantee- and program-levels data describing graduate school enrollment (Table 1); graduate school persistence (Table 2); and program-level data describing research doctorate completion (Table 3). The analyses were based on the data provided by the grantees in their </w:t>
      </w:r>
      <w:r w:rsidR="001E30DD" w:rsidRPr="00966C1A">
        <w:rPr>
          <w:rFonts w:ascii="Times New Roman" w:hAnsi="Times New Roman"/>
          <w:i/>
          <w:iCs/>
        </w:rPr>
        <w:t>Annual Performance Reports</w:t>
      </w:r>
      <w:r w:rsidR="001E30DD">
        <w:rPr>
          <w:rFonts w:ascii="Times New Roman" w:hAnsi="Times New Roman"/>
        </w:rPr>
        <w:t xml:space="preserve"> (APRs)</w:t>
      </w:r>
      <w:r w:rsidRPr="0E1DE3CF">
        <w:rPr>
          <w:rFonts w:ascii="Times New Roman" w:hAnsi="Times New Roman"/>
        </w:rPr>
        <w:t xml:space="preserve"> for 2014–15 through 2020–21. Data should be interpreted with caution given considerations described in the section below on data constraints.</w:t>
      </w:r>
    </w:p>
    <w:p w14:paraId="58ACAC00" w14:textId="77777777" w:rsidR="00253309" w:rsidRPr="00DC01F9" w:rsidRDefault="12A085A2" w:rsidP="00C51AC2">
      <w:pPr>
        <w:pStyle w:val="Heading2"/>
      </w:pPr>
      <w:bookmarkStart w:id="1" w:name="_Toc114840532"/>
      <w:r w:rsidRPr="00DC01F9">
        <w:t>Program Performance</w:t>
      </w:r>
      <w:bookmarkEnd w:id="1"/>
    </w:p>
    <w:p w14:paraId="563D5993" w14:textId="193E895C" w:rsidR="00EB6E6B" w:rsidRPr="00DC01F9" w:rsidRDefault="12A085A2" w:rsidP="00C51AC2">
      <w:pPr>
        <w:pStyle w:val="Heading3"/>
      </w:pPr>
      <w:bookmarkStart w:id="2" w:name="_Toc114840533"/>
      <w:r w:rsidRPr="00DC01F9">
        <w:t>Program Targets</w:t>
      </w:r>
      <w:bookmarkEnd w:id="2"/>
    </w:p>
    <w:p w14:paraId="0AA23B6A" w14:textId="7FD60546" w:rsidR="00EB6E6B" w:rsidRPr="00DC01F9" w:rsidRDefault="7EE08BCB" w:rsidP="7EE08BCB">
      <w:pPr>
        <w:jc w:val="both"/>
        <w:rPr>
          <w:rFonts w:ascii="Times New Roman" w:hAnsi="Times New Roman" w:cs="Times New Roman"/>
          <w:sz w:val="24"/>
          <w:szCs w:val="24"/>
        </w:rPr>
      </w:pPr>
      <w:r w:rsidRPr="00DC01F9">
        <w:rPr>
          <w:rFonts w:ascii="Times New Roman" w:hAnsi="Times New Roman" w:cs="Times New Roman"/>
          <w:sz w:val="24"/>
          <w:szCs w:val="24"/>
        </w:rPr>
        <w:t xml:space="preserve">The </w:t>
      </w:r>
      <w:r w:rsidR="001E30DD">
        <w:rPr>
          <w:rFonts w:ascii="Times New Roman" w:hAnsi="Times New Roman" w:cs="Times New Roman"/>
          <w:sz w:val="24"/>
          <w:szCs w:val="24"/>
        </w:rPr>
        <w:t xml:space="preserve">U.S. </w:t>
      </w:r>
      <w:r w:rsidRPr="00DC01F9">
        <w:rPr>
          <w:rFonts w:ascii="Times New Roman" w:hAnsi="Times New Roman" w:cs="Times New Roman"/>
          <w:sz w:val="24"/>
          <w:szCs w:val="24"/>
        </w:rPr>
        <w:t>Department</w:t>
      </w:r>
      <w:r w:rsidR="001E30DD">
        <w:rPr>
          <w:rFonts w:ascii="Times New Roman" w:hAnsi="Times New Roman" w:cs="Times New Roman"/>
          <w:sz w:val="24"/>
          <w:szCs w:val="24"/>
        </w:rPr>
        <w:t xml:space="preserve"> of Education</w:t>
      </w:r>
      <w:r w:rsidRPr="00DC01F9">
        <w:rPr>
          <w:rFonts w:ascii="Times New Roman" w:hAnsi="Times New Roman" w:cs="Times New Roman"/>
          <w:sz w:val="24"/>
          <w:szCs w:val="24"/>
        </w:rPr>
        <w:t xml:space="preserve"> is committed to continually improving its management of programs and advancing the educational outcomes of participating students. Improvements are guided by monitoring and assessing performance; improving the data used for these assessments; collaborating with stakeholders; implementing recommendations; and reassessing performance. Providing data to the public is a key element in promoting improvement and collaborating with stakeholders.</w:t>
      </w:r>
    </w:p>
    <w:p w14:paraId="734F71A2" w14:textId="0E9026A1" w:rsidR="00253309" w:rsidRPr="00DC01F9" w:rsidRDefault="7EE08BCB" w:rsidP="7EE08BCB">
      <w:pPr>
        <w:jc w:val="both"/>
        <w:rPr>
          <w:rFonts w:ascii="Times New Roman" w:hAnsi="Times New Roman" w:cs="Times New Roman"/>
          <w:sz w:val="24"/>
          <w:szCs w:val="24"/>
        </w:rPr>
      </w:pPr>
      <w:r w:rsidRPr="00DC01F9">
        <w:rPr>
          <w:rFonts w:ascii="Times New Roman" w:hAnsi="Times New Roman" w:cs="Times New Roman"/>
          <w:sz w:val="24"/>
          <w:szCs w:val="24"/>
        </w:rPr>
        <w:t>The 2020–21 performance measures for the McNair program are measurable educational outcomes for the projects funded by the program. McNair has two specific targets for this reporting year:</w:t>
      </w:r>
    </w:p>
    <w:p w14:paraId="49C75ACC" w14:textId="35E03C30" w:rsidR="00253309" w:rsidRPr="00DC01F9" w:rsidRDefault="7EE08BCB" w:rsidP="7EE08BCB">
      <w:pPr>
        <w:numPr>
          <w:ilvl w:val="0"/>
          <w:numId w:val="30"/>
        </w:numPr>
        <w:ind w:left="360"/>
        <w:jc w:val="both"/>
        <w:rPr>
          <w:rFonts w:ascii="Times New Roman" w:hAnsi="Times New Roman" w:cs="Times New Roman"/>
          <w:sz w:val="24"/>
          <w:szCs w:val="24"/>
        </w:rPr>
      </w:pPr>
      <w:r w:rsidRPr="00DC01F9">
        <w:rPr>
          <w:rFonts w:ascii="Times New Roman" w:hAnsi="Times New Roman" w:cs="Times New Roman"/>
          <w:sz w:val="24"/>
          <w:szCs w:val="24"/>
        </w:rPr>
        <w:t>Three-year graduate school enrollment rate: 71.0 percent of participants who received their bachelor’s degree in 2017–18 enroll in graduate degree programs within three years; and</w:t>
      </w:r>
    </w:p>
    <w:p w14:paraId="7FF32331" w14:textId="540397B3" w:rsidR="00253309" w:rsidRPr="00DC01F9" w:rsidRDefault="7EE08BCB" w:rsidP="7EE08BCB">
      <w:pPr>
        <w:numPr>
          <w:ilvl w:val="0"/>
          <w:numId w:val="30"/>
        </w:numPr>
        <w:ind w:left="360"/>
        <w:jc w:val="both"/>
        <w:rPr>
          <w:rFonts w:ascii="Times New Roman" w:hAnsi="Times New Roman" w:cs="Times New Roman"/>
          <w:sz w:val="24"/>
          <w:szCs w:val="24"/>
        </w:rPr>
      </w:pPr>
      <w:r w:rsidRPr="00DC01F9">
        <w:rPr>
          <w:rFonts w:ascii="Times New Roman" w:hAnsi="Times New Roman" w:cs="Times New Roman"/>
          <w:sz w:val="24"/>
          <w:szCs w:val="24"/>
        </w:rPr>
        <w:t>One-year graduate school persistence rate: 85.0 percent of participants reported for the first time as graduate students in 2019–20 persist in their graduate studies into the 2020–21 academic year.</w:t>
      </w:r>
    </w:p>
    <w:p w14:paraId="2D99FBE6" w14:textId="29022309" w:rsidR="00253309" w:rsidRPr="00DC01F9" w:rsidRDefault="00253309" w:rsidP="7EE08BCB">
      <w:pPr>
        <w:jc w:val="both"/>
        <w:rPr>
          <w:rFonts w:ascii="Times New Roman" w:hAnsi="Times New Roman" w:cs="Times New Roman"/>
          <w:sz w:val="24"/>
          <w:szCs w:val="24"/>
        </w:rPr>
      </w:pPr>
      <w:r w:rsidRPr="00DC01F9">
        <w:rPr>
          <w:rFonts w:ascii="Times New Roman" w:hAnsi="Times New Roman" w:cs="Times New Roman"/>
          <w:sz w:val="24"/>
          <w:szCs w:val="24"/>
        </w:rPr>
        <w:t xml:space="preserve">In addition to these two performance targets, </w:t>
      </w:r>
      <w:r w:rsidR="005B45AB" w:rsidRPr="00DC01F9">
        <w:rPr>
          <w:rFonts w:ascii="Times New Roman" w:hAnsi="Times New Roman" w:cs="Times New Roman"/>
          <w:sz w:val="24"/>
          <w:szCs w:val="24"/>
        </w:rPr>
        <w:t>program-level</w:t>
      </w:r>
      <w:r w:rsidR="7EE08BCB" w:rsidRPr="00DC01F9">
        <w:rPr>
          <w:rFonts w:ascii="Times New Roman" w:hAnsi="Times New Roman" w:cs="Times New Roman"/>
          <w:sz w:val="24"/>
          <w:szCs w:val="24"/>
        </w:rPr>
        <w:t>,</w:t>
      </w:r>
      <w:r w:rsidRPr="00DC01F9">
        <w:rPr>
          <w:rFonts w:ascii="Times New Roman" w:hAnsi="Times New Roman" w:cs="Times New Roman"/>
          <w:sz w:val="24"/>
          <w:szCs w:val="24"/>
        </w:rPr>
        <w:t xml:space="preserve"> research doctorate completion rates were calculated for the 2002–03 through </w:t>
      </w:r>
      <w:r w:rsidR="005834AA" w:rsidRPr="00DC01F9">
        <w:rPr>
          <w:rFonts w:ascii="Times New Roman" w:hAnsi="Times New Roman" w:cs="Times New Roman"/>
          <w:sz w:val="24"/>
          <w:szCs w:val="24"/>
        </w:rPr>
        <w:t>2010–11</w:t>
      </w:r>
      <w:r w:rsidRPr="00DC01F9">
        <w:rPr>
          <w:rFonts w:ascii="Times New Roman" w:hAnsi="Times New Roman" w:cs="Times New Roman"/>
          <w:sz w:val="24"/>
          <w:szCs w:val="24"/>
        </w:rPr>
        <w:t xml:space="preserve"> bachelor’s degree cohorts.</w:t>
      </w:r>
      <w:r w:rsidRPr="00DC01F9">
        <w:rPr>
          <w:rStyle w:val="FootnoteReference"/>
          <w:rFonts w:ascii="Times New Roman" w:hAnsi="Times New Roman" w:cs="Times New Roman"/>
          <w:sz w:val="24"/>
          <w:szCs w:val="24"/>
        </w:rPr>
        <w:footnoteReference w:id="2"/>
      </w:r>
      <w:r w:rsidRPr="00DC01F9">
        <w:rPr>
          <w:rFonts w:ascii="Times New Roman" w:hAnsi="Times New Roman" w:cs="Times New Roman"/>
          <w:sz w:val="24"/>
          <w:szCs w:val="24"/>
        </w:rPr>
        <w:t xml:space="preserve"> McNair did not specify a target for the research doctorate completion rate.</w:t>
      </w:r>
    </w:p>
    <w:p w14:paraId="07616C04" w14:textId="77777777" w:rsidR="00253309" w:rsidRPr="00DC01F9" w:rsidRDefault="5DF344AD" w:rsidP="004C3F27">
      <w:pPr>
        <w:pStyle w:val="Heading3"/>
        <w:spacing w:before="0" w:after="0"/>
      </w:pPr>
      <w:bookmarkStart w:id="3" w:name="_Toc114840534"/>
      <w:r w:rsidRPr="00DC01F9">
        <w:lastRenderedPageBreak/>
        <w:t>Outcome Summary</w:t>
      </w:r>
      <w:bookmarkEnd w:id="3"/>
    </w:p>
    <w:p w14:paraId="3F79978A" w14:textId="31AAB35A" w:rsidR="00253309" w:rsidRPr="00C9424F" w:rsidRDefault="17C9D7D8" w:rsidP="00DC01F9">
      <w:pPr>
        <w:pStyle w:val="BodyText"/>
        <w:ind w:left="0"/>
        <w:rPr>
          <w:rFonts w:ascii="Times New Roman" w:hAnsi="Times New Roman"/>
        </w:rPr>
      </w:pPr>
      <w:r w:rsidRPr="17C9D7D8">
        <w:rPr>
          <w:rFonts w:ascii="Times New Roman" w:hAnsi="Times New Roman"/>
        </w:rPr>
        <w:t>The cumulative three-year graduate school enrollment rate was 64.1 percent, 6.9 percentage points lower than the McNair program’s target goal of 71.0 percent (Table 1). The overall graduate school persistence rate for participants who were first-year graduate students in 2019–20 (i.e., the percentage of this cohort who persisted in graduate school into 2020–21) was 85.7 percent, 0.7 percentage points higher than the McNair program’s 2020–21 target goal of 85.0 percent (Table 2). The overall 2020–21 research doctorate completion rate for the McNair participants who earned bachelor’s degrees in 2010–11 was 14.5 percent (Table 3).</w:t>
      </w:r>
    </w:p>
    <w:p w14:paraId="0DD1EFCB" w14:textId="2F20FC64" w:rsidR="00253309" w:rsidRPr="00DC01F9" w:rsidRDefault="00AF1AD3" w:rsidP="004C3F27">
      <w:pPr>
        <w:pStyle w:val="Heading4"/>
        <w:spacing w:before="0" w:after="40"/>
      </w:pPr>
      <w:bookmarkStart w:id="4" w:name="_Toc114840535"/>
      <w:r w:rsidRPr="00DC01F9">
        <w:t>Performance Measure Definitions</w:t>
      </w:r>
      <w:bookmarkEnd w:id="4"/>
    </w:p>
    <w:p w14:paraId="49E8E7F5" w14:textId="5CF37D1E" w:rsidR="00253309" w:rsidRPr="00DC77A2" w:rsidRDefault="6FD627D1" w:rsidP="00DC01F9">
      <w:pPr>
        <w:pStyle w:val="BodyText"/>
        <w:ind w:left="0"/>
        <w:rPr>
          <w:rFonts w:ascii="Times New Roman" w:hAnsi="Times New Roman"/>
        </w:rPr>
      </w:pPr>
      <w:r w:rsidRPr="6FD627D1">
        <w:rPr>
          <w:rFonts w:ascii="Times New Roman" w:hAnsi="Times New Roman"/>
        </w:rPr>
        <w:t xml:space="preserve">Because the McNair program prepares students who are traditionally underrepresented among doctoral degree recipients, a primary performance measure is the graduate school enrollment rate of program participants. The three-year graduate school enrollment rate is the percentage of McNair bachelor's degree recipients who enroll in graduate school anytime during the three academic years following attainment of their bachelor’s degree. Although this three-year span will not capture all program successes </w:t>
      </w:r>
      <w:r w:rsidR="00D97BEF">
        <w:rPr>
          <w:rFonts w:ascii="Times New Roman" w:hAnsi="Times New Roman"/>
        </w:rPr>
        <w:t>(</w:t>
      </w:r>
      <w:r w:rsidRPr="6FD627D1">
        <w:rPr>
          <w:rFonts w:ascii="Times New Roman" w:hAnsi="Times New Roman"/>
        </w:rPr>
        <w:t>as some participants enroll many years following college graduation</w:t>
      </w:r>
      <w:r w:rsidR="00D97BEF">
        <w:rPr>
          <w:rFonts w:ascii="Times New Roman" w:hAnsi="Times New Roman"/>
        </w:rPr>
        <w:t>)</w:t>
      </w:r>
      <w:r w:rsidRPr="6FD627D1">
        <w:rPr>
          <w:rFonts w:ascii="Times New Roman" w:hAnsi="Times New Roman"/>
        </w:rPr>
        <w:t>, the three-year time frame has been established for measuring and comparing program outcomes among currently funded McNair projects. Table 1 presents the three-year graduate school enrollment rate of the 2017–18 cohort of McNair participants, based on bachelor’s degree attainment.</w:t>
      </w:r>
    </w:p>
    <w:p w14:paraId="0717781A" w14:textId="61A783E3" w:rsidR="00253309" w:rsidRPr="00DC77A2" w:rsidRDefault="17C9D7D8" w:rsidP="004C3F27">
      <w:pPr>
        <w:pStyle w:val="BodyText"/>
        <w:spacing w:after="0"/>
        <w:ind w:left="0"/>
        <w:rPr>
          <w:rFonts w:ascii="Times New Roman" w:hAnsi="Times New Roman"/>
        </w:rPr>
      </w:pPr>
      <w:r w:rsidRPr="17C9D7D8">
        <w:rPr>
          <w:rFonts w:ascii="Times New Roman" w:hAnsi="Times New Roman"/>
        </w:rPr>
        <w:t>An additional performance measure for the McNair program is the one-year graduate school persistence rate, which is defined as the percentage of participants who were reported for the first time as enrolled in graduate school and who were still enrolled in the following academic year. In combination with graduate school enrollment, graduate school persistence may serve as evidence of successful undergraduate preparation for graduate education, as poorly prepared students are less likely to persist. For all currently funded McNair grantees, the graduate school persistence rate is the rate at which participants who were first reported as graduate students during academic year 2019–20 and were still enrolled in graduate school in the 2020–21 academic year (Table 2).</w:t>
      </w:r>
    </w:p>
    <w:p w14:paraId="2A67259C" w14:textId="611AE12F" w:rsidR="00253309" w:rsidRPr="00DC01F9" w:rsidRDefault="6FD627D1" w:rsidP="004C3F27">
      <w:pPr>
        <w:pStyle w:val="Heading4"/>
        <w:ind w:left="0" w:firstLine="0"/>
      </w:pPr>
      <w:bookmarkStart w:id="5" w:name="_Toc114840536"/>
      <w:r w:rsidRPr="00DC01F9">
        <w:t>Research Doctorate Completion Rate Definition</w:t>
      </w:r>
      <w:bookmarkEnd w:id="5"/>
    </w:p>
    <w:p w14:paraId="521A92EF" w14:textId="29299B09" w:rsidR="00253309" w:rsidRPr="00C47127" w:rsidRDefault="17C9D7D8" w:rsidP="00DC01F9">
      <w:pPr>
        <w:pStyle w:val="BodyText"/>
        <w:ind w:left="0"/>
        <w:rPr>
          <w:rFonts w:ascii="Times New Roman" w:eastAsia="SimSun" w:hAnsi="Times New Roman"/>
        </w:rPr>
      </w:pPr>
      <w:r w:rsidRPr="17C9D7D8">
        <w:rPr>
          <w:rFonts w:ascii="Times New Roman" w:eastAsia="SimSun" w:hAnsi="Times New Roman"/>
        </w:rPr>
        <w:t>The purpose of the McNair program is to prepare participants for research doctorate degrees, including Doctor of Philosophy, Doctor of Education, and other research-intensive doctorate degrees (e.g., Doctor of Engineering, Doctor of Science, Doctor of Nursing Science, Doctor of Public Health). Grantees track participants for 10 years following bachelor’s degree completion in order to report information on their highest degree earned, including completion of research doctorate degrees. However, this measure underreports true program successes, as it often requires more than 10 years after bachelor’s degree attainment to earn a doctorate degree. The research doctorate completion rate</w:t>
      </w:r>
      <w:r w:rsidRPr="17C9D7D8">
        <w:rPr>
          <w:rFonts w:ascii="Times New Roman" w:eastAsia="SimSun" w:hAnsi="Times New Roman"/>
          <w:i/>
          <w:iCs/>
        </w:rPr>
        <w:t xml:space="preserve"> </w:t>
      </w:r>
      <w:r w:rsidRPr="17C9D7D8">
        <w:rPr>
          <w:rFonts w:ascii="Times New Roman" w:hAnsi="Times New Roman"/>
        </w:rPr>
        <w:t xml:space="preserve">is defined as the percentage of participants who had earned research doctorate degrees within 10 years of earning bachelor’s degrees. Table 3 displays the </w:t>
      </w:r>
      <w:r w:rsidRPr="17C9D7D8">
        <w:rPr>
          <w:rFonts w:ascii="Times New Roman" w:hAnsi="Times New Roman"/>
        </w:rPr>
        <w:lastRenderedPageBreak/>
        <w:t>McNair program-level, research doctorate completion rates for the 2002–03 through 2010–11 bachelor’s degree cohorts.</w:t>
      </w:r>
    </w:p>
    <w:p w14:paraId="345D1885" w14:textId="77777777" w:rsidR="009B368A" w:rsidRPr="00DC01F9" w:rsidRDefault="5DF344AD" w:rsidP="00C51AC2">
      <w:pPr>
        <w:pStyle w:val="Heading2"/>
      </w:pPr>
      <w:bookmarkStart w:id="6" w:name="_Toc114840537"/>
      <w:r w:rsidRPr="00DC01F9">
        <w:t>Grantee-level Data</w:t>
      </w:r>
      <w:bookmarkEnd w:id="6"/>
      <w:r w:rsidRPr="00DC01F9">
        <w:t xml:space="preserve"> </w:t>
      </w:r>
    </w:p>
    <w:p w14:paraId="7282687A" w14:textId="073C063D" w:rsidR="009B368A" w:rsidRPr="00C47127" w:rsidRDefault="17C9D7D8" w:rsidP="00DC01F9">
      <w:pPr>
        <w:pStyle w:val="BodyText"/>
        <w:ind w:left="0"/>
        <w:rPr>
          <w:rFonts w:ascii="Times New Roman" w:hAnsi="Times New Roman"/>
        </w:rPr>
      </w:pPr>
      <w:r w:rsidRPr="17C9D7D8">
        <w:rPr>
          <w:rFonts w:ascii="Times New Roman" w:hAnsi="Times New Roman"/>
        </w:rPr>
        <w:t>The accompanying Excel workbook contains grantee-level data describing enrollment and persistence for all grantees included in these results and summarizes the rate of doctoral-degree completion.</w:t>
      </w:r>
    </w:p>
    <w:p w14:paraId="2744EB44" w14:textId="681BFAA9" w:rsidR="00F93E73" w:rsidRDefault="49ED7DD1" w:rsidP="00DC01F9">
      <w:pPr>
        <w:pStyle w:val="BodyText"/>
        <w:ind w:left="0"/>
        <w:rPr>
          <w:rFonts w:ascii="Times New Roman" w:hAnsi="Times New Roman"/>
        </w:rPr>
      </w:pPr>
      <w:r w:rsidRPr="49ED7DD1">
        <w:rPr>
          <w:rFonts w:ascii="Times New Roman" w:hAnsi="Times New Roman"/>
        </w:rPr>
        <w:t xml:space="preserve">The data in Table 1 (enrollment) and Table 2 (persistence) </w:t>
      </w:r>
      <w:r w:rsidR="0026005F">
        <w:rPr>
          <w:rFonts w:ascii="Times New Roman" w:hAnsi="Times New Roman"/>
        </w:rPr>
        <w:t xml:space="preserve">in the Excel workbook </w:t>
      </w:r>
      <w:r w:rsidRPr="49ED7DD1">
        <w:rPr>
          <w:rFonts w:ascii="Times New Roman" w:hAnsi="Times New Roman"/>
        </w:rPr>
        <w:t>are organized alphabetically by state and grantee name for all McNair grantees funded in 2020–21 (</w:t>
      </w:r>
      <w:r w:rsidR="00D97BEF">
        <w:rPr>
          <w:rFonts w:ascii="Times New Roman" w:hAnsi="Times New Roman"/>
        </w:rPr>
        <w:t xml:space="preserve">total </w:t>
      </w:r>
      <w:r w:rsidRPr="49ED7DD1">
        <w:rPr>
          <w:rFonts w:ascii="Times New Roman" w:hAnsi="Times New Roman"/>
        </w:rPr>
        <w:t xml:space="preserve">187 grantees). Table 1 contains a note column to identify those grantees that were first funded in 2017–18 (and therefore did not have any participants in the 2017–18 bachelor’s degree cohort); the number of </w:t>
      </w:r>
      <w:r w:rsidR="00D97BEF">
        <w:rPr>
          <w:rFonts w:ascii="Times New Roman" w:hAnsi="Times New Roman"/>
        </w:rPr>
        <w:t>bachelor’s degree</w:t>
      </w:r>
      <w:r w:rsidR="00D97BEF" w:rsidRPr="49ED7DD1">
        <w:rPr>
          <w:rFonts w:ascii="Times New Roman" w:hAnsi="Times New Roman"/>
        </w:rPr>
        <w:t xml:space="preserve"> </w:t>
      </w:r>
      <w:r w:rsidRPr="49ED7DD1">
        <w:rPr>
          <w:rFonts w:ascii="Times New Roman" w:hAnsi="Times New Roman"/>
        </w:rPr>
        <w:t xml:space="preserve">recipients in 2017–18 was fewer than four; and grantees that had relatively low (less than 35 percent) graduate school enrollment rates (see the summary in Exhibit 1 below). </w:t>
      </w:r>
    </w:p>
    <w:p w14:paraId="4E6BE9E4" w14:textId="5AEFF355" w:rsidR="0062376E" w:rsidRPr="0030775D" w:rsidRDefault="1989CCEB" w:rsidP="004C3F27">
      <w:pPr>
        <w:pStyle w:val="BodyText"/>
        <w:spacing w:before="0" w:after="0"/>
        <w:ind w:left="0"/>
        <w:jc w:val="both"/>
        <w:rPr>
          <w:rFonts w:ascii="Times New Roman" w:hAnsi="Times New Roman"/>
          <w:b/>
          <w:bCs/>
        </w:rPr>
      </w:pPr>
      <w:r w:rsidRPr="1989CCEB">
        <w:rPr>
          <w:rFonts w:ascii="Times New Roman" w:hAnsi="Times New Roman"/>
          <w:b/>
          <w:bCs/>
        </w:rPr>
        <w:t xml:space="preserve">Exhibit 1. </w:t>
      </w:r>
      <w:r w:rsidRPr="00DC01F9">
        <w:rPr>
          <w:rFonts w:ascii="Times New Roman" w:hAnsi="Times New Roman"/>
          <w:b/>
          <w:bCs/>
          <w:i/>
          <w:iCs/>
        </w:rPr>
        <w:t>Number of Grantees by the Content of Note in the Enrollment Table</w:t>
      </w:r>
    </w:p>
    <w:tbl>
      <w:tblPr>
        <w:tblStyle w:val="TableGrid"/>
        <w:tblW w:w="5000" w:type="pct"/>
        <w:tblLook w:val="04A0" w:firstRow="1" w:lastRow="0" w:firstColumn="1" w:lastColumn="0" w:noHBand="0" w:noVBand="1"/>
      </w:tblPr>
      <w:tblGrid>
        <w:gridCol w:w="6992"/>
        <w:gridCol w:w="2368"/>
      </w:tblGrid>
      <w:tr w:rsidR="0038111E" w:rsidRPr="0073403A" w14:paraId="7851D1EF" w14:textId="77777777" w:rsidTr="00DC01F9">
        <w:trPr>
          <w:cnfStyle w:val="100000000000" w:firstRow="1" w:lastRow="0" w:firstColumn="0" w:lastColumn="0" w:oddVBand="0" w:evenVBand="0" w:oddHBand="0" w:evenHBand="0" w:firstRowFirstColumn="0" w:firstRowLastColumn="0" w:lastRowFirstColumn="0" w:lastRowLastColumn="0"/>
          <w:trHeight w:hRule="exact" w:val="641"/>
        </w:trPr>
        <w:tc>
          <w:tcPr>
            <w:cnfStyle w:val="001000000100" w:firstRow="0" w:lastRow="0" w:firstColumn="1" w:lastColumn="0" w:oddVBand="0" w:evenVBand="0" w:oddHBand="0" w:evenHBand="0" w:firstRowFirstColumn="1" w:firstRowLastColumn="0" w:lastRowFirstColumn="0" w:lastRowLastColumn="0"/>
            <w:tcW w:w="3735" w:type="pct"/>
            <w:vAlign w:val="center"/>
          </w:tcPr>
          <w:p w14:paraId="1147B63C" w14:textId="25C9B31A" w:rsidR="0038111E" w:rsidRPr="00DC01F9" w:rsidRDefault="0038111E" w:rsidP="004C3F27">
            <w:pPr>
              <w:pStyle w:val="BodyText"/>
              <w:spacing w:before="0" w:after="0"/>
              <w:ind w:left="0"/>
              <w:jc w:val="both"/>
              <w:rPr>
                <w:rFonts w:ascii="Times New Roman" w:hAnsi="Times New Roman"/>
                <w:sz w:val="22"/>
                <w:szCs w:val="22"/>
              </w:rPr>
            </w:pPr>
            <w:r w:rsidRPr="00DC01F9">
              <w:rPr>
                <w:rFonts w:ascii="Times New Roman" w:hAnsi="Times New Roman"/>
                <w:sz w:val="22"/>
                <w:szCs w:val="22"/>
              </w:rPr>
              <w:t>Note</w:t>
            </w:r>
          </w:p>
        </w:tc>
        <w:tc>
          <w:tcPr>
            <w:tcW w:w="1265" w:type="pct"/>
            <w:vAlign w:val="center"/>
          </w:tcPr>
          <w:p w14:paraId="0726D8A4" w14:textId="4256FB17" w:rsidR="0038111E" w:rsidRPr="00DC01F9" w:rsidRDefault="7B72C543" w:rsidP="004C3F27">
            <w:pPr>
              <w:pStyle w:val="BodyText"/>
              <w:spacing w:before="0" w:after="0"/>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Number of Grantees</w:t>
            </w:r>
          </w:p>
        </w:tc>
      </w:tr>
      <w:tr w:rsidR="0038111E" w:rsidRPr="0073403A" w14:paraId="6CB799C9" w14:textId="77777777" w:rsidTr="00DC01F9">
        <w:trPr>
          <w:trHeight w:hRule="exact" w:val="641"/>
        </w:trPr>
        <w:tc>
          <w:tcPr>
            <w:cnfStyle w:val="001000000000" w:firstRow="0" w:lastRow="0" w:firstColumn="1" w:lastColumn="0" w:oddVBand="0" w:evenVBand="0" w:oddHBand="0" w:evenHBand="0" w:firstRowFirstColumn="0" w:firstRowLastColumn="0" w:lastRowFirstColumn="0" w:lastRowLastColumn="0"/>
            <w:tcW w:w="3735" w:type="pct"/>
            <w:vAlign w:val="center"/>
          </w:tcPr>
          <w:p w14:paraId="75EFAD2A" w14:textId="0F58E0BF" w:rsidR="0038111E" w:rsidRPr="00DC01F9" w:rsidRDefault="1421C903" w:rsidP="004C3F27">
            <w:pPr>
              <w:pStyle w:val="BodyText"/>
              <w:spacing w:before="0" w:after="0"/>
              <w:ind w:left="0"/>
              <w:jc w:val="both"/>
              <w:rPr>
                <w:rFonts w:ascii="Times New Roman" w:hAnsi="Times New Roman"/>
                <w:sz w:val="22"/>
                <w:szCs w:val="22"/>
              </w:rPr>
            </w:pPr>
            <w:r w:rsidRPr="00DC01F9">
              <w:rPr>
                <w:rFonts w:ascii="Times New Roman" w:hAnsi="Times New Roman"/>
                <w:sz w:val="22"/>
                <w:szCs w:val="22"/>
              </w:rPr>
              <w:t>First funded in 2017–18 and the number of BA recipients in 2017–18 was at least four</w:t>
            </w:r>
          </w:p>
        </w:tc>
        <w:tc>
          <w:tcPr>
            <w:tcW w:w="1265" w:type="pct"/>
            <w:vAlign w:val="center"/>
          </w:tcPr>
          <w:p w14:paraId="06D32178" w14:textId="63ED5599" w:rsidR="0038111E" w:rsidRPr="00DC01F9" w:rsidRDefault="1421C903" w:rsidP="004C3F27">
            <w:pPr>
              <w:pStyle w:val="BodyText"/>
              <w:spacing w:before="0" w:after="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5</w:t>
            </w:r>
          </w:p>
        </w:tc>
      </w:tr>
      <w:tr w:rsidR="0038111E" w:rsidRPr="0073403A" w14:paraId="7A50F637" w14:textId="77777777" w:rsidTr="00DC01F9">
        <w:trPr>
          <w:trHeight w:hRule="exact" w:val="641"/>
        </w:trPr>
        <w:tc>
          <w:tcPr>
            <w:cnfStyle w:val="001000000000" w:firstRow="0" w:lastRow="0" w:firstColumn="1" w:lastColumn="0" w:oddVBand="0" w:evenVBand="0" w:oddHBand="0" w:evenHBand="0" w:firstRowFirstColumn="0" w:firstRowLastColumn="0" w:lastRowFirstColumn="0" w:lastRowLastColumn="0"/>
            <w:tcW w:w="3735" w:type="pct"/>
            <w:vAlign w:val="center"/>
          </w:tcPr>
          <w:p w14:paraId="5A939FC4" w14:textId="7AAC1137" w:rsidR="0038111E" w:rsidRPr="00DC01F9" w:rsidRDefault="0038111E" w:rsidP="004C3F27">
            <w:pPr>
              <w:pStyle w:val="BodyText"/>
              <w:spacing w:before="0" w:after="0"/>
              <w:ind w:left="0"/>
              <w:jc w:val="both"/>
              <w:rPr>
                <w:rFonts w:ascii="Times New Roman" w:hAnsi="Times New Roman"/>
                <w:sz w:val="22"/>
                <w:szCs w:val="22"/>
              </w:rPr>
            </w:pPr>
            <w:r w:rsidRPr="00DC01F9">
              <w:rPr>
                <w:rFonts w:ascii="Times New Roman" w:hAnsi="Times New Roman"/>
                <w:sz w:val="22"/>
                <w:szCs w:val="22"/>
              </w:rPr>
              <w:t xml:space="preserve">First funded in </w:t>
            </w:r>
            <w:r w:rsidR="00B940BC" w:rsidRPr="00DC01F9">
              <w:rPr>
                <w:rFonts w:ascii="Times New Roman" w:hAnsi="Times New Roman"/>
                <w:sz w:val="22"/>
                <w:szCs w:val="22"/>
              </w:rPr>
              <w:t>2017–18</w:t>
            </w:r>
            <w:r w:rsidRPr="00DC01F9">
              <w:rPr>
                <w:rFonts w:ascii="Times New Roman" w:hAnsi="Times New Roman"/>
                <w:sz w:val="22"/>
                <w:szCs w:val="22"/>
              </w:rPr>
              <w:t xml:space="preserve"> and the number of BA recipients in </w:t>
            </w:r>
            <w:r w:rsidR="00B940BC" w:rsidRPr="00DC01F9">
              <w:rPr>
                <w:rFonts w:ascii="Times New Roman" w:hAnsi="Times New Roman"/>
                <w:sz w:val="22"/>
                <w:szCs w:val="22"/>
              </w:rPr>
              <w:t>2017–18</w:t>
            </w:r>
            <w:r w:rsidRPr="00DC01F9">
              <w:rPr>
                <w:rFonts w:ascii="Times New Roman" w:hAnsi="Times New Roman"/>
                <w:sz w:val="22"/>
                <w:szCs w:val="22"/>
              </w:rPr>
              <w:t xml:space="preserve"> was fewer than four</w:t>
            </w:r>
          </w:p>
        </w:tc>
        <w:tc>
          <w:tcPr>
            <w:tcW w:w="1265" w:type="pct"/>
            <w:vAlign w:val="center"/>
          </w:tcPr>
          <w:p w14:paraId="6C6503D5" w14:textId="22F9B503" w:rsidR="0038111E" w:rsidRPr="00DC01F9" w:rsidRDefault="003B61A7" w:rsidP="004C3F27">
            <w:pPr>
              <w:pStyle w:val="BodyText"/>
              <w:spacing w:before="0" w:after="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9</w:t>
            </w:r>
          </w:p>
        </w:tc>
      </w:tr>
      <w:tr w:rsidR="0038111E" w:rsidRPr="0073403A" w14:paraId="5CF5B2B4" w14:textId="77777777" w:rsidTr="00DC01F9">
        <w:trPr>
          <w:trHeight w:hRule="exact" w:val="641"/>
        </w:trPr>
        <w:tc>
          <w:tcPr>
            <w:cnfStyle w:val="001000000000" w:firstRow="0" w:lastRow="0" w:firstColumn="1" w:lastColumn="0" w:oddVBand="0" w:evenVBand="0" w:oddHBand="0" w:evenHBand="0" w:firstRowFirstColumn="0" w:firstRowLastColumn="0" w:lastRowFirstColumn="0" w:lastRowLastColumn="0"/>
            <w:tcW w:w="3735" w:type="pct"/>
            <w:vAlign w:val="center"/>
          </w:tcPr>
          <w:p w14:paraId="0F02954B" w14:textId="192D30BF" w:rsidR="0038111E" w:rsidRPr="00DC01F9" w:rsidRDefault="0038111E" w:rsidP="004C3F27">
            <w:pPr>
              <w:pStyle w:val="BodyText"/>
              <w:spacing w:before="0" w:after="0"/>
              <w:ind w:left="0"/>
              <w:jc w:val="both"/>
              <w:rPr>
                <w:rFonts w:ascii="Times New Roman" w:hAnsi="Times New Roman"/>
                <w:sz w:val="22"/>
                <w:szCs w:val="22"/>
              </w:rPr>
            </w:pPr>
            <w:r w:rsidRPr="00DC01F9">
              <w:rPr>
                <w:rFonts w:ascii="Times New Roman" w:hAnsi="Times New Roman"/>
                <w:sz w:val="22"/>
                <w:szCs w:val="22"/>
              </w:rPr>
              <w:t xml:space="preserve">First funded in </w:t>
            </w:r>
            <w:r w:rsidR="00B940BC" w:rsidRPr="00DC01F9">
              <w:rPr>
                <w:rFonts w:ascii="Times New Roman" w:hAnsi="Times New Roman"/>
                <w:sz w:val="22"/>
                <w:szCs w:val="22"/>
              </w:rPr>
              <w:t>2017–18</w:t>
            </w:r>
            <w:r w:rsidRPr="00DC01F9">
              <w:rPr>
                <w:rFonts w:ascii="Times New Roman" w:hAnsi="Times New Roman"/>
                <w:sz w:val="22"/>
                <w:szCs w:val="22"/>
              </w:rPr>
              <w:t xml:space="preserve"> and no BA recipients </w:t>
            </w:r>
            <w:r w:rsidR="00EE3E09" w:rsidRPr="00DC01F9">
              <w:rPr>
                <w:rFonts w:ascii="Times New Roman" w:hAnsi="Times New Roman"/>
                <w:sz w:val="22"/>
                <w:szCs w:val="22"/>
              </w:rPr>
              <w:t>reported</w:t>
            </w:r>
            <w:r w:rsidR="00EE3E09" w:rsidRPr="00DC01F9">
              <w:rPr>
                <w:rFonts w:ascii="Times New Roman" w:hAnsi="Times New Roman"/>
                <w:color w:val="FF0000"/>
                <w:sz w:val="22"/>
                <w:szCs w:val="22"/>
              </w:rPr>
              <w:t xml:space="preserve"> </w:t>
            </w:r>
            <w:r w:rsidRPr="00DC01F9">
              <w:rPr>
                <w:rFonts w:ascii="Times New Roman" w:hAnsi="Times New Roman"/>
                <w:sz w:val="22"/>
                <w:szCs w:val="22"/>
              </w:rPr>
              <w:t xml:space="preserve">in </w:t>
            </w:r>
            <w:r w:rsidR="00B940BC" w:rsidRPr="00DC01F9">
              <w:rPr>
                <w:rFonts w:ascii="Times New Roman" w:hAnsi="Times New Roman"/>
                <w:sz w:val="22"/>
                <w:szCs w:val="22"/>
              </w:rPr>
              <w:t>2017–18</w:t>
            </w:r>
          </w:p>
        </w:tc>
        <w:tc>
          <w:tcPr>
            <w:tcW w:w="1265" w:type="pct"/>
            <w:vAlign w:val="center"/>
          </w:tcPr>
          <w:p w14:paraId="712614B7" w14:textId="3FFB034D" w:rsidR="0038111E" w:rsidRPr="00DC01F9" w:rsidRDefault="003B61A7" w:rsidP="004C3F27">
            <w:pPr>
              <w:pStyle w:val="BodyText"/>
              <w:spacing w:before="0" w:after="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31</w:t>
            </w:r>
          </w:p>
        </w:tc>
      </w:tr>
      <w:tr w:rsidR="00B940BC" w:rsidRPr="0073403A" w14:paraId="697CE5FD" w14:textId="77777777" w:rsidTr="00DC01F9">
        <w:trPr>
          <w:trHeight w:hRule="exact" w:val="641"/>
        </w:trPr>
        <w:tc>
          <w:tcPr>
            <w:cnfStyle w:val="001000000000" w:firstRow="0" w:lastRow="0" w:firstColumn="1" w:lastColumn="0" w:oddVBand="0" w:evenVBand="0" w:oddHBand="0" w:evenHBand="0" w:firstRowFirstColumn="0" w:firstRowLastColumn="0" w:lastRowFirstColumn="0" w:lastRowLastColumn="0"/>
            <w:tcW w:w="3735" w:type="pct"/>
            <w:vAlign w:val="center"/>
          </w:tcPr>
          <w:p w14:paraId="13458998" w14:textId="218DB573" w:rsidR="00B940BC" w:rsidRPr="00DC01F9" w:rsidRDefault="00B940BC" w:rsidP="004C3F27">
            <w:pPr>
              <w:pStyle w:val="BodyText"/>
              <w:spacing w:before="0" w:after="0"/>
              <w:ind w:left="0"/>
              <w:jc w:val="both"/>
              <w:rPr>
                <w:rFonts w:ascii="Times New Roman" w:hAnsi="Times New Roman"/>
                <w:sz w:val="22"/>
                <w:szCs w:val="22"/>
              </w:rPr>
            </w:pPr>
            <w:r w:rsidRPr="00DC01F9">
              <w:rPr>
                <w:rFonts w:ascii="Times New Roman" w:hAnsi="Times New Roman"/>
                <w:sz w:val="22"/>
                <w:szCs w:val="22"/>
              </w:rPr>
              <w:t>Grantee was funded in 2016–17, 2018–19, 2019–20, and 2020–21, but was not funded in 2017–18</w:t>
            </w:r>
          </w:p>
        </w:tc>
        <w:tc>
          <w:tcPr>
            <w:tcW w:w="1265" w:type="pct"/>
            <w:vAlign w:val="center"/>
          </w:tcPr>
          <w:p w14:paraId="6DBC3CFF" w14:textId="5BD6CE17" w:rsidR="00B940BC" w:rsidRPr="00DC01F9" w:rsidRDefault="00B940BC" w:rsidP="004C3F27">
            <w:pPr>
              <w:pStyle w:val="BodyText"/>
              <w:spacing w:before="0" w:after="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1</w:t>
            </w:r>
          </w:p>
        </w:tc>
      </w:tr>
      <w:tr w:rsidR="0038111E" w:rsidRPr="0073403A" w14:paraId="22D8B047" w14:textId="77777777" w:rsidTr="00DC01F9">
        <w:trPr>
          <w:trHeight w:hRule="exact" w:val="641"/>
        </w:trPr>
        <w:tc>
          <w:tcPr>
            <w:cnfStyle w:val="001000000000" w:firstRow="0" w:lastRow="0" w:firstColumn="1" w:lastColumn="0" w:oddVBand="0" w:evenVBand="0" w:oddHBand="0" w:evenHBand="0" w:firstRowFirstColumn="0" w:firstRowLastColumn="0" w:lastRowFirstColumn="0" w:lastRowLastColumn="0"/>
            <w:tcW w:w="3735" w:type="pct"/>
            <w:vAlign w:val="center"/>
          </w:tcPr>
          <w:p w14:paraId="58D597E7" w14:textId="1DEB7AD2" w:rsidR="0038111E" w:rsidRPr="00DC01F9" w:rsidRDefault="7E80DE00" w:rsidP="004C3F27">
            <w:pPr>
              <w:pStyle w:val="BodyText"/>
              <w:spacing w:before="0" w:after="0"/>
              <w:ind w:left="0"/>
              <w:jc w:val="both"/>
              <w:rPr>
                <w:rFonts w:ascii="Times New Roman" w:hAnsi="Times New Roman"/>
                <w:sz w:val="22"/>
                <w:szCs w:val="22"/>
              </w:rPr>
            </w:pPr>
            <w:r w:rsidRPr="00DC01F9">
              <w:rPr>
                <w:rFonts w:ascii="Times New Roman" w:hAnsi="Times New Roman"/>
                <w:sz w:val="22"/>
                <w:szCs w:val="22"/>
              </w:rPr>
              <w:t>2020–21 enrollment rate was &lt; 35%</w:t>
            </w:r>
          </w:p>
        </w:tc>
        <w:tc>
          <w:tcPr>
            <w:tcW w:w="1265" w:type="pct"/>
            <w:vAlign w:val="center"/>
          </w:tcPr>
          <w:p w14:paraId="15316412" w14:textId="1BBA87C7" w:rsidR="0038111E" w:rsidRPr="00DC01F9" w:rsidRDefault="003B61A7" w:rsidP="004C3F27">
            <w:pPr>
              <w:pStyle w:val="BodyText"/>
              <w:spacing w:before="0" w:after="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3</w:t>
            </w:r>
          </w:p>
        </w:tc>
      </w:tr>
      <w:tr w:rsidR="0038111E" w:rsidRPr="0073403A" w14:paraId="2A474365" w14:textId="77777777" w:rsidTr="00DC01F9">
        <w:trPr>
          <w:trHeight w:hRule="exact" w:val="641"/>
        </w:trPr>
        <w:tc>
          <w:tcPr>
            <w:cnfStyle w:val="001000000000" w:firstRow="0" w:lastRow="0" w:firstColumn="1" w:lastColumn="0" w:oddVBand="0" w:evenVBand="0" w:oddHBand="0" w:evenHBand="0" w:firstRowFirstColumn="0" w:firstRowLastColumn="0" w:lastRowFirstColumn="0" w:lastRowLastColumn="0"/>
            <w:tcW w:w="3735" w:type="pct"/>
            <w:tcBorders>
              <w:bottom w:val="single" w:sz="4" w:space="0" w:color="auto"/>
            </w:tcBorders>
            <w:vAlign w:val="center"/>
          </w:tcPr>
          <w:p w14:paraId="6DEF4DEF" w14:textId="54419B5C" w:rsidR="0038111E" w:rsidRPr="00DC01F9" w:rsidRDefault="003B61A7" w:rsidP="004C3F27">
            <w:pPr>
              <w:pStyle w:val="BodyText"/>
              <w:spacing w:before="0" w:after="0"/>
              <w:ind w:left="0"/>
              <w:jc w:val="both"/>
              <w:rPr>
                <w:rFonts w:ascii="Times New Roman" w:hAnsi="Times New Roman"/>
                <w:sz w:val="22"/>
                <w:szCs w:val="22"/>
              </w:rPr>
            </w:pPr>
            <w:r w:rsidRPr="00DC01F9">
              <w:rPr>
                <w:rFonts w:ascii="Times New Roman" w:hAnsi="Times New Roman"/>
                <w:sz w:val="22"/>
                <w:szCs w:val="22"/>
              </w:rPr>
              <w:t>None</w:t>
            </w:r>
            <w:r w:rsidR="00582F96" w:rsidRPr="00DC01F9">
              <w:rPr>
                <w:rFonts w:ascii="Times New Roman" w:hAnsi="Times New Roman"/>
                <w:sz w:val="22"/>
                <w:szCs w:val="22"/>
              </w:rPr>
              <w:t xml:space="preserve"> of above</w:t>
            </w:r>
          </w:p>
        </w:tc>
        <w:tc>
          <w:tcPr>
            <w:tcW w:w="1265" w:type="pct"/>
            <w:tcBorders>
              <w:bottom w:val="single" w:sz="4" w:space="0" w:color="auto"/>
            </w:tcBorders>
            <w:vAlign w:val="center"/>
          </w:tcPr>
          <w:p w14:paraId="108DC83B" w14:textId="2F756F04" w:rsidR="0038111E" w:rsidRPr="00DC01F9" w:rsidRDefault="003B61A7" w:rsidP="004C3F27">
            <w:pPr>
              <w:pStyle w:val="BodyText"/>
              <w:spacing w:before="0" w:after="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13</w:t>
            </w:r>
            <w:r w:rsidR="00B940BC" w:rsidRPr="00DC01F9">
              <w:rPr>
                <w:rFonts w:ascii="Times New Roman" w:hAnsi="Times New Roman"/>
                <w:sz w:val="22"/>
                <w:szCs w:val="22"/>
              </w:rPr>
              <w:t>8</w:t>
            </w:r>
          </w:p>
        </w:tc>
      </w:tr>
      <w:tr w:rsidR="003B61A7" w:rsidRPr="0073403A" w14:paraId="15A9A3A2" w14:textId="77777777" w:rsidTr="00DC01F9">
        <w:trPr>
          <w:trHeight w:hRule="exact" w:val="641"/>
        </w:trPr>
        <w:tc>
          <w:tcPr>
            <w:cnfStyle w:val="001000000000" w:firstRow="0" w:lastRow="0" w:firstColumn="1" w:lastColumn="0" w:oddVBand="0" w:evenVBand="0" w:oddHBand="0" w:evenHBand="0" w:firstRowFirstColumn="0" w:firstRowLastColumn="0" w:lastRowFirstColumn="0" w:lastRowLastColumn="0"/>
            <w:tcW w:w="3735" w:type="pct"/>
            <w:tcBorders>
              <w:top w:val="single" w:sz="4" w:space="0" w:color="auto"/>
              <w:bottom w:val="single" w:sz="24" w:space="0" w:color="auto"/>
            </w:tcBorders>
            <w:vAlign w:val="center"/>
          </w:tcPr>
          <w:p w14:paraId="0E2E4B2C" w14:textId="5DCFAE21" w:rsidR="003B61A7" w:rsidRPr="00DC01F9" w:rsidRDefault="003B61A7" w:rsidP="004C3F27">
            <w:pPr>
              <w:pStyle w:val="BodyText"/>
              <w:spacing w:before="0" w:after="0"/>
              <w:ind w:left="0"/>
              <w:jc w:val="both"/>
              <w:rPr>
                <w:rFonts w:ascii="Times New Roman" w:hAnsi="Times New Roman"/>
                <w:sz w:val="22"/>
                <w:szCs w:val="22"/>
              </w:rPr>
            </w:pPr>
            <w:r w:rsidRPr="00DC01F9">
              <w:rPr>
                <w:rFonts w:ascii="Times New Roman" w:hAnsi="Times New Roman"/>
                <w:sz w:val="22"/>
                <w:szCs w:val="22"/>
              </w:rPr>
              <w:t>Total</w:t>
            </w:r>
          </w:p>
        </w:tc>
        <w:tc>
          <w:tcPr>
            <w:tcW w:w="1265" w:type="pct"/>
            <w:tcBorders>
              <w:top w:val="single" w:sz="4" w:space="0" w:color="auto"/>
              <w:bottom w:val="single" w:sz="24" w:space="0" w:color="auto"/>
            </w:tcBorders>
            <w:vAlign w:val="center"/>
          </w:tcPr>
          <w:p w14:paraId="21069C5F" w14:textId="5FE61FA3" w:rsidR="003B61A7" w:rsidRPr="00DC01F9" w:rsidRDefault="003B61A7" w:rsidP="004C3F27">
            <w:pPr>
              <w:pStyle w:val="BodyText"/>
              <w:spacing w:before="0" w:after="0"/>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187</w:t>
            </w:r>
          </w:p>
        </w:tc>
      </w:tr>
    </w:tbl>
    <w:p w14:paraId="334000BA" w14:textId="459F58F1" w:rsidR="00CA5479" w:rsidRDefault="17C9D7D8" w:rsidP="00DC01F9">
      <w:pPr>
        <w:pStyle w:val="BodyText"/>
        <w:ind w:left="0"/>
        <w:rPr>
          <w:rFonts w:ascii="Times New Roman" w:hAnsi="Times New Roman"/>
        </w:rPr>
      </w:pPr>
      <w:r w:rsidRPr="17C9D7D8">
        <w:rPr>
          <w:rFonts w:ascii="Times New Roman" w:hAnsi="Times New Roman"/>
        </w:rPr>
        <w:t xml:space="preserve">Table 2 </w:t>
      </w:r>
      <w:r w:rsidR="0026005F">
        <w:rPr>
          <w:rFonts w:ascii="Times New Roman" w:hAnsi="Times New Roman"/>
        </w:rPr>
        <w:t xml:space="preserve">in the Excel workbook </w:t>
      </w:r>
      <w:r w:rsidRPr="17C9D7D8">
        <w:rPr>
          <w:rFonts w:ascii="Times New Roman" w:hAnsi="Times New Roman"/>
        </w:rPr>
        <w:t xml:space="preserve">also contains a note column to identify those grantees that were first funded in 2017–18, </w:t>
      </w:r>
      <w:r w:rsidR="0026005F">
        <w:rPr>
          <w:rFonts w:ascii="Times New Roman" w:hAnsi="Times New Roman"/>
        </w:rPr>
        <w:t xml:space="preserve">those that </w:t>
      </w:r>
      <w:r w:rsidRPr="17C9D7D8">
        <w:rPr>
          <w:rFonts w:ascii="Times New Roman" w:hAnsi="Times New Roman"/>
        </w:rPr>
        <w:t xml:space="preserve">did not have first-time reported graduate students in 2019–20, and </w:t>
      </w:r>
      <w:r w:rsidR="0026005F">
        <w:rPr>
          <w:rFonts w:ascii="Times New Roman" w:hAnsi="Times New Roman"/>
        </w:rPr>
        <w:t xml:space="preserve">those that </w:t>
      </w:r>
      <w:r w:rsidRPr="17C9D7D8">
        <w:rPr>
          <w:rFonts w:ascii="Times New Roman" w:hAnsi="Times New Roman"/>
        </w:rPr>
        <w:t xml:space="preserve">had relatively small cohorts of first-time reported graduate students in 2019–20 (see the summary in Exhibit 2 below). </w:t>
      </w:r>
    </w:p>
    <w:p w14:paraId="3CD2ACFB" w14:textId="77777777" w:rsidR="00084A14" w:rsidRDefault="00084A14">
      <w:pPr>
        <w:rPr>
          <w:rFonts w:ascii="Times New Roman" w:eastAsia="Times New Roman" w:hAnsi="Times New Roman" w:cs="Times New Roman"/>
          <w:b/>
          <w:bCs/>
          <w:sz w:val="24"/>
          <w:szCs w:val="24"/>
          <w:lang w:eastAsia="en-US"/>
        </w:rPr>
      </w:pPr>
      <w:r>
        <w:rPr>
          <w:rFonts w:ascii="Times New Roman" w:hAnsi="Times New Roman"/>
          <w:b/>
          <w:bCs/>
        </w:rPr>
        <w:br w:type="page"/>
      </w:r>
    </w:p>
    <w:p w14:paraId="2954E49D" w14:textId="620033DE" w:rsidR="002A1106" w:rsidRPr="00DC01F9" w:rsidRDefault="1989CCEB" w:rsidP="1989CCEB">
      <w:pPr>
        <w:pStyle w:val="BodyText"/>
        <w:ind w:left="0"/>
        <w:jc w:val="both"/>
        <w:rPr>
          <w:rFonts w:ascii="Times New Roman" w:hAnsi="Times New Roman"/>
          <w:b/>
          <w:bCs/>
          <w:i/>
          <w:iCs/>
        </w:rPr>
      </w:pPr>
      <w:r w:rsidRPr="1989CCEB">
        <w:rPr>
          <w:rFonts w:ascii="Times New Roman" w:hAnsi="Times New Roman"/>
          <w:b/>
          <w:bCs/>
        </w:rPr>
        <w:lastRenderedPageBreak/>
        <w:t xml:space="preserve">Exhibit 2. </w:t>
      </w:r>
      <w:r w:rsidRPr="00DC01F9">
        <w:rPr>
          <w:rFonts w:ascii="Times New Roman" w:hAnsi="Times New Roman"/>
          <w:b/>
          <w:bCs/>
          <w:i/>
          <w:iCs/>
        </w:rPr>
        <w:t>Number of Grantees by the Content of Note in the Persistence Table</w:t>
      </w:r>
    </w:p>
    <w:tbl>
      <w:tblPr>
        <w:tblStyle w:val="TableGrid"/>
        <w:tblW w:w="9302" w:type="dxa"/>
        <w:tblLook w:val="04A0" w:firstRow="1" w:lastRow="0" w:firstColumn="1" w:lastColumn="0" w:noHBand="0" w:noVBand="1"/>
      </w:tblPr>
      <w:tblGrid>
        <w:gridCol w:w="6949"/>
        <w:gridCol w:w="2353"/>
      </w:tblGrid>
      <w:tr w:rsidR="00CA5479" w:rsidRPr="0073403A" w14:paraId="77D7714C" w14:textId="77777777" w:rsidTr="00DC01F9">
        <w:trPr>
          <w:cnfStyle w:val="100000000000" w:firstRow="1" w:lastRow="0" w:firstColumn="0" w:lastColumn="0" w:oddVBand="0" w:evenVBand="0" w:oddHBand="0" w:evenHBand="0" w:firstRowFirstColumn="0" w:firstRowLastColumn="0" w:lastRowFirstColumn="0" w:lastRowLastColumn="0"/>
          <w:trHeight w:hRule="exact" w:val="648"/>
        </w:trPr>
        <w:tc>
          <w:tcPr>
            <w:cnfStyle w:val="001000000100" w:firstRow="0" w:lastRow="0" w:firstColumn="1" w:lastColumn="0" w:oddVBand="0" w:evenVBand="0" w:oddHBand="0" w:evenHBand="0" w:firstRowFirstColumn="1" w:firstRowLastColumn="0" w:lastRowFirstColumn="0" w:lastRowLastColumn="0"/>
            <w:tcW w:w="6949" w:type="dxa"/>
          </w:tcPr>
          <w:p w14:paraId="144B50DB" w14:textId="77777777" w:rsidR="00CA5479" w:rsidRPr="00DC01F9" w:rsidRDefault="00CA5479" w:rsidP="00146CA0">
            <w:pPr>
              <w:pStyle w:val="BodyText"/>
              <w:ind w:left="0"/>
              <w:jc w:val="both"/>
              <w:rPr>
                <w:rFonts w:ascii="Times New Roman" w:hAnsi="Times New Roman"/>
                <w:sz w:val="22"/>
                <w:szCs w:val="22"/>
              </w:rPr>
            </w:pPr>
            <w:r w:rsidRPr="00DC01F9">
              <w:rPr>
                <w:rFonts w:ascii="Times New Roman" w:hAnsi="Times New Roman"/>
                <w:sz w:val="22"/>
                <w:szCs w:val="22"/>
              </w:rPr>
              <w:t>Note</w:t>
            </w:r>
          </w:p>
        </w:tc>
        <w:tc>
          <w:tcPr>
            <w:tcW w:w="0" w:type="auto"/>
          </w:tcPr>
          <w:p w14:paraId="2869A479" w14:textId="5D7CEF5B" w:rsidR="00CA5479" w:rsidRPr="00DC01F9" w:rsidRDefault="7B72C543" w:rsidP="00146CA0">
            <w:pPr>
              <w:pStyle w:val="BodyText"/>
              <w:ind w:left="0"/>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Number of Grantees</w:t>
            </w:r>
          </w:p>
        </w:tc>
      </w:tr>
      <w:tr w:rsidR="00CA5479" w:rsidRPr="0073403A" w14:paraId="6C8DC7ED" w14:textId="77777777" w:rsidTr="00DC01F9">
        <w:trPr>
          <w:trHeight w:hRule="exact" w:val="648"/>
        </w:trPr>
        <w:tc>
          <w:tcPr>
            <w:cnfStyle w:val="001000000000" w:firstRow="0" w:lastRow="0" w:firstColumn="1" w:lastColumn="0" w:oddVBand="0" w:evenVBand="0" w:oddHBand="0" w:evenHBand="0" w:firstRowFirstColumn="0" w:firstRowLastColumn="0" w:lastRowFirstColumn="0" w:lastRowLastColumn="0"/>
            <w:tcW w:w="6949" w:type="dxa"/>
          </w:tcPr>
          <w:p w14:paraId="1F226B6B" w14:textId="27E3D384" w:rsidR="00CA5479" w:rsidRPr="00DC01F9" w:rsidRDefault="1421C903" w:rsidP="00146CA0">
            <w:pPr>
              <w:pStyle w:val="BodyText"/>
              <w:ind w:left="0"/>
              <w:jc w:val="both"/>
              <w:rPr>
                <w:rFonts w:ascii="Times New Roman" w:hAnsi="Times New Roman"/>
                <w:sz w:val="22"/>
                <w:szCs w:val="22"/>
              </w:rPr>
            </w:pPr>
            <w:r w:rsidRPr="00DC01F9">
              <w:rPr>
                <w:rFonts w:ascii="Times New Roman" w:hAnsi="Times New Roman"/>
                <w:sz w:val="22"/>
                <w:szCs w:val="22"/>
              </w:rPr>
              <w:t>First funded in 2017–18 and the number of participants reported for the first time as graduate students in 2019–20 was at least four</w:t>
            </w:r>
          </w:p>
        </w:tc>
        <w:tc>
          <w:tcPr>
            <w:tcW w:w="0" w:type="auto"/>
          </w:tcPr>
          <w:p w14:paraId="067FB6A0" w14:textId="6C47683F" w:rsidR="00CA5479" w:rsidRPr="00DC01F9" w:rsidRDefault="1421C903" w:rsidP="00146CA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31</w:t>
            </w:r>
          </w:p>
        </w:tc>
      </w:tr>
      <w:tr w:rsidR="00CA5479" w:rsidRPr="0073403A" w14:paraId="22580B8C" w14:textId="77777777" w:rsidTr="00DC01F9">
        <w:trPr>
          <w:trHeight w:hRule="exact" w:val="648"/>
        </w:trPr>
        <w:tc>
          <w:tcPr>
            <w:cnfStyle w:val="001000000000" w:firstRow="0" w:lastRow="0" w:firstColumn="1" w:lastColumn="0" w:oddVBand="0" w:evenVBand="0" w:oddHBand="0" w:evenHBand="0" w:firstRowFirstColumn="0" w:firstRowLastColumn="0" w:lastRowFirstColumn="0" w:lastRowLastColumn="0"/>
            <w:tcW w:w="6949" w:type="dxa"/>
          </w:tcPr>
          <w:p w14:paraId="163BCAF5" w14:textId="1E102DC7" w:rsidR="00CA5479" w:rsidRPr="00DC01F9" w:rsidRDefault="1421C903" w:rsidP="00146CA0">
            <w:pPr>
              <w:pStyle w:val="BodyText"/>
              <w:ind w:left="0"/>
              <w:jc w:val="both"/>
              <w:rPr>
                <w:rFonts w:ascii="Times New Roman" w:hAnsi="Times New Roman"/>
                <w:sz w:val="22"/>
                <w:szCs w:val="22"/>
              </w:rPr>
            </w:pPr>
            <w:r w:rsidRPr="00DC01F9">
              <w:rPr>
                <w:rFonts w:ascii="Times New Roman" w:hAnsi="Times New Roman"/>
                <w:sz w:val="22"/>
                <w:szCs w:val="22"/>
              </w:rPr>
              <w:t>First funded in 2017–18 and the number of participants reported for the first time as graduate students in 2019–20 was fewer than four</w:t>
            </w:r>
          </w:p>
        </w:tc>
        <w:tc>
          <w:tcPr>
            <w:tcW w:w="0" w:type="auto"/>
          </w:tcPr>
          <w:p w14:paraId="0EE5D639" w14:textId="4AF6158E" w:rsidR="00CA5479" w:rsidRPr="00DC01F9" w:rsidRDefault="002A7B9B" w:rsidP="00146CA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11</w:t>
            </w:r>
          </w:p>
        </w:tc>
      </w:tr>
      <w:tr w:rsidR="00CA5479" w:rsidRPr="0073403A" w14:paraId="71C31A15" w14:textId="77777777" w:rsidTr="00DC01F9">
        <w:trPr>
          <w:trHeight w:hRule="exact" w:val="648"/>
        </w:trPr>
        <w:tc>
          <w:tcPr>
            <w:cnfStyle w:val="001000000000" w:firstRow="0" w:lastRow="0" w:firstColumn="1" w:lastColumn="0" w:oddVBand="0" w:evenVBand="0" w:oddHBand="0" w:evenHBand="0" w:firstRowFirstColumn="0" w:firstRowLastColumn="0" w:lastRowFirstColumn="0" w:lastRowLastColumn="0"/>
            <w:tcW w:w="6949" w:type="dxa"/>
          </w:tcPr>
          <w:p w14:paraId="26BFAE3C" w14:textId="2E1B9B1A" w:rsidR="00CA5479" w:rsidRPr="00DC01F9" w:rsidRDefault="002A7B9B" w:rsidP="00146CA0">
            <w:pPr>
              <w:pStyle w:val="BodyText"/>
              <w:ind w:left="0"/>
              <w:jc w:val="both"/>
              <w:rPr>
                <w:rFonts w:ascii="Times New Roman" w:hAnsi="Times New Roman"/>
                <w:sz w:val="22"/>
                <w:szCs w:val="22"/>
              </w:rPr>
            </w:pPr>
            <w:r w:rsidRPr="00DC01F9">
              <w:rPr>
                <w:rFonts w:ascii="Times New Roman" w:hAnsi="Times New Roman"/>
                <w:sz w:val="22"/>
                <w:szCs w:val="22"/>
              </w:rPr>
              <w:t xml:space="preserve">First funded in 2017–18 and no participants reported for the first time as graduate students in </w:t>
            </w:r>
            <w:r w:rsidR="00B940BC" w:rsidRPr="00DC01F9">
              <w:rPr>
                <w:rFonts w:ascii="Times New Roman" w:hAnsi="Times New Roman"/>
                <w:sz w:val="22"/>
                <w:szCs w:val="22"/>
              </w:rPr>
              <w:t>2019–20</w:t>
            </w:r>
          </w:p>
        </w:tc>
        <w:tc>
          <w:tcPr>
            <w:tcW w:w="0" w:type="auto"/>
          </w:tcPr>
          <w:p w14:paraId="228C0C5D" w14:textId="5DA5C4AC" w:rsidR="00CA5479" w:rsidRPr="00DC01F9" w:rsidRDefault="00CA5479" w:rsidP="00146CA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3</w:t>
            </w:r>
          </w:p>
        </w:tc>
      </w:tr>
      <w:tr w:rsidR="00B940BC" w:rsidRPr="0073403A" w14:paraId="15B17309" w14:textId="77777777" w:rsidTr="00DC01F9">
        <w:trPr>
          <w:trHeight w:hRule="exact" w:val="648"/>
        </w:trPr>
        <w:tc>
          <w:tcPr>
            <w:cnfStyle w:val="001000000000" w:firstRow="0" w:lastRow="0" w:firstColumn="1" w:lastColumn="0" w:oddVBand="0" w:evenVBand="0" w:oddHBand="0" w:evenHBand="0" w:firstRowFirstColumn="0" w:firstRowLastColumn="0" w:lastRowFirstColumn="0" w:lastRowLastColumn="0"/>
            <w:tcW w:w="6949" w:type="dxa"/>
          </w:tcPr>
          <w:p w14:paraId="5A6BCD79" w14:textId="77777777" w:rsidR="00B940BC" w:rsidRPr="00DC01F9" w:rsidRDefault="00B940BC" w:rsidP="00146CA0">
            <w:pPr>
              <w:pStyle w:val="BodyText"/>
              <w:ind w:left="0"/>
              <w:jc w:val="both"/>
              <w:rPr>
                <w:rFonts w:ascii="Times New Roman" w:hAnsi="Times New Roman"/>
                <w:sz w:val="22"/>
                <w:szCs w:val="22"/>
              </w:rPr>
            </w:pPr>
            <w:r w:rsidRPr="00DC01F9">
              <w:rPr>
                <w:rFonts w:ascii="Times New Roman" w:hAnsi="Times New Roman"/>
                <w:sz w:val="22"/>
                <w:szCs w:val="22"/>
              </w:rPr>
              <w:t>Grantee was funded in 2016–17, 2018–19, 2019–20, and 2020–21, but was not funded in 2017–18</w:t>
            </w:r>
          </w:p>
        </w:tc>
        <w:tc>
          <w:tcPr>
            <w:tcW w:w="0" w:type="auto"/>
          </w:tcPr>
          <w:p w14:paraId="74B66E46" w14:textId="77777777" w:rsidR="00B940BC" w:rsidRPr="00DC01F9" w:rsidRDefault="00B940BC" w:rsidP="00146CA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1</w:t>
            </w:r>
          </w:p>
        </w:tc>
      </w:tr>
      <w:tr w:rsidR="00CA5479" w:rsidRPr="0073403A" w14:paraId="0B59B881" w14:textId="77777777" w:rsidTr="00DC01F9">
        <w:trPr>
          <w:trHeight w:hRule="exact" w:val="648"/>
        </w:trPr>
        <w:tc>
          <w:tcPr>
            <w:cnfStyle w:val="001000000000" w:firstRow="0" w:lastRow="0" w:firstColumn="1" w:lastColumn="0" w:oddVBand="0" w:evenVBand="0" w:oddHBand="0" w:evenHBand="0" w:firstRowFirstColumn="0" w:firstRowLastColumn="0" w:lastRowFirstColumn="0" w:lastRowLastColumn="0"/>
            <w:tcW w:w="6949" w:type="dxa"/>
          </w:tcPr>
          <w:p w14:paraId="64CC90B6" w14:textId="699D0AF1" w:rsidR="00CA5479" w:rsidRPr="00DC01F9" w:rsidRDefault="1421C903" w:rsidP="00146CA0">
            <w:pPr>
              <w:pStyle w:val="BodyText"/>
              <w:ind w:left="0"/>
              <w:jc w:val="both"/>
              <w:rPr>
                <w:rFonts w:ascii="Times New Roman" w:hAnsi="Times New Roman"/>
                <w:sz w:val="22"/>
                <w:szCs w:val="22"/>
              </w:rPr>
            </w:pPr>
            <w:r w:rsidRPr="00DC01F9">
              <w:rPr>
                <w:rFonts w:ascii="Times New Roman" w:hAnsi="Times New Roman"/>
                <w:sz w:val="22"/>
                <w:szCs w:val="22"/>
              </w:rPr>
              <w:t>The number of participants reported for the first time as graduate students in 2019–20 was fewer than four</w:t>
            </w:r>
          </w:p>
        </w:tc>
        <w:tc>
          <w:tcPr>
            <w:tcW w:w="0" w:type="auto"/>
          </w:tcPr>
          <w:p w14:paraId="16D88457" w14:textId="5A18162D" w:rsidR="00CA5479" w:rsidRPr="00DC01F9" w:rsidRDefault="002A7B9B" w:rsidP="00146CA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5</w:t>
            </w:r>
          </w:p>
        </w:tc>
      </w:tr>
      <w:tr w:rsidR="00CA5479" w:rsidRPr="0073403A" w14:paraId="58181D15" w14:textId="77777777" w:rsidTr="00DC01F9">
        <w:trPr>
          <w:trHeight w:hRule="exact" w:val="648"/>
        </w:trPr>
        <w:tc>
          <w:tcPr>
            <w:cnfStyle w:val="001000000000" w:firstRow="0" w:lastRow="0" w:firstColumn="1" w:lastColumn="0" w:oddVBand="0" w:evenVBand="0" w:oddHBand="0" w:evenHBand="0" w:firstRowFirstColumn="0" w:firstRowLastColumn="0" w:lastRowFirstColumn="0" w:lastRowLastColumn="0"/>
            <w:tcW w:w="6949" w:type="dxa"/>
            <w:tcBorders>
              <w:bottom w:val="single" w:sz="4" w:space="0" w:color="auto"/>
            </w:tcBorders>
          </w:tcPr>
          <w:p w14:paraId="0C07D780" w14:textId="58387509" w:rsidR="00CA5479" w:rsidRPr="00DC01F9" w:rsidRDefault="00CA5479" w:rsidP="00146CA0">
            <w:pPr>
              <w:pStyle w:val="BodyText"/>
              <w:ind w:left="0"/>
              <w:jc w:val="both"/>
              <w:rPr>
                <w:rFonts w:ascii="Times New Roman" w:hAnsi="Times New Roman"/>
                <w:sz w:val="22"/>
                <w:szCs w:val="22"/>
              </w:rPr>
            </w:pPr>
            <w:r w:rsidRPr="00DC01F9">
              <w:rPr>
                <w:rFonts w:ascii="Times New Roman" w:hAnsi="Times New Roman"/>
                <w:sz w:val="22"/>
                <w:szCs w:val="22"/>
              </w:rPr>
              <w:t>None</w:t>
            </w:r>
            <w:r w:rsidR="00582F96" w:rsidRPr="00DC01F9">
              <w:rPr>
                <w:rFonts w:ascii="Times New Roman" w:hAnsi="Times New Roman"/>
                <w:sz w:val="22"/>
                <w:szCs w:val="22"/>
              </w:rPr>
              <w:t xml:space="preserve"> of above</w:t>
            </w:r>
          </w:p>
        </w:tc>
        <w:tc>
          <w:tcPr>
            <w:tcW w:w="0" w:type="auto"/>
            <w:tcBorders>
              <w:bottom w:val="single" w:sz="4" w:space="0" w:color="auto"/>
            </w:tcBorders>
          </w:tcPr>
          <w:p w14:paraId="23E30A8A" w14:textId="34F79FA3" w:rsidR="00CA5479" w:rsidRPr="00DC01F9" w:rsidRDefault="00CA5479" w:rsidP="00146CA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13</w:t>
            </w:r>
            <w:r w:rsidR="00B940BC" w:rsidRPr="00DC01F9">
              <w:rPr>
                <w:rFonts w:ascii="Times New Roman" w:hAnsi="Times New Roman"/>
                <w:sz w:val="22"/>
                <w:szCs w:val="22"/>
              </w:rPr>
              <w:t>6</w:t>
            </w:r>
          </w:p>
        </w:tc>
      </w:tr>
      <w:tr w:rsidR="00CA5479" w:rsidRPr="0073403A" w14:paraId="7C65B296" w14:textId="77777777" w:rsidTr="00DC01F9">
        <w:trPr>
          <w:trHeight w:hRule="exact" w:val="648"/>
        </w:trPr>
        <w:tc>
          <w:tcPr>
            <w:cnfStyle w:val="001000000000" w:firstRow="0" w:lastRow="0" w:firstColumn="1" w:lastColumn="0" w:oddVBand="0" w:evenVBand="0" w:oddHBand="0" w:evenHBand="0" w:firstRowFirstColumn="0" w:firstRowLastColumn="0" w:lastRowFirstColumn="0" w:lastRowLastColumn="0"/>
            <w:tcW w:w="6949" w:type="dxa"/>
            <w:tcBorders>
              <w:top w:val="single" w:sz="4" w:space="0" w:color="auto"/>
              <w:bottom w:val="single" w:sz="24" w:space="0" w:color="auto"/>
            </w:tcBorders>
          </w:tcPr>
          <w:p w14:paraId="30209D60" w14:textId="77777777" w:rsidR="00CA5479" w:rsidRPr="00DC01F9" w:rsidRDefault="00CA5479" w:rsidP="00146CA0">
            <w:pPr>
              <w:pStyle w:val="BodyText"/>
              <w:ind w:left="0"/>
              <w:jc w:val="both"/>
              <w:rPr>
                <w:rFonts w:ascii="Times New Roman" w:hAnsi="Times New Roman"/>
                <w:sz w:val="22"/>
                <w:szCs w:val="22"/>
              </w:rPr>
            </w:pPr>
            <w:r w:rsidRPr="00DC01F9">
              <w:rPr>
                <w:rFonts w:ascii="Times New Roman" w:hAnsi="Times New Roman"/>
                <w:sz w:val="22"/>
                <w:szCs w:val="22"/>
              </w:rPr>
              <w:t>Total</w:t>
            </w:r>
          </w:p>
        </w:tc>
        <w:tc>
          <w:tcPr>
            <w:tcW w:w="0" w:type="auto"/>
            <w:tcBorders>
              <w:top w:val="single" w:sz="4" w:space="0" w:color="auto"/>
              <w:bottom w:val="single" w:sz="24" w:space="0" w:color="auto"/>
            </w:tcBorders>
          </w:tcPr>
          <w:p w14:paraId="6E42312E" w14:textId="77777777" w:rsidR="00CA5479" w:rsidRPr="00DC01F9" w:rsidRDefault="00CA5479" w:rsidP="00146CA0">
            <w:pPr>
              <w:pStyle w:val="BodyText"/>
              <w:ind w:left="0"/>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DC01F9">
              <w:rPr>
                <w:rFonts w:ascii="Times New Roman" w:hAnsi="Times New Roman"/>
                <w:sz w:val="22"/>
                <w:szCs w:val="22"/>
              </w:rPr>
              <w:t>187</w:t>
            </w:r>
          </w:p>
        </w:tc>
      </w:tr>
    </w:tbl>
    <w:p w14:paraId="0FEEF913" w14:textId="1CF755E6" w:rsidR="009B368A" w:rsidRPr="00C47127" w:rsidRDefault="17C9D7D8" w:rsidP="00DC01F9">
      <w:pPr>
        <w:pStyle w:val="BodyText"/>
        <w:ind w:left="0"/>
        <w:rPr>
          <w:rFonts w:ascii="Times New Roman" w:hAnsi="Times New Roman"/>
        </w:rPr>
      </w:pPr>
      <w:r w:rsidRPr="17C9D7D8">
        <w:rPr>
          <w:rFonts w:ascii="Times New Roman" w:hAnsi="Times New Roman"/>
        </w:rPr>
        <w:t>Table 3 (completion) describes the total number of research doctorates earned for nine cohorts of participants. Due to the risks of data disclosure, many of the values in the tables are either suppressed or recoded if the denominator or numerator has three or fewer participants and/or the difference between them is three or less. However, the patterns of findings are summarized in the section below.</w:t>
      </w:r>
    </w:p>
    <w:p w14:paraId="6083BCAE" w14:textId="77777777" w:rsidR="00253309" w:rsidRPr="00DC01F9" w:rsidRDefault="5DF344AD" w:rsidP="00C51AC2">
      <w:pPr>
        <w:pStyle w:val="Heading2"/>
      </w:pPr>
      <w:bookmarkStart w:id="7" w:name="_Toc114840538"/>
      <w:r w:rsidRPr="00DC01F9">
        <w:t>Findings</w:t>
      </w:r>
      <w:bookmarkEnd w:id="7"/>
    </w:p>
    <w:p w14:paraId="38EA4198" w14:textId="7912C354" w:rsidR="00253309" w:rsidRPr="00B62F5B" w:rsidRDefault="00253309" w:rsidP="00DC01F9">
      <w:pPr>
        <w:pStyle w:val="BodyText"/>
        <w:ind w:left="0"/>
        <w:rPr>
          <w:rFonts w:ascii="Times New Roman" w:hAnsi="Times New Roman"/>
        </w:rPr>
      </w:pPr>
      <w:r w:rsidRPr="00C47127">
        <w:rPr>
          <w:rFonts w:ascii="Times New Roman" w:hAnsi="Times New Roman"/>
        </w:rPr>
        <w:t xml:space="preserve">The overall three-year graduate school enrollment rate for McNair participants who received their bachelor’s degree in </w:t>
      </w:r>
      <w:r w:rsidR="005834AA">
        <w:rPr>
          <w:rFonts w:ascii="Times New Roman" w:hAnsi="Times New Roman"/>
        </w:rPr>
        <w:t>2017–18</w:t>
      </w:r>
      <w:r w:rsidRPr="00C47127">
        <w:rPr>
          <w:rFonts w:ascii="Times New Roman" w:hAnsi="Times New Roman"/>
        </w:rPr>
        <w:t xml:space="preserve"> was </w:t>
      </w:r>
      <w:r w:rsidR="00FD3669">
        <w:rPr>
          <w:rFonts w:ascii="Times New Roman" w:hAnsi="Times New Roman"/>
        </w:rPr>
        <w:t>64.1</w:t>
      </w:r>
      <w:r w:rsidRPr="00C47127">
        <w:rPr>
          <w:rFonts w:ascii="Times New Roman" w:hAnsi="Times New Roman"/>
        </w:rPr>
        <w:t xml:space="preserve"> percent, a decrease of </w:t>
      </w:r>
      <w:r w:rsidR="00A45AD6">
        <w:rPr>
          <w:rFonts w:ascii="Times New Roman" w:hAnsi="Times New Roman"/>
        </w:rPr>
        <w:t>0</w:t>
      </w:r>
      <w:r w:rsidRPr="00C47127">
        <w:rPr>
          <w:rFonts w:ascii="Times New Roman" w:hAnsi="Times New Roman"/>
        </w:rPr>
        <w:t>.6 percentage points from the 201</w:t>
      </w:r>
      <w:r w:rsidR="00A45AD6">
        <w:rPr>
          <w:rFonts w:ascii="Times New Roman" w:hAnsi="Times New Roman"/>
        </w:rPr>
        <w:t>6</w:t>
      </w:r>
      <w:r w:rsidRPr="00C47127">
        <w:rPr>
          <w:rFonts w:ascii="Times New Roman" w:hAnsi="Times New Roman"/>
        </w:rPr>
        <w:t>–1</w:t>
      </w:r>
      <w:r w:rsidR="00A45AD6">
        <w:rPr>
          <w:rFonts w:ascii="Times New Roman" w:hAnsi="Times New Roman"/>
        </w:rPr>
        <w:t>7</w:t>
      </w:r>
      <w:r w:rsidRPr="00C47127">
        <w:rPr>
          <w:rFonts w:ascii="Times New Roman" w:hAnsi="Times New Roman"/>
        </w:rPr>
        <w:t xml:space="preserve"> cohort’s three-year rate of 6</w:t>
      </w:r>
      <w:r w:rsidR="00A45AD6">
        <w:rPr>
          <w:rFonts w:ascii="Times New Roman" w:hAnsi="Times New Roman"/>
        </w:rPr>
        <w:t>4</w:t>
      </w:r>
      <w:r w:rsidRPr="00C47127">
        <w:rPr>
          <w:rFonts w:ascii="Times New Roman" w:hAnsi="Times New Roman"/>
        </w:rPr>
        <w:t>.</w:t>
      </w:r>
      <w:r w:rsidR="00A45AD6">
        <w:rPr>
          <w:rFonts w:ascii="Times New Roman" w:hAnsi="Times New Roman"/>
        </w:rPr>
        <w:t>7</w:t>
      </w:r>
      <w:r w:rsidRPr="00C47127">
        <w:rPr>
          <w:rFonts w:ascii="Times New Roman" w:hAnsi="Times New Roman"/>
        </w:rPr>
        <w:t xml:space="preserve"> percent.</w:t>
      </w:r>
      <w:r>
        <w:rPr>
          <w:rStyle w:val="FootnoteReference"/>
          <w:rFonts w:ascii="Times New Roman" w:hAnsi="Times New Roman"/>
        </w:rPr>
        <w:footnoteReference w:id="3"/>
      </w:r>
      <w:r w:rsidRPr="00C47127">
        <w:rPr>
          <w:rFonts w:ascii="Times New Roman" w:hAnsi="Times New Roman"/>
        </w:rPr>
        <w:t xml:space="preserve"> This enrollment rate was </w:t>
      </w:r>
      <w:r w:rsidR="00A45AD6">
        <w:rPr>
          <w:rFonts w:ascii="Times New Roman" w:hAnsi="Times New Roman"/>
        </w:rPr>
        <w:t>6.9</w:t>
      </w:r>
      <w:r w:rsidRPr="00C47127">
        <w:rPr>
          <w:rFonts w:ascii="Times New Roman" w:hAnsi="Times New Roman"/>
        </w:rPr>
        <w:t xml:space="preserve"> percentage points lower than th</w:t>
      </w:r>
      <w:r w:rsidRPr="00B62F5B">
        <w:rPr>
          <w:rFonts w:ascii="Times New Roman" w:hAnsi="Times New Roman"/>
        </w:rPr>
        <w:t xml:space="preserve">e McNair program’s target goal of 71.0 percent. For grantees with at least one participant in the </w:t>
      </w:r>
      <w:r w:rsidR="005834AA">
        <w:rPr>
          <w:rFonts w:ascii="Times New Roman" w:hAnsi="Times New Roman"/>
        </w:rPr>
        <w:t>2017–18</w:t>
      </w:r>
      <w:r w:rsidRPr="00B62F5B">
        <w:rPr>
          <w:rFonts w:ascii="Times New Roman" w:hAnsi="Times New Roman"/>
        </w:rPr>
        <w:t xml:space="preserve"> bachelor’s degree cohort, three-year graduate school enrollment rates ranged from </w:t>
      </w:r>
      <w:r w:rsidR="000E69A2">
        <w:rPr>
          <w:rFonts w:ascii="Times New Roman" w:hAnsi="Times New Roman"/>
        </w:rPr>
        <w:t>0</w:t>
      </w:r>
      <w:r w:rsidR="49ED7DD1" w:rsidRPr="49ED7DD1">
        <w:rPr>
          <w:rFonts w:ascii="Times New Roman" w:hAnsi="Times New Roman"/>
        </w:rPr>
        <w:t>.0</w:t>
      </w:r>
      <w:r w:rsidRPr="00B62F5B">
        <w:rPr>
          <w:rFonts w:ascii="Times New Roman" w:hAnsi="Times New Roman"/>
        </w:rPr>
        <w:t xml:space="preserve"> to 100</w:t>
      </w:r>
      <w:r w:rsidR="49ED7DD1" w:rsidRPr="49ED7DD1">
        <w:rPr>
          <w:rFonts w:ascii="Times New Roman" w:hAnsi="Times New Roman"/>
        </w:rPr>
        <w:t>.0</w:t>
      </w:r>
      <w:r w:rsidRPr="00B62F5B">
        <w:rPr>
          <w:rFonts w:ascii="Times New Roman" w:hAnsi="Times New Roman"/>
        </w:rPr>
        <w:t xml:space="preserve"> percent. Fourteen</w:t>
      </w:r>
      <w:r w:rsidR="000E69A2">
        <w:rPr>
          <w:rFonts w:ascii="Times New Roman" w:hAnsi="Times New Roman"/>
        </w:rPr>
        <w:t xml:space="preserve"> grantees</w:t>
      </w:r>
      <w:r w:rsidRPr="00B62F5B">
        <w:rPr>
          <w:rFonts w:ascii="Times New Roman" w:hAnsi="Times New Roman"/>
        </w:rPr>
        <w:t xml:space="preserve"> representing 88 participants attained a three-year graduate enrollment rate of 100.0 percent </w:t>
      </w:r>
      <w:r w:rsidR="001C67AF">
        <w:rPr>
          <w:rFonts w:ascii="Times New Roman" w:hAnsi="Times New Roman"/>
        </w:rPr>
        <w:t xml:space="preserve">after </w:t>
      </w:r>
      <w:r w:rsidRPr="00B62F5B">
        <w:rPr>
          <w:rFonts w:ascii="Times New Roman" w:hAnsi="Times New Roman"/>
        </w:rPr>
        <w:t xml:space="preserve">bachelor’s degree completion in </w:t>
      </w:r>
      <w:r w:rsidR="005834AA">
        <w:rPr>
          <w:rFonts w:ascii="Times New Roman" w:hAnsi="Times New Roman"/>
        </w:rPr>
        <w:t>2017–18</w:t>
      </w:r>
      <w:r w:rsidRPr="00B62F5B">
        <w:rPr>
          <w:rFonts w:ascii="Times New Roman" w:hAnsi="Times New Roman"/>
        </w:rPr>
        <w:t xml:space="preserve">. </w:t>
      </w:r>
      <w:r w:rsidR="009375B8" w:rsidRPr="00B62F5B">
        <w:rPr>
          <w:rFonts w:ascii="Times New Roman" w:hAnsi="Times New Roman"/>
        </w:rPr>
        <w:t>Sixty</w:t>
      </w:r>
      <w:r w:rsidR="009375B8">
        <w:rPr>
          <w:rFonts w:ascii="Times New Roman" w:hAnsi="Times New Roman"/>
        </w:rPr>
        <w:t>-five</w:t>
      </w:r>
      <w:r w:rsidRPr="00B62F5B">
        <w:rPr>
          <w:rFonts w:ascii="Times New Roman" w:hAnsi="Times New Roman"/>
        </w:rPr>
        <w:t xml:space="preserve"> grantees (out of the </w:t>
      </w:r>
      <w:r w:rsidR="000E69A2">
        <w:rPr>
          <w:rFonts w:ascii="Times New Roman" w:hAnsi="Times New Roman"/>
        </w:rPr>
        <w:t>155</w:t>
      </w:r>
      <w:r w:rsidRPr="00B62F5B">
        <w:rPr>
          <w:rFonts w:ascii="Times New Roman" w:hAnsi="Times New Roman"/>
        </w:rPr>
        <w:t xml:space="preserve"> grantees with at least one participant in the </w:t>
      </w:r>
      <w:r w:rsidR="005834AA">
        <w:rPr>
          <w:rFonts w:ascii="Times New Roman" w:hAnsi="Times New Roman"/>
        </w:rPr>
        <w:t>2017–18</w:t>
      </w:r>
      <w:r w:rsidRPr="00B62F5B">
        <w:rPr>
          <w:rFonts w:ascii="Times New Roman" w:hAnsi="Times New Roman"/>
        </w:rPr>
        <w:t xml:space="preserve"> bachelor’s degree cohort) met or exceeded the enrollment target of 71</w:t>
      </w:r>
      <w:r w:rsidR="49ED7DD1" w:rsidRPr="49ED7DD1">
        <w:rPr>
          <w:rFonts w:ascii="Times New Roman" w:hAnsi="Times New Roman"/>
        </w:rPr>
        <w:t>.0</w:t>
      </w:r>
      <w:r w:rsidRPr="00B62F5B">
        <w:rPr>
          <w:rFonts w:ascii="Times New Roman" w:hAnsi="Times New Roman"/>
        </w:rPr>
        <w:t xml:space="preserve"> percent. Table 1 shows three-year graduate school enrollment rates for McNair participants who received their bachelor’s degree in </w:t>
      </w:r>
      <w:r w:rsidR="005834AA">
        <w:rPr>
          <w:rFonts w:ascii="Times New Roman" w:hAnsi="Times New Roman"/>
        </w:rPr>
        <w:t>2017–18</w:t>
      </w:r>
      <w:r w:rsidRPr="00B62F5B">
        <w:rPr>
          <w:rFonts w:ascii="Times New Roman" w:hAnsi="Times New Roman"/>
        </w:rPr>
        <w:t>.</w:t>
      </w:r>
    </w:p>
    <w:p w14:paraId="0DE32AA8" w14:textId="5F625F5F" w:rsidR="00253309" w:rsidRPr="00734F0B" w:rsidRDefault="17C9D7D8" w:rsidP="00DC01F9">
      <w:pPr>
        <w:pStyle w:val="BodyText"/>
        <w:ind w:left="0"/>
        <w:rPr>
          <w:rFonts w:ascii="Times New Roman" w:hAnsi="Times New Roman"/>
        </w:rPr>
      </w:pPr>
      <w:r w:rsidRPr="17C9D7D8">
        <w:rPr>
          <w:rFonts w:ascii="Times New Roman" w:hAnsi="Times New Roman"/>
        </w:rPr>
        <w:lastRenderedPageBreak/>
        <w:t xml:space="preserve">Overall, the one-year graduate school persistence rate for McNair participants who were first reported as graduate students in 2019–20 was 85.7 percent. This rate represents a decrease of 1.1 percentage points from the 86.8 percent one-year persistence rate of participants who enrolled in 2018–19; it is 0.7 percentage points above the McNair program’s 2020–21 target goal of 85.0 percent for participants who were first reported as graduate students in 2019–20. For 182 grantees with at least one participant reported as a first-time graduate student in 2019–20, one-year graduate school persistence rates ranged from 0.0 to 100.0 percent, with 63 grantees attaining a one-year graduate school persistence rate of 100.0 percent. These 63 grantees reported between one and 17 participants entering graduate school in 2019–20. </w:t>
      </w:r>
      <w:bookmarkStart w:id="9" w:name="_Hlk44339549"/>
      <w:r w:rsidRPr="17C9D7D8">
        <w:rPr>
          <w:rFonts w:ascii="Times New Roman" w:hAnsi="Times New Roman"/>
        </w:rPr>
        <w:t xml:space="preserve">One hundred and six grantees met or exceeded the persistence target of 85.0 percent. </w:t>
      </w:r>
      <w:bookmarkEnd w:id="9"/>
      <w:r w:rsidRPr="17C9D7D8">
        <w:rPr>
          <w:rFonts w:ascii="Times New Roman" w:hAnsi="Times New Roman"/>
        </w:rPr>
        <w:t>Table 2 shows the one-year graduate school persistence rate for McNair participants who were first reported as graduate students in 2019–20 and continued to be enrolled in graduate school in 2020–21.</w:t>
      </w:r>
    </w:p>
    <w:p w14:paraId="5EE8189D" w14:textId="54BE9872" w:rsidR="00253309" w:rsidRPr="00734F0B" w:rsidRDefault="17C9D7D8" w:rsidP="00DC01F9">
      <w:pPr>
        <w:pStyle w:val="BodyText"/>
        <w:ind w:left="0"/>
        <w:rPr>
          <w:rFonts w:ascii="Times New Roman" w:hAnsi="Times New Roman"/>
        </w:rPr>
      </w:pPr>
      <w:r w:rsidRPr="17C9D7D8">
        <w:rPr>
          <w:rFonts w:ascii="Times New Roman" w:hAnsi="Times New Roman"/>
        </w:rPr>
        <w:t xml:space="preserve">The overall 2020–21 research doctorate completion rate for the McNair participants who earned bachelor’s degrees in 2010–11 was 14.5 percent. This rate was 0.2 percentage point higher than the 2019–20 research doctorate completion rate for participants who earned bachelor’s degrees in 2009–10 (14.3 percent). Table 3 displays the McNair program-level, research doctorate completion rate for participants who earned bachelor’s degrees in 2002–03 through 2010–11. </w:t>
      </w:r>
    </w:p>
    <w:p w14:paraId="090537F9" w14:textId="77777777" w:rsidR="00253309" w:rsidRPr="00734F0B" w:rsidRDefault="00253309" w:rsidP="00C51AC2">
      <w:pPr>
        <w:pStyle w:val="Heading2"/>
      </w:pPr>
      <w:bookmarkStart w:id="10" w:name="_Toc114840539"/>
      <w:r w:rsidRPr="00734F0B">
        <w:t>Data Limitations</w:t>
      </w:r>
      <w:bookmarkEnd w:id="10"/>
      <w:r w:rsidRPr="00734F0B">
        <w:t xml:space="preserve"> </w:t>
      </w:r>
    </w:p>
    <w:p w14:paraId="28410561" w14:textId="155E9CF9" w:rsidR="00253309" w:rsidRPr="00E02E6C" w:rsidRDefault="00253309" w:rsidP="00DC01F9">
      <w:pPr>
        <w:pStyle w:val="BodyText"/>
        <w:ind w:left="0"/>
        <w:rPr>
          <w:rFonts w:ascii="Times New Roman" w:hAnsi="Times New Roman"/>
        </w:rPr>
      </w:pPr>
      <w:r w:rsidRPr="00E02E6C">
        <w:rPr>
          <w:rFonts w:ascii="Times New Roman" w:hAnsi="Times New Roman"/>
        </w:rPr>
        <w:t xml:space="preserve">These results were based on the data provided by the grantees in the </w:t>
      </w:r>
      <w:r w:rsidR="008422DA">
        <w:rPr>
          <w:rFonts w:ascii="Times New Roman" w:hAnsi="Times New Roman"/>
        </w:rPr>
        <w:t>APR</w:t>
      </w:r>
      <w:r w:rsidRPr="00E02E6C">
        <w:rPr>
          <w:rFonts w:ascii="Times New Roman" w:hAnsi="Times New Roman"/>
        </w:rPr>
        <w:t xml:space="preserve">s for 2014–15 through </w:t>
      </w:r>
      <w:r w:rsidR="005834AA" w:rsidRPr="00E02E6C">
        <w:rPr>
          <w:rFonts w:ascii="Times New Roman" w:hAnsi="Times New Roman"/>
        </w:rPr>
        <w:t>2020–21</w:t>
      </w:r>
      <w:r w:rsidRPr="00E02E6C">
        <w:rPr>
          <w:rFonts w:ascii="Times New Roman" w:hAnsi="Times New Roman"/>
        </w:rPr>
        <w:t>. A couple of factors may have affected the calculations of the enrollment rate</w:t>
      </w:r>
      <w:r w:rsidR="51919D4F" w:rsidRPr="51919D4F">
        <w:rPr>
          <w:rFonts w:ascii="Times New Roman" w:hAnsi="Times New Roman"/>
        </w:rPr>
        <w:t xml:space="preserve"> prior to the 2019–20 reporting year when the bachelor’s degree cohort was determined by multiple </w:t>
      </w:r>
      <w:r w:rsidR="008422DA">
        <w:rPr>
          <w:rFonts w:ascii="Times New Roman" w:hAnsi="Times New Roman"/>
        </w:rPr>
        <w:t>APR</w:t>
      </w:r>
      <w:r w:rsidR="51919D4F" w:rsidRPr="51919D4F">
        <w:rPr>
          <w:rFonts w:ascii="Times New Roman" w:hAnsi="Times New Roman"/>
        </w:rPr>
        <w:t xml:space="preserve"> fields</w:t>
      </w:r>
      <w:r w:rsidRPr="00E02E6C">
        <w:rPr>
          <w:rFonts w:ascii="Times New Roman" w:hAnsi="Times New Roman"/>
        </w:rPr>
        <w:t>.</w:t>
      </w:r>
      <w:r w:rsidR="51919D4F" w:rsidRPr="51919D4F">
        <w:rPr>
          <w:rStyle w:val="FootnoteReference"/>
          <w:rFonts w:ascii="Times New Roman" w:hAnsi="Times New Roman"/>
        </w:rPr>
        <w:t xml:space="preserve"> </w:t>
      </w:r>
      <w:r w:rsidR="00CC5ABD" w:rsidRPr="009375B8">
        <w:rPr>
          <w:rStyle w:val="FootnoteReference"/>
          <w:rFonts w:ascii="Times New Roman" w:hAnsi="Times New Roman"/>
        </w:rPr>
        <w:footnoteReference w:id="4"/>
      </w:r>
      <w:r w:rsidRPr="00E02E6C">
        <w:rPr>
          <w:rFonts w:ascii="Times New Roman" w:hAnsi="Times New Roman"/>
        </w:rPr>
        <w:t xml:space="preserve"> An examination of the data </w:t>
      </w:r>
      <w:r w:rsidR="00E95D94">
        <w:rPr>
          <w:rFonts w:ascii="Times New Roman" w:hAnsi="Times New Roman"/>
        </w:rPr>
        <w:t xml:space="preserve">quality </w:t>
      </w:r>
      <w:r w:rsidRPr="00E02E6C">
        <w:rPr>
          <w:rFonts w:ascii="Times New Roman" w:hAnsi="Times New Roman"/>
        </w:rPr>
        <w:t xml:space="preserve">indicated various reporting </w:t>
      </w:r>
      <w:r w:rsidR="00E95D94">
        <w:rPr>
          <w:rFonts w:ascii="Times New Roman" w:hAnsi="Times New Roman"/>
        </w:rPr>
        <w:t>issue</w:t>
      </w:r>
      <w:r w:rsidRPr="00E02E6C">
        <w:rPr>
          <w:rFonts w:ascii="Times New Roman" w:hAnsi="Times New Roman"/>
        </w:rPr>
        <w:t xml:space="preserve">s such as inconsistent responses between data fields and/or across reporting years. </w:t>
      </w:r>
      <w:r w:rsidR="51919D4F" w:rsidRPr="51919D4F">
        <w:rPr>
          <w:rFonts w:ascii="Times New Roman" w:hAnsi="Times New Roman"/>
        </w:rPr>
        <w:t xml:space="preserve">For instance, the data shows a participant got a bachelor’s degree for the first time in 2015–16 but had the degree date beyond the possible range. </w:t>
      </w:r>
      <w:r w:rsidRPr="00E02E6C">
        <w:rPr>
          <w:rFonts w:ascii="Times New Roman" w:hAnsi="Times New Roman"/>
        </w:rPr>
        <w:t xml:space="preserve">The extent to which these factors impacted calculations of the number of students in each cohort and the number enrolling in graduate school is unknown. </w:t>
      </w:r>
      <w:bookmarkStart w:id="11" w:name="_Hlk13732356"/>
    </w:p>
    <w:p w14:paraId="61781D5F" w14:textId="720D9039" w:rsidR="00253309" w:rsidRPr="00E02E6C" w:rsidRDefault="00253309" w:rsidP="00DF1759">
      <w:pPr>
        <w:pStyle w:val="BodyText"/>
        <w:ind w:left="0"/>
        <w:jc w:val="both"/>
        <w:rPr>
          <w:rFonts w:ascii="Times New Roman" w:hAnsi="Times New Roman"/>
        </w:rPr>
      </w:pPr>
      <w:r w:rsidRPr="00E02E6C">
        <w:rPr>
          <w:rFonts w:ascii="Times New Roman" w:hAnsi="Times New Roman"/>
        </w:rPr>
        <w:t xml:space="preserve">The calculations for the McNair performance measures require participant-level longitudinal data covering a window of time up to 10 years after bachelor’s degree completion, depending on the </w:t>
      </w:r>
      <w:r w:rsidRPr="00E02E6C">
        <w:rPr>
          <w:rFonts w:ascii="Times New Roman" w:hAnsi="Times New Roman"/>
        </w:rPr>
        <w:lastRenderedPageBreak/>
        <w:t xml:space="preserve">measure. Program year </w:t>
      </w:r>
      <w:r w:rsidR="005834AA" w:rsidRPr="00E02E6C">
        <w:rPr>
          <w:rFonts w:ascii="Times New Roman" w:hAnsi="Times New Roman"/>
        </w:rPr>
        <w:t>2020–21</w:t>
      </w:r>
      <w:r w:rsidRPr="00E02E6C">
        <w:rPr>
          <w:rFonts w:ascii="Times New Roman" w:hAnsi="Times New Roman"/>
        </w:rPr>
        <w:t xml:space="preserve"> was the </w:t>
      </w:r>
      <w:r w:rsidR="00EB5BC2">
        <w:rPr>
          <w:rFonts w:ascii="Times New Roman" w:hAnsi="Times New Roman"/>
        </w:rPr>
        <w:t>fourth</w:t>
      </w:r>
      <w:r w:rsidRPr="00E02E6C">
        <w:rPr>
          <w:rFonts w:ascii="Times New Roman" w:hAnsi="Times New Roman"/>
        </w:rPr>
        <w:t xml:space="preserve"> year in the 2017</w:t>
      </w:r>
      <w:r w:rsidR="0051241D" w:rsidRPr="00E02E6C">
        <w:rPr>
          <w:rFonts w:ascii="Times New Roman" w:hAnsi="Times New Roman"/>
        </w:rPr>
        <w:t>–</w:t>
      </w:r>
      <w:r w:rsidRPr="00E02E6C">
        <w:rPr>
          <w:rFonts w:ascii="Times New Roman" w:hAnsi="Times New Roman"/>
        </w:rPr>
        <w:t xml:space="preserve">22 grant cycle; therefore, some </w:t>
      </w:r>
      <w:r w:rsidR="005834AA" w:rsidRPr="00E02E6C">
        <w:rPr>
          <w:rFonts w:ascii="Times New Roman" w:hAnsi="Times New Roman"/>
        </w:rPr>
        <w:t>2020–21</w:t>
      </w:r>
      <w:r w:rsidRPr="00E02E6C">
        <w:rPr>
          <w:rFonts w:ascii="Times New Roman" w:hAnsi="Times New Roman"/>
        </w:rPr>
        <w:t xml:space="preserve"> performance measures are not calculated for projects that were first funded in the 2017</w:t>
      </w:r>
      <w:r w:rsidR="0051241D" w:rsidRPr="00E02E6C">
        <w:rPr>
          <w:rFonts w:ascii="Times New Roman" w:hAnsi="Times New Roman"/>
        </w:rPr>
        <w:t>–</w:t>
      </w:r>
      <w:r w:rsidRPr="00E02E6C">
        <w:rPr>
          <w:rFonts w:ascii="Times New Roman" w:hAnsi="Times New Roman"/>
        </w:rPr>
        <w:t>22 grant competition.</w:t>
      </w:r>
      <w:r w:rsidRPr="00E02E6C">
        <w:rPr>
          <w:rStyle w:val="FootnoteReference"/>
          <w:rFonts w:ascii="Times New Roman" w:hAnsi="Times New Roman"/>
        </w:rPr>
        <w:footnoteReference w:id="5"/>
      </w:r>
      <w:r w:rsidRPr="00E02E6C">
        <w:rPr>
          <w:rFonts w:ascii="Times New Roman" w:hAnsi="Times New Roman"/>
        </w:rPr>
        <w:t xml:space="preserve"> For grantees who continue to be funded in subsequent cycles, tracking prior participants for up to 10 years can be challenging and, as found in an internal analysis of McNair research doctorate recipients, 10 years is frequently insufficient time to capture the completion of a research doctorate.</w:t>
      </w:r>
      <w:r w:rsidRPr="00E02E6C">
        <w:rPr>
          <w:rStyle w:val="FootnoteReference"/>
          <w:rFonts w:ascii="Times New Roman" w:hAnsi="Times New Roman"/>
        </w:rPr>
        <w:footnoteReference w:id="6"/>
      </w:r>
    </w:p>
    <w:bookmarkEnd w:id="11"/>
    <w:p w14:paraId="580BBC1F" w14:textId="77777777" w:rsidR="00253309" w:rsidRPr="00DC01F9" w:rsidRDefault="00253309" w:rsidP="00C51AC2">
      <w:pPr>
        <w:pStyle w:val="Heading2"/>
      </w:pPr>
      <w:r w:rsidRPr="5DF344AD">
        <w:rPr>
          <w:highlight w:val="yellow"/>
        </w:rPr>
        <w:br w:type="page"/>
      </w:r>
      <w:bookmarkStart w:id="12" w:name="_Toc114840540"/>
      <w:r w:rsidR="5DF344AD" w:rsidRPr="00DC01F9">
        <w:lastRenderedPageBreak/>
        <w:t>Appendix: Calculation Rules</w:t>
      </w:r>
      <w:bookmarkEnd w:id="12"/>
    </w:p>
    <w:p w14:paraId="553CDFB4" w14:textId="3D1E06B8" w:rsidR="00253309" w:rsidRPr="003C47F2" w:rsidRDefault="5DF344AD" w:rsidP="00DC01F9">
      <w:pPr>
        <w:pStyle w:val="BodyText"/>
        <w:ind w:left="0"/>
        <w:rPr>
          <w:rFonts w:ascii="Times New Roman" w:hAnsi="Times New Roman"/>
        </w:rPr>
      </w:pPr>
      <w:r w:rsidRPr="5DF344AD">
        <w:rPr>
          <w:rFonts w:ascii="Times New Roman" w:hAnsi="Times New Roman"/>
        </w:rPr>
        <w:t>The data sources used for calculating the graduate school enrollment and persistence rates and the doctorate degree completion rate were the 2014–15 through 2020–21 McNair APRs submitted by grantees. Calculations are described below.</w:t>
      </w:r>
    </w:p>
    <w:p w14:paraId="1B5EF28E" w14:textId="77777777" w:rsidR="00253309" w:rsidRPr="00DC01F9" w:rsidRDefault="5DF344AD" w:rsidP="00C51AC2">
      <w:pPr>
        <w:pStyle w:val="Heading3"/>
      </w:pPr>
      <w:bookmarkStart w:id="13" w:name="_Toc114840541"/>
      <w:r w:rsidRPr="00DC01F9">
        <w:t>Graduate School Enrollment Rate</w:t>
      </w:r>
      <w:bookmarkEnd w:id="13"/>
    </w:p>
    <w:p w14:paraId="248BF639" w14:textId="1A5C2ADF" w:rsidR="00253309" w:rsidRPr="00DC01F9" w:rsidRDefault="5DF344AD" w:rsidP="00DC01F9">
      <w:pPr>
        <w:rPr>
          <w:rFonts w:ascii="Times New Roman" w:eastAsia="Times New Roman" w:hAnsi="Times New Roman" w:cs="Times New Roman"/>
          <w:sz w:val="24"/>
          <w:szCs w:val="24"/>
        </w:rPr>
      </w:pPr>
      <w:r w:rsidRPr="00DC01F9">
        <w:rPr>
          <w:rFonts w:ascii="Times New Roman" w:eastAsia="Times New Roman" w:hAnsi="Times New Roman" w:cs="Times New Roman"/>
          <w:sz w:val="24"/>
          <w:szCs w:val="24"/>
        </w:rPr>
        <w:t xml:space="preserve">The </w:t>
      </w:r>
      <w:r w:rsidRPr="00DC01F9">
        <w:rPr>
          <w:rFonts w:ascii="Times New Roman" w:eastAsia="Times New Roman" w:hAnsi="Times New Roman" w:cs="Times New Roman"/>
          <w:i/>
          <w:iCs/>
          <w:sz w:val="24"/>
          <w:szCs w:val="24"/>
        </w:rPr>
        <w:t>graduate school enrollment rate</w:t>
      </w:r>
      <w:r w:rsidRPr="00DC01F9">
        <w:rPr>
          <w:rFonts w:ascii="Times New Roman" w:eastAsia="Times New Roman" w:hAnsi="Times New Roman" w:cs="Times New Roman"/>
          <w:sz w:val="24"/>
          <w:szCs w:val="24"/>
        </w:rPr>
        <w:t xml:space="preserve"> describes the percentage of project participants who enroll in graduate school within three years of completing their baccalaureate degree.</w:t>
      </w:r>
    </w:p>
    <w:p w14:paraId="2871AADF" w14:textId="687F825C" w:rsidR="00253309" w:rsidRPr="009375B8" w:rsidRDefault="5DF344AD" w:rsidP="00DC01F9">
      <w:pPr>
        <w:pStyle w:val="bulletround"/>
        <w:numPr>
          <w:ilvl w:val="0"/>
          <w:numId w:val="0"/>
        </w:numPr>
        <w:rPr>
          <w:rFonts w:ascii="Times New Roman" w:hAnsi="Times New Roman"/>
        </w:rPr>
      </w:pPr>
      <w:r w:rsidRPr="5DF344AD">
        <w:rPr>
          <w:rFonts w:ascii="Times New Roman" w:hAnsi="Times New Roman"/>
          <w:b/>
          <w:bCs/>
        </w:rPr>
        <w:t>To calculate the three-year cumulative enrollment rates of the 2017–18 cohort,</w:t>
      </w:r>
      <w:r w:rsidRPr="5DF344AD">
        <w:rPr>
          <w:rFonts w:ascii="Times New Roman" w:hAnsi="Times New Roman"/>
        </w:rPr>
        <w:t xml:space="preserve"> the number of students enrolling in graduate school in 2018–19, 2019–20, and/or 2020–21 (i.e., within three years after receiving a bachelor’s degree) is divided by the number of students receiving a bachelor’s degree in 2017–18 and multiplied by 100. This calculation provides a cumulative rate that includes in the numerator the students who first enrolled in graduate school within one, two, and/or three years after receiving a bachelor’s degree (i.e., enrolled in graduate school in 2018–19,</w:t>
      </w:r>
      <w:r w:rsidRPr="00DC01F9">
        <w:rPr>
          <w:rFonts w:ascii="Times New Roman" w:hAnsi="Times New Roman"/>
        </w:rPr>
        <w:t xml:space="preserve"> </w:t>
      </w:r>
      <w:r w:rsidRPr="5DF344AD">
        <w:rPr>
          <w:rFonts w:ascii="Times New Roman" w:hAnsi="Times New Roman"/>
        </w:rPr>
        <w:t xml:space="preserve">2019–20, and/or 2020–21). </w:t>
      </w:r>
    </w:p>
    <w:p w14:paraId="2BB4EF66" w14:textId="08EB1922" w:rsidR="00253309" w:rsidRPr="009375B8" w:rsidRDefault="5DF344AD" w:rsidP="00DC01F9">
      <w:pPr>
        <w:pStyle w:val="bulletround"/>
        <w:numPr>
          <w:ilvl w:val="0"/>
          <w:numId w:val="33"/>
        </w:numPr>
        <w:rPr>
          <w:rFonts w:ascii="Times New Roman" w:hAnsi="Times New Roman"/>
        </w:rPr>
      </w:pPr>
      <w:r w:rsidRPr="5DF344AD">
        <w:rPr>
          <w:rFonts w:ascii="Times New Roman" w:hAnsi="Times New Roman"/>
          <w:b/>
          <w:bCs/>
        </w:rPr>
        <w:t>Beginning in the 2019–20 GPRA reporting year, the number of students receiving bachelor’s degrees</w:t>
      </w:r>
      <w:r w:rsidRPr="5DF344AD">
        <w:rPr>
          <w:rFonts w:ascii="Times New Roman" w:hAnsi="Times New Roman"/>
        </w:rPr>
        <w:t xml:space="preserve"> (i.e., bachelor’s degree cohort) is based on information reported in a single APR field: </w:t>
      </w:r>
      <w:proofErr w:type="spellStart"/>
      <w:r w:rsidRPr="5DF344AD">
        <w:rPr>
          <w:rFonts w:ascii="Times New Roman" w:hAnsi="Times New Roman"/>
        </w:rPr>
        <w:t>BADegCohortYR</w:t>
      </w:r>
      <w:proofErr w:type="spellEnd"/>
      <w:r w:rsidRPr="5DF344AD">
        <w:rPr>
          <w:rFonts w:ascii="Times New Roman" w:hAnsi="Times New Roman"/>
        </w:rPr>
        <w:t xml:space="preserve"> (APR field #29). More specifically, for the purposes of calculating the GPRA graduate school enrollment rate, participants are assigned to the 2017–18 bachelor’s degree cohort if:  </w:t>
      </w:r>
    </w:p>
    <w:p w14:paraId="5750F358" w14:textId="164C63A9" w:rsidR="00253309" w:rsidRPr="009375B8" w:rsidRDefault="5DF344AD" w:rsidP="5DF344AD">
      <w:pPr>
        <w:pStyle w:val="bulletround"/>
        <w:ind w:left="1080"/>
        <w:rPr>
          <w:rFonts w:ascii="Times New Roman" w:hAnsi="Times New Roman"/>
        </w:rPr>
      </w:pPr>
      <w:r w:rsidRPr="5DF344AD">
        <w:rPr>
          <w:rFonts w:ascii="Times New Roman" w:hAnsi="Times New Roman"/>
        </w:rPr>
        <w:t xml:space="preserve">they were associated with a grantee that was funded in 2020–21; </w:t>
      </w:r>
      <w:r w:rsidR="000A0833" w:rsidRPr="00DC01F9">
        <w:rPr>
          <w:rFonts w:ascii="Times New Roman" w:hAnsi="Times New Roman"/>
          <w:b/>
          <w:bCs/>
        </w:rPr>
        <w:t>and</w:t>
      </w:r>
    </w:p>
    <w:p w14:paraId="57946842" w14:textId="641DC136" w:rsidR="00253309" w:rsidRPr="009375B8" w:rsidRDefault="5DF344AD" w:rsidP="00DC01F9">
      <w:pPr>
        <w:pStyle w:val="bulletround"/>
        <w:ind w:left="1080"/>
        <w:rPr>
          <w:rFonts w:ascii="Times New Roman" w:hAnsi="Times New Roman"/>
        </w:rPr>
      </w:pPr>
      <w:r w:rsidRPr="5DF344AD">
        <w:rPr>
          <w:rFonts w:ascii="Times New Roman" w:hAnsi="Times New Roman"/>
        </w:rPr>
        <w:t xml:space="preserve">they were reported as a 2017–18 bachelor’s degree recipient per the </w:t>
      </w:r>
      <w:proofErr w:type="spellStart"/>
      <w:r w:rsidRPr="5DF344AD">
        <w:rPr>
          <w:rFonts w:ascii="Times New Roman" w:hAnsi="Times New Roman"/>
        </w:rPr>
        <w:t>BADegCohortYR</w:t>
      </w:r>
      <w:proofErr w:type="spellEnd"/>
      <w:r w:rsidRPr="5DF344AD">
        <w:rPr>
          <w:rFonts w:ascii="Times New Roman" w:hAnsi="Times New Roman"/>
        </w:rPr>
        <w:t xml:space="preserve"> field in the 2017–18 APR; </w:t>
      </w:r>
      <w:r w:rsidR="000A0833" w:rsidRPr="007F5640">
        <w:rPr>
          <w:rFonts w:ascii="Times New Roman" w:hAnsi="Times New Roman"/>
          <w:b/>
          <w:bCs/>
        </w:rPr>
        <w:t>and</w:t>
      </w:r>
    </w:p>
    <w:p w14:paraId="73709E64" w14:textId="648A2921" w:rsidR="00253309" w:rsidRPr="009375B8" w:rsidRDefault="5DF344AD" w:rsidP="00DC01F9">
      <w:pPr>
        <w:pStyle w:val="bulletround"/>
        <w:ind w:left="1080"/>
        <w:rPr>
          <w:rFonts w:ascii="Times New Roman" w:hAnsi="Times New Roman"/>
        </w:rPr>
      </w:pPr>
      <w:r w:rsidRPr="5DF344AD">
        <w:rPr>
          <w:rFonts w:ascii="Times New Roman" w:hAnsi="Times New Roman"/>
        </w:rPr>
        <w:t xml:space="preserve">they were not assigned to an earlier bachelor’s degree cohort per the </w:t>
      </w:r>
      <w:proofErr w:type="spellStart"/>
      <w:r w:rsidRPr="5DF344AD">
        <w:rPr>
          <w:rFonts w:ascii="Times New Roman" w:hAnsi="Times New Roman"/>
        </w:rPr>
        <w:t>BADegCohortYR</w:t>
      </w:r>
      <w:proofErr w:type="spellEnd"/>
      <w:r w:rsidRPr="5DF344AD">
        <w:rPr>
          <w:rFonts w:ascii="Times New Roman" w:hAnsi="Times New Roman"/>
        </w:rPr>
        <w:t xml:space="preserve"> field from an earlier year’s APR.</w:t>
      </w:r>
    </w:p>
    <w:p w14:paraId="42794A2E" w14:textId="69112097" w:rsidR="00253309" w:rsidRPr="002170ED" w:rsidRDefault="5DF344AD" w:rsidP="00DC01F9">
      <w:pPr>
        <w:pStyle w:val="bulletround"/>
        <w:numPr>
          <w:ilvl w:val="0"/>
          <w:numId w:val="33"/>
        </w:numPr>
        <w:rPr>
          <w:rFonts w:ascii="Times New Roman" w:hAnsi="Times New Roman"/>
        </w:rPr>
      </w:pPr>
      <w:r w:rsidRPr="5DF344AD">
        <w:rPr>
          <w:rFonts w:ascii="Times New Roman" w:hAnsi="Times New Roman"/>
          <w:b/>
          <w:bCs/>
        </w:rPr>
        <w:t>The number of students enrolling in graduate school in</w:t>
      </w:r>
      <w:r w:rsidRPr="5DF344AD">
        <w:rPr>
          <w:rFonts w:ascii="Times New Roman" w:hAnsi="Times New Roman"/>
        </w:rPr>
        <w:t xml:space="preserve"> </w:t>
      </w:r>
      <w:r w:rsidRPr="5DF344AD">
        <w:rPr>
          <w:rFonts w:ascii="Times New Roman" w:hAnsi="Times New Roman"/>
          <w:b/>
          <w:bCs/>
        </w:rPr>
        <w:t>2018–19, 2019–20,</w:t>
      </w:r>
      <w:r w:rsidRPr="00DC01F9">
        <w:rPr>
          <w:rFonts w:ascii="Times New Roman" w:hAnsi="Times New Roman"/>
        </w:rPr>
        <w:t xml:space="preserve"> </w:t>
      </w:r>
      <w:r w:rsidRPr="5DF344AD">
        <w:rPr>
          <w:rFonts w:ascii="Times New Roman" w:hAnsi="Times New Roman"/>
          <w:b/>
          <w:bCs/>
        </w:rPr>
        <w:t xml:space="preserve">and/or 2020–21 </w:t>
      </w:r>
      <w:r w:rsidRPr="5DF344AD">
        <w:rPr>
          <w:rFonts w:ascii="Times New Roman" w:hAnsi="Times New Roman"/>
        </w:rPr>
        <w:t>is calculated using the fields recording current year of graduate study during the 2018–19, 2019–20, and 2020–21 academic years, respectively. If the participant was recorded as a first-, second-, third-, or beyond third-year graduate student, the participant is included in the numerator.</w:t>
      </w:r>
    </w:p>
    <w:p w14:paraId="421F9742" w14:textId="77777777" w:rsidR="00253309" w:rsidRPr="00DC01F9" w:rsidRDefault="5DF344AD" w:rsidP="00C51AC2">
      <w:pPr>
        <w:pStyle w:val="Heading3"/>
      </w:pPr>
      <w:bookmarkStart w:id="14" w:name="_Toc114840542"/>
      <w:r w:rsidRPr="00DC01F9">
        <w:t>Graduate School Persistence Rate</w:t>
      </w:r>
      <w:bookmarkEnd w:id="14"/>
    </w:p>
    <w:p w14:paraId="50FAA2EE" w14:textId="68B373DC" w:rsidR="00253309" w:rsidRPr="00734F0B" w:rsidRDefault="5DF344AD" w:rsidP="00DC01F9">
      <w:pPr>
        <w:pStyle w:val="AppbodytextL2"/>
        <w:ind w:left="0"/>
        <w:rPr>
          <w:rFonts w:ascii="Times New Roman" w:hAnsi="Times New Roman"/>
        </w:rPr>
      </w:pPr>
      <w:r w:rsidRPr="5DF344AD">
        <w:rPr>
          <w:rFonts w:ascii="Times New Roman" w:hAnsi="Times New Roman"/>
        </w:rPr>
        <w:t xml:space="preserve">The </w:t>
      </w:r>
      <w:r w:rsidRPr="5DF344AD">
        <w:rPr>
          <w:rFonts w:ascii="Times New Roman" w:hAnsi="Times New Roman"/>
          <w:i/>
          <w:iCs/>
        </w:rPr>
        <w:t xml:space="preserve">graduate school persistence rate </w:t>
      </w:r>
      <w:r w:rsidRPr="5DF344AD">
        <w:rPr>
          <w:rFonts w:ascii="Times New Roman" w:hAnsi="Times New Roman"/>
        </w:rPr>
        <w:t xml:space="preserve">is defined as the percentage of participants who enrolled in graduate school in one academic year and persisted into the next academic year. </w:t>
      </w:r>
    </w:p>
    <w:p w14:paraId="3A496A24" w14:textId="4F80506F" w:rsidR="00253309" w:rsidRPr="00734F0B" w:rsidRDefault="5DF344AD" w:rsidP="00DC01F9">
      <w:pPr>
        <w:pStyle w:val="bulletround"/>
        <w:numPr>
          <w:ilvl w:val="0"/>
          <w:numId w:val="0"/>
        </w:numPr>
        <w:rPr>
          <w:rFonts w:ascii="Times New Roman" w:hAnsi="Times New Roman"/>
        </w:rPr>
      </w:pPr>
      <w:r w:rsidRPr="5DF344AD">
        <w:rPr>
          <w:rFonts w:ascii="Times New Roman" w:hAnsi="Times New Roman"/>
          <w:b/>
          <w:bCs/>
        </w:rPr>
        <w:t>To calculate the one-year graduate school persistence rate of the 2019–20 cohort,</w:t>
      </w:r>
      <w:r w:rsidRPr="5DF344AD">
        <w:rPr>
          <w:rFonts w:ascii="Times New Roman" w:hAnsi="Times New Roman"/>
        </w:rPr>
        <w:t xml:space="preserve"> the number of participants who were reported for the first time as graduate students in 2019–20 and continued to be enrolled in graduate school in the 2020–21 academic year is divided by the </w:t>
      </w:r>
      <w:r w:rsidRPr="5DF344AD">
        <w:rPr>
          <w:rFonts w:ascii="Times New Roman" w:hAnsi="Times New Roman"/>
        </w:rPr>
        <w:lastRenderedPageBreak/>
        <w:t>number of students who were reported for the first time as graduate students in 2019–20 and multiplied by 100.</w:t>
      </w:r>
    </w:p>
    <w:p w14:paraId="2D79AD36" w14:textId="0BD81562" w:rsidR="00253309" w:rsidRPr="00734F0B" w:rsidRDefault="5DF344AD" w:rsidP="00DC01F9">
      <w:pPr>
        <w:pStyle w:val="bulletround"/>
        <w:numPr>
          <w:ilvl w:val="0"/>
          <w:numId w:val="33"/>
        </w:numPr>
        <w:rPr>
          <w:rFonts w:ascii="Times New Roman" w:hAnsi="Times New Roman"/>
        </w:rPr>
      </w:pPr>
      <w:r w:rsidRPr="5DF344AD">
        <w:rPr>
          <w:rFonts w:ascii="Times New Roman" w:hAnsi="Times New Roman"/>
          <w:b/>
          <w:bCs/>
        </w:rPr>
        <w:t>The number of students who were reported for the first time as graduate students in 2019–20</w:t>
      </w:r>
      <w:r w:rsidRPr="5DF344AD">
        <w:rPr>
          <w:rFonts w:ascii="Times New Roman" w:hAnsi="Times New Roman"/>
        </w:rPr>
        <w:t xml:space="preserve"> is calculated from various fields on the 2019–20 APR using the following criteria.</w:t>
      </w:r>
    </w:p>
    <w:p w14:paraId="2FF6CB0F" w14:textId="468FA5D4" w:rsidR="00253309" w:rsidRPr="00734F0B" w:rsidRDefault="5DF344AD" w:rsidP="00DC01F9">
      <w:pPr>
        <w:pStyle w:val="bulletround"/>
        <w:ind w:left="1080"/>
        <w:rPr>
          <w:rFonts w:ascii="Times New Roman" w:hAnsi="Times New Roman"/>
        </w:rPr>
      </w:pPr>
      <w:r w:rsidRPr="5DF344AD">
        <w:rPr>
          <w:rFonts w:ascii="Times New Roman" w:hAnsi="Times New Roman"/>
        </w:rPr>
        <w:t>The first criterion in determining whether to assign a participant to the 2019–20 first-time graduate student cohort is to determine whether the student had been identified as part of a prior year’s cohort of first-time-reported graduate students. If a student had been identified as part of a prior year’s cohort of first-time-reported graduate students, the student is not included in the current cohort of first-time-reported graduate students.</w:t>
      </w:r>
    </w:p>
    <w:p w14:paraId="29D8BB25" w14:textId="0FD98418" w:rsidR="00253309" w:rsidRPr="00BD7283" w:rsidRDefault="5DF344AD" w:rsidP="00DC01F9">
      <w:pPr>
        <w:pStyle w:val="bulletround"/>
        <w:ind w:left="1080"/>
        <w:rPr>
          <w:rFonts w:ascii="Times New Roman" w:hAnsi="Times New Roman"/>
        </w:rPr>
      </w:pPr>
      <w:r w:rsidRPr="5DF344AD">
        <w:rPr>
          <w:rFonts w:ascii="Times New Roman" w:hAnsi="Times New Roman"/>
        </w:rPr>
        <w:t>The second criterion is to examine the responses to the field recording year of graduate study. The participant is included in the 2019–20 cohort of first-time graduate students if in the 2019–20 APR the year of graduate study is recorded as “first-year graduate student.”</w:t>
      </w:r>
    </w:p>
    <w:p w14:paraId="7A9032DC" w14:textId="7A0FC88E" w:rsidR="00253309" w:rsidRPr="00BD7283" w:rsidRDefault="5DF344AD" w:rsidP="00DC01F9">
      <w:pPr>
        <w:pStyle w:val="bulletround"/>
        <w:ind w:left="1080"/>
        <w:rPr>
          <w:rFonts w:ascii="Times New Roman" w:hAnsi="Times New Roman"/>
        </w:rPr>
      </w:pPr>
      <w:r w:rsidRPr="5DF344AD">
        <w:rPr>
          <w:rFonts w:ascii="Times New Roman" w:hAnsi="Times New Roman"/>
        </w:rPr>
        <w:t>Among students who had not been identified as part of a prior year’s cohort of first-time-reported graduate students and who were not identified as first-year graduate students using the first two criteria, students were included in the cohort of first-time-reported graduate students if reported as enrolled in graduate school and as a second- or third-year graduate student.</w:t>
      </w:r>
    </w:p>
    <w:p w14:paraId="08FC1983" w14:textId="012E32EA" w:rsidR="00253309" w:rsidRPr="00BD7283" w:rsidRDefault="5DF344AD" w:rsidP="00DC01F9">
      <w:pPr>
        <w:pStyle w:val="bulletround"/>
        <w:numPr>
          <w:ilvl w:val="0"/>
          <w:numId w:val="33"/>
        </w:numPr>
        <w:rPr>
          <w:rFonts w:ascii="Times New Roman" w:hAnsi="Times New Roman"/>
        </w:rPr>
      </w:pPr>
      <w:bookmarkStart w:id="15" w:name="_Hlk115360515"/>
      <w:r w:rsidRPr="5DF344AD">
        <w:rPr>
          <w:rFonts w:ascii="Times New Roman" w:hAnsi="Times New Roman"/>
          <w:b/>
          <w:bCs/>
        </w:rPr>
        <w:t>For the number of first-time-reported graduate students in 2019–20 who continued to be enrolled in the 2020–21 academic year,</w:t>
      </w:r>
      <w:r w:rsidRPr="5DF344AD">
        <w:rPr>
          <w:rFonts w:ascii="Times New Roman" w:hAnsi="Times New Roman"/>
        </w:rPr>
        <w:t xml:space="preserve"> data are derived from two fields on the 2020–21 APR. Among first-time-reported graduate students in 2019–20, a student is included among those still enrolled in the 2020–21 academic year if </w:t>
      </w:r>
      <w:r w:rsidR="0003067A">
        <w:rPr>
          <w:rFonts w:ascii="Times New Roman" w:hAnsi="Times New Roman"/>
        </w:rPr>
        <w:t xml:space="preserve">the </w:t>
      </w:r>
      <w:r w:rsidRPr="5DF344AD">
        <w:rPr>
          <w:rFonts w:ascii="Times New Roman" w:hAnsi="Times New Roman"/>
        </w:rPr>
        <w:t>enrollment status (</w:t>
      </w:r>
      <w:proofErr w:type="spellStart"/>
      <w:r w:rsidRPr="5DF344AD">
        <w:rPr>
          <w:rFonts w:ascii="Times New Roman" w:hAnsi="Times New Roman"/>
        </w:rPr>
        <w:t>EnrollCD</w:t>
      </w:r>
      <w:proofErr w:type="spellEnd"/>
      <w:r w:rsidRPr="5DF344AD">
        <w:rPr>
          <w:rFonts w:ascii="Times New Roman" w:hAnsi="Times New Roman"/>
        </w:rPr>
        <w:t xml:space="preserve">, APR field #23) is recorded as “enrolled” and </w:t>
      </w:r>
      <w:r w:rsidR="0003067A">
        <w:rPr>
          <w:rFonts w:ascii="Times New Roman" w:hAnsi="Times New Roman"/>
        </w:rPr>
        <w:t xml:space="preserve">the </w:t>
      </w:r>
      <w:r w:rsidRPr="5DF344AD">
        <w:rPr>
          <w:rFonts w:ascii="Times New Roman" w:hAnsi="Times New Roman"/>
        </w:rPr>
        <w:t>current year of graduate study (</w:t>
      </w:r>
      <w:proofErr w:type="spellStart"/>
      <w:r w:rsidRPr="5DF344AD">
        <w:rPr>
          <w:rFonts w:ascii="Times New Roman" w:hAnsi="Times New Roman"/>
        </w:rPr>
        <w:t>YRGradStudy</w:t>
      </w:r>
      <w:proofErr w:type="spellEnd"/>
      <w:r w:rsidRPr="5DF344AD">
        <w:rPr>
          <w:rFonts w:ascii="Times New Roman" w:hAnsi="Times New Roman"/>
        </w:rPr>
        <w:t>, APR field #40) is recorded as a second-, third-, or beyond-third-year graduate student.</w:t>
      </w:r>
      <w:r w:rsidRPr="5DF344AD">
        <w:rPr>
          <w:rStyle w:val="FootnoteReference"/>
          <w:rFonts w:ascii="Times New Roman" w:hAnsi="Times New Roman"/>
        </w:rPr>
        <w:t xml:space="preserve"> </w:t>
      </w:r>
    </w:p>
    <w:p w14:paraId="4A6B662B" w14:textId="77777777" w:rsidR="00253309" w:rsidRPr="00C51AC2" w:rsidRDefault="5DF344AD" w:rsidP="00C51AC2">
      <w:pPr>
        <w:pStyle w:val="Heading3"/>
      </w:pPr>
      <w:bookmarkStart w:id="16" w:name="_Toc114840543"/>
      <w:bookmarkEnd w:id="15"/>
      <w:r w:rsidRPr="00C51AC2">
        <w:t>Research Doctorate Completion Rate</w:t>
      </w:r>
      <w:bookmarkEnd w:id="16"/>
    </w:p>
    <w:p w14:paraId="153B6693" w14:textId="77777777" w:rsidR="00253309" w:rsidRPr="00BD7283" w:rsidRDefault="5DF344AD" w:rsidP="00DC01F9">
      <w:pPr>
        <w:pStyle w:val="AppbodytextL2"/>
        <w:ind w:left="0"/>
        <w:rPr>
          <w:rFonts w:ascii="Times New Roman" w:hAnsi="Times New Roman"/>
        </w:rPr>
      </w:pPr>
      <w:r w:rsidRPr="5DF344AD">
        <w:rPr>
          <w:rFonts w:ascii="Times New Roman" w:hAnsi="Times New Roman"/>
        </w:rPr>
        <w:t xml:space="preserve">The </w:t>
      </w:r>
      <w:r w:rsidRPr="5DF344AD">
        <w:rPr>
          <w:rFonts w:ascii="Times New Roman" w:hAnsi="Times New Roman"/>
          <w:i/>
          <w:iCs/>
        </w:rPr>
        <w:t xml:space="preserve">research doctorate completion rate </w:t>
      </w:r>
      <w:r w:rsidRPr="5DF344AD">
        <w:rPr>
          <w:rFonts w:ascii="Times New Roman" w:hAnsi="Times New Roman"/>
        </w:rPr>
        <w:t>is defined as the percentage of participants in each bachelor’s degree cohort who earned research doctorates within 10 years of earning bachelor’s degrees.</w:t>
      </w:r>
    </w:p>
    <w:p w14:paraId="22DADEE9" w14:textId="21B75EAE" w:rsidR="00253309" w:rsidRPr="009375B8" w:rsidRDefault="5DF344AD" w:rsidP="00DC01F9">
      <w:pPr>
        <w:pStyle w:val="bulletround"/>
        <w:numPr>
          <w:ilvl w:val="0"/>
          <w:numId w:val="0"/>
        </w:numPr>
        <w:rPr>
          <w:rFonts w:ascii="Times New Roman" w:hAnsi="Times New Roman"/>
        </w:rPr>
      </w:pPr>
      <w:r w:rsidRPr="5DF344AD">
        <w:rPr>
          <w:rFonts w:ascii="Times New Roman" w:hAnsi="Times New Roman"/>
          <w:b/>
          <w:bCs/>
        </w:rPr>
        <w:t>To calculate the research doctorate completion rate of the 2010–11 bachelor’s degree cohorts,</w:t>
      </w:r>
      <w:r w:rsidRPr="5DF344AD">
        <w:rPr>
          <w:rFonts w:ascii="Times New Roman" w:hAnsi="Times New Roman"/>
        </w:rPr>
        <w:t xml:space="preserve"> the number of participants in the cohort who were reported as having earned a research doctorate by the 2020–21 academic year is divided by the number of participants who were reported as having earned bachelor’s degrees in 2010–11 and multiplied by 100.</w:t>
      </w:r>
    </w:p>
    <w:p w14:paraId="41A64B63" w14:textId="46834956" w:rsidR="00253309" w:rsidRPr="00DC01F9" w:rsidRDefault="5DF344AD" w:rsidP="5DF344AD">
      <w:pPr>
        <w:numPr>
          <w:ilvl w:val="0"/>
          <w:numId w:val="33"/>
        </w:numPr>
        <w:spacing w:after="0" w:line="300" w:lineRule="atLeast"/>
        <w:rPr>
          <w:rFonts w:ascii="Times New Roman" w:eastAsia="Times New Roman" w:hAnsi="Times New Roman" w:cs="Times New Roman"/>
          <w:sz w:val="24"/>
          <w:szCs w:val="24"/>
        </w:rPr>
      </w:pPr>
      <w:r w:rsidRPr="00DC01F9">
        <w:rPr>
          <w:rFonts w:ascii="Times New Roman" w:eastAsia="Times New Roman" w:hAnsi="Times New Roman" w:cs="Times New Roman"/>
          <w:b/>
          <w:bCs/>
          <w:sz w:val="24"/>
          <w:szCs w:val="24"/>
        </w:rPr>
        <w:t>The number of students who earned bachelor’s degrees in 2010–11</w:t>
      </w:r>
      <w:r w:rsidRPr="00DC01F9">
        <w:rPr>
          <w:rFonts w:ascii="Times New Roman" w:eastAsia="Times New Roman" w:hAnsi="Times New Roman" w:cs="Times New Roman"/>
          <w:sz w:val="24"/>
          <w:szCs w:val="24"/>
        </w:rPr>
        <w:t xml:space="preserve"> is established from the 2020–21 APR field recording bachelor’s degree cohort. Participants recorded as </w:t>
      </w:r>
      <w:r w:rsidRPr="00DC01F9">
        <w:rPr>
          <w:rFonts w:ascii="Times New Roman" w:eastAsia="Times New Roman" w:hAnsi="Times New Roman" w:cs="Times New Roman"/>
          <w:sz w:val="24"/>
          <w:szCs w:val="24"/>
        </w:rPr>
        <w:lastRenderedPageBreak/>
        <w:t>“prior-year participant, deceased” are excluded from the research doctorate completion rate if they did not attain a doctorate.</w:t>
      </w:r>
    </w:p>
    <w:p w14:paraId="6CEC7D63" w14:textId="28DBDB5F" w:rsidR="00E07862" w:rsidRPr="00084A14" w:rsidRDefault="5DF344AD" w:rsidP="5DF344AD">
      <w:pPr>
        <w:pStyle w:val="bulletround"/>
        <w:numPr>
          <w:ilvl w:val="0"/>
          <w:numId w:val="33"/>
        </w:numPr>
        <w:rPr>
          <w:rFonts w:ascii="Times New Roman" w:hAnsi="Times New Roman"/>
        </w:rPr>
      </w:pPr>
      <w:r w:rsidRPr="5DF344AD">
        <w:rPr>
          <w:rFonts w:ascii="Times New Roman" w:hAnsi="Times New Roman"/>
          <w:b/>
          <w:bCs/>
        </w:rPr>
        <w:t xml:space="preserve">The number of students who earned research doctorates by 2020–21 </w:t>
      </w:r>
      <w:r w:rsidRPr="5DF344AD">
        <w:rPr>
          <w:rFonts w:ascii="Times New Roman" w:hAnsi="Times New Roman"/>
        </w:rPr>
        <w:t xml:space="preserve">is established from the 2020–21 APR field recording highest graduate degree earned. Research doctorate degrees include Doctor of Philosophy, Doctor of Education, and other research-intensive doctorate degrees (e.g., Doctor of Engineering, Doctor of Science, Doctor of Nursing Science, </w:t>
      </w:r>
      <w:r w:rsidR="0003067A">
        <w:rPr>
          <w:rFonts w:ascii="Times New Roman" w:hAnsi="Times New Roman"/>
        </w:rPr>
        <w:t xml:space="preserve">and </w:t>
      </w:r>
      <w:r w:rsidRPr="5DF344AD">
        <w:rPr>
          <w:rFonts w:ascii="Times New Roman" w:hAnsi="Times New Roman"/>
        </w:rPr>
        <w:t>Doctor of Public Health).</w:t>
      </w:r>
    </w:p>
    <w:sectPr w:rsidR="00E07862" w:rsidRPr="00084A14" w:rsidSect="00C34BC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BD87" w14:textId="77777777" w:rsidR="001F0036" w:rsidRDefault="001F0036" w:rsidP="00964F35">
      <w:pPr>
        <w:spacing w:after="0" w:line="240" w:lineRule="auto"/>
      </w:pPr>
      <w:r>
        <w:separator/>
      </w:r>
    </w:p>
    <w:p w14:paraId="3548B74A" w14:textId="77777777" w:rsidR="001F0036" w:rsidRDefault="001F0036"/>
  </w:endnote>
  <w:endnote w:type="continuationSeparator" w:id="0">
    <w:p w14:paraId="0D8B16F2" w14:textId="77777777" w:rsidR="001F0036" w:rsidRDefault="001F0036" w:rsidP="00964F35">
      <w:pPr>
        <w:spacing w:after="0" w:line="240" w:lineRule="auto"/>
      </w:pPr>
      <w:r>
        <w:continuationSeparator/>
      </w:r>
    </w:p>
    <w:p w14:paraId="2BFBEF2C" w14:textId="77777777" w:rsidR="001F0036" w:rsidRDefault="001F0036"/>
  </w:endnote>
  <w:endnote w:type="continuationNotice" w:id="1">
    <w:p w14:paraId="2B9AB777" w14:textId="77777777" w:rsidR="001F0036" w:rsidRDefault="001F0036">
      <w:pPr>
        <w:spacing w:after="0" w:line="240" w:lineRule="auto"/>
      </w:pPr>
    </w:p>
    <w:p w14:paraId="697D25DF" w14:textId="77777777" w:rsidR="001F0036" w:rsidRDefault="001F0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784925"/>
      <w:docPartObj>
        <w:docPartGallery w:val="Page Numbers (Bottom of Page)"/>
        <w:docPartUnique/>
      </w:docPartObj>
    </w:sdtPr>
    <w:sdtEndPr>
      <w:rPr>
        <w:rStyle w:val="PageNumber"/>
      </w:rPr>
    </w:sdtEndPr>
    <w:sdtContent>
      <w:p w14:paraId="43993EC6" w14:textId="1AE4B016" w:rsidR="008D3B4D" w:rsidRDefault="008D3B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sdt>
    <w:sdtPr>
      <w:rPr>
        <w:rStyle w:val="PageNumber"/>
      </w:rPr>
      <w:id w:val="726880404"/>
      <w:docPartObj>
        <w:docPartGallery w:val="Page Numbers (Bottom of Page)"/>
        <w:docPartUnique/>
      </w:docPartObj>
    </w:sdtPr>
    <w:sdtEndPr>
      <w:rPr>
        <w:rStyle w:val="PageNumber"/>
      </w:rPr>
    </w:sdtEndPr>
    <w:sdtContent>
      <w:p w14:paraId="363A837F" w14:textId="16E436A0" w:rsidR="008D3B4D" w:rsidRDefault="008D3B4D" w:rsidP="008D3B4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338B0">
          <w:rPr>
            <w:rStyle w:val="PageNumber"/>
            <w:noProof/>
          </w:rPr>
          <w:t>2</w:t>
        </w:r>
        <w:r>
          <w:rPr>
            <w:rStyle w:val="PageNumber"/>
          </w:rPr>
          <w:fldChar w:fldCharType="end"/>
        </w:r>
      </w:p>
    </w:sdtContent>
  </w:sdt>
  <w:p w14:paraId="79B5E659" w14:textId="77777777" w:rsidR="008D3B4D" w:rsidRDefault="008D3B4D" w:rsidP="008D3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F4CB" w14:textId="017BE9AC" w:rsidR="008D3B4D" w:rsidRDefault="008D3B4D" w:rsidP="008D3B4D">
    <w:pPr>
      <w:pStyle w:val="Footer"/>
      <w:framePr w:wrap="none" w:vAnchor="text" w:hAnchor="margin" w:xAlign="right" w:y="1"/>
      <w:ind w:right="360"/>
      <w:rPr>
        <w:rStyle w:val="PageNumber"/>
      </w:rPr>
    </w:pPr>
  </w:p>
  <w:p w14:paraId="4E86CB01" w14:textId="43130222" w:rsidR="008D3B4D" w:rsidRDefault="00C34BC0" w:rsidP="008D3B4D">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800968"/>
      <w:docPartObj>
        <w:docPartGallery w:val="Page Numbers (Bottom of Page)"/>
        <w:docPartUnique/>
      </w:docPartObj>
    </w:sdtPr>
    <w:sdtEndPr>
      <w:rPr>
        <w:noProof/>
      </w:rPr>
    </w:sdtEndPr>
    <w:sdtContent>
      <w:p w14:paraId="00F54927" w14:textId="18043D28" w:rsidR="00C34BC0" w:rsidRDefault="00695AF1">
        <w:pPr>
          <w:pStyle w:val="Footer"/>
          <w:jc w:val="right"/>
        </w:pPr>
      </w:p>
    </w:sdtContent>
  </w:sdt>
  <w:p w14:paraId="331ADCEC" w14:textId="77777777" w:rsidR="008D3B4D" w:rsidRDefault="008D3B4D" w:rsidP="008D3B4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0FA" w14:textId="77777777" w:rsidR="0025535C" w:rsidRDefault="0025535C">
    <w:pPr>
      <w:pStyle w:val="Footer"/>
      <w:ind w:right="360"/>
    </w:pPr>
  </w:p>
  <w:p w14:paraId="0722437F" w14:textId="77777777" w:rsidR="00903D85" w:rsidRDefault="00903D8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90846"/>
      <w:docPartObj>
        <w:docPartGallery w:val="Page Numbers (Bottom of Page)"/>
        <w:docPartUnique/>
      </w:docPartObj>
    </w:sdtPr>
    <w:sdtEndPr>
      <w:rPr>
        <w:noProof/>
      </w:rPr>
    </w:sdtEndPr>
    <w:sdtContent>
      <w:p w14:paraId="74D02B45" w14:textId="6A222253" w:rsidR="004D01A8" w:rsidRDefault="004D0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EADB" w14:textId="75F71033" w:rsidR="00C34BC0" w:rsidRDefault="00C34BC0">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5961" w14:textId="77777777" w:rsidR="001F0036" w:rsidRDefault="001F0036" w:rsidP="006F664D">
      <w:pPr>
        <w:spacing w:after="0" w:line="240" w:lineRule="auto"/>
      </w:pPr>
      <w:r>
        <w:separator/>
      </w:r>
    </w:p>
  </w:footnote>
  <w:footnote w:type="continuationSeparator" w:id="0">
    <w:p w14:paraId="00479C6E" w14:textId="77777777" w:rsidR="001F0036" w:rsidRDefault="001F0036" w:rsidP="00964F35">
      <w:pPr>
        <w:spacing w:after="0" w:line="240" w:lineRule="auto"/>
      </w:pPr>
      <w:r>
        <w:continuationSeparator/>
      </w:r>
    </w:p>
    <w:p w14:paraId="5648C927" w14:textId="77777777" w:rsidR="001F0036" w:rsidRDefault="001F0036"/>
  </w:footnote>
  <w:footnote w:type="continuationNotice" w:id="1">
    <w:p w14:paraId="2C7DA8E1" w14:textId="77777777" w:rsidR="001F0036" w:rsidRDefault="001F0036">
      <w:pPr>
        <w:spacing w:after="0" w:line="240" w:lineRule="auto"/>
      </w:pPr>
    </w:p>
    <w:p w14:paraId="6BC47A7B" w14:textId="77777777" w:rsidR="001F0036" w:rsidRDefault="001F0036"/>
  </w:footnote>
  <w:footnote w:id="2">
    <w:p w14:paraId="587A0B9B" w14:textId="75946A24" w:rsidR="00253309" w:rsidRDefault="00253309" w:rsidP="00253309">
      <w:pPr>
        <w:pStyle w:val="FootnoteText"/>
      </w:pPr>
      <w:r>
        <w:rPr>
          <w:rStyle w:val="FootnoteReference"/>
        </w:rPr>
        <w:footnoteRef/>
      </w:r>
      <w:r>
        <w:t xml:space="preserve"> </w:t>
      </w:r>
      <w:r w:rsidRPr="002C2545">
        <w:t xml:space="preserve">Research doctorate degrees include Doctor of Philosophy, Doctor of Education, and other research-intensive doctorates (e.g., Doctor of Engineering, Doctor of Science, Doctor of Nursing Science, </w:t>
      </w:r>
      <w:r w:rsidR="005B1EA6">
        <w:t xml:space="preserve">and </w:t>
      </w:r>
      <w:r w:rsidRPr="002C2545">
        <w:t>Doctor of Public Health).</w:t>
      </w:r>
    </w:p>
  </w:footnote>
  <w:footnote w:id="3">
    <w:p w14:paraId="5D1C2BDF" w14:textId="2FF37F04" w:rsidR="00253309" w:rsidRDefault="00253309" w:rsidP="00253309">
      <w:pPr>
        <w:pStyle w:val="FootnoteText"/>
      </w:pPr>
      <w:r>
        <w:rPr>
          <w:rStyle w:val="FootnoteReference"/>
        </w:rPr>
        <w:footnoteRef/>
      </w:r>
      <w:r>
        <w:t xml:space="preserve"> Beginning with the </w:t>
      </w:r>
      <w:r w:rsidRPr="00ED04ED">
        <w:t>2019–20 GPRA reporting year</w:t>
      </w:r>
      <w:r>
        <w:t>, an adjustment was made to the methodology for assigning participants to bachelor’s degree cohorts for the purposes of calculating the graduate school enrollment rate (see also the Appendix to this report</w:t>
      </w:r>
      <w:bookmarkStart w:id="8" w:name="_Hlk79485119"/>
      <w:r>
        <w:t>). In this findings section, the graduate school enrollment rates for both the 201</w:t>
      </w:r>
      <w:r w:rsidR="003F46F9">
        <w:t>6</w:t>
      </w:r>
      <w:r>
        <w:t>–1</w:t>
      </w:r>
      <w:r w:rsidR="003F46F9">
        <w:t>7</w:t>
      </w:r>
      <w:r>
        <w:t xml:space="preserve"> and the 201</w:t>
      </w:r>
      <w:r w:rsidR="003F46F9">
        <w:t>7</w:t>
      </w:r>
      <w:r>
        <w:t>–1</w:t>
      </w:r>
      <w:r w:rsidR="003F46F9">
        <w:t>8</w:t>
      </w:r>
      <w:r>
        <w:t xml:space="preserve"> cohorts were calculated using the new methodology.</w:t>
      </w:r>
      <w:bookmarkEnd w:id="8"/>
    </w:p>
  </w:footnote>
  <w:footnote w:id="4">
    <w:p w14:paraId="4E26A640" w14:textId="7BA5F3BC" w:rsidR="00CC5ABD" w:rsidRDefault="00CC5ABD" w:rsidP="00EC209C">
      <w:pPr>
        <w:pStyle w:val="FootnoteText"/>
        <w:jc w:val="both"/>
      </w:pPr>
      <w:r>
        <w:rPr>
          <w:rStyle w:val="FootnoteReference"/>
        </w:rPr>
        <w:footnoteRef/>
      </w:r>
      <w:r>
        <w:t xml:space="preserve"> </w:t>
      </w:r>
      <w:r w:rsidRPr="008E03B0">
        <w:t xml:space="preserve">In previous GPRA reporting years, participants were assigned to bachelor’s degree cohorts based on </w:t>
      </w:r>
      <w:r>
        <w:t>multiple</w:t>
      </w:r>
      <w:r w:rsidRPr="008E03B0">
        <w:t xml:space="preserve"> APR fields (i.e.</w:t>
      </w:r>
      <w:r>
        <w:t>,</w:t>
      </w:r>
      <w:r w:rsidRPr="008E03B0">
        <w:t xml:space="preserve"> BADegree, BADegreeDate, EnrollCD, EnterGradeLV, </w:t>
      </w:r>
      <w:r>
        <w:t xml:space="preserve">and </w:t>
      </w:r>
      <w:r w:rsidRPr="008E03B0">
        <w:t>YRGradStudy).</w:t>
      </w:r>
      <w:r>
        <w:t xml:space="preserve"> </w:t>
      </w:r>
      <w:r w:rsidRPr="005D7B83">
        <w:t xml:space="preserve">For example, </w:t>
      </w:r>
      <w:r>
        <w:t xml:space="preserve">using the old methodology for bachelor’s degree cohort assignment, </w:t>
      </w:r>
      <w:r w:rsidRPr="005D7B83">
        <w:t xml:space="preserve">participants </w:t>
      </w:r>
      <w:r>
        <w:t>would have been</w:t>
      </w:r>
      <w:r w:rsidRPr="005D7B83">
        <w:t xml:space="preserve"> assigned to the 201</w:t>
      </w:r>
      <w:r>
        <w:t>6</w:t>
      </w:r>
      <w:r w:rsidRPr="005D7B83">
        <w:t>–1</w:t>
      </w:r>
      <w:r>
        <w:t>7</w:t>
      </w:r>
      <w:r w:rsidRPr="005D7B83">
        <w:t xml:space="preserve"> bachelor’s degree cohort using information from the 201</w:t>
      </w:r>
      <w:r>
        <w:t>6</w:t>
      </w:r>
      <w:r w:rsidRPr="005D7B83">
        <w:t>–1</w:t>
      </w:r>
      <w:r>
        <w:t>7</w:t>
      </w:r>
      <w:r w:rsidRPr="005D7B83">
        <w:t xml:space="preserve"> APR as follows: (1) determine if a student earned a bachelor’s degree prior to 201</w:t>
      </w:r>
      <w:r>
        <w:t>6</w:t>
      </w:r>
      <w:r w:rsidRPr="005D7B83">
        <w:t>–1</w:t>
      </w:r>
      <w:r>
        <w:t>7</w:t>
      </w:r>
      <w:r w:rsidRPr="005D7B83">
        <w:t xml:space="preserve"> and, if so, the student </w:t>
      </w:r>
      <w:r>
        <w:t>would</w:t>
      </w:r>
      <w:r w:rsidRPr="005D7B83">
        <w:t xml:space="preserve"> not </w:t>
      </w:r>
      <w:r>
        <w:t xml:space="preserve">be </w:t>
      </w:r>
      <w:r w:rsidRPr="005D7B83">
        <w:t xml:space="preserve">included in the cohort; (2) for students not already assigned to a cohort, examine the bachelor’s degree status field (BADegree) to see if a degree was earned; if a degree was earned, the date the bachelor’s degree was earned (BADegreeDate) field </w:t>
      </w:r>
      <w:r>
        <w:t>would be</w:t>
      </w:r>
      <w:r w:rsidRPr="005D7B83">
        <w:t xml:space="preserve"> checked to see if the date is between September 1, 201</w:t>
      </w:r>
      <w:r>
        <w:t>6,</w:t>
      </w:r>
      <w:r w:rsidRPr="005D7B83">
        <w:t xml:space="preserve"> and August 31, 201</w:t>
      </w:r>
      <w:r>
        <w:t>7</w:t>
      </w:r>
      <w:r w:rsidRPr="005D7B83">
        <w:t xml:space="preserve"> (if so, participant </w:t>
      </w:r>
      <w:r>
        <w:t>would be</w:t>
      </w:r>
      <w:r w:rsidRPr="005D7B83">
        <w:t xml:space="preserve"> included in the 201</w:t>
      </w:r>
      <w:r>
        <w:t>6</w:t>
      </w:r>
      <w:r w:rsidRPr="005D7B83">
        <w:t>–1</w:t>
      </w:r>
      <w:r>
        <w:t>7</w:t>
      </w:r>
      <w:r w:rsidRPr="005D7B83">
        <w:t xml:space="preserve"> cohort); and (3) if the date that the bachelor’s degree was earned was out-of-range or unknown, then the responses to the fields recording </w:t>
      </w:r>
      <w:r>
        <w:t>current year of graduate study</w:t>
      </w:r>
      <w:r w:rsidRPr="005D7B83">
        <w:t xml:space="preserve"> at the end of the spring/summer term (YRGradStudy)</w:t>
      </w:r>
      <w:r>
        <w:t>,</w:t>
      </w:r>
      <w:r w:rsidRPr="005D7B83">
        <w:t xml:space="preserve"> college grade level at entry into the project (EnterGradeLV)</w:t>
      </w:r>
      <w:r>
        <w:t xml:space="preserve">, </w:t>
      </w:r>
      <w:r w:rsidRPr="005D7B83">
        <w:t xml:space="preserve">and enrollment status for academic </w:t>
      </w:r>
      <w:r w:rsidRPr="00DC01F9">
        <w:t>year being reported (EnrollCD) would be examined to determine whether or not a student should be included in the cohort.</w:t>
      </w:r>
    </w:p>
  </w:footnote>
  <w:footnote w:id="5">
    <w:p w14:paraId="1CCBFFCD" w14:textId="0D36A214" w:rsidR="00253309" w:rsidRDefault="00253309" w:rsidP="00DC01F9">
      <w:pPr>
        <w:pStyle w:val="FootnoteText"/>
      </w:pPr>
      <w:r>
        <w:rPr>
          <w:rStyle w:val="FootnoteReference"/>
        </w:rPr>
        <w:footnoteRef/>
      </w:r>
      <w:r>
        <w:t xml:space="preserve"> Grantees that were first funded in the </w:t>
      </w:r>
      <w:r w:rsidRPr="00C01631">
        <w:t>2017</w:t>
      </w:r>
      <w:r w:rsidR="00884551" w:rsidRPr="00E02E6C">
        <w:rPr>
          <w:rFonts w:ascii="Times New Roman" w:hAnsi="Times New Roman"/>
        </w:rPr>
        <w:t>–</w:t>
      </w:r>
      <w:r w:rsidRPr="00C01631">
        <w:t>22 grant competition</w:t>
      </w:r>
      <w:r>
        <w:t xml:space="preserve"> would not </w:t>
      </w:r>
      <w:r w:rsidR="008211BC">
        <w:t xml:space="preserve">have </w:t>
      </w:r>
      <w:r>
        <w:t xml:space="preserve">served any members of the </w:t>
      </w:r>
      <w:r w:rsidRPr="00C01631">
        <w:t>20</w:t>
      </w:r>
      <w:r w:rsidR="00EB5BC2">
        <w:t>10</w:t>
      </w:r>
      <w:r w:rsidRPr="00C01631">
        <w:t>–</w:t>
      </w:r>
      <w:r>
        <w:t>1</w:t>
      </w:r>
      <w:r w:rsidR="008211BC">
        <w:t>1</w:t>
      </w:r>
      <w:r w:rsidRPr="00C01631">
        <w:t xml:space="preserve"> bachelor’s degree cohort (the basis for the </w:t>
      </w:r>
      <w:r>
        <w:t>research doctoral completion measure</w:t>
      </w:r>
      <w:r w:rsidRPr="00C01631">
        <w:t>)</w:t>
      </w:r>
      <w:r>
        <w:t xml:space="preserve">; therefore, participants served by such grantees are necessarily excluded from the calculations for these performance measures. However, small numbers of </w:t>
      </w:r>
      <w:r w:rsidRPr="0027126C">
        <w:t>20</w:t>
      </w:r>
      <w:r>
        <w:t>1</w:t>
      </w:r>
      <w:r w:rsidR="008211BC">
        <w:t>9</w:t>
      </w:r>
      <w:r w:rsidRPr="0027126C">
        <w:t>–</w:t>
      </w:r>
      <w:r w:rsidR="008211BC">
        <w:t>20</w:t>
      </w:r>
      <w:r>
        <w:t xml:space="preserve"> first-time graduate students were reported by grantees who were first funded </w:t>
      </w:r>
      <w:r w:rsidRPr="0027126C">
        <w:t>in the 2017</w:t>
      </w:r>
      <w:r w:rsidR="00884551" w:rsidRPr="00E02E6C">
        <w:rPr>
          <w:rFonts w:ascii="Times New Roman" w:hAnsi="Times New Roman"/>
        </w:rPr>
        <w:t>–</w:t>
      </w:r>
      <w:r w:rsidRPr="0027126C">
        <w:t>22 grant competition</w:t>
      </w:r>
      <w:r>
        <w:t>, and these participants are included in the calculations for the graduate school persistence measure (see also Table 2).</w:t>
      </w:r>
    </w:p>
  </w:footnote>
  <w:footnote w:id="6">
    <w:p w14:paraId="592123A1" w14:textId="5B8A2169" w:rsidR="00253309" w:rsidRDefault="00253309" w:rsidP="00DC01F9">
      <w:pPr>
        <w:pStyle w:val="FootnoteText"/>
      </w:pPr>
      <w:r>
        <w:rPr>
          <w:rStyle w:val="FootnoteReference"/>
        </w:rPr>
        <w:footnoteRef/>
      </w:r>
      <w:r>
        <w:t xml:space="preserve"> </w:t>
      </w:r>
      <w:r w:rsidRPr="00FF27E1">
        <w:t>In this analysis, McNair APR data were matched, at the individual participant-level, with data from the National Science Foundation’s Survey of Earned Doctorates (SED). The SED provided additional information about McNair scholars who completed a research doctorate. The study found that for 30 percent of the McNair participants who completed a bachelor’s degree in 1998–99 and completed a research doctorate by 2014, more than 10 years had elapsed between earning a bachelor’s degree and obtaining a research doctorate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6F12" w14:textId="77777777" w:rsidR="006A0546" w:rsidRDefault="006A0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CEE8" w14:textId="77777777" w:rsidR="006A0546" w:rsidRDefault="006A0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77C3" w14:textId="77777777" w:rsidR="006A0546" w:rsidRDefault="006A05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DA7E" w14:textId="77777777" w:rsidR="0025535C" w:rsidRPr="00EB7BEF" w:rsidRDefault="00714495">
    <w:pPr>
      <w:pStyle w:val="Header"/>
      <w:rPr>
        <w:rFonts w:ascii="Arial" w:hAnsi="Arial" w:cs="Arial"/>
        <w:color w:val="0A357E"/>
        <w:sz w:val="18"/>
        <w:szCs w:val="18"/>
      </w:rPr>
    </w:pPr>
    <w:r w:rsidRPr="00EB7BEF">
      <w:rPr>
        <w:rFonts w:ascii="Arial" w:hAnsi="Arial" w:cs="Arial"/>
        <w:b/>
        <w:bCs/>
        <w:color w:val="0A357E"/>
        <w:sz w:val="20"/>
        <w:szCs w:val="20"/>
      </w:rPr>
      <w:fldChar w:fldCharType="begin"/>
    </w:r>
    <w:r w:rsidRPr="00EB7BEF">
      <w:rPr>
        <w:rFonts w:ascii="Arial" w:hAnsi="Arial" w:cs="Arial"/>
        <w:b/>
        <w:bCs/>
        <w:color w:val="0A357E"/>
        <w:sz w:val="20"/>
        <w:szCs w:val="20"/>
      </w:rPr>
      <w:instrText xml:space="preserve"> PAGE   \* MERGEFORMAT </w:instrText>
    </w:r>
    <w:r w:rsidRPr="00EB7BEF">
      <w:rPr>
        <w:rFonts w:ascii="Arial" w:hAnsi="Arial" w:cs="Arial"/>
        <w:b/>
        <w:bCs/>
        <w:color w:val="0A357E"/>
        <w:sz w:val="20"/>
        <w:szCs w:val="20"/>
      </w:rPr>
      <w:fldChar w:fldCharType="separate"/>
    </w:r>
    <w:r>
      <w:rPr>
        <w:rFonts w:ascii="Arial" w:hAnsi="Arial" w:cs="Arial"/>
        <w:b/>
        <w:bCs/>
        <w:noProof/>
        <w:color w:val="0A357E"/>
        <w:sz w:val="20"/>
        <w:szCs w:val="20"/>
      </w:rPr>
      <w:t>8</w:t>
    </w:r>
    <w:r w:rsidRPr="00EB7BEF">
      <w:rPr>
        <w:rFonts w:ascii="Arial" w:hAnsi="Arial" w:cs="Arial"/>
        <w:b/>
        <w:bCs/>
        <w:noProof/>
        <w:color w:val="0A357E"/>
        <w:sz w:val="20"/>
        <w:szCs w:val="20"/>
      </w:rPr>
      <w:fldChar w:fldCharType="end"/>
    </w:r>
    <w:r w:rsidRPr="00EB7BEF">
      <w:rPr>
        <w:rFonts w:ascii="Arial" w:hAnsi="Arial" w:cs="Arial"/>
        <w:noProof/>
        <w:color w:val="0A357E"/>
        <w:sz w:val="20"/>
        <w:szCs w:val="20"/>
      </w:rPr>
      <w:t xml:space="preserve"> | </w:t>
    </w:r>
    <w:r w:rsidRPr="00EB7BEF">
      <w:rPr>
        <w:rFonts w:ascii="Arial" w:hAnsi="Arial" w:cs="Arial"/>
        <w:color w:val="0A357E"/>
        <w:sz w:val="16"/>
        <w:szCs w:val="16"/>
      </w:rPr>
      <w:t xml:space="preserve">MCNAIR POSTBACCALAUREATE ACHIEVEMENT PROGRAM PERFORMANCE RESULTS: </w:t>
    </w:r>
    <w:r>
      <w:rPr>
        <w:rFonts w:ascii="Arial" w:hAnsi="Arial" w:cs="Arial"/>
        <w:color w:val="0A357E"/>
        <w:sz w:val="16"/>
        <w:szCs w:val="16"/>
      </w:rPr>
      <w:t>2019–20</w:t>
    </w:r>
  </w:p>
  <w:p w14:paraId="625804E6" w14:textId="77777777" w:rsidR="00903D85" w:rsidRDefault="00903D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DC3E" w14:textId="77777777" w:rsidR="00903D85" w:rsidRPr="004C3F27" w:rsidRDefault="00903D85" w:rsidP="004C3F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7B86" w14:textId="77777777" w:rsidR="00903D85" w:rsidRPr="004C3F27" w:rsidRDefault="00903D85" w:rsidP="004C3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820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4EDFB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90AC17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362C92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A82F4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98CBA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1CE9D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810FE7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D2C85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648DB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A0D0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16B90"/>
    <w:multiLevelType w:val="hybridMultilevel"/>
    <w:tmpl w:val="6B4E15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15:restartNumberingAfterBreak="0">
    <w:nsid w:val="0A5A611F"/>
    <w:multiLevelType w:val="hybridMultilevel"/>
    <w:tmpl w:val="38BE1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0868BF"/>
    <w:multiLevelType w:val="hybridMultilevel"/>
    <w:tmpl w:val="5240B8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366571"/>
    <w:multiLevelType w:val="hybridMultilevel"/>
    <w:tmpl w:val="E6B68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1E20A0"/>
    <w:multiLevelType w:val="hybridMultilevel"/>
    <w:tmpl w:val="E1E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066E44"/>
    <w:multiLevelType w:val="hybridMultilevel"/>
    <w:tmpl w:val="07E4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E144C4"/>
    <w:multiLevelType w:val="multilevel"/>
    <w:tmpl w:val="030C3B9C"/>
    <w:lvl w:ilvl="0">
      <w:start w:val="1"/>
      <w:numFmt w:val="decimal"/>
      <w:lvlText w:val="Section %1."/>
      <w:lvlJc w:val="left"/>
      <w:pPr>
        <w:tabs>
          <w:tab w:val="num" w:pos="0"/>
        </w:tabs>
        <w:ind w:left="0" w:firstLine="288"/>
      </w:pPr>
      <w:rPr>
        <w:rFonts w:hint="default"/>
        <w:b/>
        <w:bCs w:val="0"/>
        <w:i w:val="0"/>
        <w:iCs w:val="0"/>
        <w:caps w:val="0"/>
        <w:strike w:val="0"/>
        <w:dstrike w:val="0"/>
        <w:vanish w:val="0"/>
        <w:spacing w:val="0"/>
        <w:kern w:val="0"/>
        <w:position w:val="0"/>
        <w:u w:val="none"/>
        <w:vertAlign w:val="baseline"/>
        <w:em w:val="none"/>
      </w:rPr>
    </w:lvl>
    <w:lvl w:ilvl="1">
      <w:start w:val="1"/>
      <w:numFmt w:val="decimal"/>
      <w:lvlText w:val="%1.%2"/>
      <w:lvlJc w:val="left"/>
      <w:pPr>
        <w:tabs>
          <w:tab w:val="num" w:pos="450"/>
        </w:tabs>
        <w:ind w:left="450" w:hanging="360"/>
      </w:pPr>
      <w:rPr>
        <w:rFonts w:hint="default"/>
      </w:rPr>
    </w:lvl>
    <w:lvl w:ilvl="2">
      <w:start w:val="1"/>
      <w:numFmt w:val="decimal"/>
      <w:lvlText w:val="%1.%2.%3"/>
      <w:lvlJc w:val="left"/>
      <w:pPr>
        <w:tabs>
          <w:tab w:val="num" w:pos="360"/>
        </w:tabs>
        <w:ind w:left="360" w:hanging="360"/>
      </w:pPr>
      <w:rPr>
        <w:rFonts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11116E30"/>
    <w:multiLevelType w:val="hybridMultilevel"/>
    <w:tmpl w:val="FD32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4A53A3"/>
    <w:multiLevelType w:val="hybridMultilevel"/>
    <w:tmpl w:val="CC2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A241B5"/>
    <w:multiLevelType w:val="hybridMultilevel"/>
    <w:tmpl w:val="174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C74ADB"/>
    <w:multiLevelType w:val="hybridMultilevel"/>
    <w:tmpl w:val="ED38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992EC7"/>
    <w:multiLevelType w:val="hybridMultilevel"/>
    <w:tmpl w:val="E7543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B44F03"/>
    <w:multiLevelType w:val="hybridMultilevel"/>
    <w:tmpl w:val="EFE0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5A0ACC"/>
    <w:multiLevelType w:val="multilevel"/>
    <w:tmpl w:val="B792CAA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0"/>
        </w:tabs>
        <w:ind w:left="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1440"/>
        </w:tabs>
        <w:ind w:left="1440" w:hanging="360"/>
      </w:pPr>
      <w:rPr>
        <w:rFonts w:ascii="Wingdings" w:hAnsi="Wingdings" w:hint="default"/>
        <w:sz w:val="20"/>
      </w:rPr>
    </w:lvl>
    <w:lvl w:ilvl="6" w:tentative="1">
      <w:start w:val="1"/>
      <w:numFmt w:val="bullet"/>
      <w:lvlText w:val=""/>
      <w:lvlJc w:val="left"/>
      <w:pPr>
        <w:tabs>
          <w:tab w:val="num" w:pos="2160"/>
        </w:tabs>
        <w:ind w:left="2160" w:hanging="360"/>
      </w:pPr>
      <w:rPr>
        <w:rFonts w:ascii="Wingdings" w:hAnsi="Wingdings" w:hint="default"/>
        <w:sz w:val="20"/>
      </w:rPr>
    </w:lvl>
    <w:lvl w:ilvl="7" w:tentative="1">
      <w:start w:val="1"/>
      <w:numFmt w:val="bullet"/>
      <w:lvlText w:val=""/>
      <w:lvlJc w:val="left"/>
      <w:pPr>
        <w:tabs>
          <w:tab w:val="num" w:pos="2880"/>
        </w:tabs>
        <w:ind w:left="2880" w:hanging="360"/>
      </w:pPr>
      <w:rPr>
        <w:rFonts w:ascii="Wingdings" w:hAnsi="Wingdings" w:hint="default"/>
        <w:sz w:val="20"/>
      </w:rPr>
    </w:lvl>
    <w:lvl w:ilvl="8" w:tentative="1">
      <w:start w:val="1"/>
      <w:numFmt w:val="bullet"/>
      <w:lvlText w:val=""/>
      <w:lvlJc w:val="left"/>
      <w:pPr>
        <w:tabs>
          <w:tab w:val="num" w:pos="3600"/>
        </w:tabs>
        <w:ind w:left="3600" w:hanging="360"/>
      </w:pPr>
      <w:rPr>
        <w:rFonts w:ascii="Wingdings" w:hAnsi="Wingdings" w:hint="default"/>
        <w:sz w:val="20"/>
      </w:rPr>
    </w:lvl>
  </w:abstractNum>
  <w:abstractNum w:abstractNumId="25" w15:restartNumberingAfterBreak="0">
    <w:nsid w:val="23356CF4"/>
    <w:multiLevelType w:val="hybridMultilevel"/>
    <w:tmpl w:val="5D24A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B00796"/>
    <w:multiLevelType w:val="hybridMultilevel"/>
    <w:tmpl w:val="4684C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8619D3"/>
    <w:multiLevelType w:val="hybridMultilevel"/>
    <w:tmpl w:val="E8441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A928D0"/>
    <w:multiLevelType w:val="hybridMultilevel"/>
    <w:tmpl w:val="566855DA"/>
    <w:lvl w:ilvl="0" w:tplc="ECE2492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9364115"/>
    <w:multiLevelType w:val="hybridMultilevel"/>
    <w:tmpl w:val="F0F80F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B0E5340"/>
    <w:multiLevelType w:val="hybridMultilevel"/>
    <w:tmpl w:val="FD569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7360A"/>
    <w:multiLevelType w:val="hybridMultilevel"/>
    <w:tmpl w:val="D2303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504C3"/>
    <w:multiLevelType w:val="hybridMultilevel"/>
    <w:tmpl w:val="D1BC9F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5593443"/>
    <w:multiLevelType w:val="hybridMultilevel"/>
    <w:tmpl w:val="466AB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3600F"/>
    <w:multiLevelType w:val="hybridMultilevel"/>
    <w:tmpl w:val="C5F873B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6A20BE"/>
    <w:multiLevelType w:val="hybridMultilevel"/>
    <w:tmpl w:val="DFEC25AA"/>
    <w:lvl w:ilvl="0" w:tplc="CA06C056">
      <w:start w:val="2004"/>
      <w:numFmt w:val="bullet"/>
      <w:pStyle w:val="6enspitem"/>
      <w:lvlText w:val=""/>
      <w:lvlJc w:val="left"/>
      <w:pPr>
        <w:tabs>
          <w:tab w:val="num" w:pos="720"/>
        </w:tabs>
        <w:ind w:left="720" w:hanging="360"/>
      </w:pPr>
      <w:rPr>
        <w:rFonts w:ascii="Symbol" w:eastAsia="Times New Roman" w:hAnsi="Symbol" w:cs="Arial" w:hint="default"/>
      </w:rPr>
    </w:lvl>
    <w:lvl w:ilvl="1" w:tplc="302C80C4">
      <w:start w:val="1"/>
      <w:numFmt w:val="decimal"/>
      <w:lvlText w:val="%2."/>
      <w:lvlJc w:val="left"/>
      <w:pPr>
        <w:tabs>
          <w:tab w:val="num" w:pos="1440"/>
        </w:tabs>
        <w:ind w:left="1440" w:hanging="360"/>
      </w:pPr>
      <w:rPr>
        <w:rFonts w:hint="default"/>
      </w:rPr>
    </w:lvl>
    <w:lvl w:ilvl="2" w:tplc="3DA66C4E" w:tentative="1">
      <w:start w:val="1"/>
      <w:numFmt w:val="bullet"/>
      <w:lvlText w:val=""/>
      <w:lvlJc w:val="left"/>
      <w:pPr>
        <w:tabs>
          <w:tab w:val="num" w:pos="2160"/>
        </w:tabs>
        <w:ind w:left="2160" w:hanging="360"/>
      </w:pPr>
      <w:rPr>
        <w:rFonts w:ascii="Wingdings" w:hAnsi="Wingdings" w:hint="default"/>
      </w:rPr>
    </w:lvl>
    <w:lvl w:ilvl="3" w:tplc="440A94D6" w:tentative="1">
      <w:start w:val="1"/>
      <w:numFmt w:val="bullet"/>
      <w:lvlText w:val=""/>
      <w:lvlJc w:val="left"/>
      <w:pPr>
        <w:tabs>
          <w:tab w:val="num" w:pos="2880"/>
        </w:tabs>
        <w:ind w:left="2880" w:hanging="360"/>
      </w:pPr>
      <w:rPr>
        <w:rFonts w:ascii="Symbol" w:hAnsi="Symbol" w:hint="default"/>
      </w:rPr>
    </w:lvl>
    <w:lvl w:ilvl="4" w:tplc="465472B2" w:tentative="1">
      <w:start w:val="1"/>
      <w:numFmt w:val="bullet"/>
      <w:lvlText w:val="o"/>
      <w:lvlJc w:val="left"/>
      <w:pPr>
        <w:tabs>
          <w:tab w:val="num" w:pos="3600"/>
        </w:tabs>
        <w:ind w:left="3600" w:hanging="360"/>
      </w:pPr>
      <w:rPr>
        <w:rFonts w:ascii="Courier New" w:hAnsi="Courier New" w:cs="Courier New" w:hint="default"/>
      </w:rPr>
    </w:lvl>
    <w:lvl w:ilvl="5" w:tplc="93C0C83C" w:tentative="1">
      <w:start w:val="1"/>
      <w:numFmt w:val="bullet"/>
      <w:lvlText w:val=""/>
      <w:lvlJc w:val="left"/>
      <w:pPr>
        <w:tabs>
          <w:tab w:val="num" w:pos="4320"/>
        </w:tabs>
        <w:ind w:left="4320" w:hanging="360"/>
      </w:pPr>
      <w:rPr>
        <w:rFonts w:ascii="Wingdings" w:hAnsi="Wingdings" w:hint="default"/>
      </w:rPr>
    </w:lvl>
    <w:lvl w:ilvl="6" w:tplc="2D80F9E4" w:tentative="1">
      <w:start w:val="1"/>
      <w:numFmt w:val="bullet"/>
      <w:lvlText w:val=""/>
      <w:lvlJc w:val="left"/>
      <w:pPr>
        <w:tabs>
          <w:tab w:val="num" w:pos="5040"/>
        </w:tabs>
        <w:ind w:left="5040" w:hanging="360"/>
      </w:pPr>
      <w:rPr>
        <w:rFonts w:ascii="Symbol" w:hAnsi="Symbol" w:hint="default"/>
      </w:rPr>
    </w:lvl>
    <w:lvl w:ilvl="7" w:tplc="2B20AF56" w:tentative="1">
      <w:start w:val="1"/>
      <w:numFmt w:val="bullet"/>
      <w:lvlText w:val="o"/>
      <w:lvlJc w:val="left"/>
      <w:pPr>
        <w:tabs>
          <w:tab w:val="num" w:pos="5760"/>
        </w:tabs>
        <w:ind w:left="5760" w:hanging="360"/>
      </w:pPr>
      <w:rPr>
        <w:rFonts w:ascii="Courier New" w:hAnsi="Courier New" w:cs="Courier New" w:hint="default"/>
      </w:rPr>
    </w:lvl>
    <w:lvl w:ilvl="8" w:tplc="F3BE878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0F3C6B"/>
    <w:multiLevelType w:val="hybridMultilevel"/>
    <w:tmpl w:val="434E69CC"/>
    <w:lvl w:ilvl="0" w:tplc="04090015">
      <w:start w:val="1"/>
      <w:numFmt w:val="upperLetter"/>
      <w:pStyle w:val="AppL2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AD54B1"/>
    <w:multiLevelType w:val="hybridMultilevel"/>
    <w:tmpl w:val="AA783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EA5AF2"/>
    <w:multiLevelType w:val="hybridMultilevel"/>
    <w:tmpl w:val="DCEA9DAE"/>
    <w:lvl w:ilvl="0" w:tplc="D082A6E2">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ED010D"/>
    <w:multiLevelType w:val="hybridMultilevel"/>
    <w:tmpl w:val="8FF05C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78268A7"/>
    <w:multiLevelType w:val="hybridMultilevel"/>
    <w:tmpl w:val="580A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CB4756"/>
    <w:multiLevelType w:val="hybridMultilevel"/>
    <w:tmpl w:val="7CC4047A"/>
    <w:lvl w:ilvl="0" w:tplc="FFFFFFFF">
      <w:start w:val="1"/>
      <w:numFmt w:val="bullet"/>
      <w:pStyle w:val="bulletround"/>
      <w:lvlText w:val=""/>
      <w:lvlJc w:val="left"/>
      <w:pPr>
        <w:ind w:left="720" w:hanging="360"/>
      </w:pPr>
      <w:rPr>
        <w:rFonts w:ascii="Symbol" w:hAnsi="Symbol" w:hint="default"/>
      </w:rPr>
    </w:lvl>
    <w:lvl w:ilvl="1" w:tplc="0409000F">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E500D7"/>
    <w:multiLevelType w:val="hybridMultilevel"/>
    <w:tmpl w:val="BD281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0F651C"/>
    <w:multiLevelType w:val="hybridMultilevel"/>
    <w:tmpl w:val="5798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C0B63"/>
    <w:multiLevelType w:val="hybridMultilevel"/>
    <w:tmpl w:val="77185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816A86"/>
    <w:multiLevelType w:val="hybridMultilevel"/>
    <w:tmpl w:val="D15A0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2E65CA"/>
    <w:multiLevelType w:val="hybridMultilevel"/>
    <w:tmpl w:val="73420AB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15:restartNumberingAfterBreak="0">
    <w:nsid w:val="7A1421EE"/>
    <w:multiLevelType w:val="hybridMultilevel"/>
    <w:tmpl w:val="9FF061B6"/>
    <w:lvl w:ilvl="0" w:tplc="04090019">
      <w:start w:val="1"/>
      <w:numFmt w:val="lowerLetter"/>
      <w:lvlText w:val="%1."/>
      <w:lvlJc w:val="left"/>
      <w:pPr>
        <w:ind w:left="720" w:hanging="360"/>
      </w:pPr>
      <w:rPr>
        <w:rFonts w:hint="default"/>
      </w:rPr>
    </w:lvl>
    <w:lvl w:ilvl="1" w:tplc="0409000F">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918140">
    <w:abstractNumId w:val="41"/>
  </w:num>
  <w:num w:numId="2" w16cid:durableId="1333221962">
    <w:abstractNumId w:val="17"/>
  </w:num>
  <w:num w:numId="3" w16cid:durableId="507791469">
    <w:abstractNumId w:val="18"/>
  </w:num>
  <w:num w:numId="4" w16cid:durableId="540367163">
    <w:abstractNumId w:val="37"/>
  </w:num>
  <w:num w:numId="5" w16cid:durableId="803892368">
    <w:abstractNumId w:val="40"/>
  </w:num>
  <w:num w:numId="6" w16cid:durableId="1937519852">
    <w:abstractNumId w:val="13"/>
  </w:num>
  <w:num w:numId="7" w16cid:durableId="1067849236">
    <w:abstractNumId w:val="39"/>
  </w:num>
  <w:num w:numId="8" w16cid:durableId="1411464272">
    <w:abstractNumId w:val="16"/>
  </w:num>
  <w:num w:numId="9" w16cid:durableId="1620985977">
    <w:abstractNumId w:val="44"/>
  </w:num>
  <w:num w:numId="10" w16cid:durableId="448086830">
    <w:abstractNumId w:val="46"/>
  </w:num>
  <w:num w:numId="11" w16cid:durableId="1958562636">
    <w:abstractNumId w:val="21"/>
  </w:num>
  <w:num w:numId="12" w16cid:durableId="909775739">
    <w:abstractNumId w:val="35"/>
  </w:num>
  <w:num w:numId="13" w16cid:durableId="212931673">
    <w:abstractNumId w:val="10"/>
  </w:num>
  <w:num w:numId="14" w16cid:durableId="1452476957">
    <w:abstractNumId w:val="36"/>
  </w:num>
  <w:num w:numId="15" w16cid:durableId="620958121">
    <w:abstractNumId w:val="47"/>
  </w:num>
  <w:num w:numId="16" w16cid:durableId="521823599">
    <w:abstractNumId w:val="12"/>
  </w:num>
  <w:num w:numId="17" w16cid:durableId="451098203">
    <w:abstractNumId w:val="42"/>
  </w:num>
  <w:num w:numId="18" w16cid:durableId="1768117016">
    <w:abstractNumId w:val="14"/>
  </w:num>
  <w:num w:numId="19" w16cid:durableId="1747265294">
    <w:abstractNumId w:val="31"/>
  </w:num>
  <w:num w:numId="20" w16cid:durableId="69431075">
    <w:abstractNumId w:val="25"/>
  </w:num>
  <w:num w:numId="21" w16cid:durableId="350379333">
    <w:abstractNumId w:val="28"/>
  </w:num>
  <w:num w:numId="22" w16cid:durableId="391315711">
    <w:abstractNumId w:val="29"/>
  </w:num>
  <w:num w:numId="23" w16cid:durableId="145514423">
    <w:abstractNumId w:val="24"/>
  </w:num>
  <w:num w:numId="24" w16cid:durableId="301235108">
    <w:abstractNumId w:val="43"/>
  </w:num>
  <w:num w:numId="25" w16cid:durableId="1545866310">
    <w:abstractNumId w:val="11"/>
  </w:num>
  <w:num w:numId="26" w16cid:durableId="2005083909">
    <w:abstractNumId w:val="23"/>
  </w:num>
  <w:num w:numId="27" w16cid:durableId="1333992303">
    <w:abstractNumId w:val="26"/>
  </w:num>
  <w:num w:numId="28" w16cid:durableId="2050910139">
    <w:abstractNumId w:val="15"/>
  </w:num>
  <w:num w:numId="29" w16cid:durableId="36317093">
    <w:abstractNumId w:val="45"/>
  </w:num>
  <w:num w:numId="30" w16cid:durableId="1089081532">
    <w:abstractNumId w:val="27"/>
  </w:num>
  <w:num w:numId="31" w16cid:durableId="186607602">
    <w:abstractNumId w:val="32"/>
  </w:num>
  <w:num w:numId="32" w16cid:durableId="1688603489">
    <w:abstractNumId w:val="0"/>
  </w:num>
  <w:num w:numId="33" w16cid:durableId="1069881497">
    <w:abstractNumId w:val="34"/>
  </w:num>
  <w:num w:numId="34" w16cid:durableId="1862236617">
    <w:abstractNumId w:val="20"/>
  </w:num>
  <w:num w:numId="35" w16cid:durableId="1919292692">
    <w:abstractNumId w:val="19"/>
  </w:num>
  <w:num w:numId="36" w16cid:durableId="361592879">
    <w:abstractNumId w:val="38"/>
  </w:num>
  <w:num w:numId="37" w16cid:durableId="634260515">
    <w:abstractNumId w:val="22"/>
  </w:num>
  <w:num w:numId="38" w16cid:durableId="1123772867">
    <w:abstractNumId w:val="30"/>
  </w:num>
  <w:num w:numId="39" w16cid:durableId="92634738">
    <w:abstractNumId w:val="33"/>
  </w:num>
  <w:num w:numId="40" w16cid:durableId="1879971659">
    <w:abstractNumId w:val="8"/>
  </w:num>
  <w:num w:numId="41" w16cid:durableId="1686592172">
    <w:abstractNumId w:val="7"/>
  </w:num>
  <w:num w:numId="42" w16cid:durableId="515272499">
    <w:abstractNumId w:val="6"/>
  </w:num>
  <w:num w:numId="43" w16cid:durableId="1126894216">
    <w:abstractNumId w:val="5"/>
  </w:num>
  <w:num w:numId="44" w16cid:durableId="1125469495">
    <w:abstractNumId w:val="9"/>
  </w:num>
  <w:num w:numId="45" w16cid:durableId="562645894">
    <w:abstractNumId w:val="4"/>
  </w:num>
  <w:num w:numId="46" w16cid:durableId="1410806719">
    <w:abstractNumId w:val="3"/>
  </w:num>
  <w:num w:numId="47" w16cid:durableId="84696810">
    <w:abstractNumId w:val="2"/>
  </w:num>
  <w:num w:numId="48" w16cid:durableId="1959096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37"/>
    <w:rsid w:val="00000519"/>
    <w:rsid w:val="00010958"/>
    <w:rsid w:val="00025C20"/>
    <w:rsid w:val="00026BE1"/>
    <w:rsid w:val="0003067A"/>
    <w:rsid w:val="000317EF"/>
    <w:rsid w:val="00040E26"/>
    <w:rsid w:val="00052854"/>
    <w:rsid w:val="00052BB4"/>
    <w:rsid w:val="0007044E"/>
    <w:rsid w:val="00073082"/>
    <w:rsid w:val="00074F11"/>
    <w:rsid w:val="000770A5"/>
    <w:rsid w:val="0007765E"/>
    <w:rsid w:val="000778B1"/>
    <w:rsid w:val="0008298A"/>
    <w:rsid w:val="00082A78"/>
    <w:rsid w:val="00083C14"/>
    <w:rsid w:val="00084A14"/>
    <w:rsid w:val="00086EA0"/>
    <w:rsid w:val="000902D7"/>
    <w:rsid w:val="000928DC"/>
    <w:rsid w:val="00093C12"/>
    <w:rsid w:val="00095F53"/>
    <w:rsid w:val="00097131"/>
    <w:rsid w:val="000A0833"/>
    <w:rsid w:val="000B12E5"/>
    <w:rsid w:val="000B1861"/>
    <w:rsid w:val="000B3D3C"/>
    <w:rsid w:val="000B432F"/>
    <w:rsid w:val="000B4923"/>
    <w:rsid w:val="000C2193"/>
    <w:rsid w:val="000E23BE"/>
    <w:rsid w:val="000E2B75"/>
    <w:rsid w:val="000E69A2"/>
    <w:rsid w:val="000F1E38"/>
    <w:rsid w:val="000F4169"/>
    <w:rsid w:val="001001E5"/>
    <w:rsid w:val="00100B05"/>
    <w:rsid w:val="00102AB5"/>
    <w:rsid w:val="00103D90"/>
    <w:rsid w:val="0010439A"/>
    <w:rsid w:val="001073FB"/>
    <w:rsid w:val="00113C93"/>
    <w:rsid w:val="001154E6"/>
    <w:rsid w:val="0011731A"/>
    <w:rsid w:val="001245DE"/>
    <w:rsid w:val="001343E9"/>
    <w:rsid w:val="00137CFB"/>
    <w:rsid w:val="00144950"/>
    <w:rsid w:val="00145C39"/>
    <w:rsid w:val="00146593"/>
    <w:rsid w:val="00151940"/>
    <w:rsid w:val="00160FA0"/>
    <w:rsid w:val="001704B7"/>
    <w:rsid w:val="001737E7"/>
    <w:rsid w:val="001745AE"/>
    <w:rsid w:val="00175C22"/>
    <w:rsid w:val="00176493"/>
    <w:rsid w:val="001847BA"/>
    <w:rsid w:val="00185843"/>
    <w:rsid w:val="001942A0"/>
    <w:rsid w:val="001A3F1C"/>
    <w:rsid w:val="001A3FAB"/>
    <w:rsid w:val="001A7F52"/>
    <w:rsid w:val="001B2C85"/>
    <w:rsid w:val="001B4C7E"/>
    <w:rsid w:val="001C5BA5"/>
    <w:rsid w:val="001C67AF"/>
    <w:rsid w:val="001C7956"/>
    <w:rsid w:val="001D4E53"/>
    <w:rsid w:val="001D7DDD"/>
    <w:rsid w:val="001E30DD"/>
    <w:rsid w:val="001F0036"/>
    <w:rsid w:val="001F159C"/>
    <w:rsid w:val="001F6939"/>
    <w:rsid w:val="002019A0"/>
    <w:rsid w:val="002045A3"/>
    <w:rsid w:val="002101F3"/>
    <w:rsid w:val="00214B8F"/>
    <w:rsid w:val="00221AF6"/>
    <w:rsid w:val="00222352"/>
    <w:rsid w:val="00225851"/>
    <w:rsid w:val="0023320A"/>
    <w:rsid w:val="00242A09"/>
    <w:rsid w:val="00243AA9"/>
    <w:rsid w:val="002511CC"/>
    <w:rsid w:val="00251A7C"/>
    <w:rsid w:val="00253309"/>
    <w:rsid w:val="0025535C"/>
    <w:rsid w:val="0025662E"/>
    <w:rsid w:val="0026005F"/>
    <w:rsid w:val="00267403"/>
    <w:rsid w:val="00270350"/>
    <w:rsid w:val="00277709"/>
    <w:rsid w:val="00277A38"/>
    <w:rsid w:val="00282A2F"/>
    <w:rsid w:val="00282DF3"/>
    <w:rsid w:val="00283E9C"/>
    <w:rsid w:val="002877B0"/>
    <w:rsid w:val="00297F05"/>
    <w:rsid w:val="002A1106"/>
    <w:rsid w:val="002A13F6"/>
    <w:rsid w:val="002A7B9B"/>
    <w:rsid w:val="002B43F2"/>
    <w:rsid w:val="002B4C48"/>
    <w:rsid w:val="002B5B64"/>
    <w:rsid w:val="002C51D1"/>
    <w:rsid w:val="002D5ED0"/>
    <w:rsid w:val="002E0DDC"/>
    <w:rsid w:val="002E1898"/>
    <w:rsid w:val="002E1992"/>
    <w:rsid w:val="002E3CF3"/>
    <w:rsid w:val="002E4012"/>
    <w:rsid w:val="002E7701"/>
    <w:rsid w:val="002E7B87"/>
    <w:rsid w:val="002F688E"/>
    <w:rsid w:val="00301931"/>
    <w:rsid w:val="00301B13"/>
    <w:rsid w:val="0030775D"/>
    <w:rsid w:val="003147ED"/>
    <w:rsid w:val="00320566"/>
    <w:rsid w:val="003270AD"/>
    <w:rsid w:val="00330E37"/>
    <w:rsid w:val="00332B15"/>
    <w:rsid w:val="0034195F"/>
    <w:rsid w:val="0034214E"/>
    <w:rsid w:val="00342394"/>
    <w:rsid w:val="0034307D"/>
    <w:rsid w:val="00343FE6"/>
    <w:rsid w:val="0034416D"/>
    <w:rsid w:val="0034786E"/>
    <w:rsid w:val="00350821"/>
    <w:rsid w:val="00354E4F"/>
    <w:rsid w:val="0036457B"/>
    <w:rsid w:val="0038111E"/>
    <w:rsid w:val="00385448"/>
    <w:rsid w:val="00387D4B"/>
    <w:rsid w:val="0039220D"/>
    <w:rsid w:val="0039721C"/>
    <w:rsid w:val="003A0ED4"/>
    <w:rsid w:val="003A10D9"/>
    <w:rsid w:val="003A228A"/>
    <w:rsid w:val="003A2B9F"/>
    <w:rsid w:val="003A4DC7"/>
    <w:rsid w:val="003A4E18"/>
    <w:rsid w:val="003A603D"/>
    <w:rsid w:val="003A7B3D"/>
    <w:rsid w:val="003B2BDE"/>
    <w:rsid w:val="003B61A7"/>
    <w:rsid w:val="003B6E58"/>
    <w:rsid w:val="003C2203"/>
    <w:rsid w:val="003C2D3D"/>
    <w:rsid w:val="003C44F1"/>
    <w:rsid w:val="003C7427"/>
    <w:rsid w:val="003D0549"/>
    <w:rsid w:val="003D1F26"/>
    <w:rsid w:val="003E4200"/>
    <w:rsid w:val="003E4C1A"/>
    <w:rsid w:val="003F0F07"/>
    <w:rsid w:val="003F46F9"/>
    <w:rsid w:val="00403C87"/>
    <w:rsid w:val="00406708"/>
    <w:rsid w:val="00406F37"/>
    <w:rsid w:val="00413D4F"/>
    <w:rsid w:val="00423E0D"/>
    <w:rsid w:val="004329EF"/>
    <w:rsid w:val="004332FA"/>
    <w:rsid w:val="00434317"/>
    <w:rsid w:val="00435697"/>
    <w:rsid w:val="004379C5"/>
    <w:rsid w:val="004430FF"/>
    <w:rsid w:val="004475AF"/>
    <w:rsid w:val="00453E9F"/>
    <w:rsid w:val="00454703"/>
    <w:rsid w:val="00454990"/>
    <w:rsid w:val="0047269A"/>
    <w:rsid w:val="00482C43"/>
    <w:rsid w:val="00482F82"/>
    <w:rsid w:val="004842C2"/>
    <w:rsid w:val="00490D4C"/>
    <w:rsid w:val="00493B90"/>
    <w:rsid w:val="00495F28"/>
    <w:rsid w:val="004B0943"/>
    <w:rsid w:val="004B1C2B"/>
    <w:rsid w:val="004B7E17"/>
    <w:rsid w:val="004C0C21"/>
    <w:rsid w:val="004C1180"/>
    <w:rsid w:val="004C3F27"/>
    <w:rsid w:val="004C534D"/>
    <w:rsid w:val="004C6496"/>
    <w:rsid w:val="004D01A8"/>
    <w:rsid w:val="004D1AF6"/>
    <w:rsid w:val="004D79B9"/>
    <w:rsid w:val="004E2C50"/>
    <w:rsid w:val="004F3907"/>
    <w:rsid w:val="004F408A"/>
    <w:rsid w:val="00504D0D"/>
    <w:rsid w:val="005073AA"/>
    <w:rsid w:val="00507D8E"/>
    <w:rsid w:val="0051241D"/>
    <w:rsid w:val="00515A4B"/>
    <w:rsid w:val="00516438"/>
    <w:rsid w:val="005249CA"/>
    <w:rsid w:val="0052725B"/>
    <w:rsid w:val="00532A4E"/>
    <w:rsid w:val="00532E96"/>
    <w:rsid w:val="0053448B"/>
    <w:rsid w:val="005358BA"/>
    <w:rsid w:val="0054168F"/>
    <w:rsid w:val="00542206"/>
    <w:rsid w:val="00547C8E"/>
    <w:rsid w:val="00551777"/>
    <w:rsid w:val="00555CE3"/>
    <w:rsid w:val="00557459"/>
    <w:rsid w:val="00557AB4"/>
    <w:rsid w:val="00560512"/>
    <w:rsid w:val="005617F4"/>
    <w:rsid w:val="0056266F"/>
    <w:rsid w:val="00563084"/>
    <w:rsid w:val="00567323"/>
    <w:rsid w:val="00572E14"/>
    <w:rsid w:val="00577B7D"/>
    <w:rsid w:val="00582F96"/>
    <w:rsid w:val="005834AA"/>
    <w:rsid w:val="00584C3D"/>
    <w:rsid w:val="00585A7E"/>
    <w:rsid w:val="005963C8"/>
    <w:rsid w:val="00596AD4"/>
    <w:rsid w:val="005A1A3A"/>
    <w:rsid w:val="005B0C37"/>
    <w:rsid w:val="005B0FE2"/>
    <w:rsid w:val="005B1EA6"/>
    <w:rsid w:val="005B2A64"/>
    <w:rsid w:val="005B45AB"/>
    <w:rsid w:val="005C377E"/>
    <w:rsid w:val="005C58D0"/>
    <w:rsid w:val="005D129E"/>
    <w:rsid w:val="005D21FD"/>
    <w:rsid w:val="005D2BAE"/>
    <w:rsid w:val="005D358E"/>
    <w:rsid w:val="005E4C23"/>
    <w:rsid w:val="005E6DEF"/>
    <w:rsid w:val="005F2FE0"/>
    <w:rsid w:val="0060162D"/>
    <w:rsid w:val="006019BD"/>
    <w:rsid w:val="00621DAF"/>
    <w:rsid w:val="0062370D"/>
    <w:rsid w:val="0062376E"/>
    <w:rsid w:val="00627186"/>
    <w:rsid w:val="00627B56"/>
    <w:rsid w:val="00637EA2"/>
    <w:rsid w:val="006406AF"/>
    <w:rsid w:val="00642E7E"/>
    <w:rsid w:val="00644B7F"/>
    <w:rsid w:val="00650201"/>
    <w:rsid w:val="00650956"/>
    <w:rsid w:val="00653509"/>
    <w:rsid w:val="00653C08"/>
    <w:rsid w:val="0066358A"/>
    <w:rsid w:val="0067351A"/>
    <w:rsid w:val="00675522"/>
    <w:rsid w:val="00675F06"/>
    <w:rsid w:val="00676114"/>
    <w:rsid w:val="00681674"/>
    <w:rsid w:val="006834FE"/>
    <w:rsid w:val="00685E31"/>
    <w:rsid w:val="00686AE3"/>
    <w:rsid w:val="00691E0D"/>
    <w:rsid w:val="00692DB4"/>
    <w:rsid w:val="00695204"/>
    <w:rsid w:val="00695AF1"/>
    <w:rsid w:val="00696B0A"/>
    <w:rsid w:val="006A0546"/>
    <w:rsid w:val="006A26B5"/>
    <w:rsid w:val="006A5631"/>
    <w:rsid w:val="006A63E8"/>
    <w:rsid w:val="006A6E87"/>
    <w:rsid w:val="006B0599"/>
    <w:rsid w:val="006B73ED"/>
    <w:rsid w:val="006D2A60"/>
    <w:rsid w:val="006D4D5A"/>
    <w:rsid w:val="006E6B0A"/>
    <w:rsid w:val="006F294A"/>
    <w:rsid w:val="006F65CD"/>
    <w:rsid w:val="006F664D"/>
    <w:rsid w:val="0070016F"/>
    <w:rsid w:val="00700366"/>
    <w:rsid w:val="0070189D"/>
    <w:rsid w:val="0070706B"/>
    <w:rsid w:val="00707EE7"/>
    <w:rsid w:val="00711DD7"/>
    <w:rsid w:val="00714495"/>
    <w:rsid w:val="00721A58"/>
    <w:rsid w:val="007248DA"/>
    <w:rsid w:val="00727107"/>
    <w:rsid w:val="0073403A"/>
    <w:rsid w:val="00734090"/>
    <w:rsid w:val="00734CF8"/>
    <w:rsid w:val="0074472A"/>
    <w:rsid w:val="00752231"/>
    <w:rsid w:val="0076083E"/>
    <w:rsid w:val="007623BD"/>
    <w:rsid w:val="007653AF"/>
    <w:rsid w:val="00766D2B"/>
    <w:rsid w:val="0076729C"/>
    <w:rsid w:val="007807D0"/>
    <w:rsid w:val="0078290F"/>
    <w:rsid w:val="00783DE3"/>
    <w:rsid w:val="00786E69"/>
    <w:rsid w:val="00792EE4"/>
    <w:rsid w:val="0079381C"/>
    <w:rsid w:val="00795DFF"/>
    <w:rsid w:val="007A1CB2"/>
    <w:rsid w:val="007B0911"/>
    <w:rsid w:val="007B0A35"/>
    <w:rsid w:val="007B3198"/>
    <w:rsid w:val="007B7647"/>
    <w:rsid w:val="007C4828"/>
    <w:rsid w:val="007D431B"/>
    <w:rsid w:val="007E21B5"/>
    <w:rsid w:val="007E7A9B"/>
    <w:rsid w:val="007F1356"/>
    <w:rsid w:val="007F38B6"/>
    <w:rsid w:val="007F3A7C"/>
    <w:rsid w:val="007F3C06"/>
    <w:rsid w:val="007F4309"/>
    <w:rsid w:val="007F4F6D"/>
    <w:rsid w:val="007F516D"/>
    <w:rsid w:val="00802C8B"/>
    <w:rsid w:val="008033DE"/>
    <w:rsid w:val="0080596A"/>
    <w:rsid w:val="00814970"/>
    <w:rsid w:val="008211BC"/>
    <w:rsid w:val="00824950"/>
    <w:rsid w:val="0082728B"/>
    <w:rsid w:val="00837FC0"/>
    <w:rsid w:val="0084139D"/>
    <w:rsid w:val="008422DA"/>
    <w:rsid w:val="00842332"/>
    <w:rsid w:val="00842E66"/>
    <w:rsid w:val="00843BD0"/>
    <w:rsid w:val="008461A3"/>
    <w:rsid w:val="00851009"/>
    <w:rsid w:val="008526FC"/>
    <w:rsid w:val="008531BD"/>
    <w:rsid w:val="008538FF"/>
    <w:rsid w:val="00856CBC"/>
    <w:rsid w:val="00861400"/>
    <w:rsid w:val="008621AC"/>
    <w:rsid w:val="00864884"/>
    <w:rsid w:val="00865B56"/>
    <w:rsid w:val="008738E9"/>
    <w:rsid w:val="00876B0E"/>
    <w:rsid w:val="0087728C"/>
    <w:rsid w:val="008773E3"/>
    <w:rsid w:val="00881439"/>
    <w:rsid w:val="0088355C"/>
    <w:rsid w:val="00884551"/>
    <w:rsid w:val="00890F26"/>
    <w:rsid w:val="00893212"/>
    <w:rsid w:val="008A07B8"/>
    <w:rsid w:val="008A0A7E"/>
    <w:rsid w:val="008A1211"/>
    <w:rsid w:val="008A514C"/>
    <w:rsid w:val="008B1037"/>
    <w:rsid w:val="008B3A1B"/>
    <w:rsid w:val="008C02BD"/>
    <w:rsid w:val="008C3A52"/>
    <w:rsid w:val="008C40C4"/>
    <w:rsid w:val="008C6A15"/>
    <w:rsid w:val="008D3B4D"/>
    <w:rsid w:val="008E10EF"/>
    <w:rsid w:val="008E22E5"/>
    <w:rsid w:val="008E343F"/>
    <w:rsid w:val="008F2BE2"/>
    <w:rsid w:val="008F508F"/>
    <w:rsid w:val="00903D85"/>
    <w:rsid w:val="00905FF7"/>
    <w:rsid w:val="00907159"/>
    <w:rsid w:val="009102E1"/>
    <w:rsid w:val="00910958"/>
    <w:rsid w:val="00913AAB"/>
    <w:rsid w:val="00915DF6"/>
    <w:rsid w:val="00916917"/>
    <w:rsid w:val="009177CE"/>
    <w:rsid w:val="00920F65"/>
    <w:rsid w:val="009219D8"/>
    <w:rsid w:val="009329CC"/>
    <w:rsid w:val="00935D45"/>
    <w:rsid w:val="00937001"/>
    <w:rsid w:val="0093703A"/>
    <w:rsid w:val="009375B8"/>
    <w:rsid w:val="0094387D"/>
    <w:rsid w:val="0094579C"/>
    <w:rsid w:val="00946232"/>
    <w:rsid w:val="00953919"/>
    <w:rsid w:val="0096098D"/>
    <w:rsid w:val="009618E4"/>
    <w:rsid w:val="00961C2F"/>
    <w:rsid w:val="00963D76"/>
    <w:rsid w:val="00964F35"/>
    <w:rsid w:val="00966C1A"/>
    <w:rsid w:val="00971C4D"/>
    <w:rsid w:val="00973C1A"/>
    <w:rsid w:val="009750F0"/>
    <w:rsid w:val="00977483"/>
    <w:rsid w:val="0098169F"/>
    <w:rsid w:val="00983D8A"/>
    <w:rsid w:val="00984E1A"/>
    <w:rsid w:val="009934C0"/>
    <w:rsid w:val="0099489B"/>
    <w:rsid w:val="00994AF9"/>
    <w:rsid w:val="00997FFD"/>
    <w:rsid w:val="009A5D4C"/>
    <w:rsid w:val="009A7AE6"/>
    <w:rsid w:val="009B3329"/>
    <w:rsid w:val="009B368A"/>
    <w:rsid w:val="009B4AF7"/>
    <w:rsid w:val="009C1AD9"/>
    <w:rsid w:val="009C3BD8"/>
    <w:rsid w:val="009C5882"/>
    <w:rsid w:val="009C7B12"/>
    <w:rsid w:val="009D0C7A"/>
    <w:rsid w:val="009D41DE"/>
    <w:rsid w:val="009D4377"/>
    <w:rsid w:val="009D6005"/>
    <w:rsid w:val="009D671A"/>
    <w:rsid w:val="009D74DA"/>
    <w:rsid w:val="009E2B5A"/>
    <w:rsid w:val="009E5297"/>
    <w:rsid w:val="009E5EAB"/>
    <w:rsid w:val="009F02C8"/>
    <w:rsid w:val="009F4415"/>
    <w:rsid w:val="00A00657"/>
    <w:rsid w:val="00A00DF8"/>
    <w:rsid w:val="00A01FEC"/>
    <w:rsid w:val="00A0213E"/>
    <w:rsid w:val="00A034D9"/>
    <w:rsid w:val="00A0767D"/>
    <w:rsid w:val="00A078EC"/>
    <w:rsid w:val="00A10A18"/>
    <w:rsid w:val="00A118F8"/>
    <w:rsid w:val="00A11D69"/>
    <w:rsid w:val="00A12B77"/>
    <w:rsid w:val="00A14B5A"/>
    <w:rsid w:val="00A22F41"/>
    <w:rsid w:val="00A273B6"/>
    <w:rsid w:val="00A30670"/>
    <w:rsid w:val="00A34D0B"/>
    <w:rsid w:val="00A34F5D"/>
    <w:rsid w:val="00A36B4F"/>
    <w:rsid w:val="00A421D6"/>
    <w:rsid w:val="00A44F33"/>
    <w:rsid w:val="00A45AD6"/>
    <w:rsid w:val="00A47D83"/>
    <w:rsid w:val="00A47F8B"/>
    <w:rsid w:val="00A51B91"/>
    <w:rsid w:val="00A610E2"/>
    <w:rsid w:val="00A6292B"/>
    <w:rsid w:val="00A63A13"/>
    <w:rsid w:val="00A72E5B"/>
    <w:rsid w:val="00A773D3"/>
    <w:rsid w:val="00A77B87"/>
    <w:rsid w:val="00A8304D"/>
    <w:rsid w:val="00A91EFB"/>
    <w:rsid w:val="00A95B19"/>
    <w:rsid w:val="00AA0DEC"/>
    <w:rsid w:val="00AA471F"/>
    <w:rsid w:val="00AA5087"/>
    <w:rsid w:val="00AA53BB"/>
    <w:rsid w:val="00AB279A"/>
    <w:rsid w:val="00AB4138"/>
    <w:rsid w:val="00AB5BF0"/>
    <w:rsid w:val="00AC1A0C"/>
    <w:rsid w:val="00AC1CD8"/>
    <w:rsid w:val="00AD1762"/>
    <w:rsid w:val="00AD55BD"/>
    <w:rsid w:val="00AD5CE2"/>
    <w:rsid w:val="00AD65C9"/>
    <w:rsid w:val="00AD68C9"/>
    <w:rsid w:val="00AD6CE6"/>
    <w:rsid w:val="00AE2E50"/>
    <w:rsid w:val="00AE3F15"/>
    <w:rsid w:val="00AF1AD3"/>
    <w:rsid w:val="00AF55BC"/>
    <w:rsid w:val="00AF599B"/>
    <w:rsid w:val="00B017AC"/>
    <w:rsid w:val="00B146AA"/>
    <w:rsid w:val="00B200E0"/>
    <w:rsid w:val="00B205E7"/>
    <w:rsid w:val="00B20651"/>
    <w:rsid w:val="00B2367A"/>
    <w:rsid w:val="00B32EFD"/>
    <w:rsid w:val="00B33ED7"/>
    <w:rsid w:val="00B4079E"/>
    <w:rsid w:val="00B42E2E"/>
    <w:rsid w:val="00B42E69"/>
    <w:rsid w:val="00B4761C"/>
    <w:rsid w:val="00B5194E"/>
    <w:rsid w:val="00B5300D"/>
    <w:rsid w:val="00B60485"/>
    <w:rsid w:val="00B70891"/>
    <w:rsid w:val="00B80555"/>
    <w:rsid w:val="00B9062D"/>
    <w:rsid w:val="00B940BC"/>
    <w:rsid w:val="00B94A21"/>
    <w:rsid w:val="00B96D01"/>
    <w:rsid w:val="00BA3928"/>
    <w:rsid w:val="00BB1413"/>
    <w:rsid w:val="00BB66B3"/>
    <w:rsid w:val="00BB7132"/>
    <w:rsid w:val="00BC0C6F"/>
    <w:rsid w:val="00BC2C0C"/>
    <w:rsid w:val="00BC6C03"/>
    <w:rsid w:val="00BD0648"/>
    <w:rsid w:val="00BD0A23"/>
    <w:rsid w:val="00BD55BE"/>
    <w:rsid w:val="00BD66A6"/>
    <w:rsid w:val="00BD67F2"/>
    <w:rsid w:val="00BE2BD9"/>
    <w:rsid w:val="00BE4307"/>
    <w:rsid w:val="00BE6D69"/>
    <w:rsid w:val="00BF5082"/>
    <w:rsid w:val="00C005B8"/>
    <w:rsid w:val="00C04015"/>
    <w:rsid w:val="00C10DA2"/>
    <w:rsid w:val="00C20A07"/>
    <w:rsid w:val="00C21B17"/>
    <w:rsid w:val="00C304EA"/>
    <w:rsid w:val="00C33D44"/>
    <w:rsid w:val="00C34BC0"/>
    <w:rsid w:val="00C434FC"/>
    <w:rsid w:val="00C5050A"/>
    <w:rsid w:val="00C51AC2"/>
    <w:rsid w:val="00C61DAE"/>
    <w:rsid w:val="00C64C9D"/>
    <w:rsid w:val="00C66F33"/>
    <w:rsid w:val="00C674F4"/>
    <w:rsid w:val="00C756FF"/>
    <w:rsid w:val="00C838B2"/>
    <w:rsid w:val="00C8755A"/>
    <w:rsid w:val="00C92374"/>
    <w:rsid w:val="00CA0108"/>
    <w:rsid w:val="00CA2C6C"/>
    <w:rsid w:val="00CA5479"/>
    <w:rsid w:val="00CB76DD"/>
    <w:rsid w:val="00CC5ABD"/>
    <w:rsid w:val="00CD4FD9"/>
    <w:rsid w:val="00CE6ADB"/>
    <w:rsid w:val="00CF6E3C"/>
    <w:rsid w:val="00D035EC"/>
    <w:rsid w:val="00D039E9"/>
    <w:rsid w:val="00D052D2"/>
    <w:rsid w:val="00D1521D"/>
    <w:rsid w:val="00D177F1"/>
    <w:rsid w:val="00D2375D"/>
    <w:rsid w:val="00D2411C"/>
    <w:rsid w:val="00D27493"/>
    <w:rsid w:val="00D31356"/>
    <w:rsid w:val="00D3209E"/>
    <w:rsid w:val="00D33533"/>
    <w:rsid w:val="00D34C08"/>
    <w:rsid w:val="00D375C4"/>
    <w:rsid w:val="00D40A88"/>
    <w:rsid w:val="00D43F1A"/>
    <w:rsid w:val="00D600B6"/>
    <w:rsid w:val="00D65016"/>
    <w:rsid w:val="00D7165A"/>
    <w:rsid w:val="00D72841"/>
    <w:rsid w:val="00D730DC"/>
    <w:rsid w:val="00D7344F"/>
    <w:rsid w:val="00D75B6E"/>
    <w:rsid w:val="00D80ADD"/>
    <w:rsid w:val="00D810C9"/>
    <w:rsid w:val="00D83991"/>
    <w:rsid w:val="00D9051B"/>
    <w:rsid w:val="00D95B8D"/>
    <w:rsid w:val="00D97BEF"/>
    <w:rsid w:val="00DA4882"/>
    <w:rsid w:val="00DA6EA4"/>
    <w:rsid w:val="00DB0A66"/>
    <w:rsid w:val="00DB5897"/>
    <w:rsid w:val="00DC01F9"/>
    <w:rsid w:val="00DC40AB"/>
    <w:rsid w:val="00DC5007"/>
    <w:rsid w:val="00DD2F29"/>
    <w:rsid w:val="00DD4D9D"/>
    <w:rsid w:val="00DE617C"/>
    <w:rsid w:val="00DE7799"/>
    <w:rsid w:val="00DF1759"/>
    <w:rsid w:val="00DF34D9"/>
    <w:rsid w:val="00DF394F"/>
    <w:rsid w:val="00DF7A47"/>
    <w:rsid w:val="00E02E6C"/>
    <w:rsid w:val="00E06ADF"/>
    <w:rsid w:val="00E07862"/>
    <w:rsid w:val="00E10CB6"/>
    <w:rsid w:val="00E12CA0"/>
    <w:rsid w:val="00E12F27"/>
    <w:rsid w:val="00E13A09"/>
    <w:rsid w:val="00E22F19"/>
    <w:rsid w:val="00E23F99"/>
    <w:rsid w:val="00E3397C"/>
    <w:rsid w:val="00E340FC"/>
    <w:rsid w:val="00E419CB"/>
    <w:rsid w:val="00E42325"/>
    <w:rsid w:val="00E427B5"/>
    <w:rsid w:val="00E45F57"/>
    <w:rsid w:val="00E47255"/>
    <w:rsid w:val="00E52314"/>
    <w:rsid w:val="00E5532D"/>
    <w:rsid w:val="00E5783F"/>
    <w:rsid w:val="00E57A5C"/>
    <w:rsid w:val="00E63200"/>
    <w:rsid w:val="00E671A0"/>
    <w:rsid w:val="00E67D9C"/>
    <w:rsid w:val="00E67FCB"/>
    <w:rsid w:val="00E72144"/>
    <w:rsid w:val="00E76292"/>
    <w:rsid w:val="00E817FB"/>
    <w:rsid w:val="00E8241E"/>
    <w:rsid w:val="00E91040"/>
    <w:rsid w:val="00E95D94"/>
    <w:rsid w:val="00E972BA"/>
    <w:rsid w:val="00EA1AC1"/>
    <w:rsid w:val="00EA229C"/>
    <w:rsid w:val="00EA27A4"/>
    <w:rsid w:val="00EA3422"/>
    <w:rsid w:val="00EA4EDA"/>
    <w:rsid w:val="00EA6CB0"/>
    <w:rsid w:val="00EB19F7"/>
    <w:rsid w:val="00EB20D4"/>
    <w:rsid w:val="00EB4279"/>
    <w:rsid w:val="00EB5BC2"/>
    <w:rsid w:val="00EB654A"/>
    <w:rsid w:val="00EB6E6B"/>
    <w:rsid w:val="00EC209C"/>
    <w:rsid w:val="00EC380C"/>
    <w:rsid w:val="00EE0CC3"/>
    <w:rsid w:val="00EE13A9"/>
    <w:rsid w:val="00EE2FC3"/>
    <w:rsid w:val="00EE3E09"/>
    <w:rsid w:val="00EE66F0"/>
    <w:rsid w:val="00EF204A"/>
    <w:rsid w:val="00EF6995"/>
    <w:rsid w:val="00F025F4"/>
    <w:rsid w:val="00F03F9A"/>
    <w:rsid w:val="00F10BF3"/>
    <w:rsid w:val="00F11C8A"/>
    <w:rsid w:val="00F12A82"/>
    <w:rsid w:val="00F1398F"/>
    <w:rsid w:val="00F22371"/>
    <w:rsid w:val="00F22B72"/>
    <w:rsid w:val="00F24DB5"/>
    <w:rsid w:val="00F3183A"/>
    <w:rsid w:val="00F338B0"/>
    <w:rsid w:val="00F35E38"/>
    <w:rsid w:val="00F415B6"/>
    <w:rsid w:val="00F42971"/>
    <w:rsid w:val="00F50458"/>
    <w:rsid w:val="00F5549B"/>
    <w:rsid w:val="00F619F6"/>
    <w:rsid w:val="00F62CDE"/>
    <w:rsid w:val="00F63820"/>
    <w:rsid w:val="00F64E83"/>
    <w:rsid w:val="00F659CE"/>
    <w:rsid w:val="00F664FF"/>
    <w:rsid w:val="00F70202"/>
    <w:rsid w:val="00F70606"/>
    <w:rsid w:val="00F82CC3"/>
    <w:rsid w:val="00F8712E"/>
    <w:rsid w:val="00F87294"/>
    <w:rsid w:val="00F877D5"/>
    <w:rsid w:val="00F91629"/>
    <w:rsid w:val="00F93E73"/>
    <w:rsid w:val="00F94925"/>
    <w:rsid w:val="00F963E8"/>
    <w:rsid w:val="00FA7BB9"/>
    <w:rsid w:val="00FB1BBE"/>
    <w:rsid w:val="00FB4505"/>
    <w:rsid w:val="00FC2476"/>
    <w:rsid w:val="00FD1A96"/>
    <w:rsid w:val="00FD3669"/>
    <w:rsid w:val="00FE05D2"/>
    <w:rsid w:val="00FE1B17"/>
    <w:rsid w:val="00FE3172"/>
    <w:rsid w:val="00FE78F8"/>
    <w:rsid w:val="00FF16BD"/>
    <w:rsid w:val="00FF184C"/>
    <w:rsid w:val="00FF400B"/>
    <w:rsid w:val="00FF5436"/>
    <w:rsid w:val="01D15306"/>
    <w:rsid w:val="038AAAFC"/>
    <w:rsid w:val="05013AA8"/>
    <w:rsid w:val="05FB4AFC"/>
    <w:rsid w:val="093D787B"/>
    <w:rsid w:val="0A3F7D29"/>
    <w:rsid w:val="0DB72B50"/>
    <w:rsid w:val="0E1DE3CF"/>
    <w:rsid w:val="0F447398"/>
    <w:rsid w:val="1001B12E"/>
    <w:rsid w:val="125F0FF0"/>
    <w:rsid w:val="129AA3FD"/>
    <w:rsid w:val="12A085A2"/>
    <w:rsid w:val="12BA5036"/>
    <w:rsid w:val="1421C903"/>
    <w:rsid w:val="149A95B6"/>
    <w:rsid w:val="15911A0B"/>
    <w:rsid w:val="15C1D88E"/>
    <w:rsid w:val="166A1375"/>
    <w:rsid w:val="16DC0C43"/>
    <w:rsid w:val="17C9D7D8"/>
    <w:rsid w:val="18BFC4B5"/>
    <w:rsid w:val="19412D95"/>
    <w:rsid w:val="1989CCEB"/>
    <w:rsid w:val="19E9E244"/>
    <w:rsid w:val="1A957751"/>
    <w:rsid w:val="1B79AFAA"/>
    <w:rsid w:val="1D6D28C2"/>
    <w:rsid w:val="1F6315CC"/>
    <w:rsid w:val="2028EF4F"/>
    <w:rsid w:val="222EFBE6"/>
    <w:rsid w:val="22B2BF7C"/>
    <w:rsid w:val="241E13EC"/>
    <w:rsid w:val="25AA8160"/>
    <w:rsid w:val="27372E19"/>
    <w:rsid w:val="281254AD"/>
    <w:rsid w:val="2B8C1289"/>
    <w:rsid w:val="30DB47B6"/>
    <w:rsid w:val="337668F6"/>
    <w:rsid w:val="355BBADE"/>
    <w:rsid w:val="37E3213E"/>
    <w:rsid w:val="3B4E56DA"/>
    <w:rsid w:val="3D07944A"/>
    <w:rsid w:val="3FB63ED4"/>
    <w:rsid w:val="4228E6A9"/>
    <w:rsid w:val="42556EB7"/>
    <w:rsid w:val="428B1883"/>
    <w:rsid w:val="42E0F661"/>
    <w:rsid w:val="46EB5575"/>
    <w:rsid w:val="47F940AB"/>
    <w:rsid w:val="493249EB"/>
    <w:rsid w:val="49ED7DD1"/>
    <w:rsid w:val="4A3DFD72"/>
    <w:rsid w:val="4F460C95"/>
    <w:rsid w:val="51919D4F"/>
    <w:rsid w:val="545E1000"/>
    <w:rsid w:val="56AB1DC7"/>
    <w:rsid w:val="5AAECC52"/>
    <w:rsid w:val="5CD7944D"/>
    <w:rsid w:val="5D36DD71"/>
    <w:rsid w:val="5DF344AD"/>
    <w:rsid w:val="5F4D8B73"/>
    <w:rsid w:val="60020DD5"/>
    <w:rsid w:val="60B6C38E"/>
    <w:rsid w:val="62F55AB3"/>
    <w:rsid w:val="6A748CFA"/>
    <w:rsid w:val="6AB2016E"/>
    <w:rsid w:val="6BE9103F"/>
    <w:rsid w:val="6BFA746F"/>
    <w:rsid w:val="6F423528"/>
    <w:rsid w:val="6FD627D1"/>
    <w:rsid w:val="7115100D"/>
    <w:rsid w:val="714C57FA"/>
    <w:rsid w:val="792C7517"/>
    <w:rsid w:val="79AB9969"/>
    <w:rsid w:val="7A79AE11"/>
    <w:rsid w:val="7B0D0996"/>
    <w:rsid w:val="7B72C543"/>
    <w:rsid w:val="7BBD4C2F"/>
    <w:rsid w:val="7E80DE00"/>
    <w:rsid w:val="7EE08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2F9B"/>
  <w15:docId w15:val="{20670977-5731-4B3A-BD64-85248B0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AC2"/>
  </w:style>
  <w:style w:type="paragraph" w:styleId="Heading1">
    <w:name w:val="heading 1"/>
    <w:basedOn w:val="Normal"/>
    <w:next w:val="Normal"/>
    <w:link w:val="Heading1Char"/>
    <w:qFormat/>
    <w:rsid w:val="002D5ED0"/>
    <w:pPr>
      <w:keepNext/>
      <w:keepLines/>
      <w:spacing w:before="1920" w:after="1920"/>
      <w:outlineLvl w:val="0"/>
    </w:pPr>
    <w:rPr>
      <w:rFonts w:eastAsiaTheme="majorEastAsia" w:cstheme="majorBidi"/>
      <w:b/>
      <w:sz w:val="56"/>
      <w:szCs w:val="32"/>
    </w:rPr>
  </w:style>
  <w:style w:type="paragraph" w:styleId="Heading2">
    <w:name w:val="heading 2"/>
    <w:next w:val="Normal"/>
    <w:link w:val="Heading2Char"/>
    <w:unhideWhenUsed/>
    <w:qFormat/>
    <w:rsid w:val="00277A38"/>
    <w:pPr>
      <w:spacing w:after="120"/>
      <w:outlineLvl w:val="1"/>
    </w:pPr>
    <w:rPr>
      <w:rFonts w:ascii="Times New Roman" w:eastAsia="Times New Roman" w:hAnsi="Times New Roman" w:cs="Times New Roman"/>
      <w:color w:val="2F5496" w:themeColor="accent1" w:themeShade="BF"/>
      <w:sz w:val="32"/>
      <w:szCs w:val="32"/>
    </w:rPr>
  </w:style>
  <w:style w:type="paragraph" w:styleId="Heading3">
    <w:name w:val="heading 3"/>
    <w:next w:val="Normal"/>
    <w:link w:val="Heading3Char"/>
    <w:uiPriority w:val="9"/>
    <w:unhideWhenUsed/>
    <w:qFormat/>
    <w:rsid w:val="004C3F27"/>
    <w:pPr>
      <w:spacing w:before="120" w:after="120"/>
      <w:outlineLvl w:val="2"/>
    </w:pPr>
    <w:rPr>
      <w:rFonts w:ascii="Times New Roman" w:eastAsia="Times New Roman" w:hAnsi="Times New Roman" w:cs="Times New Roman"/>
      <w:color w:val="2F5496" w:themeColor="accent1" w:themeShade="BF"/>
      <w:sz w:val="26"/>
      <w:szCs w:val="32"/>
    </w:rPr>
  </w:style>
  <w:style w:type="paragraph" w:styleId="Heading4">
    <w:name w:val="heading 4"/>
    <w:basedOn w:val="Normal"/>
    <w:next w:val="Normal"/>
    <w:link w:val="Heading4Char"/>
    <w:unhideWhenUsed/>
    <w:qFormat/>
    <w:rsid w:val="00277A38"/>
    <w:pPr>
      <w:keepNext/>
      <w:spacing w:before="160" w:after="60" w:line="240" w:lineRule="auto"/>
      <w:ind w:left="864" w:hanging="864"/>
      <w:outlineLvl w:val="3"/>
    </w:pPr>
    <w:rPr>
      <w:rFonts w:ascii="Times New Roman" w:eastAsia="Times New Roman" w:hAnsi="Times New Roman" w:cs="Arial"/>
      <w:bCs/>
      <w:color w:val="2F5496" w:themeColor="accent1" w:themeShade="BF"/>
      <w:sz w:val="24"/>
      <w:szCs w:val="28"/>
      <w:lang w:eastAsia="en-US"/>
    </w:rPr>
  </w:style>
  <w:style w:type="paragraph" w:styleId="Heading5">
    <w:name w:val="heading 5"/>
    <w:basedOn w:val="Normal"/>
    <w:next w:val="Normal"/>
    <w:link w:val="Heading5Char"/>
    <w:uiPriority w:val="9"/>
    <w:semiHidden/>
    <w:unhideWhenUsed/>
    <w:qFormat/>
    <w:rsid w:val="00C61DAE"/>
    <w:pPr>
      <w:keepNext/>
      <w:keepLines/>
      <w:spacing w:before="200" w:after="0" w:line="240" w:lineRule="auto"/>
      <w:ind w:left="1008" w:hanging="1008"/>
      <w:outlineLvl w:val="4"/>
    </w:pPr>
    <w:rPr>
      <w:rFonts w:asciiTheme="majorHAnsi" w:eastAsiaTheme="majorEastAsia" w:hAnsiTheme="majorHAnsi" w:cstheme="majorBidi"/>
      <w:color w:val="1F3763" w:themeColor="accent1" w:themeShade="7F"/>
      <w:sz w:val="24"/>
      <w:szCs w:val="24"/>
      <w:lang w:eastAsia="en-US"/>
    </w:rPr>
  </w:style>
  <w:style w:type="paragraph" w:styleId="Heading6">
    <w:name w:val="heading 6"/>
    <w:basedOn w:val="Normal"/>
    <w:next w:val="Normal"/>
    <w:link w:val="Heading6Char"/>
    <w:uiPriority w:val="9"/>
    <w:semiHidden/>
    <w:unhideWhenUsed/>
    <w:qFormat/>
    <w:rsid w:val="00C61DAE"/>
    <w:pPr>
      <w:keepNext/>
      <w:keepLines/>
      <w:spacing w:before="200" w:after="0" w:line="240" w:lineRule="auto"/>
      <w:ind w:left="1152" w:hanging="1152"/>
      <w:outlineLvl w:val="5"/>
    </w:pPr>
    <w:rPr>
      <w:rFonts w:asciiTheme="majorHAnsi" w:eastAsiaTheme="majorEastAsia" w:hAnsiTheme="majorHAnsi" w:cstheme="majorBidi"/>
      <w:i/>
      <w:iCs/>
      <w:color w:val="1F3763" w:themeColor="accent1" w:themeShade="7F"/>
      <w:sz w:val="24"/>
      <w:szCs w:val="24"/>
      <w:lang w:eastAsia="en-US"/>
    </w:rPr>
  </w:style>
  <w:style w:type="paragraph" w:styleId="Heading7">
    <w:name w:val="heading 7"/>
    <w:basedOn w:val="Normal"/>
    <w:next w:val="Normal"/>
    <w:link w:val="Heading7Char"/>
    <w:uiPriority w:val="9"/>
    <w:semiHidden/>
    <w:unhideWhenUsed/>
    <w:qFormat/>
    <w:rsid w:val="00C61D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eastAsia="en-US"/>
    </w:rPr>
  </w:style>
  <w:style w:type="paragraph" w:styleId="Heading8">
    <w:name w:val="heading 8"/>
    <w:basedOn w:val="Normal"/>
    <w:next w:val="Normal"/>
    <w:link w:val="Heading8Char"/>
    <w:uiPriority w:val="9"/>
    <w:semiHidden/>
    <w:unhideWhenUsed/>
    <w:qFormat/>
    <w:rsid w:val="00C61D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C61D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U,headerU1,B&amp;D Header,h,Header Char2 Char,Header Char1 Char Char,Header Char Char Char Char,h Char Char Char,B&amp;D Header Char Char Char,Header Char Char1 Char,h Char1 Char,B&amp;D Header Char1 Char,Header Char1 Char,h Char Char"/>
    <w:basedOn w:val="Normal"/>
    <w:link w:val="HeaderChar"/>
    <w:uiPriority w:val="99"/>
    <w:unhideWhenUsed/>
    <w:rsid w:val="00964F35"/>
    <w:pPr>
      <w:tabs>
        <w:tab w:val="center" w:pos="4680"/>
        <w:tab w:val="right" w:pos="9360"/>
      </w:tabs>
      <w:spacing w:after="0" w:line="240" w:lineRule="auto"/>
    </w:pPr>
  </w:style>
  <w:style w:type="character" w:customStyle="1" w:styleId="HeaderChar">
    <w:name w:val="Header Char"/>
    <w:aliases w:val="headerU Char,headerU1 Char,B&amp;D Header Char,h Char,Header Char2 Char Char,Header Char1 Char Char Char,Header Char Char Char Char Char,h Char Char Char Char,B&amp;D Header Char Char Char Char,Header Char Char1 Char Char,h Char1 Char Char"/>
    <w:basedOn w:val="DefaultParagraphFont"/>
    <w:link w:val="Header"/>
    <w:uiPriority w:val="99"/>
    <w:rsid w:val="00964F35"/>
  </w:style>
  <w:style w:type="paragraph" w:styleId="Footer">
    <w:name w:val="footer"/>
    <w:basedOn w:val="Normal"/>
    <w:link w:val="FooterChar"/>
    <w:uiPriority w:val="99"/>
    <w:unhideWhenUsed/>
    <w:rsid w:val="0096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35"/>
  </w:style>
  <w:style w:type="character" w:customStyle="1" w:styleId="Heading1Char">
    <w:name w:val="Heading 1 Char"/>
    <w:basedOn w:val="DefaultParagraphFont"/>
    <w:link w:val="Heading1"/>
    <w:rsid w:val="002D5ED0"/>
    <w:rPr>
      <w:rFonts w:eastAsiaTheme="majorEastAsia" w:cstheme="majorBidi"/>
      <w:b/>
      <w:sz w:val="56"/>
      <w:szCs w:val="32"/>
    </w:rPr>
  </w:style>
  <w:style w:type="character" w:customStyle="1" w:styleId="Heading2Char">
    <w:name w:val="Heading 2 Char"/>
    <w:basedOn w:val="DefaultParagraphFont"/>
    <w:link w:val="Heading2"/>
    <w:rsid w:val="00277A38"/>
    <w:rPr>
      <w:rFonts w:ascii="Times New Roman" w:eastAsia="Times New Roman" w:hAnsi="Times New Roman" w:cs="Times New Roman"/>
      <w:color w:val="2F5496" w:themeColor="accent1" w:themeShade="BF"/>
      <w:sz w:val="32"/>
      <w:szCs w:val="32"/>
    </w:rPr>
  </w:style>
  <w:style w:type="character" w:customStyle="1" w:styleId="Heading3Char">
    <w:name w:val="Heading 3 Char"/>
    <w:basedOn w:val="DefaultParagraphFont"/>
    <w:link w:val="Heading3"/>
    <w:uiPriority w:val="9"/>
    <w:rsid w:val="004C3F27"/>
    <w:rPr>
      <w:rFonts w:ascii="Times New Roman" w:eastAsia="Times New Roman" w:hAnsi="Times New Roman" w:cs="Times New Roman"/>
      <w:color w:val="2F5496" w:themeColor="accent1" w:themeShade="BF"/>
      <w:sz w:val="26"/>
      <w:szCs w:val="32"/>
    </w:rPr>
  </w:style>
  <w:style w:type="character" w:styleId="CommentReference">
    <w:name w:val="annotation reference"/>
    <w:basedOn w:val="DefaultParagraphFont"/>
    <w:uiPriority w:val="99"/>
    <w:unhideWhenUsed/>
    <w:rsid w:val="00675F06"/>
    <w:rPr>
      <w:sz w:val="16"/>
      <w:szCs w:val="16"/>
    </w:rPr>
  </w:style>
  <w:style w:type="paragraph" w:styleId="CommentText">
    <w:name w:val="annotation text"/>
    <w:basedOn w:val="Normal"/>
    <w:link w:val="CommentTextChar"/>
    <w:uiPriority w:val="99"/>
    <w:unhideWhenUsed/>
    <w:rsid w:val="00675F06"/>
    <w:pPr>
      <w:spacing w:line="240" w:lineRule="auto"/>
    </w:pPr>
    <w:rPr>
      <w:sz w:val="20"/>
      <w:szCs w:val="20"/>
    </w:rPr>
  </w:style>
  <w:style w:type="character" w:customStyle="1" w:styleId="CommentTextChar">
    <w:name w:val="Comment Text Char"/>
    <w:basedOn w:val="DefaultParagraphFont"/>
    <w:link w:val="CommentText"/>
    <w:uiPriority w:val="99"/>
    <w:rsid w:val="00675F06"/>
    <w:rPr>
      <w:sz w:val="20"/>
      <w:szCs w:val="20"/>
    </w:rPr>
  </w:style>
  <w:style w:type="paragraph" w:styleId="CommentSubject">
    <w:name w:val="annotation subject"/>
    <w:basedOn w:val="CommentText"/>
    <w:next w:val="CommentText"/>
    <w:link w:val="CommentSubjectChar"/>
    <w:unhideWhenUsed/>
    <w:rsid w:val="00675F06"/>
    <w:rPr>
      <w:b/>
      <w:bCs/>
    </w:rPr>
  </w:style>
  <w:style w:type="character" w:customStyle="1" w:styleId="CommentSubjectChar">
    <w:name w:val="Comment Subject Char"/>
    <w:basedOn w:val="CommentTextChar"/>
    <w:link w:val="CommentSubject"/>
    <w:rsid w:val="00675F06"/>
    <w:rPr>
      <w:b/>
      <w:bCs/>
      <w:sz w:val="20"/>
      <w:szCs w:val="20"/>
    </w:rPr>
  </w:style>
  <w:style w:type="paragraph" w:styleId="BodyText">
    <w:name w:val="Body Text"/>
    <w:basedOn w:val="Normal"/>
    <w:link w:val="BodyTextChar"/>
    <w:rsid w:val="00E10CB6"/>
    <w:pPr>
      <w:spacing w:before="120" w:after="120" w:line="276" w:lineRule="auto"/>
      <w:ind w:left="720"/>
    </w:pPr>
    <w:rPr>
      <w:rFonts w:ascii="Garamond" w:eastAsia="Times New Roman" w:hAnsi="Garamond" w:cs="Times New Roman"/>
      <w:sz w:val="24"/>
      <w:szCs w:val="24"/>
      <w:lang w:eastAsia="en-US"/>
    </w:rPr>
  </w:style>
  <w:style w:type="character" w:customStyle="1" w:styleId="BodyTextChar">
    <w:name w:val="Body Text Char"/>
    <w:basedOn w:val="DefaultParagraphFont"/>
    <w:link w:val="BodyText"/>
    <w:rsid w:val="00E10CB6"/>
    <w:rPr>
      <w:rFonts w:ascii="Garamond" w:eastAsia="Times New Roman" w:hAnsi="Garamond" w:cs="Times New Roman"/>
      <w:sz w:val="24"/>
      <w:szCs w:val="24"/>
      <w:lang w:eastAsia="en-US"/>
    </w:rPr>
  </w:style>
  <w:style w:type="paragraph" w:customStyle="1" w:styleId="bulletround">
    <w:name w:val="bullet round"/>
    <w:basedOn w:val="BodyText"/>
    <w:rsid w:val="00E10CB6"/>
    <w:pPr>
      <w:numPr>
        <w:numId w:val="1"/>
      </w:numPr>
    </w:pPr>
  </w:style>
  <w:style w:type="character" w:styleId="Hyperlink">
    <w:name w:val="Hyperlink"/>
    <w:basedOn w:val="DefaultParagraphFont"/>
    <w:uiPriority w:val="99"/>
    <w:unhideWhenUsed/>
    <w:rsid w:val="007B3198"/>
    <w:rPr>
      <w:color w:val="0000FF"/>
      <w:u w:val="single"/>
    </w:rPr>
  </w:style>
  <w:style w:type="paragraph" w:customStyle="1" w:styleId="Tabletitle">
    <w:name w:val="Table title"/>
    <w:rsid w:val="00493B90"/>
    <w:pPr>
      <w:keepNext/>
      <w:spacing w:before="240" w:after="60" w:line="240" w:lineRule="auto"/>
      <w:ind w:left="1267" w:hanging="1267"/>
      <w:outlineLvl w:val="4"/>
    </w:pPr>
    <w:rPr>
      <w:rFonts w:ascii="Arial" w:eastAsia="Times New Roman" w:hAnsi="Arial" w:cs="Arial"/>
      <w:b/>
      <w:sz w:val="20"/>
      <w:szCs w:val="20"/>
      <w:lang w:eastAsia="en-US"/>
    </w:rPr>
  </w:style>
  <w:style w:type="paragraph" w:customStyle="1" w:styleId="Tablenotes">
    <w:name w:val="Table notes"/>
    <w:basedOn w:val="Normal"/>
    <w:rsid w:val="0023320A"/>
    <w:pPr>
      <w:spacing w:after="0" w:line="240" w:lineRule="auto"/>
    </w:pPr>
    <w:rPr>
      <w:rFonts w:ascii="Arial Narrow" w:eastAsia="Times New Roman" w:hAnsi="Arial Narrow" w:cs="Times New Roman"/>
      <w:sz w:val="16"/>
      <w:szCs w:val="18"/>
      <w:lang w:eastAsia="en-US"/>
    </w:rPr>
  </w:style>
  <w:style w:type="paragraph" w:customStyle="1" w:styleId="Default">
    <w:name w:val="Default"/>
    <w:rsid w:val="009D0C7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nhideWhenUsed/>
    <w:rsid w:val="00EA1AC1"/>
    <w:pPr>
      <w:spacing w:after="0" w:line="240" w:lineRule="auto"/>
    </w:pPr>
    <w:rPr>
      <w:sz w:val="20"/>
      <w:szCs w:val="20"/>
    </w:rPr>
  </w:style>
  <w:style w:type="character" w:customStyle="1" w:styleId="FootnoteTextChar">
    <w:name w:val="Footnote Text Char"/>
    <w:basedOn w:val="DefaultParagraphFont"/>
    <w:link w:val="FootnoteText"/>
    <w:rsid w:val="00EA1AC1"/>
    <w:rPr>
      <w:sz w:val="20"/>
      <w:szCs w:val="20"/>
    </w:rPr>
  </w:style>
  <w:style w:type="character" w:styleId="FootnoteReference">
    <w:name w:val="footnote reference"/>
    <w:aliases w:val="fr"/>
    <w:basedOn w:val="DefaultParagraphFont"/>
    <w:unhideWhenUsed/>
    <w:rsid w:val="00EA1AC1"/>
    <w:rPr>
      <w:vertAlign w:val="superscript"/>
    </w:rPr>
  </w:style>
  <w:style w:type="character" w:styleId="UnresolvedMention">
    <w:name w:val="Unresolved Mention"/>
    <w:basedOn w:val="DefaultParagraphFont"/>
    <w:uiPriority w:val="99"/>
    <w:semiHidden/>
    <w:unhideWhenUsed/>
    <w:rsid w:val="00BD66A6"/>
    <w:rPr>
      <w:color w:val="605E5C"/>
      <w:shd w:val="clear" w:color="auto" w:fill="E1DFDD"/>
    </w:rPr>
  </w:style>
  <w:style w:type="paragraph" w:customStyle="1" w:styleId="Heading1-CoverTitle2">
    <w:name w:val="Heading 1-Cover Title 2"/>
    <w:basedOn w:val="Normal"/>
    <w:rsid w:val="00E13A09"/>
    <w:pPr>
      <w:spacing w:before="2000" w:after="0" w:line="960" w:lineRule="exact"/>
      <w:outlineLvl w:val="0"/>
    </w:pPr>
    <w:rPr>
      <w:rFonts w:cstheme="minorHAnsi"/>
      <w:noProof/>
      <w:color w:val="5B9BD5" w:themeColor="accent5"/>
      <w:sz w:val="88"/>
      <w:szCs w:val="88"/>
    </w:rPr>
  </w:style>
  <w:style w:type="paragraph" w:customStyle="1" w:styleId="Cover2-Authors">
    <w:name w:val="Cover 2-Authors"/>
    <w:basedOn w:val="Normal"/>
    <w:rsid w:val="00E13A09"/>
    <w:pPr>
      <w:pBdr>
        <w:top w:val="single" w:sz="48" w:space="12" w:color="D4DFEC"/>
      </w:pBdr>
      <w:spacing w:after="60" w:line="380" w:lineRule="exact"/>
      <w:ind w:left="4320"/>
      <w:outlineLvl w:val="0"/>
    </w:pPr>
    <w:rPr>
      <w:rFonts w:cstheme="minorHAnsi"/>
      <w:b/>
      <w:bCs/>
      <w:noProof/>
      <w:color w:val="3B8233"/>
      <w:sz w:val="32"/>
      <w:szCs w:val="32"/>
    </w:rPr>
  </w:style>
  <w:style w:type="paragraph" w:customStyle="1" w:styleId="Cover2-AdditionalInformation">
    <w:name w:val="Cover 2 - Additional Information"/>
    <w:basedOn w:val="Normal"/>
    <w:rsid w:val="00E13A09"/>
    <w:pPr>
      <w:spacing w:before="600" w:after="120" w:line="340" w:lineRule="exact"/>
      <w:ind w:left="4320"/>
      <w:outlineLvl w:val="0"/>
    </w:pPr>
    <w:rPr>
      <w:rFonts w:cstheme="minorHAnsi"/>
      <w:b/>
      <w:bCs/>
      <w:i/>
      <w:iCs/>
      <w:noProof/>
      <w:color w:val="536A85"/>
      <w:sz w:val="26"/>
      <w:szCs w:val="26"/>
    </w:rPr>
  </w:style>
  <w:style w:type="paragraph" w:styleId="TOCHeading">
    <w:name w:val="TOC Heading"/>
    <w:next w:val="Normal"/>
    <w:uiPriority w:val="39"/>
    <w:unhideWhenUsed/>
    <w:qFormat/>
    <w:rsid w:val="004C3F27"/>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E13A09"/>
    <w:pPr>
      <w:spacing w:before="240" w:after="120"/>
    </w:pPr>
    <w:rPr>
      <w:rFonts w:cstheme="minorHAnsi"/>
      <w:b/>
      <w:bCs/>
      <w:sz w:val="20"/>
      <w:szCs w:val="20"/>
    </w:rPr>
  </w:style>
  <w:style w:type="paragraph" w:styleId="TOC2">
    <w:name w:val="toc 2"/>
    <w:basedOn w:val="Normal"/>
    <w:next w:val="Normal"/>
    <w:autoRedefine/>
    <w:uiPriority w:val="39"/>
    <w:unhideWhenUsed/>
    <w:rsid w:val="00DC01F9"/>
    <w:pPr>
      <w:tabs>
        <w:tab w:val="right" w:leader="dot" w:pos="9350"/>
      </w:tabs>
      <w:spacing w:before="120" w:after="0"/>
      <w:ind w:left="220"/>
    </w:pPr>
    <w:rPr>
      <w:rFonts w:cstheme="minorHAnsi"/>
      <w:i/>
      <w:iCs/>
      <w:sz w:val="20"/>
      <w:szCs w:val="20"/>
    </w:rPr>
  </w:style>
  <w:style w:type="paragraph" w:styleId="TOC3">
    <w:name w:val="toc 3"/>
    <w:basedOn w:val="Normal"/>
    <w:next w:val="Normal"/>
    <w:autoRedefine/>
    <w:uiPriority w:val="39"/>
    <w:unhideWhenUsed/>
    <w:rsid w:val="00E13A09"/>
    <w:pPr>
      <w:spacing w:after="0"/>
      <w:ind w:left="440"/>
    </w:pPr>
    <w:rPr>
      <w:rFonts w:cstheme="minorHAnsi"/>
      <w:sz w:val="20"/>
      <w:szCs w:val="20"/>
    </w:rPr>
  </w:style>
  <w:style w:type="paragraph" w:styleId="TOC4">
    <w:name w:val="toc 4"/>
    <w:basedOn w:val="Normal"/>
    <w:next w:val="Normal"/>
    <w:autoRedefine/>
    <w:uiPriority w:val="39"/>
    <w:semiHidden/>
    <w:unhideWhenUsed/>
    <w:rsid w:val="00E13A09"/>
    <w:pPr>
      <w:spacing w:after="0"/>
      <w:ind w:left="660"/>
    </w:pPr>
    <w:rPr>
      <w:rFonts w:cstheme="minorHAnsi"/>
      <w:sz w:val="20"/>
      <w:szCs w:val="20"/>
    </w:rPr>
  </w:style>
  <w:style w:type="paragraph" w:styleId="TOC5">
    <w:name w:val="toc 5"/>
    <w:basedOn w:val="Normal"/>
    <w:next w:val="Normal"/>
    <w:autoRedefine/>
    <w:uiPriority w:val="39"/>
    <w:unhideWhenUsed/>
    <w:rsid w:val="00E13A09"/>
    <w:pPr>
      <w:spacing w:after="0"/>
      <w:ind w:left="880"/>
    </w:pPr>
    <w:rPr>
      <w:rFonts w:cstheme="minorHAnsi"/>
      <w:sz w:val="20"/>
      <w:szCs w:val="20"/>
    </w:rPr>
  </w:style>
  <w:style w:type="paragraph" w:styleId="TOC6">
    <w:name w:val="toc 6"/>
    <w:basedOn w:val="Normal"/>
    <w:next w:val="Normal"/>
    <w:autoRedefine/>
    <w:uiPriority w:val="39"/>
    <w:semiHidden/>
    <w:unhideWhenUsed/>
    <w:rsid w:val="00E13A09"/>
    <w:pPr>
      <w:spacing w:after="0"/>
      <w:ind w:left="1100"/>
    </w:pPr>
    <w:rPr>
      <w:rFonts w:cstheme="minorHAnsi"/>
      <w:sz w:val="20"/>
      <w:szCs w:val="20"/>
    </w:rPr>
  </w:style>
  <w:style w:type="paragraph" w:styleId="TOC7">
    <w:name w:val="toc 7"/>
    <w:basedOn w:val="Normal"/>
    <w:next w:val="Normal"/>
    <w:autoRedefine/>
    <w:uiPriority w:val="39"/>
    <w:semiHidden/>
    <w:unhideWhenUsed/>
    <w:rsid w:val="00E13A09"/>
    <w:pPr>
      <w:spacing w:after="0"/>
      <w:ind w:left="1320"/>
    </w:pPr>
    <w:rPr>
      <w:rFonts w:cstheme="minorHAnsi"/>
      <w:sz w:val="20"/>
      <w:szCs w:val="20"/>
    </w:rPr>
  </w:style>
  <w:style w:type="paragraph" w:styleId="TOC8">
    <w:name w:val="toc 8"/>
    <w:basedOn w:val="Normal"/>
    <w:next w:val="Normal"/>
    <w:autoRedefine/>
    <w:uiPriority w:val="39"/>
    <w:semiHidden/>
    <w:unhideWhenUsed/>
    <w:rsid w:val="00E13A09"/>
    <w:pPr>
      <w:spacing w:after="0"/>
      <w:ind w:left="1540"/>
    </w:pPr>
    <w:rPr>
      <w:rFonts w:cstheme="minorHAnsi"/>
      <w:sz w:val="20"/>
      <w:szCs w:val="20"/>
    </w:rPr>
  </w:style>
  <w:style w:type="paragraph" w:styleId="TOC9">
    <w:name w:val="toc 9"/>
    <w:basedOn w:val="Normal"/>
    <w:next w:val="Normal"/>
    <w:autoRedefine/>
    <w:uiPriority w:val="39"/>
    <w:semiHidden/>
    <w:unhideWhenUsed/>
    <w:rsid w:val="00E13A09"/>
    <w:pPr>
      <w:spacing w:after="0"/>
      <w:ind w:left="1760"/>
    </w:pPr>
    <w:rPr>
      <w:rFonts w:cstheme="minorHAnsi"/>
      <w:sz w:val="20"/>
      <w:szCs w:val="20"/>
    </w:rPr>
  </w:style>
  <w:style w:type="table" w:styleId="GridTable1Light-Accent1">
    <w:name w:val="Grid Table 1 Light Accent 1"/>
    <w:basedOn w:val="TableNormal"/>
    <w:uiPriority w:val="46"/>
    <w:rsid w:val="002E770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E770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9E2B5A"/>
    <w:pPr>
      <w:spacing w:after="0" w:line="240" w:lineRule="auto"/>
    </w:pPr>
  </w:style>
  <w:style w:type="character" w:styleId="PageNumber">
    <w:name w:val="page number"/>
    <w:basedOn w:val="DefaultParagraphFont"/>
    <w:uiPriority w:val="99"/>
    <w:semiHidden/>
    <w:unhideWhenUsed/>
    <w:rsid w:val="008D3B4D"/>
  </w:style>
  <w:style w:type="paragraph" w:styleId="ListParagraph">
    <w:name w:val="List Paragraph"/>
    <w:basedOn w:val="Normal"/>
    <w:uiPriority w:val="34"/>
    <w:qFormat/>
    <w:rsid w:val="00C33D44"/>
    <w:pPr>
      <w:spacing w:after="200" w:line="276" w:lineRule="auto"/>
      <w:ind w:left="720"/>
      <w:contextualSpacing/>
    </w:pPr>
    <w:rPr>
      <w:rFonts w:ascii="Calibri" w:eastAsia="Calibri" w:hAnsi="Calibri" w:cs="Times New Roman"/>
      <w:lang w:eastAsia="en-US"/>
    </w:rPr>
  </w:style>
  <w:style w:type="character" w:customStyle="1" w:styleId="Heading4Char">
    <w:name w:val="Heading 4 Char"/>
    <w:basedOn w:val="DefaultParagraphFont"/>
    <w:link w:val="Heading4"/>
    <w:rsid w:val="00277A38"/>
    <w:rPr>
      <w:rFonts w:ascii="Times New Roman" w:eastAsia="Times New Roman" w:hAnsi="Times New Roman" w:cs="Arial"/>
      <w:bCs/>
      <w:color w:val="2F5496" w:themeColor="accent1" w:themeShade="BF"/>
      <w:sz w:val="24"/>
      <w:szCs w:val="28"/>
      <w:lang w:eastAsia="en-US"/>
    </w:rPr>
  </w:style>
  <w:style w:type="character" w:customStyle="1" w:styleId="Heading5Char">
    <w:name w:val="Heading 5 Char"/>
    <w:basedOn w:val="DefaultParagraphFont"/>
    <w:link w:val="Heading5"/>
    <w:uiPriority w:val="9"/>
    <w:semiHidden/>
    <w:rsid w:val="00C61DAE"/>
    <w:rPr>
      <w:rFonts w:asciiTheme="majorHAnsi" w:eastAsiaTheme="majorEastAsia" w:hAnsiTheme="majorHAnsi" w:cstheme="majorBidi"/>
      <w:color w:val="1F3763" w:themeColor="accent1" w:themeShade="7F"/>
      <w:sz w:val="24"/>
      <w:szCs w:val="24"/>
      <w:lang w:eastAsia="en-US"/>
    </w:rPr>
  </w:style>
  <w:style w:type="character" w:customStyle="1" w:styleId="Heading6Char">
    <w:name w:val="Heading 6 Char"/>
    <w:basedOn w:val="DefaultParagraphFont"/>
    <w:link w:val="Heading6"/>
    <w:uiPriority w:val="9"/>
    <w:semiHidden/>
    <w:rsid w:val="00C61DAE"/>
    <w:rPr>
      <w:rFonts w:asciiTheme="majorHAnsi" w:eastAsiaTheme="majorEastAsia" w:hAnsiTheme="majorHAnsi" w:cstheme="majorBidi"/>
      <w:i/>
      <w:iCs/>
      <w:color w:val="1F3763" w:themeColor="accent1" w:themeShade="7F"/>
      <w:sz w:val="24"/>
      <w:szCs w:val="24"/>
      <w:lang w:eastAsia="en-US"/>
    </w:rPr>
  </w:style>
  <w:style w:type="character" w:customStyle="1" w:styleId="Heading7Char">
    <w:name w:val="Heading 7 Char"/>
    <w:basedOn w:val="DefaultParagraphFont"/>
    <w:link w:val="Heading7"/>
    <w:uiPriority w:val="9"/>
    <w:semiHidden/>
    <w:rsid w:val="00C61DA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semiHidden/>
    <w:rsid w:val="00C61DAE"/>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C61DAE"/>
    <w:rPr>
      <w:rFonts w:asciiTheme="majorHAnsi" w:eastAsiaTheme="majorEastAsia" w:hAnsiTheme="majorHAnsi" w:cstheme="majorBidi"/>
      <w:i/>
      <w:iCs/>
      <w:color w:val="404040" w:themeColor="text1" w:themeTint="BF"/>
      <w:sz w:val="20"/>
      <w:szCs w:val="20"/>
      <w:lang w:eastAsia="en-US"/>
    </w:rPr>
  </w:style>
  <w:style w:type="paragraph" w:customStyle="1" w:styleId="Tabletext">
    <w:name w:val="Table text"/>
    <w:link w:val="TabletextChar"/>
    <w:rsid w:val="00C61DAE"/>
    <w:pPr>
      <w:keepNext/>
      <w:spacing w:before="20" w:after="20" w:line="240" w:lineRule="auto"/>
      <w:ind w:left="317" w:hanging="317"/>
    </w:pPr>
    <w:rPr>
      <w:rFonts w:ascii="Arial Narrow" w:eastAsia="Times New Roman" w:hAnsi="Arial Narrow" w:cs="Times New Roman"/>
      <w:sz w:val="20"/>
      <w:szCs w:val="20"/>
      <w:lang w:eastAsia="en-US"/>
    </w:rPr>
  </w:style>
  <w:style w:type="paragraph" w:customStyle="1" w:styleId="Tablenumbers">
    <w:name w:val="Table numbers"/>
    <w:rsid w:val="00C61DAE"/>
    <w:pPr>
      <w:keepNext/>
      <w:spacing w:before="20" w:after="20" w:line="240" w:lineRule="auto"/>
      <w:jc w:val="right"/>
    </w:pPr>
    <w:rPr>
      <w:rFonts w:ascii="Arial Narrow" w:eastAsia="Times New Roman" w:hAnsi="Arial Narrow" w:cs="Arial"/>
      <w:snapToGrid w:val="0"/>
      <w:sz w:val="18"/>
      <w:szCs w:val="20"/>
      <w:lang w:eastAsia="en-US"/>
    </w:rPr>
  </w:style>
  <w:style w:type="paragraph" w:customStyle="1" w:styleId="Table-subgroup1">
    <w:name w:val="Table - subgroup 1"/>
    <w:basedOn w:val="Tabletext"/>
    <w:rsid w:val="00C61DAE"/>
    <w:pPr>
      <w:ind w:left="576" w:hanging="346"/>
    </w:pPr>
    <w:rPr>
      <w:kern w:val="2"/>
    </w:rPr>
  </w:style>
  <w:style w:type="paragraph" w:customStyle="1" w:styleId="Table-total">
    <w:name w:val="Table - total"/>
    <w:basedOn w:val="Table-subgroup1"/>
    <w:rsid w:val="00C61DAE"/>
    <w:pPr>
      <w:ind w:left="850"/>
    </w:pPr>
    <w:rPr>
      <w:rFonts w:cs="Arial"/>
    </w:rPr>
  </w:style>
  <w:style w:type="paragraph" w:customStyle="1" w:styleId="Legend">
    <w:name w:val="Legend"/>
    <w:next w:val="Normal"/>
    <w:uiPriority w:val="1"/>
    <w:rsid w:val="00C61DAE"/>
    <w:pPr>
      <w:tabs>
        <w:tab w:val="right" w:pos="8640"/>
      </w:tabs>
      <w:spacing w:line="280" w:lineRule="atLeast"/>
      <w:ind w:left="691" w:right="691"/>
    </w:pPr>
    <w:rPr>
      <w:rFonts w:ascii="Arial Narrow" w:eastAsia="Times New Roman" w:hAnsi="Arial Narrow" w:cs="Times New Roman"/>
      <w:caps/>
      <w:sz w:val="16"/>
      <w:szCs w:val="16"/>
      <w:lang w:eastAsia="en-US"/>
    </w:rPr>
  </w:style>
  <w:style w:type="character" w:customStyle="1" w:styleId="TabletextChar">
    <w:name w:val="Table text Char"/>
    <w:basedOn w:val="DefaultParagraphFont"/>
    <w:link w:val="Tabletext"/>
    <w:rsid w:val="00C61DAE"/>
    <w:rPr>
      <w:rFonts w:ascii="Arial Narrow" w:eastAsia="Times New Roman" w:hAnsi="Arial Narrow" w:cs="Times New Roman"/>
      <w:sz w:val="20"/>
      <w:szCs w:val="20"/>
      <w:lang w:eastAsia="en-US"/>
    </w:rPr>
  </w:style>
  <w:style w:type="table" w:customStyle="1" w:styleId="Headertable">
    <w:name w:val="Header table"/>
    <w:basedOn w:val="TableNormal"/>
    <w:uiPriority w:val="99"/>
    <w:rsid w:val="00C61DAE"/>
    <w:pPr>
      <w:tabs>
        <w:tab w:val="left" w:pos="230"/>
      </w:tabs>
      <w:spacing w:after="0" w:line="200" w:lineRule="exact"/>
    </w:pPr>
    <w:rPr>
      <w:rFonts w:ascii="Arial Narrow" w:eastAsia="Calibri" w:hAnsi="Arial Narrow" w:cs="Times New Roman"/>
      <w:sz w:val="16"/>
      <w:szCs w:val="20"/>
      <w:lang w:eastAsia="en-US"/>
    </w:rPr>
    <w:tblPr/>
    <w:trPr>
      <w:cantSplit/>
    </w:trPr>
    <w:tcPr>
      <w:tcMar>
        <w:left w:w="0" w:type="dxa"/>
        <w:right w:w="0" w:type="dxa"/>
      </w:tcMar>
      <w:vAlign w:val="bottom"/>
    </w:tcPr>
    <w:tblStylePr w:type="firstCol">
      <w:pPr>
        <w:jc w:val="center"/>
      </w:pPr>
      <w:rPr>
        <w:rFonts w:asciiTheme="majorHAnsi" w:hAnsiTheme="majorHAnsi"/>
        <w:sz w:val="16"/>
      </w:rPr>
      <w:tblPr/>
      <w:tcPr>
        <w:tcBorders>
          <w:left w:val="single" w:sz="4" w:space="0" w:color="auto"/>
          <w:right w:val="single" w:sz="4" w:space="0" w:color="auto"/>
        </w:tcBorders>
      </w:tcPr>
    </w:tblStylePr>
  </w:style>
  <w:style w:type="paragraph" w:customStyle="1" w:styleId="Headeroddpage">
    <w:name w:val="Header odd page"/>
    <w:basedOn w:val="Header"/>
    <w:rsid w:val="00C61DAE"/>
    <w:pPr>
      <w:tabs>
        <w:tab w:val="clear" w:pos="4680"/>
        <w:tab w:val="clear" w:pos="9360"/>
        <w:tab w:val="left" w:pos="230"/>
        <w:tab w:val="right" w:pos="8640"/>
        <w:tab w:val="center" w:pos="9115"/>
      </w:tabs>
      <w:spacing w:line="200" w:lineRule="exact"/>
      <w:ind w:left="230" w:right="230"/>
      <w:jc w:val="right"/>
    </w:pPr>
    <w:rPr>
      <w:rFonts w:ascii="Arial Narrow" w:eastAsia="Calibri" w:hAnsi="Arial Narrow" w:cs="Times New Roman"/>
      <w:caps/>
      <w:sz w:val="16"/>
      <w:szCs w:val="20"/>
      <w:lang w:eastAsia="en-US"/>
    </w:rPr>
  </w:style>
  <w:style w:type="paragraph" w:customStyle="1" w:styleId="Headerevenpage">
    <w:name w:val="Header even page"/>
    <w:basedOn w:val="Header"/>
    <w:rsid w:val="00C61DAE"/>
    <w:pPr>
      <w:tabs>
        <w:tab w:val="clear" w:pos="4680"/>
        <w:tab w:val="clear" w:pos="9360"/>
        <w:tab w:val="left" w:pos="230"/>
        <w:tab w:val="right" w:pos="8640"/>
        <w:tab w:val="center" w:pos="9115"/>
      </w:tabs>
      <w:spacing w:line="200" w:lineRule="exact"/>
      <w:ind w:left="230" w:right="230"/>
    </w:pPr>
    <w:rPr>
      <w:rFonts w:ascii="Arial Narrow" w:eastAsia="Calibri" w:hAnsi="Arial Narrow" w:cs="Times New Roman"/>
      <w:caps/>
      <w:sz w:val="16"/>
      <w:szCs w:val="20"/>
      <w:lang w:eastAsia="en-US"/>
    </w:rPr>
  </w:style>
  <w:style w:type="paragraph" w:customStyle="1" w:styleId="TablenotesLAST">
    <w:name w:val="Table notes LAST"/>
    <w:basedOn w:val="Tablenotes"/>
    <w:qFormat/>
    <w:rsid w:val="00C61DAE"/>
    <w:pPr>
      <w:spacing w:after="240"/>
    </w:pPr>
  </w:style>
  <w:style w:type="table" w:customStyle="1" w:styleId="Style1">
    <w:name w:val="Style1"/>
    <w:basedOn w:val="TableNormal"/>
    <w:uiPriority w:val="99"/>
    <w:rsid w:val="00C61DAE"/>
    <w:pPr>
      <w:spacing w:after="0" w:line="240" w:lineRule="auto"/>
    </w:pPr>
    <w:rPr>
      <w:rFonts w:ascii="Arial Narrow" w:hAnsi="Arial Narrow"/>
      <w:sz w:val="20"/>
      <w:szCs w:val="24"/>
      <w:lang w:eastAsia="en-US"/>
    </w:rPr>
    <w:tblPr>
      <w:tblBorders>
        <w:top w:val="single" w:sz="24" w:space="0" w:color="auto"/>
        <w:bottom w:val="single" w:sz="24" w:space="0" w:color="auto"/>
      </w:tblBorders>
    </w:tblPr>
    <w:tblStylePr w:type="firstRow">
      <w:rPr>
        <w:rFonts w:ascii="Garamond" w:hAnsi="Garamond"/>
        <w:b/>
      </w:rPr>
      <w:tblPr/>
      <w:tcPr>
        <w:tcBorders>
          <w:bottom w:val="single" w:sz="4" w:space="0" w:color="auto"/>
        </w:tcBorders>
      </w:tcPr>
    </w:tblStylePr>
  </w:style>
  <w:style w:type="paragraph" w:customStyle="1" w:styleId="bullet2ndlevel">
    <w:name w:val="bullet 2nd level"/>
    <w:basedOn w:val="bulletround"/>
    <w:rsid w:val="00253309"/>
    <w:pPr>
      <w:numPr>
        <w:numId w:val="0"/>
      </w:numPr>
      <w:ind w:left="1440" w:hanging="360"/>
    </w:pPr>
  </w:style>
  <w:style w:type="paragraph" w:customStyle="1" w:styleId="LightList-Accent51">
    <w:name w:val="Light List - Accent 51"/>
    <w:basedOn w:val="Normal"/>
    <w:uiPriority w:val="34"/>
    <w:qFormat/>
    <w:rsid w:val="00253309"/>
    <w:pPr>
      <w:spacing w:before="240" w:after="120" w:line="240" w:lineRule="auto"/>
      <w:ind w:left="360"/>
    </w:pPr>
    <w:rPr>
      <w:rFonts w:ascii="Garamond" w:eastAsia="Times New Roman" w:hAnsi="Garamond" w:cs="Times New Roman"/>
      <w:b/>
      <w:iCs/>
      <w:sz w:val="24"/>
      <w:szCs w:val="24"/>
      <w:lang w:eastAsia="en-US"/>
    </w:rPr>
  </w:style>
  <w:style w:type="paragraph" w:customStyle="1" w:styleId="Equation">
    <w:name w:val="Equation"/>
    <w:basedOn w:val="BodyText"/>
    <w:next w:val="BodyText"/>
    <w:qFormat/>
    <w:rsid w:val="00253309"/>
    <w:pPr>
      <w:ind w:right="720"/>
      <w:jc w:val="center"/>
    </w:pPr>
    <w:rPr>
      <w:rFonts w:eastAsia="Calibri"/>
    </w:rPr>
  </w:style>
  <w:style w:type="paragraph" w:styleId="BalloonText">
    <w:name w:val="Balloon Text"/>
    <w:basedOn w:val="Normal"/>
    <w:link w:val="BalloonTextChar"/>
    <w:rsid w:val="00253309"/>
    <w:pPr>
      <w:spacing w:after="0" w:line="300" w:lineRule="atLeast"/>
    </w:pPr>
    <w:rPr>
      <w:rFonts w:ascii="Tahoma" w:eastAsia="Times New Roman" w:hAnsi="Tahoma" w:cs="Times New Roman"/>
      <w:sz w:val="16"/>
      <w:szCs w:val="16"/>
      <w:lang w:eastAsia="en-US"/>
    </w:rPr>
  </w:style>
  <w:style w:type="character" w:customStyle="1" w:styleId="BalloonTextChar">
    <w:name w:val="Balloon Text Char"/>
    <w:basedOn w:val="DefaultParagraphFont"/>
    <w:link w:val="BalloonText"/>
    <w:rsid w:val="00253309"/>
    <w:rPr>
      <w:rFonts w:ascii="Tahoma" w:eastAsia="Times New Roman" w:hAnsi="Tahoma" w:cs="Times New Roman"/>
      <w:sz w:val="16"/>
      <w:szCs w:val="16"/>
      <w:lang w:eastAsia="en-US"/>
    </w:rPr>
  </w:style>
  <w:style w:type="paragraph" w:customStyle="1" w:styleId="LightShading-Accent51">
    <w:name w:val="Light Shading - Accent 51"/>
    <w:hidden/>
    <w:uiPriority w:val="99"/>
    <w:semiHidden/>
    <w:rsid w:val="00253309"/>
    <w:pPr>
      <w:spacing w:after="0" w:line="240" w:lineRule="auto"/>
    </w:pPr>
    <w:rPr>
      <w:rFonts w:ascii="Times New Roman" w:eastAsia="Times New Roman" w:hAnsi="Times New Roman" w:cs="Times New Roman"/>
      <w:sz w:val="24"/>
      <w:szCs w:val="24"/>
      <w:lang w:eastAsia="en-US"/>
    </w:rPr>
  </w:style>
  <w:style w:type="paragraph" w:customStyle="1" w:styleId="2enspsubgroup1">
    <w:name w:val="2 en sp (subgroup 1)"/>
    <w:basedOn w:val="Tabletext"/>
    <w:rsid w:val="00253309"/>
    <w:pPr>
      <w:ind w:left="576" w:hanging="346"/>
    </w:pPr>
    <w:rPr>
      <w:rFonts w:ascii="Arial" w:hAnsi="Arial"/>
      <w:kern w:val="2"/>
      <w:sz w:val="18"/>
    </w:rPr>
  </w:style>
  <w:style w:type="paragraph" w:customStyle="1" w:styleId="4enspsubgroup2">
    <w:name w:val="4 en sp (subgroup 2)"/>
    <w:basedOn w:val="2enspsubgroup1"/>
    <w:rsid w:val="00253309"/>
    <w:pPr>
      <w:ind w:left="794"/>
    </w:pPr>
  </w:style>
  <w:style w:type="paragraph" w:customStyle="1" w:styleId="3ensptotalnosubgroup">
    <w:name w:val="3 en sp (total no subgroup)"/>
    <w:basedOn w:val="4enspsubgroup2"/>
    <w:rsid w:val="00253309"/>
    <w:pPr>
      <w:ind w:left="677"/>
    </w:pPr>
    <w:rPr>
      <w:rFonts w:eastAsia="Arial Unicode MS"/>
    </w:rPr>
  </w:style>
  <w:style w:type="paragraph" w:customStyle="1" w:styleId="5ensptotal">
    <w:name w:val="5 en sp (total)"/>
    <w:basedOn w:val="2enspsubgroup1"/>
    <w:rsid w:val="00253309"/>
    <w:pPr>
      <w:ind w:left="850"/>
    </w:pPr>
    <w:rPr>
      <w:rFonts w:cs="Arial"/>
    </w:rPr>
  </w:style>
  <w:style w:type="paragraph" w:customStyle="1" w:styleId="6enspitem">
    <w:name w:val="6 en sp (item)"/>
    <w:basedOn w:val="4enspsubgroup2"/>
    <w:rsid w:val="00253309"/>
    <w:pPr>
      <w:numPr>
        <w:numId w:val="12"/>
      </w:numPr>
    </w:pPr>
  </w:style>
  <w:style w:type="paragraph" w:styleId="DocumentMap">
    <w:name w:val="Document Map"/>
    <w:basedOn w:val="Normal"/>
    <w:link w:val="DocumentMapChar"/>
    <w:rsid w:val="00253309"/>
    <w:pPr>
      <w:spacing w:after="0" w:line="300" w:lineRule="atLeas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rsid w:val="00253309"/>
    <w:rPr>
      <w:rFonts w:ascii="Tahoma" w:eastAsia="Times New Roman" w:hAnsi="Tahoma" w:cs="Tahoma"/>
      <w:sz w:val="16"/>
      <w:szCs w:val="16"/>
      <w:lang w:eastAsia="en-US"/>
    </w:rPr>
  </w:style>
  <w:style w:type="paragraph" w:customStyle="1" w:styleId="Evenfooter">
    <w:name w:val="Even footer"/>
    <w:basedOn w:val="Normal"/>
    <w:rsid w:val="00253309"/>
    <w:pPr>
      <w:spacing w:after="0" w:line="300" w:lineRule="atLeast"/>
    </w:pPr>
    <w:rPr>
      <w:rFonts w:ascii="Arial" w:eastAsia="Times New Roman" w:hAnsi="Arial" w:cs="Arial"/>
      <w:sz w:val="16"/>
      <w:szCs w:val="20"/>
      <w:lang w:eastAsia="en-US"/>
    </w:rPr>
  </w:style>
  <w:style w:type="character" w:styleId="FollowedHyperlink">
    <w:name w:val="FollowedHyperlink"/>
    <w:uiPriority w:val="99"/>
    <w:unhideWhenUsed/>
    <w:rsid w:val="00253309"/>
    <w:rPr>
      <w:color w:val="800080"/>
      <w:u w:val="single"/>
    </w:rPr>
  </w:style>
  <w:style w:type="paragraph" w:customStyle="1" w:styleId="font5">
    <w:name w:val="font5"/>
    <w:basedOn w:val="Normal"/>
    <w:rsid w:val="00253309"/>
    <w:pPr>
      <w:spacing w:before="100" w:beforeAutospacing="1" w:after="100" w:afterAutospacing="1" w:line="300" w:lineRule="atLeast"/>
    </w:pPr>
    <w:rPr>
      <w:rFonts w:ascii="Calibri" w:eastAsia="Times New Roman" w:hAnsi="Calibri" w:cs="Times New Roman"/>
      <w:i/>
      <w:iCs/>
      <w:color w:val="000000"/>
      <w:sz w:val="18"/>
      <w:szCs w:val="18"/>
      <w:lang w:eastAsia="en-US"/>
    </w:rPr>
  </w:style>
  <w:style w:type="paragraph" w:customStyle="1" w:styleId="font6">
    <w:name w:val="font6"/>
    <w:basedOn w:val="Normal"/>
    <w:rsid w:val="00253309"/>
    <w:pPr>
      <w:spacing w:before="100" w:beforeAutospacing="1" w:after="100" w:afterAutospacing="1" w:line="300" w:lineRule="atLeast"/>
    </w:pPr>
    <w:rPr>
      <w:rFonts w:ascii="Calibri" w:eastAsia="Times New Roman" w:hAnsi="Calibri" w:cs="Times New Roman"/>
      <w:color w:val="000000"/>
      <w:sz w:val="18"/>
      <w:szCs w:val="18"/>
      <w:lang w:eastAsia="en-US"/>
    </w:rPr>
  </w:style>
  <w:style w:type="character" w:customStyle="1" w:styleId="FootnoteTextChar1">
    <w:name w:val="Footnote Text Char1"/>
    <w:uiPriority w:val="99"/>
    <w:locked/>
    <w:rsid w:val="00253309"/>
    <w:rPr>
      <w:rFonts w:ascii="Times New Roman" w:eastAsia="Times New Roman" w:hAnsi="Times New Roman" w:cs="Times New Roman"/>
      <w:sz w:val="16"/>
      <w:szCs w:val="22"/>
      <w:lang w:bidi="ar-SA"/>
    </w:rPr>
  </w:style>
  <w:style w:type="table" w:customStyle="1" w:styleId="LightShading1">
    <w:name w:val="Light Shading1"/>
    <w:basedOn w:val="TableNormal"/>
    <w:uiPriority w:val="60"/>
    <w:rsid w:val="00253309"/>
    <w:pPr>
      <w:spacing w:after="0" w:line="240" w:lineRule="auto"/>
    </w:pPr>
    <w:rPr>
      <w:rFonts w:ascii="Arial" w:eastAsia="Times New Roman" w:hAnsi="Arial" w:cs="Times New Roman"/>
      <w:color w:val="000000"/>
      <w:sz w:val="18"/>
      <w:szCs w:val="20"/>
    </w:rPr>
    <w:tblPr>
      <w:tblStyleRowBandSize w:val="1"/>
      <w:tblStyleColBandSize w:val="1"/>
      <w:tblBorders>
        <w:bottom w:val="single" w:sz="24" w:space="0" w:color="000000"/>
      </w:tblBorders>
    </w:tblPr>
    <w:tcPr>
      <w:vAlign w:val="bottom"/>
    </w:tcPr>
    <w:tblStylePr w:type="firstRow">
      <w:pPr>
        <w:spacing w:before="0" w:after="0" w:line="240" w:lineRule="auto"/>
      </w:pPr>
      <w:rPr>
        <w:b/>
        <w:bCs/>
      </w:rPr>
      <w:tblPr/>
      <w:tcPr>
        <w:tcBorders>
          <w:top w:val="single" w:sz="24"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C0C0C0"/>
      </w:tcPr>
    </w:tblStylePr>
    <w:tblStylePr w:type="band1Horz">
      <w:tblPr/>
      <w:tcPr>
        <w:shd w:val="clear" w:color="auto" w:fill="EAEAEA"/>
      </w:tcPr>
    </w:tblStylePr>
  </w:style>
  <w:style w:type="paragraph" w:styleId="ListBullet">
    <w:name w:val="List Bullet"/>
    <w:basedOn w:val="Normal"/>
    <w:uiPriority w:val="99"/>
    <w:rsid w:val="00253309"/>
    <w:pPr>
      <w:spacing w:before="120" w:after="0" w:line="276" w:lineRule="auto"/>
    </w:pPr>
    <w:rPr>
      <w:rFonts w:ascii="Garamond" w:eastAsia="Times New Roman" w:hAnsi="Garamond" w:cs="Times New Roman"/>
      <w:sz w:val="24"/>
      <w:szCs w:val="20"/>
      <w:lang w:eastAsia="en-US"/>
    </w:rPr>
  </w:style>
  <w:style w:type="paragraph" w:customStyle="1" w:styleId="ListBullet21">
    <w:name w:val="List Bullet 21"/>
    <w:basedOn w:val="ListBullet"/>
    <w:rsid w:val="00253309"/>
    <w:rPr>
      <w:snapToGrid w:val="0"/>
    </w:rPr>
  </w:style>
  <w:style w:type="paragraph" w:styleId="NormalWeb">
    <w:name w:val="Normal (Web)"/>
    <w:basedOn w:val="Normal"/>
    <w:rsid w:val="00253309"/>
    <w:pPr>
      <w:spacing w:after="120" w:line="260" w:lineRule="exact"/>
    </w:pPr>
    <w:rPr>
      <w:rFonts w:ascii="Garamond" w:eastAsia="Times New Roman" w:hAnsi="Garamond" w:cs="Times New Roman"/>
      <w:sz w:val="24"/>
      <w:szCs w:val="24"/>
      <w:lang w:eastAsia="en-US" w:bidi="en-US"/>
    </w:rPr>
  </w:style>
  <w:style w:type="paragraph" w:customStyle="1" w:styleId="Oddfooter">
    <w:name w:val="Odd footer"/>
    <w:basedOn w:val="Normal"/>
    <w:rsid w:val="00253309"/>
    <w:pPr>
      <w:spacing w:after="0" w:line="300" w:lineRule="atLeast"/>
      <w:jc w:val="right"/>
    </w:pPr>
    <w:rPr>
      <w:rFonts w:ascii="Arial" w:eastAsia="Times New Roman" w:hAnsi="Arial" w:cs="Arial"/>
      <w:sz w:val="16"/>
      <w:szCs w:val="20"/>
      <w:lang w:eastAsia="en-US"/>
    </w:rPr>
  </w:style>
  <w:style w:type="paragraph" w:customStyle="1" w:styleId="Source">
    <w:name w:val="Source"/>
    <w:next w:val="BodyText"/>
    <w:rsid w:val="00253309"/>
    <w:pPr>
      <w:spacing w:before="40" w:after="0" w:line="240" w:lineRule="auto"/>
    </w:pPr>
    <w:rPr>
      <w:rFonts w:ascii="Arial" w:eastAsia="Times New Roman" w:hAnsi="Arial" w:cs="Times New Roman"/>
      <w:i/>
      <w:sz w:val="16"/>
      <w:szCs w:val="18"/>
      <w:lang w:eastAsia="en-US"/>
    </w:rPr>
  </w:style>
  <w:style w:type="paragraph" w:customStyle="1" w:styleId="Tablebody">
    <w:name w:val="Table body"/>
    <w:basedOn w:val="Tabletext"/>
    <w:rsid w:val="00253309"/>
    <w:pPr>
      <w:ind w:left="0" w:firstLine="0"/>
    </w:pPr>
    <w:rPr>
      <w:rFonts w:ascii="Arial" w:eastAsia="Arial Unicode MS" w:hAnsi="Arial"/>
      <w:sz w:val="18"/>
    </w:rPr>
  </w:style>
  <w:style w:type="table" w:styleId="TableGrid">
    <w:name w:val="Table Grid"/>
    <w:basedOn w:val="TableNormal"/>
    <w:rsid w:val="00253309"/>
    <w:pPr>
      <w:keepNext/>
      <w:spacing w:before="20" w:after="20" w:line="240" w:lineRule="auto"/>
    </w:pPr>
    <w:rPr>
      <w:rFonts w:ascii="Arial" w:eastAsia="Times New Roman" w:hAnsi="Arial" w:cs="Times New Roman"/>
      <w:sz w:val="20"/>
      <w:szCs w:val="20"/>
    </w:rPr>
    <w:tblPr>
      <w:tblBorders>
        <w:top w:val="single" w:sz="24" w:space="0" w:color="auto"/>
        <w:bottom w:val="single" w:sz="24" w:space="0" w:color="auto"/>
      </w:tblBorders>
    </w:tblPr>
    <w:tcPr>
      <w:vAlign w:val="bottom"/>
    </w:tcPr>
    <w:tblStylePr w:type="firstRow">
      <w:rPr>
        <w:b/>
      </w:rPr>
      <w:tblPr/>
      <w:tcPr>
        <w:tcBorders>
          <w:bottom w:val="single" w:sz="8" w:space="0" w:color="auto"/>
        </w:tcBorders>
      </w:tcPr>
    </w:tblStylePr>
    <w:tblStylePr w:type="lastRow">
      <w:rPr>
        <w:b/>
      </w:rPr>
    </w:tblStylePr>
    <w:tblStylePr w:type="firstCol">
      <w:pPr>
        <w:jc w:val="left"/>
      </w:pPr>
    </w:tblStylePr>
    <w:tblStylePr w:type="nwCell">
      <w:pPr>
        <w:jc w:val="left"/>
      </w:pPr>
      <w:tblPr/>
      <w:tcPr>
        <w:vAlign w:val="bottom"/>
      </w:tcPr>
    </w:tblStylePr>
  </w:style>
  <w:style w:type="paragraph" w:customStyle="1" w:styleId="Tablehead">
    <w:name w:val="Table head"/>
    <w:rsid w:val="00253309"/>
    <w:pPr>
      <w:spacing w:after="0" w:line="240" w:lineRule="auto"/>
      <w:jc w:val="center"/>
    </w:pPr>
    <w:rPr>
      <w:rFonts w:ascii="Arial" w:eastAsia="Times New Roman" w:hAnsi="Arial" w:cs="Arial"/>
      <w:b/>
      <w:bCs/>
      <w:snapToGrid w:val="0"/>
      <w:sz w:val="18"/>
      <w:szCs w:val="20"/>
      <w:lang w:eastAsia="en-US"/>
    </w:rPr>
  </w:style>
  <w:style w:type="paragraph" w:customStyle="1" w:styleId="Tableheading">
    <w:name w:val="Table heading"/>
    <w:basedOn w:val="Tabletext"/>
    <w:rsid w:val="00253309"/>
    <w:pPr>
      <w:ind w:left="0" w:firstLine="0"/>
      <w:jc w:val="right"/>
    </w:pPr>
    <w:rPr>
      <w:rFonts w:ascii="Arial" w:hAnsi="Arial"/>
      <w:sz w:val="18"/>
    </w:rPr>
  </w:style>
  <w:style w:type="paragraph" w:customStyle="1" w:styleId="Tableheadingcenter">
    <w:name w:val="Table heading center"/>
    <w:basedOn w:val="Tableheading"/>
    <w:rsid w:val="00253309"/>
    <w:pPr>
      <w:jc w:val="center"/>
    </w:pPr>
  </w:style>
  <w:style w:type="paragraph" w:customStyle="1" w:styleId="tabletitle-continued">
    <w:name w:val="table title - continued"/>
    <w:basedOn w:val="Tabletitle"/>
    <w:rsid w:val="00253309"/>
    <w:pPr>
      <w:ind w:left="1166" w:hanging="1166"/>
      <w:outlineLvl w:val="9"/>
    </w:pPr>
  </w:style>
  <w:style w:type="paragraph" w:customStyle="1" w:styleId="TablesnotesArialNarrow">
    <w:name w:val="Tables notes Arial Narrow"/>
    <w:basedOn w:val="Tablenotes"/>
    <w:qFormat/>
    <w:rsid w:val="00253309"/>
    <w:pPr>
      <w:spacing w:line="300" w:lineRule="atLeast"/>
    </w:pPr>
  </w:style>
  <w:style w:type="paragraph" w:styleId="Title">
    <w:name w:val="Title"/>
    <w:basedOn w:val="Normal"/>
    <w:next w:val="Normal"/>
    <w:link w:val="TitleChar"/>
    <w:uiPriority w:val="10"/>
    <w:qFormat/>
    <w:rsid w:val="00253309"/>
    <w:pPr>
      <w:spacing w:after="240" w:line="300" w:lineRule="atLeast"/>
    </w:pPr>
    <w:rPr>
      <w:rFonts w:ascii="Arial" w:eastAsia="Times New Roman" w:hAnsi="Arial" w:cs="Arial"/>
      <w:b/>
      <w:color w:val="BFB6AC"/>
      <w:sz w:val="34"/>
      <w:szCs w:val="34"/>
      <w:lang w:eastAsia="en-US"/>
    </w:rPr>
  </w:style>
  <w:style w:type="character" w:customStyle="1" w:styleId="TitleChar">
    <w:name w:val="Title Char"/>
    <w:basedOn w:val="DefaultParagraphFont"/>
    <w:link w:val="Title"/>
    <w:uiPriority w:val="10"/>
    <w:rsid w:val="00253309"/>
    <w:rPr>
      <w:rFonts w:ascii="Arial" w:eastAsia="Times New Roman" w:hAnsi="Arial" w:cs="Arial"/>
      <w:b/>
      <w:color w:val="BFB6AC"/>
      <w:sz w:val="34"/>
      <w:szCs w:val="34"/>
      <w:lang w:eastAsia="en-US"/>
    </w:rPr>
  </w:style>
  <w:style w:type="paragraph" w:customStyle="1" w:styleId="GridTable31">
    <w:name w:val="Grid Table 31"/>
    <w:qFormat/>
    <w:rsid w:val="00253309"/>
    <w:pPr>
      <w:pBdr>
        <w:bottom w:val="single" w:sz="48" w:space="1" w:color="1F497D"/>
      </w:pBdr>
      <w:spacing w:after="360" w:line="240" w:lineRule="auto"/>
    </w:pPr>
    <w:rPr>
      <w:rFonts w:ascii="Arial Bold" w:eastAsia="Times New Roman" w:hAnsi="Arial Bold" w:cs="Arial"/>
      <w:b/>
      <w:sz w:val="36"/>
      <w:szCs w:val="20"/>
      <w:lang w:eastAsia="en-US"/>
    </w:rPr>
  </w:style>
  <w:style w:type="paragraph" w:customStyle="1" w:styleId="TOC20">
    <w:name w:val="TOC2"/>
    <w:basedOn w:val="GridTable31"/>
    <w:qFormat/>
    <w:rsid w:val="00253309"/>
    <w:pPr>
      <w:keepNext/>
      <w:pBdr>
        <w:bottom w:val="none" w:sz="0" w:space="0" w:color="auto"/>
      </w:pBdr>
      <w:spacing w:before="600"/>
    </w:pPr>
    <w:rPr>
      <w:sz w:val="32"/>
      <w:szCs w:val="32"/>
    </w:rPr>
  </w:style>
  <w:style w:type="paragraph" w:customStyle="1" w:styleId="Appbodytext">
    <w:name w:val="App body text"/>
    <w:basedOn w:val="BodyText"/>
    <w:qFormat/>
    <w:rsid w:val="00253309"/>
    <w:pPr>
      <w:ind w:left="360"/>
    </w:pPr>
  </w:style>
  <w:style w:type="paragraph" w:customStyle="1" w:styleId="AppbodytextL2">
    <w:name w:val="App body text L2"/>
    <w:basedOn w:val="Appbodytext"/>
    <w:qFormat/>
    <w:rsid w:val="00253309"/>
    <w:pPr>
      <w:ind w:left="720"/>
    </w:pPr>
  </w:style>
  <w:style w:type="paragraph" w:customStyle="1" w:styleId="AppL2bullet">
    <w:name w:val="App L2 bullet"/>
    <w:basedOn w:val="bulletround"/>
    <w:qFormat/>
    <w:rsid w:val="00253309"/>
    <w:pPr>
      <w:numPr>
        <w:numId w:val="14"/>
      </w:numPr>
      <w:ind w:left="1440"/>
    </w:pPr>
  </w:style>
  <w:style w:type="character" w:customStyle="1" w:styleId="contenttext">
    <w:name w:val="contenttext"/>
    <w:basedOn w:val="DefaultParagraphFont"/>
    <w:rsid w:val="00253309"/>
  </w:style>
  <w:style w:type="paragraph" w:customStyle="1" w:styleId="ColorfulShading-Accent11">
    <w:name w:val="Colorful Shading - Accent 11"/>
    <w:hidden/>
    <w:uiPriority w:val="71"/>
    <w:unhideWhenUsed/>
    <w:rsid w:val="00253309"/>
    <w:pPr>
      <w:spacing w:after="0" w:line="240" w:lineRule="auto"/>
    </w:pPr>
    <w:rPr>
      <w:rFonts w:ascii="Garamond" w:eastAsia="Times New Roman" w:hAnsi="Garamond" w:cs="Times New Roman"/>
      <w:sz w:val="24"/>
      <w:szCs w:val="24"/>
      <w:lang w:eastAsia="en-US"/>
    </w:rPr>
  </w:style>
  <w:style w:type="character" w:customStyle="1" w:styleId="normaltextrun">
    <w:name w:val="normaltextrun"/>
    <w:basedOn w:val="DefaultParagraphFont"/>
    <w:rsid w:val="00343FE6"/>
  </w:style>
  <w:style w:type="paragraph" w:styleId="Subtitle">
    <w:name w:val="Subtitle"/>
    <w:aliases w:val="Heading 2 - Cover Page"/>
    <w:basedOn w:val="Normal"/>
    <w:next w:val="Normal"/>
    <w:link w:val="SubtitleChar"/>
    <w:uiPriority w:val="11"/>
    <w:rsid w:val="002D5ED0"/>
    <w:pPr>
      <w:jc w:val="center"/>
      <w:outlineLvl w:val="1"/>
    </w:pPr>
    <w:rPr>
      <w:b/>
      <w:bCs/>
      <w:sz w:val="48"/>
      <w:szCs w:val="48"/>
    </w:rPr>
  </w:style>
  <w:style w:type="character" w:customStyle="1" w:styleId="SubtitleChar">
    <w:name w:val="Subtitle Char"/>
    <w:aliases w:val="Heading 2 - Cover Page Char"/>
    <w:basedOn w:val="DefaultParagraphFont"/>
    <w:link w:val="Subtitle"/>
    <w:uiPriority w:val="11"/>
    <w:rsid w:val="002D5ED0"/>
    <w:rPr>
      <w:b/>
      <w:bCs/>
      <w:sz w:val="48"/>
      <w:szCs w:val="48"/>
    </w:rPr>
  </w:style>
  <w:style w:type="paragraph" w:customStyle="1" w:styleId="Heading2-Cover">
    <w:name w:val="Heading 2 - Cover"/>
    <w:qFormat/>
    <w:rsid w:val="002D5ED0"/>
    <w:pPr>
      <w:jc w:val="center"/>
      <w:outlineLvl w:val="1"/>
    </w:pPr>
    <w:rPr>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269">
      <w:bodyDiv w:val="1"/>
      <w:marLeft w:val="0"/>
      <w:marRight w:val="0"/>
      <w:marTop w:val="0"/>
      <w:marBottom w:val="0"/>
      <w:divBdr>
        <w:top w:val="none" w:sz="0" w:space="0" w:color="auto"/>
        <w:left w:val="none" w:sz="0" w:space="0" w:color="auto"/>
        <w:bottom w:val="none" w:sz="0" w:space="0" w:color="auto"/>
        <w:right w:val="none" w:sz="0" w:space="0" w:color="auto"/>
      </w:divBdr>
    </w:div>
    <w:div w:id="452865666">
      <w:bodyDiv w:val="1"/>
      <w:marLeft w:val="0"/>
      <w:marRight w:val="0"/>
      <w:marTop w:val="0"/>
      <w:marBottom w:val="0"/>
      <w:divBdr>
        <w:top w:val="none" w:sz="0" w:space="0" w:color="auto"/>
        <w:left w:val="none" w:sz="0" w:space="0" w:color="auto"/>
        <w:bottom w:val="none" w:sz="0" w:space="0" w:color="auto"/>
        <w:right w:val="none" w:sz="0" w:space="0" w:color="auto"/>
      </w:divBdr>
    </w:div>
    <w:div w:id="783382496">
      <w:bodyDiv w:val="1"/>
      <w:marLeft w:val="0"/>
      <w:marRight w:val="0"/>
      <w:marTop w:val="0"/>
      <w:marBottom w:val="0"/>
      <w:divBdr>
        <w:top w:val="none" w:sz="0" w:space="0" w:color="auto"/>
        <w:left w:val="none" w:sz="0" w:space="0" w:color="auto"/>
        <w:bottom w:val="none" w:sz="0" w:space="0" w:color="auto"/>
        <w:right w:val="none" w:sz="0" w:space="0" w:color="auto"/>
      </w:divBdr>
    </w:div>
    <w:div w:id="1045252434">
      <w:bodyDiv w:val="1"/>
      <w:marLeft w:val="0"/>
      <w:marRight w:val="0"/>
      <w:marTop w:val="0"/>
      <w:marBottom w:val="0"/>
      <w:divBdr>
        <w:top w:val="none" w:sz="0" w:space="0" w:color="auto"/>
        <w:left w:val="none" w:sz="0" w:space="0" w:color="auto"/>
        <w:bottom w:val="none" w:sz="0" w:space="0" w:color="auto"/>
        <w:right w:val="none" w:sz="0" w:space="0" w:color="auto"/>
      </w:divBdr>
    </w:div>
    <w:div w:id="1093666681">
      <w:bodyDiv w:val="1"/>
      <w:marLeft w:val="0"/>
      <w:marRight w:val="0"/>
      <w:marTop w:val="0"/>
      <w:marBottom w:val="0"/>
      <w:divBdr>
        <w:top w:val="none" w:sz="0" w:space="0" w:color="auto"/>
        <w:left w:val="none" w:sz="0" w:space="0" w:color="auto"/>
        <w:bottom w:val="none" w:sz="0" w:space="0" w:color="auto"/>
        <w:right w:val="none" w:sz="0" w:space="0" w:color="auto"/>
      </w:divBdr>
    </w:div>
    <w:div w:id="1138642014">
      <w:bodyDiv w:val="1"/>
      <w:marLeft w:val="0"/>
      <w:marRight w:val="0"/>
      <w:marTop w:val="0"/>
      <w:marBottom w:val="0"/>
      <w:divBdr>
        <w:top w:val="none" w:sz="0" w:space="0" w:color="auto"/>
        <w:left w:val="none" w:sz="0" w:space="0" w:color="auto"/>
        <w:bottom w:val="none" w:sz="0" w:space="0" w:color="auto"/>
        <w:right w:val="none" w:sz="0" w:space="0" w:color="auto"/>
      </w:divBdr>
    </w:div>
    <w:div w:id="1396126259">
      <w:bodyDiv w:val="1"/>
      <w:marLeft w:val="0"/>
      <w:marRight w:val="0"/>
      <w:marTop w:val="0"/>
      <w:marBottom w:val="0"/>
      <w:divBdr>
        <w:top w:val="none" w:sz="0" w:space="0" w:color="auto"/>
        <w:left w:val="none" w:sz="0" w:space="0" w:color="auto"/>
        <w:bottom w:val="none" w:sz="0" w:space="0" w:color="auto"/>
        <w:right w:val="none" w:sz="0" w:space="0" w:color="auto"/>
      </w:divBdr>
    </w:div>
    <w:div w:id="1403794836">
      <w:bodyDiv w:val="1"/>
      <w:marLeft w:val="0"/>
      <w:marRight w:val="0"/>
      <w:marTop w:val="0"/>
      <w:marBottom w:val="0"/>
      <w:divBdr>
        <w:top w:val="none" w:sz="0" w:space="0" w:color="auto"/>
        <w:left w:val="none" w:sz="0" w:space="0" w:color="auto"/>
        <w:bottom w:val="none" w:sz="0" w:space="0" w:color="auto"/>
        <w:right w:val="none" w:sz="0" w:space="0" w:color="auto"/>
      </w:divBdr>
    </w:div>
    <w:div w:id="1464544765">
      <w:bodyDiv w:val="1"/>
      <w:marLeft w:val="0"/>
      <w:marRight w:val="0"/>
      <w:marTop w:val="0"/>
      <w:marBottom w:val="0"/>
      <w:divBdr>
        <w:top w:val="none" w:sz="0" w:space="0" w:color="auto"/>
        <w:left w:val="none" w:sz="0" w:space="0" w:color="auto"/>
        <w:bottom w:val="none" w:sz="0" w:space="0" w:color="auto"/>
        <w:right w:val="none" w:sz="0" w:space="0" w:color="auto"/>
      </w:divBdr>
    </w:div>
    <w:div w:id="1700083369">
      <w:bodyDiv w:val="1"/>
      <w:marLeft w:val="0"/>
      <w:marRight w:val="0"/>
      <w:marTop w:val="0"/>
      <w:marBottom w:val="0"/>
      <w:divBdr>
        <w:top w:val="none" w:sz="0" w:space="0" w:color="auto"/>
        <w:left w:val="none" w:sz="0" w:space="0" w:color="auto"/>
        <w:bottom w:val="none" w:sz="0" w:space="0" w:color="auto"/>
        <w:right w:val="none" w:sz="0" w:space="0" w:color="auto"/>
      </w:divBdr>
    </w:div>
    <w:div w:id="1725985304">
      <w:bodyDiv w:val="1"/>
      <w:marLeft w:val="0"/>
      <w:marRight w:val="0"/>
      <w:marTop w:val="0"/>
      <w:marBottom w:val="0"/>
      <w:divBdr>
        <w:top w:val="none" w:sz="0" w:space="0" w:color="auto"/>
        <w:left w:val="none" w:sz="0" w:space="0" w:color="auto"/>
        <w:bottom w:val="none" w:sz="0" w:space="0" w:color="auto"/>
        <w:right w:val="none" w:sz="0" w:space="0" w:color="auto"/>
      </w:divBdr>
    </w:div>
    <w:div w:id="1870951042">
      <w:bodyDiv w:val="1"/>
      <w:marLeft w:val="0"/>
      <w:marRight w:val="0"/>
      <w:marTop w:val="0"/>
      <w:marBottom w:val="0"/>
      <w:divBdr>
        <w:top w:val="none" w:sz="0" w:space="0" w:color="auto"/>
        <w:left w:val="none" w:sz="0" w:space="0" w:color="auto"/>
        <w:bottom w:val="none" w:sz="0" w:space="0" w:color="auto"/>
        <w:right w:val="none" w:sz="0" w:space="0" w:color="auto"/>
      </w:divBdr>
    </w:div>
    <w:div w:id="196923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bb3c32-9609-4006-8590-064dc5b075e5">
      <Terms xmlns="http://schemas.microsoft.com/office/infopath/2007/PartnerControls"/>
    </lcf76f155ced4ddcb4097134ff3c332f>
    <TaxCatchAll xmlns="2a2db8c4-56ab-4882-a5d0-0fe8165c665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DEC7D14A38B4B99EAE161855751BA" ma:contentTypeVersion="19" ma:contentTypeDescription="Create a new document." ma:contentTypeScope="" ma:versionID="624ca30f7dc8670d88acb4485b99043f">
  <xsd:schema xmlns:xsd="http://www.w3.org/2001/XMLSchema" xmlns:xs="http://www.w3.org/2001/XMLSchema" xmlns:p="http://schemas.microsoft.com/office/2006/metadata/properties" xmlns:ns1="http://schemas.microsoft.com/sharepoint/v3" xmlns:ns2="8fbb3c32-9609-4006-8590-064dc5b075e5" xmlns:ns3="41d6d728-afb5-49e6-a79f-5f3b4d7fb77b" xmlns:ns4="2a2db8c4-56ab-4882-a5d0-0fe8165c6658" targetNamespace="http://schemas.microsoft.com/office/2006/metadata/properties" ma:root="true" ma:fieldsID="dd33dc77624e3abbf3505f70362503e4" ns1:_="" ns2:_="" ns3:_="" ns4:_="">
    <xsd:import namespace="http://schemas.microsoft.com/sharepoint/v3"/>
    <xsd:import namespace="8fbb3c32-9609-4006-8590-064dc5b075e5"/>
    <xsd:import namespace="41d6d728-afb5-49e6-a79f-5f3b4d7fb77b"/>
    <xsd:import namespace="2a2db8c4-56ab-4882-a5d0-0fe8165c6658"/>
    <xsd:element name="properties">
      <xsd:complexType>
        <xsd:sequence>
          <xsd:element name="documentManagement">
            <xsd:complexType>
              <xsd:all>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b3c32-9609-4006-8590-064dc5b075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d6d728-afb5-49e6-a79f-5f3b4d7fb77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2c1190-4f17-478e-b1b2-58572ef7f49c}" ma:internalName="TaxCatchAll" ma:showField="CatchAllData" ma:web="41d6d728-afb5-49e6-a79f-5f3b4d7fb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7692-7E67-4A29-9417-FAC7AA9C2854}">
  <ds:schemaRefs>
    <ds:schemaRef ds:uri="http://schemas.openxmlformats.org/package/2006/metadata/core-properties"/>
    <ds:schemaRef ds:uri="http://purl.org/dc/dcmitype/"/>
    <ds:schemaRef ds:uri="http://schemas.microsoft.com/sharepoint/v3"/>
    <ds:schemaRef ds:uri="http://schemas.microsoft.com/office/2006/metadata/properties"/>
    <ds:schemaRef ds:uri="41d6d728-afb5-49e6-a79f-5f3b4d7fb77b"/>
    <ds:schemaRef ds:uri="2a2db8c4-56ab-4882-a5d0-0fe8165c6658"/>
    <ds:schemaRef ds:uri="http://purl.org/dc/elements/1.1/"/>
    <ds:schemaRef ds:uri="http://schemas.microsoft.com/office/2006/documentManagement/types"/>
    <ds:schemaRef ds:uri="http://purl.org/dc/terms/"/>
    <ds:schemaRef ds:uri="http://schemas.microsoft.com/office/infopath/2007/PartnerControls"/>
    <ds:schemaRef ds:uri="8fbb3c32-9609-4006-8590-064dc5b075e5"/>
    <ds:schemaRef ds:uri="http://www.w3.org/XML/1998/namespace"/>
  </ds:schemaRefs>
</ds:datastoreItem>
</file>

<file path=customXml/itemProps2.xml><?xml version="1.0" encoding="utf-8"?>
<ds:datastoreItem xmlns:ds="http://schemas.openxmlformats.org/officeDocument/2006/customXml" ds:itemID="{A3902CAC-0D4B-45DF-A615-B09E01F12A52}">
  <ds:schemaRefs>
    <ds:schemaRef ds:uri="http://schemas.microsoft.com/sharepoint/v3/contenttype/forms"/>
  </ds:schemaRefs>
</ds:datastoreItem>
</file>

<file path=customXml/itemProps3.xml><?xml version="1.0" encoding="utf-8"?>
<ds:datastoreItem xmlns:ds="http://schemas.openxmlformats.org/officeDocument/2006/customXml" ds:itemID="{9576803B-3580-42E5-B3FC-E638E92EB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bb3c32-9609-4006-8590-064dc5b075e5"/>
    <ds:schemaRef ds:uri="41d6d728-afb5-49e6-a79f-5f3b4d7fb77b"/>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42CF5-CCEE-47AC-A0F3-43606989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Ronald E. McNair Postbaccalaureate Achievement Program (MS Word)</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Ronald E. McNair Postbaccalaureate Achievement Program (MS Word)</dc:title>
  <dc:subject/>
  <dc:creator>US Department of Education;Min Huang</dc:creator>
  <cp:keywords/>
  <dc:description/>
  <cp:lastModifiedBy>Chin, David</cp:lastModifiedBy>
  <cp:revision>2</cp:revision>
  <cp:lastPrinted>2022-03-10T23:25:00Z</cp:lastPrinted>
  <dcterms:created xsi:type="dcterms:W3CDTF">2023-04-28T11:50:00Z</dcterms:created>
  <dcterms:modified xsi:type="dcterms:W3CDTF">2023-04-28T11:50:00Z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0x010100376DEC7D14A38B4B99EAE161855751BA</vt:lpwstr>
  </property>
  <property fmtid="{D5CDD505-2E9C-101B-9397-08002B2CF9AE}" pid="3" name="GrammarlyDocumentId">
    <vt:lpwstr>1b0c71bd88b6046a429361fd402e05f572065d02586aef1a697576392b7869e9</vt:lpwstr>
  </property>
  <property fmtid="{D5CDD505-2E9C-101B-9397-08002B2CF9AE}" pid="4" name="MediaServiceImageTags">
    <vt:lpwstr/>
  </property>
</Properties>
</file>