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4A" w:rsidRDefault="002A324A" w:rsidP="00A81840">
      <w:pPr>
        <w:pStyle w:val="Heading1"/>
        <w:jc w:val="center"/>
      </w:pPr>
      <w:bookmarkStart w:id="0" w:name="_GoBack"/>
      <w:bookmarkEnd w:id="0"/>
      <w:r w:rsidRPr="00A7235D">
        <w:rPr>
          <w:sz w:val="24"/>
        </w:rPr>
        <w:t>RLIS and SRSA Considerations for Dual Eligible LEAs</w:t>
      </w:r>
    </w:p>
    <w:tbl>
      <w:tblPr>
        <w:tblStyle w:val="TableGrid"/>
        <w:tblpPr w:leftFromText="180" w:rightFromText="180" w:vertAnchor="page" w:horzAnchor="margin" w:tblpY="1918"/>
        <w:tblW w:w="5000" w:type="pct"/>
        <w:tblLook w:val="04A0" w:firstRow="1" w:lastRow="0" w:firstColumn="1" w:lastColumn="0" w:noHBand="0" w:noVBand="1"/>
      </w:tblPr>
      <w:tblGrid>
        <w:gridCol w:w="2599"/>
        <w:gridCol w:w="3587"/>
        <w:gridCol w:w="3390"/>
      </w:tblGrid>
      <w:tr w:rsidR="00A81840" w:rsidRPr="007F6E5E" w:rsidTr="00A81840">
        <w:tc>
          <w:tcPr>
            <w:tcW w:w="1357" w:type="pct"/>
          </w:tcPr>
          <w:p w:rsidR="00A81840" w:rsidRPr="00A81840" w:rsidRDefault="00A81840" w:rsidP="00A81840">
            <w:pPr>
              <w:jc w:val="center"/>
            </w:pPr>
            <w:r w:rsidRPr="00A81840">
              <w:rPr>
                <w:b/>
              </w:rPr>
              <w:t>TOPIC</w:t>
            </w:r>
          </w:p>
        </w:tc>
        <w:tc>
          <w:tcPr>
            <w:tcW w:w="1873" w:type="pct"/>
          </w:tcPr>
          <w:p w:rsidR="00A81840" w:rsidRPr="00A81840" w:rsidRDefault="00A81840" w:rsidP="00A81840">
            <w:pPr>
              <w:jc w:val="center"/>
            </w:pPr>
            <w:r w:rsidRPr="00A81840">
              <w:rPr>
                <w:b/>
              </w:rPr>
              <w:t>RLIS</w:t>
            </w:r>
          </w:p>
        </w:tc>
        <w:tc>
          <w:tcPr>
            <w:tcW w:w="1770" w:type="pct"/>
          </w:tcPr>
          <w:p w:rsidR="00A81840" w:rsidRPr="00A81840" w:rsidRDefault="00A81840" w:rsidP="00A81840">
            <w:pPr>
              <w:jc w:val="center"/>
            </w:pPr>
            <w:r w:rsidRPr="00A81840">
              <w:rPr>
                <w:b/>
              </w:rPr>
              <w:t>SRSA</w:t>
            </w:r>
          </w:p>
        </w:tc>
      </w:tr>
      <w:tr w:rsidR="00A81840" w:rsidRPr="007F6E5E" w:rsidTr="00A81840">
        <w:tc>
          <w:tcPr>
            <w:tcW w:w="1357" w:type="pct"/>
          </w:tcPr>
          <w:p w:rsidR="00A81840" w:rsidRPr="00A81840" w:rsidRDefault="00A81840" w:rsidP="00425298">
            <w:r w:rsidRPr="00A81840">
              <w:t xml:space="preserve">Alternative </w:t>
            </w:r>
            <w:r w:rsidR="00425298">
              <w:t>use of f</w:t>
            </w:r>
            <w:r w:rsidRPr="00A81840">
              <w:t>und</w:t>
            </w:r>
            <w:r w:rsidR="00425298">
              <w:t>s</w:t>
            </w:r>
            <w:r w:rsidRPr="00A81840">
              <w:t xml:space="preserve">  </w:t>
            </w:r>
            <w:r w:rsidR="00425298">
              <w:t>a</w:t>
            </w:r>
            <w:r w:rsidRPr="00A81840">
              <w:t>uthority</w:t>
            </w:r>
            <w:r w:rsidRPr="00A81840">
              <w:rPr>
                <w:rStyle w:val="FootnoteReference"/>
              </w:rPr>
              <w:footnoteReference w:id="1"/>
            </w:r>
          </w:p>
        </w:tc>
        <w:tc>
          <w:tcPr>
            <w:tcW w:w="1873" w:type="pct"/>
          </w:tcPr>
          <w:p w:rsidR="00A81840" w:rsidRPr="00A81840" w:rsidRDefault="00A81840" w:rsidP="00A81840">
            <w:r w:rsidRPr="00A81840">
              <w:t xml:space="preserve">Dual-eligible LEAs may participate </w:t>
            </w:r>
          </w:p>
        </w:tc>
        <w:tc>
          <w:tcPr>
            <w:tcW w:w="1770" w:type="pct"/>
          </w:tcPr>
          <w:p w:rsidR="00A81840" w:rsidRPr="00A81840" w:rsidRDefault="00A81840" w:rsidP="00A81840">
            <w:r w:rsidRPr="00A81840">
              <w:t xml:space="preserve">All eligible LEAs may participate </w:t>
            </w:r>
          </w:p>
        </w:tc>
      </w:tr>
      <w:tr w:rsidR="00A81840" w:rsidRPr="007F6E5E" w:rsidTr="00A81840">
        <w:tc>
          <w:tcPr>
            <w:tcW w:w="1357" w:type="pct"/>
          </w:tcPr>
          <w:p w:rsidR="00A81840" w:rsidRPr="00A81840" w:rsidRDefault="00A81840" w:rsidP="00A81840">
            <w:r w:rsidRPr="00A81840">
              <w:t>Award disbursement</w:t>
            </w:r>
          </w:p>
        </w:tc>
        <w:tc>
          <w:tcPr>
            <w:tcW w:w="1873" w:type="pct"/>
          </w:tcPr>
          <w:p w:rsidR="00A81840" w:rsidRPr="00A81840" w:rsidRDefault="00A81840" w:rsidP="00A81840">
            <w:r w:rsidRPr="00A81840">
              <w:t>State Educational Agencies (SEAs) disburse RLIS funds to LEAs</w:t>
            </w:r>
          </w:p>
        </w:tc>
        <w:tc>
          <w:tcPr>
            <w:tcW w:w="1770" w:type="pct"/>
          </w:tcPr>
          <w:p w:rsidR="00A81840" w:rsidRPr="00A81840" w:rsidRDefault="00A81840" w:rsidP="00A81840">
            <w:r w:rsidRPr="00A81840">
              <w:t>U.S. Department of Education (ED) disburses SRSA funds to LEAs</w:t>
            </w:r>
          </w:p>
        </w:tc>
      </w:tr>
      <w:tr w:rsidR="00A81840" w:rsidRPr="007F6E5E" w:rsidTr="00A81840">
        <w:tc>
          <w:tcPr>
            <w:tcW w:w="1357" w:type="pct"/>
          </w:tcPr>
          <w:p w:rsidR="00A81840" w:rsidRPr="00A81840" w:rsidRDefault="00A81840" w:rsidP="00A81840">
            <w:r w:rsidRPr="00A81840">
              <w:t>Technical Assistance (TA)</w:t>
            </w:r>
          </w:p>
        </w:tc>
        <w:tc>
          <w:tcPr>
            <w:tcW w:w="1873" w:type="pct"/>
          </w:tcPr>
          <w:p w:rsidR="00A81840" w:rsidRPr="00A81840" w:rsidRDefault="00A81840" w:rsidP="00A81840">
            <w:r w:rsidRPr="00A81840">
              <w:t>SEAs provide TA to RLIS grantees</w:t>
            </w:r>
          </w:p>
        </w:tc>
        <w:tc>
          <w:tcPr>
            <w:tcW w:w="1770" w:type="pct"/>
          </w:tcPr>
          <w:p w:rsidR="00A81840" w:rsidRPr="00A81840" w:rsidRDefault="00A81840" w:rsidP="00A81840">
            <w:r w:rsidRPr="00A81840">
              <w:t>ED provided technical assistance to SRSA grantees</w:t>
            </w:r>
          </w:p>
        </w:tc>
      </w:tr>
      <w:tr w:rsidR="00A81840" w:rsidRPr="007F6E5E" w:rsidTr="00A81840">
        <w:tc>
          <w:tcPr>
            <w:tcW w:w="1357" w:type="pct"/>
          </w:tcPr>
          <w:p w:rsidR="00A81840" w:rsidRPr="00A81840" w:rsidRDefault="00A81840" w:rsidP="00A81840">
            <w:r w:rsidRPr="00A81840">
              <w:t>Applying for the grant</w:t>
            </w:r>
          </w:p>
        </w:tc>
        <w:tc>
          <w:tcPr>
            <w:tcW w:w="1873" w:type="pct"/>
          </w:tcPr>
          <w:p w:rsidR="00A81840" w:rsidRPr="00A81840" w:rsidRDefault="00A81840" w:rsidP="00A81840">
            <w:r w:rsidRPr="00A81840">
              <w:t>LEAs apply for RLIS funds according to their SEA’s application procedures</w:t>
            </w:r>
          </w:p>
        </w:tc>
        <w:tc>
          <w:tcPr>
            <w:tcW w:w="1770" w:type="pct"/>
          </w:tcPr>
          <w:p w:rsidR="00A81840" w:rsidRPr="00A81840" w:rsidRDefault="00A81840" w:rsidP="00A81840">
            <w:r w:rsidRPr="00A81840">
              <w:t>LEAs apply for SRSA funds according to ED’s application procedures.</w:t>
            </w:r>
          </w:p>
        </w:tc>
      </w:tr>
      <w:tr w:rsidR="00A81840" w:rsidRPr="007F6E5E" w:rsidTr="00A81840">
        <w:tc>
          <w:tcPr>
            <w:tcW w:w="1357" w:type="pct"/>
          </w:tcPr>
          <w:p w:rsidR="00A81840" w:rsidRPr="00A81840" w:rsidRDefault="00A81840" w:rsidP="00A81840">
            <w:r w:rsidRPr="00A81840">
              <w:t>Type of funding (competitive vs. formula)</w:t>
            </w:r>
          </w:p>
        </w:tc>
        <w:tc>
          <w:tcPr>
            <w:tcW w:w="1873" w:type="pct"/>
          </w:tcPr>
          <w:p w:rsidR="00A81840" w:rsidRPr="00A81840" w:rsidRDefault="00A81840" w:rsidP="00A81840">
            <w:r w:rsidRPr="00A81840">
              <w:t>SEAs may award RLIS funds competitively or according to a funding formula</w:t>
            </w:r>
          </w:p>
        </w:tc>
        <w:tc>
          <w:tcPr>
            <w:tcW w:w="1770" w:type="pct"/>
          </w:tcPr>
          <w:p w:rsidR="00A81840" w:rsidRPr="00A81840" w:rsidRDefault="00A81840" w:rsidP="00A81840">
            <w:r w:rsidRPr="00A81840">
              <w:t>ED awards SRSA funds according to a funding formula</w:t>
            </w:r>
          </w:p>
        </w:tc>
      </w:tr>
      <w:tr w:rsidR="00A81840" w:rsidRPr="007F6E5E" w:rsidTr="00A81840">
        <w:tc>
          <w:tcPr>
            <w:tcW w:w="1357" w:type="pct"/>
          </w:tcPr>
          <w:p w:rsidR="00A81840" w:rsidRPr="00A81840" w:rsidRDefault="00A81840" w:rsidP="00A81840">
            <w:r w:rsidRPr="00A81840">
              <w:t>Obligation period</w:t>
            </w:r>
          </w:p>
        </w:tc>
        <w:tc>
          <w:tcPr>
            <w:tcW w:w="1873" w:type="pct"/>
          </w:tcPr>
          <w:p w:rsidR="00A81840" w:rsidRPr="00A81840" w:rsidRDefault="00A81840" w:rsidP="00A81840">
            <w:r w:rsidRPr="00A81840">
              <w:t>27-months (e.g., for FY 2017 awards, the obligation period will be July 1, 2017 through September 30, 2019)</w:t>
            </w:r>
          </w:p>
        </w:tc>
        <w:tc>
          <w:tcPr>
            <w:tcW w:w="1770" w:type="pct"/>
          </w:tcPr>
          <w:p w:rsidR="00A81840" w:rsidRPr="00A81840" w:rsidRDefault="00A81840" w:rsidP="00A81840">
            <w:r w:rsidRPr="00A81840">
              <w:t>15-months (e.g., for FY 2017 awards, the obligation period will be July 1, 2017 through September 30, 2018)</w:t>
            </w:r>
          </w:p>
        </w:tc>
      </w:tr>
      <w:tr w:rsidR="00A81840" w:rsidRPr="007F6E5E" w:rsidTr="00A81840">
        <w:tc>
          <w:tcPr>
            <w:tcW w:w="1357" w:type="pct"/>
          </w:tcPr>
          <w:p w:rsidR="00A81840" w:rsidRPr="00A81840" w:rsidRDefault="00A81840" w:rsidP="00A81840">
            <w:r w:rsidRPr="00A81840">
              <w:t>Impact of other Federal funds on grant awards</w:t>
            </w:r>
            <w:r w:rsidR="00AE7CA9">
              <w:rPr>
                <w:rStyle w:val="FootnoteReference"/>
              </w:rPr>
              <w:footnoteReference w:id="2"/>
            </w:r>
          </w:p>
        </w:tc>
        <w:tc>
          <w:tcPr>
            <w:tcW w:w="1873" w:type="pct"/>
          </w:tcPr>
          <w:p w:rsidR="00A81840" w:rsidRPr="00A81840" w:rsidRDefault="00A81840" w:rsidP="00A81840">
            <w:r w:rsidRPr="00A81840">
              <w:t>LEA grant awards are based on the SEA’s procedures for awarding RLIS funds; therefore, grants awarded under other Title programs may or may not impact the amount of an LEA’s RLIS grant award.</w:t>
            </w:r>
          </w:p>
        </w:tc>
        <w:tc>
          <w:tcPr>
            <w:tcW w:w="1770" w:type="pct"/>
          </w:tcPr>
          <w:p w:rsidR="00A81840" w:rsidRPr="00A81840" w:rsidRDefault="00A81840" w:rsidP="00AE7CA9">
            <w:r w:rsidRPr="00A81840">
              <w:t>LEA grant awards are reduced by the amount of Title II-A and Title IV-A funds the LEA received in the preceding fiscal year.</w:t>
            </w:r>
            <w:r w:rsidRPr="00A81840" w:rsidDel="00272E2E">
              <w:rPr>
                <w:rStyle w:val="FootnoteReference"/>
              </w:rPr>
              <w:t xml:space="preserve"> </w:t>
            </w:r>
          </w:p>
        </w:tc>
      </w:tr>
      <w:tr w:rsidR="00A81840" w:rsidRPr="007F6E5E" w:rsidTr="00A81840">
        <w:tc>
          <w:tcPr>
            <w:tcW w:w="1357" w:type="pct"/>
          </w:tcPr>
          <w:p w:rsidR="00A81840" w:rsidRPr="00A81840" w:rsidRDefault="00A81840" w:rsidP="00A81840">
            <w:r w:rsidRPr="00A81840">
              <w:t>Funding limits</w:t>
            </w:r>
          </w:p>
        </w:tc>
        <w:tc>
          <w:tcPr>
            <w:tcW w:w="1873" w:type="pct"/>
          </w:tcPr>
          <w:p w:rsidR="00A81840" w:rsidRPr="00A81840" w:rsidRDefault="00A81840" w:rsidP="00A81840">
            <w:r w:rsidRPr="00A81840">
              <w:t>Federal statute does not set a limit on the amount of funds an LEA may receive each grant period.</w:t>
            </w:r>
          </w:p>
        </w:tc>
        <w:tc>
          <w:tcPr>
            <w:tcW w:w="1770" w:type="pct"/>
          </w:tcPr>
          <w:p w:rsidR="00A81840" w:rsidRPr="00A81840" w:rsidRDefault="00A81840" w:rsidP="00A81840">
            <w:r w:rsidRPr="00A81840">
              <w:t>The maximum amount of funds an LEA may receive, by statute, is $60,000.</w:t>
            </w:r>
          </w:p>
        </w:tc>
      </w:tr>
      <w:tr w:rsidR="00A81840" w:rsidRPr="007F6E5E" w:rsidTr="00A81840">
        <w:tc>
          <w:tcPr>
            <w:tcW w:w="1357" w:type="pct"/>
          </w:tcPr>
          <w:p w:rsidR="00A81840" w:rsidRPr="00A81840" w:rsidRDefault="00A81840" w:rsidP="00A81840">
            <w:r w:rsidRPr="00A81840">
              <w:t>Uses of funds</w:t>
            </w:r>
          </w:p>
        </w:tc>
        <w:tc>
          <w:tcPr>
            <w:tcW w:w="1873" w:type="pct"/>
          </w:tcPr>
          <w:p w:rsidR="00A81840" w:rsidRPr="00A81840" w:rsidRDefault="00A81840" w:rsidP="00A81840">
            <w:r w:rsidRPr="00A81840">
              <w:t>Grant funds may be used to support any of the following:</w:t>
            </w:r>
          </w:p>
          <w:p w:rsidR="00A81840" w:rsidRPr="00A81840" w:rsidRDefault="00A81840" w:rsidP="00A81840">
            <w:pPr>
              <w:pStyle w:val="ListParagraph"/>
              <w:numPr>
                <w:ilvl w:val="0"/>
                <w:numId w:val="1"/>
              </w:numPr>
              <w:ind w:left="408"/>
              <w:rPr>
                <w:rFonts w:ascii="Times New Roman" w:hAnsi="Times New Roman"/>
              </w:rPr>
            </w:pPr>
            <w:r w:rsidRPr="00A81840">
              <w:rPr>
                <w:rFonts w:ascii="Times New Roman" w:eastAsia="Times New Roman" w:hAnsi="Times New Roman"/>
              </w:rPr>
              <w:t>Title I, Part A (Improving Basic Programs Operated by Local Education Agencies) activities;</w:t>
            </w:r>
          </w:p>
          <w:p w:rsidR="00A81840" w:rsidRPr="00A81840" w:rsidRDefault="00A81840" w:rsidP="00A81840">
            <w:pPr>
              <w:pStyle w:val="ListParagraph"/>
              <w:numPr>
                <w:ilvl w:val="0"/>
                <w:numId w:val="1"/>
              </w:numPr>
              <w:ind w:left="408"/>
              <w:rPr>
                <w:rFonts w:ascii="Times New Roman" w:hAnsi="Times New Roman"/>
              </w:rPr>
            </w:pPr>
            <w:r w:rsidRPr="00A81840">
              <w:rPr>
                <w:rFonts w:ascii="Times New Roman" w:hAnsi="Times New Roman"/>
              </w:rPr>
              <w:t>Title II, Part A (Supporting Effective Instruction) activities;</w:t>
            </w:r>
          </w:p>
          <w:p w:rsidR="00A81840" w:rsidRPr="00A81840" w:rsidRDefault="00A81840" w:rsidP="00A81840">
            <w:pPr>
              <w:pStyle w:val="ListParagraph"/>
              <w:numPr>
                <w:ilvl w:val="0"/>
                <w:numId w:val="1"/>
              </w:numPr>
              <w:ind w:left="408"/>
              <w:rPr>
                <w:rFonts w:ascii="Times New Roman" w:hAnsi="Times New Roman"/>
              </w:rPr>
            </w:pPr>
            <w:r w:rsidRPr="00A81840">
              <w:rPr>
                <w:rFonts w:ascii="Times New Roman" w:hAnsi="Times New Roman"/>
              </w:rPr>
              <w:t>Title III (Language Instruction for English Learners and Immigrant Students) activities;</w:t>
            </w:r>
          </w:p>
          <w:p w:rsidR="00A81840" w:rsidRPr="00A81840" w:rsidRDefault="00A81840" w:rsidP="00A81840">
            <w:pPr>
              <w:pStyle w:val="ListParagraph"/>
              <w:numPr>
                <w:ilvl w:val="0"/>
                <w:numId w:val="1"/>
              </w:numPr>
              <w:ind w:left="408"/>
              <w:rPr>
                <w:rFonts w:ascii="Times New Roman" w:hAnsi="Times New Roman"/>
              </w:rPr>
            </w:pPr>
            <w:r w:rsidRPr="00A81840">
              <w:rPr>
                <w:rFonts w:ascii="Times New Roman" w:eastAsia="Times New Roman" w:hAnsi="Times New Roman"/>
              </w:rPr>
              <w:t>Title IV, Part A (Student Support and Academic Enrichment Grants) activities; and</w:t>
            </w:r>
          </w:p>
          <w:p w:rsidR="00A81840" w:rsidRPr="00A81840" w:rsidRDefault="00A81840" w:rsidP="00A81840">
            <w:pPr>
              <w:pStyle w:val="ListParagraph"/>
              <w:numPr>
                <w:ilvl w:val="0"/>
                <w:numId w:val="1"/>
              </w:numPr>
              <w:ind w:left="408"/>
              <w:rPr>
                <w:rFonts w:ascii="Times New Roman" w:hAnsi="Times New Roman"/>
              </w:rPr>
            </w:pPr>
            <w:r w:rsidRPr="00A81840">
              <w:rPr>
                <w:rFonts w:ascii="Times New Roman" w:hAnsi="Times New Roman"/>
              </w:rPr>
              <w:t>Parental involvement activities.</w:t>
            </w:r>
          </w:p>
        </w:tc>
        <w:tc>
          <w:tcPr>
            <w:tcW w:w="1770" w:type="pct"/>
          </w:tcPr>
          <w:p w:rsidR="00A81840" w:rsidRPr="00A81840" w:rsidRDefault="00A81840" w:rsidP="00A81840">
            <w:r w:rsidRPr="00A81840">
              <w:t>Grant funds may be used to support activities authorized under any of the following ES</w:t>
            </w:r>
            <w:r w:rsidR="00425298">
              <w:t>E</w:t>
            </w:r>
            <w:r w:rsidRPr="00A81840">
              <w:t xml:space="preserve">A </w:t>
            </w:r>
            <w:r w:rsidR="00425298">
              <w:t xml:space="preserve">“Title” </w:t>
            </w:r>
            <w:r w:rsidRPr="00A81840">
              <w:t xml:space="preserve">programs: </w:t>
            </w:r>
          </w:p>
          <w:p w:rsidR="00A81840" w:rsidRPr="00A81840" w:rsidRDefault="00A81840" w:rsidP="00A81840">
            <w:pPr>
              <w:pStyle w:val="ListParagraph"/>
              <w:numPr>
                <w:ilvl w:val="0"/>
                <w:numId w:val="2"/>
              </w:numPr>
              <w:ind w:left="366"/>
              <w:rPr>
                <w:rFonts w:ascii="Times New Roman" w:hAnsi="Times New Roman"/>
              </w:rPr>
            </w:pPr>
            <w:r w:rsidRPr="00A81840">
              <w:rPr>
                <w:rFonts w:ascii="Times New Roman" w:eastAsia="Times New Roman" w:hAnsi="Times New Roman"/>
              </w:rPr>
              <w:t>Title I, Part A (Improving Basic Programs Operated by Local Education Agencies);</w:t>
            </w:r>
          </w:p>
          <w:p w:rsidR="00A81840" w:rsidRPr="00A81840" w:rsidRDefault="00A81840" w:rsidP="00A81840">
            <w:pPr>
              <w:pStyle w:val="ListParagraph"/>
              <w:numPr>
                <w:ilvl w:val="0"/>
                <w:numId w:val="2"/>
              </w:numPr>
              <w:ind w:left="366"/>
              <w:rPr>
                <w:rFonts w:ascii="Times New Roman" w:hAnsi="Times New Roman"/>
              </w:rPr>
            </w:pPr>
            <w:r w:rsidRPr="00A81840">
              <w:rPr>
                <w:rFonts w:ascii="Times New Roman" w:hAnsi="Times New Roman"/>
              </w:rPr>
              <w:t>Title II, Part A (Supporting Effective Instruction) activities;</w:t>
            </w:r>
          </w:p>
          <w:p w:rsidR="00A81840" w:rsidRPr="00A81840" w:rsidRDefault="00A81840" w:rsidP="00A81840">
            <w:pPr>
              <w:pStyle w:val="ListParagraph"/>
              <w:numPr>
                <w:ilvl w:val="0"/>
                <w:numId w:val="2"/>
              </w:numPr>
              <w:ind w:left="366"/>
              <w:rPr>
                <w:rFonts w:ascii="Times New Roman" w:hAnsi="Times New Roman"/>
              </w:rPr>
            </w:pPr>
            <w:r w:rsidRPr="00A81840">
              <w:rPr>
                <w:rFonts w:ascii="Times New Roman" w:hAnsi="Times New Roman"/>
              </w:rPr>
              <w:t>Title III (Language Instruction for English Learners and Immigrant Students) activities;</w:t>
            </w:r>
          </w:p>
          <w:p w:rsidR="00A81840" w:rsidRPr="00A81840" w:rsidRDefault="00A81840" w:rsidP="00A81840">
            <w:pPr>
              <w:pStyle w:val="ListParagraph"/>
              <w:numPr>
                <w:ilvl w:val="0"/>
                <w:numId w:val="2"/>
              </w:numPr>
              <w:ind w:left="366"/>
              <w:rPr>
                <w:rFonts w:ascii="Times New Roman" w:hAnsi="Times New Roman"/>
              </w:rPr>
            </w:pPr>
            <w:r w:rsidRPr="00A81840">
              <w:rPr>
                <w:rFonts w:ascii="Times New Roman" w:hAnsi="Times New Roman"/>
              </w:rPr>
              <w:t>Title IV, Part A (Student</w:t>
            </w:r>
            <w:r w:rsidRPr="00A81840">
              <w:t xml:space="preserve"> </w:t>
            </w:r>
            <w:r w:rsidRPr="00A81840">
              <w:rPr>
                <w:rFonts w:ascii="Times New Roman" w:eastAsia="Times New Roman" w:hAnsi="Times New Roman"/>
              </w:rPr>
              <w:t>Support and Academic Enrichment Grants) activities; and</w:t>
            </w:r>
          </w:p>
          <w:p w:rsidR="00A81840" w:rsidRPr="00A81840" w:rsidRDefault="00A81840" w:rsidP="00A81840">
            <w:pPr>
              <w:pStyle w:val="ListParagraph"/>
              <w:numPr>
                <w:ilvl w:val="0"/>
                <w:numId w:val="2"/>
              </w:numPr>
              <w:ind w:left="366"/>
              <w:rPr>
                <w:rFonts w:ascii="Times New Roman" w:hAnsi="Times New Roman"/>
              </w:rPr>
            </w:pPr>
            <w:r w:rsidRPr="00A81840">
              <w:rPr>
                <w:rFonts w:ascii="Times New Roman" w:hAnsi="Times New Roman"/>
              </w:rPr>
              <w:t>Title IV, Part B (21</w:t>
            </w:r>
            <w:r w:rsidRPr="00A81840">
              <w:rPr>
                <w:rFonts w:ascii="Times New Roman" w:hAnsi="Times New Roman"/>
                <w:vertAlign w:val="superscript"/>
              </w:rPr>
              <w:t>st</w:t>
            </w:r>
            <w:r w:rsidRPr="00A81840">
              <w:rPr>
                <w:rFonts w:ascii="Times New Roman" w:hAnsi="Times New Roman"/>
              </w:rPr>
              <w:t xml:space="preserve"> Century Community Learning Centers)</w:t>
            </w:r>
          </w:p>
        </w:tc>
      </w:tr>
    </w:tbl>
    <w:p w:rsidR="00A81840" w:rsidRPr="00A81840" w:rsidRDefault="00A81840" w:rsidP="00A81840">
      <w:pPr>
        <w:spacing w:after="100" w:afterAutospacing="1" w:line="240" w:lineRule="auto"/>
        <w:rPr>
          <w:sz w:val="16"/>
          <w:szCs w:val="16"/>
        </w:rPr>
      </w:pPr>
    </w:p>
    <w:p w:rsidR="00A81840" w:rsidRPr="00A81840" w:rsidRDefault="00A81840">
      <w:pPr>
        <w:rPr>
          <w:rFonts w:ascii="Times New Roman" w:hAnsi="Times New Roman" w:cs="Times New Roman"/>
          <w:sz w:val="16"/>
          <w:szCs w:val="16"/>
        </w:rPr>
      </w:pPr>
    </w:p>
    <w:sectPr w:rsidR="00A81840" w:rsidRPr="00A81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56" w:rsidRDefault="00E31856" w:rsidP="00A81840">
      <w:pPr>
        <w:spacing w:after="0" w:line="240" w:lineRule="auto"/>
      </w:pPr>
      <w:r>
        <w:separator/>
      </w:r>
    </w:p>
  </w:endnote>
  <w:endnote w:type="continuationSeparator" w:id="0">
    <w:p w:rsidR="00E31856" w:rsidRDefault="00E31856" w:rsidP="00A8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56" w:rsidRDefault="00E31856" w:rsidP="00A81840">
      <w:pPr>
        <w:spacing w:after="0" w:line="240" w:lineRule="auto"/>
      </w:pPr>
      <w:r>
        <w:separator/>
      </w:r>
    </w:p>
  </w:footnote>
  <w:footnote w:type="continuationSeparator" w:id="0">
    <w:p w:rsidR="00E31856" w:rsidRDefault="00E31856" w:rsidP="00A81840">
      <w:pPr>
        <w:spacing w:after="0" w:line="240" w:lineRule="auto"/>
      </w:pPr>
      <w:r>
        <w:continuationSeparator/>
      </w:r>
    </w:p>
  </w:footnote>
  <w:footnote w:id="1">
    <w:p w:rsidR="00A81840" w:rsidRDefault="00A81840" w:rsidP="00A81840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The alternative </w:t>
      </w:r>
      <w:r w:rsidR="00425298">
        <w:rPr>
          <w:sz w:val="16"/>
          <w:szCs w:val="16"/>
        </w:rPr>
        <w:t>use of funds</w:t>
      </w:r>
      <w:r>
        <w:rPr>
          <w:sz w:val="16"/>
          <w:szCs w:val="16"/>
        </w:rPr>
        <w:t xml:space="preserve"> authority </w:t>
      </w:r>
      <w:r w:rsidRPr="00A81840">
        <w:rPr>
          <w:sz w:val="16"/>
          <w:szCs w:val="16"/>
        </w:rPr>
        <w:t>provides flexibility to SRSA-eligible LEAs to use Title II, Part A and Title IV, Part A formula funds to support</w:t>
      </w:r>
      <w:r>
        <w:rPr>
          <w:sz w:val="16"/>
          <w:szCs w:val="16"/>
        </w:rPr>
        <w:t xml:space="preserve"> </w:t>
      </w:r>
      <w:r w:rsidRPr="00A81840">
        <w:rPr>
          <w:sz w:val="16"/>
          <w:szCs w:val="16"/>
        </w:rPr>
        <w:t>local activities under an array of Federal programs in order to assist them in addressing local academic needs more effectively. (See Section 5211(a) of the ESEA, as amended,</w:t>
      </w:r>
      <w:r>
        <w:rPr>
          <w:sz w:val="16"/>
          <w:szCs w:val="16"/>
        </w:rPr>
        <w:t xml:space="preserve"> </w:t>
      </w:r>
      <w:r w:rsidRPr="00A81840">
        <w:rPr>
          <w:sz w:val="16"/>
          <w:szCs w:val="16"/>
        </w:rPr>
        <w:t>for more information.) An SRSA-eligible LEA does not have to apply for SRSA funds in order to exercise the</w:t>
      </w:r>
      <w:r>
        <w:rPr>
          <w:sz w:val="16"/>
          <w:szCs w:val="16"/>
        </w:rPr>
        <w:t xml:space="preserve"> </w:t>
      </w:r>
      <w:r w:rsidRPr="00A81840">
        <w:rPr>
          <w:sz w:val="16"/>
          <w:szCs w:val="16"/>
        </w:rPr>
        <w:t xml:space="preserve">alternative </w:t>
      </w:r>
      <w:r w:rsidR="00425298">
        <w:rPr>
          <w:sz w:val="16"/>
          <w:szCs w:val="16"/>
        </w:rPr>
        <w:t>use of fu</w:t>
      </w:r>
      <w:r w:rsidRPr="00A81840">
        <w:rPr>
          <w:sz w:val="16"/>
          <w:szCs w:val="16"/>
        </w:rPr>
        <w:t>nds authority. An LEA that is eligible for both SRSA and RLIS may exercise th</w:t>
      </w:r>
      <w:r w:rsidR="00425298">
        <w:rPr>
          <w:sz w:val="16"/>
          <w:szCs w:val="16"/>
        </w:rPr>
        <w:t>is</w:t>
      </w:r>
      <w:r w:rsidRPr="00A81840">
        <w:rPr>
          <w:sz w:val="16"/>
          <w:szCs w:val="16"/>
        </w:rPr>
        <w:t xml:space="preserve"> authority even if the LEA chooses to participate in RLIS instead of SRSA.</w:t>
      </w:r>
      <w:r>
        <w:rPr>
          <w:sz w:val="16"/>
          <w:szCs w:val="16"/>
        </w:rPr>
        <w:t xml:space="preserve"> </w:t>
      </w:r>
      <w:r w:rsidRPr="00A81840">
        <w:rPr>
          <w:sz w:val="16"/>
          <w:szCs w:val="16"/>
        </w:rPr>
        <w:t>Regardless of which program the LEA chooses, the LEA must notify its SEA on an annual basis on or before the notification deadline established by the SEA</w:t>
      </w:r>
      <w:r>
        <w:rPr>
          <w:sz w:val="16"/>
          <w:szCs w:val="16"/>
        </w:rPr>
        <w:t xml:space="preserve"> </w:t>
      </w:r>
      <w:r w:rsidRPr="00A81840">
        <w:rPr>
          <w:sz w:val="16"/>
          <w:szCs w:val="16"/>
        </w:rPr>
        <w:t>of its intent to exercise the authority.  LEAs should reach out to their SEA contact for more information about the SEA’s reporting requirements deadline.</w:t>
      </w:r>
    </w:p>
    <w:p w:rsidR="00A81840" w:rsidRDefault="00A81840" w:rsidP="00A81840">
      <w:pPr>
        <w:pStyle w:val="FootnoteText"/>
        <w:rPr>
          <w:sz w:val="16"/>
          <w:szCs w:val="16"/>
        </w:rPr>
      </w:pPr>
    </w:p>
    <w:p w:rsidR="00A81840" w:rsidRPr="00A81840" w:rsidRDefault="00A81840" w:rsidP="00A81840">
      <w:pPr>
        <w:pStyle w:val="FootnoteText"/>
        <w:rPr>
          <w:sz w:val="16"/>
          <w:szCs w:val="16"/>
        </w:rPr>
      </w:pPr>
    </w:p>
  </w:footnote>
  <w:footnote w:id="2">
    <w:p w:rsidR="0091705E" w:rsidRDefault="00AE7CA9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sz w:val="16"/>
          <w:szCs w:val="16"/>
        </w:rPr>
        <w:t xml:space="preserve"> SRSA grant amounts </w:t>
      </w:r>
      <w:r w:rsidRPr="00A81840">
        <w:rPr>
          <w:sz w:val="16"/>
          <w:szCs w:val="16"/>
        </w:rPr>
        <w:t>are based on a statutory formula that takes into account several factors, including the amount of funds an LEA received during the preceding fiscal year under the Title II, Part A program and the newly authorized Title IV, Part A (Student Support and Academic Enrichment program).  The first awards for Title IV, Part A will be made with FY 2017 funds. Therefore, for purposes of calculating SRSA grant awards, the Department will not take into consideration Title IV, Part A funds until the FY 2018 grant cycle.</w:t>
      </w:r>
    </w:p>
    <w:p w:rsidR="0091705E" w:rsidRDefault="0091705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748"/>
    <w:multiLevelType w:val="hybridMultilevel"/>
    <w:tmpl w:val="A472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F4EEE"/>
    <w:multiLevelType w:val="hybridMultilevel"/>
    <w:tmpl w:val="32BE2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4A"/>
    <w:rsid w:val="001B30F6"/>
    <w:rsid w:val="00280E3D"/>
    <w:rsid w:val="002A324A"/>
    <w:rsid w:val="00425298"/>
    <w:rsid w:val="00766C72"/>
    <w:rsid w:val="0091705E"/>
    <w:rsid w:val="0094099F"/>
    <w:rsid w:val="00A5396C"/>
    <w:rsid w:val="00A81840"/>
    <w:rsid w:val="00AE7CA9"/>
    <w:rsid w:val="00E3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32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A3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24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A324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FootnoteReference">
    <w:name w:val="footnote reference"/>
    <w:uiPriority w:val="99"/>
    <w:semiHidden/>
    <w:rsid w:val="002A324A"/>
    <w:rPr>
      <w:vertAlign w:val="superscript"/>
    </w:rPr>
  </w:style>
  <w:style w:type="table" w:styleId="TableGrid">
    <w:name w:val="Table Grid"/>
    <w:basedOn w:val="TableNormal"/>
    <w:rsid w:val="002A3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24A"/>
    <w:pPr>
      <w:spacing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32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A3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24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A324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FootnoteReference">
    <w:name w:val="footnote reference"/>
    <w:uiPriority w:val="99"/>
    <w:semiHidden/>
    <w:rsid w:val="002A324A"/>
    <w:rPr>
      <w:vertAlign w:val="superscript"/>
    </w:rPr>
  </w:style>
  <w:style w:type="table" w:styleId="TableGrid">
    <w:name w:val="Table Grid"/>
    <w:basedOn w:val="TableNormal"/>
    <w:rsid w:val="002A3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24A"/>
    <w:pPr>
      <w:spacing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42C5-29B2-45F4-9353-89D8D53A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RLIS and SRSA Dual Eligiblies (MS Word)</vt:lpstr>
    </vt:vector>
  </TitlesOfParts>
  <Company>U.S. Department of Education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RLIS and SRSA Dual Eligiblies (MS Word)</dc:title>
  <dc:creator>U.S. Department of Education</dc:creator>
  <cp:lastModifiedBy>US Department of Edcation</cp:lastModifiedBy>
  <cp:revision>3</cp:revision>
  <dcterms:created xsi:type="dcterms:W3CDTF">2017-04-13T19:53:00Z</dcterms:created>
  <dcterms:modified xsi:type="dcterms:W3CDTF">2017-04-17T15:16:00Z</dcterms:modified>
</cp:coreProperties>
</file>