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94F94" w14:textId="41C68F36" w:rsidR="00CF61C8" w:rsidRPr="005C5949" w:rsidRDefault="00EF0B09" w:rsidP="00CF61C8">
      <w:pPr>
        <w:spacing w:after="0" w:line="240" w:lineRule="auto"/>
        <w:jc w:val="center"/>
        <w:rPr>
          <w:rFonts w:ascii="Times New Roman" w:hAnsi="Times New Roman" w:cs="Times New Roman"/>
          <w:b/>
        </w:rPr>
      </w:pPr>
      <w:r>
        <w:rPr>
          <w:rFonts w:ascii="Times New Roman" w:hAnsi="Times New Roman" w:cs="Times New Roman"/>
          <w:b/>
        </w:rPr>
        <w:t xml:space="preserve">FY 2020 </w:t>
      </w:r>
      <w:r w:rsidR="00CF61C8">
        <w:rPr>
          <w:rFonts w:ascii="Times New Roman" w:hAnsi="Times New Roman" w:cs="Times New Roman"/>
          <w:b/>
        </w:rPr>
        <w:t xml:space="preserve">Open Textbooks Pilot </w:t>
      </w:r>
      <w:r w:rsidR="00CF61C8" w:rsidRPr="005C5949">
        <w:rPr>
          <w:rFonts w:ascii="Times New Roman" w:hAnsi="Times New Roman" w:cs="Times New Roman"/>
          <w:b/>
        </w:rPr>
        <w:t>FAQs</w:t>
      </w:r>
    </w:p>
    <w:p w14:paraId="20694F95" w14:textId="77777777" w:rsidR="0094216A" w:rsidRPr="005C5949" w:rsidRDefault="0094216A" w:rsidP="0094216A">
      <w:pPr>
        <w:spacing w:after="0" w:line="240" w:lineRule="auto"/>
        <w:rPr>
          <w:rFonts w:ascii="Times New Roman" w:hAnsi="Times New Roman" w:cs="Times New Roman"/>
        </w:rPr>
      </w:pPr>
    </w:p>
    <w:p w14:paraId="20694F96" w14:textId="77777777" w:rsidR="003A2574" w:rsidRPr="005C5949" w:rsidRDefault="003A2574" w:rsidP="0094216A">
      <w:pPr>
        <w:spacing w:after="0" w:line="240" w:lineRule="auto"/>
        <w:rPr>
          <w:rFonts w:ascii="Times New Roman" w:hAnsi="Times New Roman" w:cs="Times New Roman"/>
        </w:rPr>
      </w:pPr>
    </w:p>
    <w:p w14:paraId="20694F97" w14:textId="069B1E81" w:rsidR="00BB261B" w:rsidRPr="005C5949" w:rsidRDefault="0089165B" w:rsidP="003A257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Does this program accept applications from </w:t>
      </w:r>
      <w:r w:rsidR="0094216A" w:rsidRPr="005C5949">
        <w:rPr>
          <w:rFonts w:ascii="Times New Roman" w:hAnsi="Times New Roman"/>
          <w:b/>
          <w:sz w:val="22"/>
          <w:szCs w:val="22"/>
        </w:rPr>
        <w:t>I</w:t>
      </w:r>
      <w:r w:rsidR="00BB261B" w:rsidRPr="005C5949">
        <w:rPr>
          <w:rFonts w:ascii="Times New Roman" w:hAnsi="Times New Roman"/>
          <w:b/>
          <w:sz w:val="22"/>
          <w:szCs w:val="22"/>
        </w:rPr>
        <w:t>nstitutions of Higher Education (</w:t>
      </w:r>
      <w:r w:rsidRPr="005C5949">
        <w:rPr>
          <w:rFonts w:ascii="Times New Roman" w:hAnsi="Times New Roman"/>
          <w:b/>
          <w:sz w:val="22"/>
          <w:szCs w:val="22"/>
        </w:rPr>
        <w:t>IHEs</w:t>
      </w:r>
      <w:r w:rsidR="00BB261B" w:rsidRPr="005C5949">
        <w:rPr>
          <w:rFonts w:ascii="Times New Roman" w:hAnsi="Times New Roman"/>
          <w:b/>
          <w:sz w:val="22"/>
          <w:szCs w:val="22"/>
        </w:rPr>
        <w:t>)</w:t>
      </w:r>
      <w:r w:rsidRPr="005C5949">
        <w:rPr>
          <w:rFonts w:ascii="Times New Roman" w:hAnsi="Times New Roman"/>
          <w:b/>
          <w:sz w:val="22"/>
          <w:szCs w:val="22"/>
        </w:rPr>
        <w:t xml:space="preserve"> outside of the USA? </w:t>
      </w:r>
    </w:p>
    <w:p w14:paraId="20694F98" w14:textId="77777777" w:rsidR="00BB261B" w:rsidRPr="005C5949" w:rsidRDefault="00BB261B" w:rsidP="0094216A">
      <w:pPr>
        <w:pStyle w:val="ListParagraph"/>
        <w:rPr>
          <w:rFonts w:ascii="Times New Roman" w:hAnsi="Times New Roman"/>
          <w:sz w:val="22"/>
          <w:szCs w:val="22"/>
        </w:rPr>
      </w:pPr>
    </w:p>
    <w:p w14:paraId="20694F99" w14:textId="77777777" w:rsidR="00BB261B" w:rsidRPr="005C5949" w:rsidRDefault="00856E72" w:rsidP="0094216A">
      <w:pPr>
        <w:pStyle w:val="ListParagraph"/>
        <w:rPr>
          <w:rFonts w:ascii="Times New Roman" w:hAnsi="Times New Roman"/>
          <w:i/>
          <w:sz w:val="22"/>
          <w:szCs w:val="22"/>
        </w:rPr>
      </w:pPr>
      <w:r w:rsidRPr="005C5949">
        <w:rPr>
          <w:rFonts w:ascii="Times New Roman" w:hAnsi="Times New Roman"/>
          <w:i/>
          <w:sz w:val="22"/>
          <w:szCs w:val="22"/>
        </w:rPr>
        <w:t xml:space="preserve">No. </w:t>
      </w:r>
      <w:r w:rsidR="002E46BE" w:rsidRPr="005C5949">
        <w:rPr>
          <w:rFonts w:ascii="Times New Roman" w:hAnsi="Times New Roman"/>
          <w:i/>
          <w:sz w:val="22"/>
          <w:szCs w:val="22"/>
        </w:rPr>
        <w:t xml:space="preserve"> Eligible applicants are IHEs as defined in section 101 of the Higher Education Act of 1965, as amended (HEA) (20 U.S.C. 1001).  </w:t>
      </w:r>
      <w:r w:rsidR="002E6FBA" w:rsidRPr="005C5949">
        <w:rPr>
          <w:rFonts w:ascii="Times New Roman" w:hAnsi="Times New Roman"/>
          <w:i/>
          <w:sz w:val="22"/>
          <w:szCs w:val="22"/>
        </w:rPr>
        <w:t>This does not include foreign institutions.</w:t>
      </w:r>
    </w:p>
    <w:p w14:paraId="20694F9A" w14:textId="77777777" w:rsidR="00D76364" w:rsidRPr="005C5949" w:rsidRDefault="00D76364" w:rsidP="0094216A">
      <w:pPr>
        <w:pStyle w:val="ListParagraph"/>
        <w:rPr>
          <w:rFonts w:ascii="Times New Roman" w:hAnsi="Times New Roman"/>
          <w:i/>
          <w:sz w:val="22"/>
          <w:szCs w:val="22"/>
        </w:rPr>
      </w:pPr>
    </w:p>
    <w:p w14:paraId="6B204FAC" w14:textId="09EA14F7" w:rsidR="006263A4" w:rsidRDefault="002E04C4" w:rsidP="006263A4">
      <w:pPr>
        <w:pStyle w:val="ListParagraph"/>
        <w:numPr>
          <w:ilvl w:val="0"/>
          <w:numId w:val="15"/>
        </w:numPr>
        <w:rPr>
          <w:rFonts w:ascii="Times New Roman" w:hAnsi="Times New Roman"/>
          <w:b/>
          <w:sz w:val="22"/>
          <w:szCs w:val="22"/>
        </w:rPr>
      </w:pPr>
      <w:r w:rsidRPr="002E04C4">
        <w:rPr>
          <w:rFonts w:ascii="Times New Roman" w:hAnsi="Times New Roman"/>
          <w:b/>
          <w:sz w:val="22"/>
          <w:szCs w:val="22"/>
        </w:rPr>
        <w:t xml:space="preserve">What is meant by a State </w:t>
      </w:r>
      <w:r w:rsidR="00BE5F06">
        <w:rPr>
          <w:rFonts w:ascii="Times New Roman" w:hAnsi="Times New Roman"/>
          <w:b/>
          <w:sz w:val="22"/>
          <w:szCs w:val="22"/>
        </w:rPr>
        <w:t>h</w:t>
      </w:r>
      <w:r w:rsidRPr="002E04C4">
        <w:rPr>
          <w:rFonts w:ascii="Times New Roman" w:hAnsi="Times New Roman"/>
          <w:b/>
          <w:sz w:val="22"/>
          <w:szCs w:val="22"/>
        </w:rPr>
        <w:t xml:space="preserve">igher </w:t>
      </w:r>
      <w:r w:rsidR="00BE5F06">
        <w:rPr>
          <w:rFonts w:ascii="Times New Roman" w:hAnsi="Times New Roman"/>
          <w:b/>
          <w:sz w:val="22"/>
          <w:szCs w:val="22"/>
        </w:rPr>
        <w:t>e</w:t>
      </w:r>
      <w:r w:rsidRPr="002E04C4">
        <w:rPr>
          <w:rFonts w:ascii="Times New Roman" w:hAnsi="Times New Roman"/>
          <w:b/>
          <w:sz w:val="22"/>
          <w:szCs w:val="22"/>
        </w:rPr>
        <w:t xml:space="preserve">ducation </w:t>
      </w:r>
      <w:r w:rsidR="00BE5F06">
        <w:rPr>
          <w:rFonts w:ascii="Times New Roman" w:hAnsi="Times New Roman"/>
          <w:b/>
          <w:sz w:val="22"/>
          <w:szCs w:val="22"/>
        </w:rPr>
        <w:t>a</w:t>
      </w:r>
      <w:r w:rsidRPr="002E04C4">
        <w:rPr>
          <w:rFonts w:ascii="Times New Roman" w:hAnsi="Times New Roman"/>
          <w:b/>
          <w:sz w:val="22"/>
          <w:szCs w:val="22"/>
        </w:rPr>
        <w:t>gency?</w:t>
      </w:r>
    </w:p>
    <w:p w14:paraId="215AC660" w14:textId="77777777" w:rsidR="006263A4" w:rsidRDefault="006263A4" w:rsidP="006263A4">
      <w:pPr>
        <w:pStyle w:val="ListParagraph"/>
        <w:rPr>
          <w:rFonts w:ascii="Times New Roman" w:hAnsi="Times New Roman"/>
          <w:b/>
          <w:sz w:val="22"/>
          <w:szCs w:val="22"/>
        </w:rPr>
      </w:pPr>
    </w:p>
    <w:p w14:paraId="4E537CC5" w14:textId="22E65D5C" w:rsidR="002E04C4" w:rsidRPr="00D170AC" w:rsidRDefault="006263A4" w:rsidP="006263A4">
      <w:pPr>
        <w:pStyle w:val="ListParagraph"/>
        <w:rPr>
          <w:rFonts w:ascii="Times New Roman" w:hAnsi="Times New Roman"/>
          <w:bCs/>
          <w:i/>
          <w:iCs/>
        </w:rPr>
      </w:pPr>
      <w:r w:rsidRPr="00D170AC">
        <w:rPr>
          <w:rFonts w:ascii="Times New Roman" w:hAnsi="Times New Roman"/>
          <w:bCs/>
          <w:i/>
          <w:iCs/>
        </w:rPr>
        <w:t xml:space="preserve">A State </w:t>
      </w:r>
      <w:r w:rsidR="008F1024" w:rsidRPr="00D170AC">
        <w:rPr>
          <w:rFonts w:ascii="Times New Roman" w:hAnsi="Times New Roman"/>
          <w:bCs/>
          <w:i/>
          <w:iCs/>
        </w:rPr>
        <w:t>h</w:t>
      </w:r>
      <w:r w:rsidRPr="00D170AC">
        <w:rPr>
          <w:rFonts w:ascii="Times New Roman" w:hAnsi="Times New Roman"/>
          <w:bCs/>
          <w:i/>
          <w:iCs/>
        </w:rPr>
        <w:t xml:space="preserve">igher </w:t>
      </w:r>
      <w:r w:rsidR="008F1024" w:rsidRPr="00D170AC">
        <w:rPr>
          <w:rFonts w:ascii="Times New Roman" w:hAnsi="Times New Roman"/>
          <w:bCs/>
          <w:i/>
          <w:iCs/>
        </w:rPr>
        <w:t>e</w:t>
      </w:r>
      <w:r w:rsidRPr="00D170AC">
        <w:rPr>
          <w:rFonts w:ascii="Times New Roman" w:hAnsi="Times New Roman"/>
          <w:bCs/>
          <w:i/>
          <w:iCs/>
        </w:rPr>
        <w:t xml:space="preserve">ducation </w:t>
      </w:r>
      <w:r w:rsidR="008F1024" w:rsidRPr="00D170AC">
        <w:rPr>
          <w:rFonts w:ascii="Times New Roman" w:hAnsi="Times New Roman"/>
          <w:bCs/>
          <w:i/>
          <w:iCs/>
        </w:rPr>
        <w:t>a</w:t>
      </w:r>
      <w:r w:rsidRPr="00D170AC">
        <w:rPr>
          <w:rFonts w:ascii="Times New Roman" w:hAnsi="Times New Roman"/>
          <w:bCs/>
          <w:i/>
          <w:iCs/>
        </w:rPr>
        <w:t xml:space="preserve">gency means the officer or agency primarily responsible for the State supervision of higher education.  </w:t>
      </w:r>
    </w:p>
    <w:p w14:paraId="67D3E06D" w14:textId="77777777" w:rsidR="006263A4" w:rsidRPr="006263A4" w:rsidRDefault="006263A4" w:rsidP="006263A4">
      <w:pPr>
        <w:pStyle w:val="ListParagraph"/>
        <w:rPr>
          <w:rFonts w:ascii="Times New Roman" w:hAnsi="Times New Roman"/>
          <w:b/>
          <w:sz w:val="22"/>
          <w:szCs w:val="22"/>
        </w:rPr>
      </w:pPr>
    </w:p>
    <w:p w14:paraId="20694F9B" w14:textId="019B64A1" w:rsidR="00D76364" w:rsidRPr="005C5949" w:rsidRDefault="00D76364" w:rsidP="006263A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Is a state government agency for Higher Education eligible to apply for this grant? </w:t>
      </w:r>
    </w:p>
    <w:p w14:paraId="20694F9C" w14:textId="77777777" w:rsidR="00D76364" w:rsidRPr="005C5949" w:rsidRDefault="00D76364" w:rsidP="006263A4">
      <w:pPr>
        <w:pStyle w:val="ListParagraph"/>
        <w:rPr>
          <w:rFonts w:ascii="Times New Roman" w:hAnsi="Times New Roman"/>
          <w:sz w:val="22"/>
          <w:szCs w:val="22"/>
        </w:rPr>
      </w:pPr>
    </w:p>
    <w:p w14:paraId="20694F9E" w14:textId="73260125" w:rsidR="00D76364" w:rsidRPr="00B2418E" w:rsidRDefault="001A1940" w:rsidP="006263A4">
      <w:pPr>
        <w:ind w:left="720"/>
        <w:rPr>
          <w:rFonts w:ascii="Times New Roman" w:hAnsi="Times New Roman" w:cs="Times New Roman"/>
          <w:i/>
        </w:rPr>
      </w:pPr>
      <w:r>
        <w:rPr>
          <w:rFonts w:ascii="Times New Roman" w:hAnsi="Times New Roman"/>
          <w:i/>
        </w:rPr>
        <w:t xml:space="preserve">A </w:t>
      </w:r>
      <w:r w:rsidRPr="001A1940">
        <w:rPr>
          <w:rFonts w:ascii="Times New Roman" w:hAnsi="Times New Roman"/>
          <w:i/>
        </w:rPr>
        <w:t xml:space="preserve">State </w:t>
      </w:r>
      <w:r w:rsidR="00BE5F06">
        <w:rPr>
          <w:rFonts w:ascii="Times New Roman" w:hAnsi="Times New Roman"/>
          <w:i/>
        </w:rPr>
        <w:t>h</w:t>
      </w:r>
      <w:r w:rsidRPr="001A1940">
        <w:rPr>
          <w:rFonts w:ascii="Times New Roman" w:hAnsi="Times New Roman"/>
          <w:i/>
        </w:rPr>
        <w:t xml:space="preserve">igher </w:t>
      </w:r>
      <w:r w:rsidR="00BE5F06">
        <w:rPr>
          <w:rFonts w:ascii="Times New Roman" w:hAnsi="Times New Roman"/>
          <w:i/>
        </w:rPr>
        <w:t>e</w:t>
      </w:r>
      <w:r w:rsidRPr="001A1940">
        <w:rPr>
          <w:rFonts w:ascii="Times New Roman" w:hAnsi="Times New Roman"/>
          <w:i/>
        </w:rPr>
        <w:t xml:space="preserve">ducation </w:t>
      </w:r>
      <w:r w:rsidR="00BE5F06">
        <w:rPr>
          <w:rFonts w:ascii="Times New Roman" w:hAnsi="Times New Roman"/>
          <w:i/>
        </w:rPr>
        <w:t>a</w:t>
      </w:r>
      <w:r w:rsidRPr="001A1940">
        <w:rPr>
          <w:rFonts w:ascii="Times New Roman" w:hAnsi="Times New Roman"/>
          <w:i/>
        </w:rPr>
        <w:t>gency</w:t>
      </w:r>
      <w:r>
        <w:rPr>
          <w:rFonts w:ascii="Times New Roman" w:hAnsi="Times New Roman"/>
          <w:i/>
        </w:rPr>
        <w:t xml:space="preserve"> is an e</w:t>
      </w:r>
      <w:r w:rsidR="00D76364" w:rsidRPr="005C5949">
        <w:rPr>
          <w:rFonts w:ascii="Times New Roman" w:hAnsi="Times New Roman"/>
          <w:i/>
        </w:rPr>
        <w:t>ligible applicant</w:t>
      </w:r>
      <w:r w:rsidR="008142CC">
        <w:rPr>
          <w:rFonts w:ascii="Times New Roman" w:hAnsi="Times New Roman"/>
          <w:i/>
        </w:rPr>
        <w:t xml:space="preserve">.  </w:t>
      </w:r>
      <w:r w:rsidR="0026531F" w:rsidRPr="0026531F">
        <w:rPr>
          <w:rFonts w:ascii="Times New Roman" w:hAnsi="Times New Roman"/>
          <w:i/>
        </w:rPr>
        <w:t xml:space="preserve">As established in the NIA, eligible IHEs (as defined under section 101 of the HEA) and State higher education agencies </w:t>
      </w:r>
      <w:r w:rsidR="00406322">
        <w:rPr>
          <w:rFonts w:ascii="Times New Roman" w:hAnsi="Times New Roman"/>
          <w:i/>
        </w:rPr>
        <w:t xml:space="preserve">may </w:t>
      </w:r>
      <w:r w:rsidR="0026531F" w:rsidRPr="0026531F">
        <w:rPr>
          <w:rFonts w:ascii="Times New Roman" w:hAnsi="Times New Roman"/>
          <w:i/>
        </w:rPr>
        <w:t>serve as the lead fiscal agent of the consortia.</w:t>
      </w:r>
      <w:r w:rsidR="00B2418E" w:rsidRPr="00B2418E">
        <w:rPr>
          <w:rFonts w:ascii="Times New Roman" w:hAnsi="Times New Roman" w:cs="Times New Roman"/>
          <w:i/>
        </w:rPr>
        <w:t>.</w:t>
      </w:r>
    </w:p>
    <w:p w14:paraId="20694F9F" w14:textId="77777777" w:rsidR="00D76364" w:rsidRPr="005C5949" w:rsidRDefault="00D76364" w:rsidP="00D7636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Can system offices apply on behalf of their institutions?  For example, could the “State Board of Community and Technical Colleges,” an administrative body representing 20 community and technical colleges be eligible to lead a project? </w:t>
      </w:r>
    </w:p>
    <w:p w14:paraId="20694FA0" w14:textId="77777777" w:rsidR="00D76364" w:rsidRPr="005C5949" w:rsidRDefault="00D76364" w:rsidP="00D76364">
      <w:pPr>
        <w:spacing w:after="0" w:line="240" w:lineRule="auto"/>
        <w:ind w:left="360"/>
        <w:rPr>
          <w:rFonts w:ascii="Times New Roman" w:hAnsi="Times New Roman" w:cs="Times New Roman"/>
        </w:rPr>
      </w:pPr>
    </w:p>
    <w:p w14:paraId="20694FA1" w14:textId="3289F5BB" w:rsidR="00D76364" w:rsidRDefault="0059014C" w:rsidP="00D76364">
      <w:pPr>
        <w:spacing w:after="0" w:line="240" w:lineRule="auto"/>
        <w:ind w:left="720"/>
        <w:rPr>
          <w:rFonts w:ascii="Times New Roman" w:hAnsi="Times New Roman" w:cs="Times New Roman"/>
          <w:i/>
        </w:rPr>
      </w:pPr>
      <w:r w:rsidRPr="0059014C">
        <w:rPr>
          <w:rFonts w:ascii="Times New Roman" w:hAnsi="Times New Roman" w:cs="Times New Roman"/>
          <w:i/>
        </w:rPr>
        <w:t xml:space="preserve">If the </w:t>
      </w:r>
      <w:r>
        <w:rPr>
          <w:rFonts w:ascii="Times New Roman" w:hAnsi="Times New Roman" w:cs="Times New Roman"/>
          <w:i/>
        </w:rPr>
        <w:t>s</w:t>
      </w:r>
      <w:r w:rsidRPr="0059014C">
        <w:rPr>
          <w:rFonts w:ascii="Times New Roman" w:hAnsi="Times New Roman" w:cs="Times New Roman"/>
          <w:i/>
        </w:rPr>
        <w:t xml:space="preserve">ystem </w:t>
      </w:r>
      <w:r w:rsidR="007E5E96">
        <w:rPr>
          <w:rFonts w:ascii="Times New Roman" w:hAnsi="Times New Roman" w:cs="Times New Roman"/>
          <w:i/>
        </w:rPr>
        <w:t xml:space="preserve">is a </w:t>
      </w:r>
      <w:r w:rsidR="007E5E96" w:rsidRPr="007E5E96">
        <w:rPr>
          <w:rFonts w:ascii="Times New Roman" w:hAnsi="Times New Roman" w:cs="Times New Roman"/>
          <w:i/>
        </w:rPr>
        <w:t>State higher education agency</w:t>
      </w:r>
      <w:r w:rsidR="007E5E96">
        <w:rPr>
          <w:rFonts w:ascii="Times New Roman" w:hAnsi="Times New Roman" w:cs="Times New Roman"/>
          <w:i/>
        </w:rPr>
        <w:t xml:space="preserve">, </w:t>
      </w:r>
      <w:r w:rsidRPr="0059014C">
        <w:rPr>
          <w:rFonts w:ascii="Times New Roman" w:hAnsi="Times New Roman" w:cs="Times New Roman"/>
          <w:i/>
        </w:rPr>
        <w:t>then they could serve at the lead applicant</w:t>
      </w:r>
      <w:r w:rsidR="007E5E96">
        <w:rPr>
          <w:rFonts w:ascii="Times New Roman" w:hAnsi="Times New Roman" w:cs="Times New Roman"/>
          <w:i/>
        </w:rPr>
        <w:t xml:space="preserve">.  If the system is not a </w:t>
      </w:r>
      <w:r w:rsidR="007E5E96" w:rsidRPr="007E5E96">
        <w:rPr>
          <w:rFonts w:ascii="Times New Roman" w:hAnsi="Times New Roman" w:cs="Times New Roman"/>
          <w:i/>
        </w:rPr>
        <w:t>State higher education agency</w:t>
      </w:r>
      <w:r w:rsidR="007E5E96">
        <w:rPr>
          <w:rFonts w:ascii="Times New Roman" w:hAnsi="Times New Roman" w:cs="Times New Roman"/>
          <w:i/>
        </w:rPr>
        <w:t xml:space="preserve">, then </w:t>
      </w:r>
      <w:r w:rsidRPr="0059014C">
        <w:rPr>
          <w:rFonts w:ascii="Times New Roman" w:hAnsi="Times New Roman" w:cs="Times New Roman"/>
          <w:i/>
        </w:rPr>
        <w:t xml:space="preserve">one of their eligible IHEs should be designated as the lead </w:t>
      </w:r>
      <w:r w:rsidR="007E5E96">
        <w:rPr>
          <w:rFonts w:ascii="Times New Roman" w:hAnsi="Times New Roman" w:cs="Times New Roman"/>
          <w:i/>
        </w:rPr>
        <w:t xml:space="preserve">applicant.  </w:t>
      </w:r>
    </w:p>
    <w:p w14:paraId="71A4E065" w14:textId="77777777" w:rsidR="00296570" w:rsidRDefault="00296570" w:rsidP="00D76364">
      <w:pPr>
        <w:spacing w:after="0" w:line="240" w:lineRule="auto"/>
        <w:ind w:left="720"/>
        <w:rPr>
          <w:rFonts w:ascii="Times New Roman" w:hAnsi="Times New Roman" w:cs="Times New Roman"/>
          <w:i/>
        </w:rPr>
      </w:pPr>
    </w:p>
    <w:p w14:paraId="4E8E76AF" w14:textId="3EAD3709" w:rsidR="00296570" w:rsidRPr="00955748" w:rsidRDefault="003941B9" w:rsidP="00296570">
      <w:pPr>
        <w:pStyle w:val="ListParagraph"/>
        <w:numPr>
          <w:ilvl w:val="0"/>
          <w:numId w:val="15"/>
        </w:numPr>
        <w:rPr>
          <w:rFonts w:ascii="Times New Roman" w:hAnsi="Times New Roman"/>
          <w:b/>
          <w:bCs/>
          <w:i/>
        </w:rPr>
      </w:pPr>
      <w:r w:rsidRPr="00955748">
        <w:rPr>
          <w:rFonts w:ascii="Times New Roman" w:hAnsi="Times New Roman"/>
          <w:b/>
          <w:bCs/>
          <w:iCs/>
        </w:rPr>
        <w:t>Can</w:t>
      </w:r>
      <w:r w:rsidR="00296570" w:rsidRPr="00955748">
        <w:rPr>
          <w:rFonts w:ascii="Times New Roman" w:hAnsi="Times New Roman"/>
          <w:b/>
          <w:bCs/>
          <w:iCs/>
        </w:rPr>
        <w:t xml:space="preserve"> a </w:t>
      </w:r>
      <w:r w:rsidRPr="00955748">
        <w:rPr>
          <w:rFonts w:ascii="Times New Roman" w:hAnsi="Times New Roman"/>
          <w:b/>
          <w:bCs/>
          <w:iCs/>
        </w:rPr>
        <w:t xml:space="preserve">university or college </w:t>
      </w:r>
      <w:r w:rsidR="00296570" w:rsidRPr="00955748">
        <w:rPr>
          <w:rFonts w:ascii="Times New Roman" w:hAnsi="Times New Roman"/>
          <w:b/>
          <w:bCs/>
          <w:iCs/>
        </w:rPr>
        <w:t xml:space="preserve">system (and all the affiliated colleges in the system) </w:t>
      </w:r>
      <w:r w:rsidRPr="00955748">
        <w:rPr>
          <w:rFonts w:ascii="Times New Roman" w:hAnsi="Times New Roman"/>
          <w:b/>
          <w:bCs/>
          <w:iCs/>
        </w:rPr>
        <w:t xml:space="preserve">be </w:t>
      </w:r>
      <w:r w:rsidR="00296570" w:rsidRPr="00955748">
        <w:rPr>
          <w:rFonts w:ascii="Times New Roman" w:hAnsi="Times New Roman"/>
          <w:b/>
          <w:bCs/>
          <w:iCs/>
        </w:rPr>
        <w:t xml:space="preserve">considered </w:t>
      </w:r>
      <w:r w:rsidRPr="00955748">
        <w:rPr>
          <w:rFonts w:ascii="Times New Roman" w:hAnsi="Times New Roman"/>
          <w:b/>
          <w:bCs/>
          <w:iCs/>
        </w:rPr>
        <w:t xml:space="preserve">a single </w:t>
      </w:r>
      <w:r w:rsidR="00296570" w:rsidRPr="00955748">
        <w:rPr>
          <w:rFonts w:ascii="Times New Roman" w:hAnsi="Times New Roman"/>
          <w:b/>
          <w:bCs/>
          <w:iCs/>
        </w:rPr>
        <w:t>IHE?</w:t>
      </w:r>
      <w:r w:rsidR="00296570" w:rsidRPr="00955748">
        <w:rPr>
          <w:rFonts w:ascii="Times New Roman" w:hAnsi="Times New Roman"/>
          <w:b/>
          <w:bCs/>
          <w:i/>
        </w:rPr>
        <w:t xml:space="preserve"> </w:t>
      </w:r>
    </w:p>
    <w:p w14:paraId="74C34C2E" w14:textId="77777777" w:rsidR="00296570" w:rsidRPr="00955748" w:rsidRDefault="00296570" w:rsidP="00296570">
      <w:pPr>
        <w:pStyle w:val="ListParagraph"/>
        <w:rPr>
          <w:rFonts w:ascii="Times New Roman" w:hAnsi="Times New Roman"/>
          <w:b/>
          <w:bCs/>
          <w:i/>
        </w:rPr>
      </w:pPr>
    </w:p>
    <w:p w14:paraId="66952734" w14:textId="4E835DAB" w:rsidR="00B00F0F" w:rsidRPr="00955748" w:rsidRDefault="00296570" w:rsidP="00296570">
      <w:pPr>
        <w:pStyle w:val="ListParagraph"/>
        <w:rPr>
          <w:rFonts w:ascii="Times New Roman" w:hAnsi="Times New Roman"/>
          <w:i/>
        </w:rPr>
      </w:pPr>
      <w:r w:rsidRPr="00955748">
        <w:rPr>
          <w:rFonts w:ascii="Times New Roman" w:hAnsi="Times New Roman"/>
          <w:i/>
        </w:rPr>
        <w:t xml:space="preserve">No. </w:t>
      </w:r>
      <w:r w:rsidR="00C00D13" w:rsidRPr="00955748">
        <w:rPr>
          <w:rFonts w:ascii="Times New Roman" w:hAnsi="Times New Roman"/>
          <w:i/>
        </w:rPr>
        <w:t xml:space="preserve"> </w:t>
      </w:r>
      <w:r w:rsidRPr="00955748">
        <w:rPr>
          <w:rFonts w:ascii="Times New Roman" w:hAnsi="Times New Roman"/>
          <w:i/>
        </w:rPr>
        <w:t>We do not provide the definition for a system within this NIA</w:t>
      </w:r>
      <w:r w:rsidR="008F155E" w:rsidRPr="00955748">
        <w:rPr>
          <w:rFonts w:ascii="Times New Roman" w:hAnsi="Times New Roman"/>
          <w:i/>
        </w:rPr>
        <w:t>.  A</w:t>
      </w:r>
      <w:r w:rsidRPr="00955748">
        <w:rPr>
          <w:rFonts w:ascii="Times New Roman" w:hAnsi="Times New Roman"/>
          <w:i/>
        </w:rPr>
        <w:t>n IHE is defined in section 101 of the Higher Education Act of 1965, as amended (HEA) (20 U.S.C. 1001)</w:t>
      </w:r>
      <w:r w:rsidR="00B00F0F" w:rsidRPr="00955748">
        <w:rPr>
          <w:rFonts w:ascii="Times New Roman" w:hAnsi="Times New Roman"/>
          <w:i/>
        </w:rPr>
        <w:t>.</w:t>
      </w:r>
    </w:p>
    <w:p w14:paraId="67256826" w14:textId="77777777" w:rsidR="00B00F0F" w:rsidRPr="00955748" w:rsidRDefault="00B00F0F" w:rsidP="00B00F0F">
      <w:pPr>
        <w:pStyle w:val="ListParagraph"/>
        <w:rPr>
          <w:rFonts w:ascii="Times New Roman" w:hAnsi="Times New Roman"/>
          <w:i/>
        </w:rPr>
      </w:pPr>
    </w:p>
    <w:p w14:paraId="049D6031" w14:textId="77777777" w:rsidR="00544B1A" w:rsidRPr="00955748" w:rsidRDefault="00230932" w:rsidP="00B00F0F">
      <w:pPr>
        <w:pStyle w:val="ListParagraph"/>
        <w:numPr>
          <w:ilvl w:val="0"/>
          <w:numId w:val="15"/>
        </w:numPr>
        <w:rPr>
          <w:rFonts w:ascii="Times New Roman" w:hAnsi="Times New Roman"/>
          <w:b/>
          <w:bCs/>
          <w:iCs/>
        </w:rPr>
      </w:pPr>
      <w:r w:rsidRPr="00955748">
        <w:rPr>
          <w:rFonts w:ascii="Times New Roman" w:hAnsi="Times New Roman"/>
          <w:b/>
          <w:bCs/>
          <w:iCs/>
        </w:rPr>
        <w:t xml:space="preserve">Can 3 </w:t>
      </w:r>
      <w:r w:rsidR="00296570" w:rsidRPr="00955748">
        <w:rPr>
          <w:rFonts w:ascii="Times New Roman" w:hAnsi="Times New Roman"/>
          <w:b/>
          <w:bCs/>
          <w:iCs/>
        </w:rPr>
        <w:t xml:space="preserve">colleges in the same university system (but with separate tax IDs) collaborate to meet the </w:t>
      </w:r>
      <w:r w:rsidR="00544B1A" w:rsidRPr="00955748">
        <w:rPr>
          <w:rFonts w:ascii="Times New Roman" w:hAnsi="Times New Roman"/>
          <w:b/>
          <w:bCs/>
          <w:iCs/>
        </w:rPr>
        <w:t xml:space="preserve">requirement for </w:t>
      </w:r>
      <w:r w:rsidR="00296570" w:rsidRPr="00955748">
        <w:rPr>
          <w:rFonts w:ascii="Times New Roman" w:hAnsi="Times New Roman"/>
          <w:b/>
          <w:bCs/>
          <w:iCs/>
        </w:rPr>
        <w:t>3 IHE</w:t>
      </w:r>
      <w:r w:rsidR="00544B1A" w:rsidRPr="00955748">
        <w:rPr>
          <w:rFonts w:ascii="Times New Roman" w:hAnsi="Times New Roman"/>
          <w:b/>
          <w:bCs/>
          <w:iCs/>
        </w:rPr>
        <w:t xml:space="preserve">s in the </w:t>
      </w:r>
      <w:r w:rsidR="00296570" w:rsidRPr="00955748">
        <w:rPr>
          <w:rFonts w:ascii="Times New Roman" w:hAnsi="Times New Roman"/>
          <w:b/>
          <w:bCs/>
          <w:iCs/>
        </w:rPr>
        <w:t>consortium</w:t>
      </w:r>
      <w:r w:rsidR="00544B1A" w:rsidRPr="00955748">
        <w:rPr>
          <w:rFonts w:ascii="Times New Roman" w:hAnsi="Times New Roman"/>
          <w:b/>
          <w:bCs/>
          <w:iCs/>
        </w:rPr>
        <w:t>?</w:t>
      </w:r>
    </w:p>
    <w:p w14:paraId="0256C3EA" w14:textId="77777777" w:rsidR="003C6620" w:rsidRPr="00955748" w:rsidRDefault="003C6620" w:rsidP="003C6620">
      <w:pPr>
        <w:pStyle w:val="ListParagraph"/>
        <w:rPr>
          <w:rFonts w:ascii="Times New Roman" w:hAnsi="Times New Roman"/>
          <w:i/>
        </w:rPr>
      </w:pPr>
    </w:p>
    <w:p w14:paraId="67FEEF7A" w14:textId="31257218" w:rsidR="00762C89" w:rsidRDefault="00296570" w:rsidP="003C6620">
      <w:pPr>
        <w:pStyle w:val="ListParagraph"/>
        <w:rPr>
          <w:rFonts w:ascii="Times New Roman" w:hAnsi="Times New Roman"/>
          <w:i/>
        </w:rPr>
      </w:pPr>
      <w:r w:rsidRPr="00955748">
        <w:rPr>
          <w:rFonts w:ascii="Times New Roman" w:hAnsi="Times New Roman"/>
          <w:i/>
        </w:rPr>
        <w:t xml:space="preserve">Yes. </w:t>
      </w:r>
      <w:r w:rsidR="00C00D13" w:rsidRPr="00955748">
        <w:rPr>
          <w:rFonts w:ascii="Times New Roman" w:hAnsi="Times New Roman"/>
          <w:i/>
        </w:rPr>
        <w:t xml:space="preserve"> </w:t>
      </w:r>
      <w:r w:rsidRPr="00955748">
        <w:rPr>
          <w:rFonts w:ascii="Times New Roman" w:hAnsi="Times New Roman"/>
          <w:i/>
        </w:rPr>
        <w:t xml:space="preserve">The </w:t>
      </w:r>
      <w:r w:rsidR="003C6620" w:rsidRPr="00955748">
        <w:rPr>
          <w:rFonts w:ascii="Times New Roman" w:hAnsi="Times New Roman"/>
          <w:i/>
        </w:rPr>
        <w:t xml:space="preserve">eligible </w:t>
      </w:r>
      <w:r w:rsidRPr="00955748">
        <w:rPr>
          <w:rFonts w:ascii="Times New Roman" w:hAnsi="Times New Roman"/>
          <w:i/>
        </w:rPr>
        <w:t xml:space="preserve">IHEs may be a part of the same system. </w:t>
      </w:r>
      <w:r w:rsidR="00C00D13" w:rsidRPr="00955748">
        <w:rPr>
          <w:rFonts w:ascii="Times New Roman" w:hAnsi="Times New Roman"/>
          <w:i/>
        </w:rPr>
        <w:t xml:space="preserve"> </w:t>
      </w:r>
      <w:r w:rsidRPr="00955748">
        <w:rPr>
          <w:rFonts w:ascii="Times New Roman" w:hAnsi="Times New Roman"/>
          <w:i/>
        </w:rPr>
        <w:t>Please note that if your system is not a State higher education agency, then one of your eligible IHEs should be designated as the lead applicant.</w:t>
      </w:r>
    </w:p>
    <w:p w14:paraId="20694FA2" w14:textId="77777777" w:rsidR="00D76364" w:rsidRPr="005C5949" w:rsidRDefault="00D76364" w:rsidP="00D76364">
      <w:pPr>
        <w:spacing w:after="0" w:line="240" w:lineRule="auto"/>
        <w:ind w:left="720"/>
        <w:rPr>
          <w:rFonts w:ascii="Times New Roman" w:hAnsi="Times New Roman" w:cs="Times New Roman"/>
          <w:i/>
        </w:rPr>
      </w:pPr>
    </w:p>
    <w:p w14:paraId="20694FA3" w14:textId="77777777" w:rsidR="00D76364" w:rsidRPr="00955748" w:rsidRDefault="00D76364" w:rsidP="00D76364">
      <w:pPr>
        <w:pStyle w:val="ListParagraph"/>
        <w:numPr>
          <w:ilvl w:val="0"/>
          <w:numId w:val="15"/>
        </w:numPr>
        <w:rPr>
          <w:rFonts w:ascii="Times New Roman" w:hAnsi="Times New Roman"/>
          <w:b/>
          <w:sz w:val="22"/>
          <w:szCs w:val="22"/>
        </w:rPr>
      </w:pPr>
      <w:r w:rsidRPr="00955748">
        <w:rPr>
          <w:rFonts w:ascii="Times New Roman" w:hAnsi="Times New Roman"/>
          <w:b/>
          <w:sz w:val="22"/>
          <w:szCs w:val="22"/>
        </w:rPr>
        <w:t xml:space="preserve">Can a state system of higher education incorporating 20 colleges and 10 universities establish a grants.gov account for submitting a proposal, and can the system office act as the fiscal agent? </w:t>
      </w:r>
    </w:p>
    <w:p w14:paraId="20694FA4" w14:textId="77777777" w:rsidR="00D76364" w:rsidRPr="005C5949" w:rsidRDefault="00D76364" w:rsidP="00D76364">
      <w:pPr>
        <w:pStyle w:val="ListParagraph"/>
        <w:rPr>
          <w:rFonts w:ascii="Times New Roman" w:hAnsi="Times New Roman"/>
          <w:sz w:val="22"/>
          <w:szCs w:val="22"/>
        </w:rPr>
      </w:pPr>
    </w:p>
    <w:p w14:paraId="20694FA5" w14:textId="3B1B6474" w:rsidR="00D76364" w:rsidRPr="005C5949" w:rsidRDefault="00406322" w:rsidP="00D76364">
      <w:pPr>
        <w:pStyle w:val="ListParagraph"/>
        <w:rPr>
          <w:rFonts w:ascii="Times New Roman" w:hAnsi="Times New Roman"/>
          <w:i/>
          <w:sz w:val="22"/>
          <w:szCs w:val="22"/>
        </w:rPr>
      </w:pPr>
      <w:r>
        <w:rPr>
          <w:rFonts w:ascii="Times New Roman" w:hAnsi="Times New Roman"/>
          <w:i/>
          <w:sz w:val="22"/>
          <w:szCs w:val="22"/>
        </w:rPr>
        <w:t>No</w:t>
      </w:r>
      <w:r w:rsidR="002C68DE">
        <w:rPr>
          <w:rFonts w:ascii="Times New Roman" w:hAnsi="Times New Roman"/>
          <w:i/>
          <w:sz w:val="22"/>
          <w:szCs w:val="22"/>
        </w:rPr>
        <w:t>.  A</w:t>
      </w:r>
      <w:r w:rsidR="00D76364" w:rsidRPr="005C5949">
        <w:rPr>
          <w:rFonts w:ascii="Times New Roman" w:hAnsi="Times New Roman"/>
          <w:i/>
          <w:sz w:val="22"/>
          <w:szCs w:val="22"/>
        </w:rPr>
        <w:t xml:space="preserve">n eligible IHE from the system should be designated as the lead applicant. The lead applicant that will serve as the fiscal agent over the grant should submit the application </w:t>
      </w:r>
      <w:r>
        <w:rPr>
          <w:rFonts w:ascii="Times New Roman" w:hAnsi="Times New Roman"/>
          <w:i/>
          <w:sz w:val="22"/>
          <w:szCs w:val="22"/>
        </w:rPr>
        <w:t xml:space="preserve">on behalf of the system </w:t>
      </w:r>
      <w:r w:rsidR="00D76364" w:rsidRPr="005C5949">
        <w:rPr>
          <w:rFonts w:ascii="Times New Roman" w:hAnsi="Times New Roman"/>
          <w:i/>
          <w:sz w:val="22"/>
          <w:szCs w:val="22"/>
        </w:rPr>
        <w:t xml:space="preserve">through grants.gov.   </w:t>
      </w:r>
    </w:p>
    <w:p w14:paraId="20694FA6" w14:textId="77777777" w:rsidR="00D76364" w:rsidRPr="005C5949" w:rsidRDefault="00D76364" w:rsidP="00D76364">
      <w:pPr>
        <w:pStyle w:val="ListParagraph"/>
        <w:rPr>
          <w:rFonts w:ascii="Times New Roman" w:hAnsi="Times New Roman"/>
          <w:sz w:val="22"/>
          <w:szCs w:val="22"/>
        </w:rPr>
      </w:pPr>
    </w:p>
    <w:p w14:paraId="20694FA7" w14:textId="5A4809B9" w:rsidR="00D76364" w:rsidRPr="005C5949" w:rsidRDefault="00D76364" w:rsidP="00D76364">
      <w:pPr>
        <w:pStyle w:val="ListParagraph"/>
        <w:numPr>
          <w:ilvl w:val="0"/>
          <w:numId w:val="15"/>
        </w:numPr>
        <w:rPr>
          <w:rFonts w:ascii="Times New Roman" w:hAnsi="Times New Roman"/>
          <w:b/>
          <w:sz w:val="22"/>
          <w:szCs w:val="22"/>
        </w:rPr>
      </w:pPr>
      <w:r w:rsidRPr="005C5949">
        <w:rPr>
          <w:rFonts w:ascii="Times New Roman" w:hAnsi="Times New Roman"/>
          <w:b/>
          <w:sz w:val="22"/>
          <w:szCs w:val="22"/>
        </w:rPr>
        <w:lastRenderedPageBreak/>
        <w:t xml:space="preserve">If an IHE partners with a “College Board” that is comprised of 20 community colleges, then is it necessary to identify </w:t>
      </w:r>
      <w:r w:rsidR="00406322">
        <w:rPr>
          <w:rFonts w:ascii="Times New Roman" w:hAnsi="Times New Roman"/>
          <w:b/>
          <w:sz w:val="22"/>
          <w:szCs w:val="22"/>
        </w:rPr>
        <w:t>2 or more members of the community college system as “</w:t>
      </w:r>
      <w:r w:rsidRPr="005C5949">
        <w:rPr>
          <w:rFonts w:ascii="Times New Roman" w:hAnsi="Times New Roman"/>
          <w:b/>
          <w:sz w:val="22"/>
          <w:szCs w:val="22"/>
        </w:rPr>
        <w:t>IHE partners</w:t>
      </w:r>
      <w:r w:rsidR="00406322">
        <w:rPr>
          <w:rFonts w:ascii="Times New Roman" w:hAnsi="Times New Roman"/>
          <w:b/>
          <w:sz w:val="22"/>
          <w:szCs w:val="22"/>
        </w:rPr>
        <w:t>”</w:t>
      </w:r>
      <w:r w:rsidRPr="005C5949">
        <w:rPr>
          <w:rFonts w:ascii="Times New Roman" w:hAnsi="Times New Roman"/>
          <w:b/>
          <w:sz w:val="22"/>
          <w:szCs w:val="22"/>
        </w:rPr>
        <w:t xml:space="preserve"> to meet the requirement of 3 IHEs in the consortium?</w:t>
      </w:r>
    </w:p>
    <w:p w14:paraId="20694FA8" w14:textId="77777777" w:rsidR="00D76364" w:rsidRPr="005C5949" w:rsidRDefault="00D76364" w:rsidP="00D76364">
      <w:pPr>
        <w:pStyle w:val="ListParagraph"/>
        <w:rPr>
          <w:rFonts w:ascii="Times New Roman" w:hAnsi="Times New Roman"/>
          <w:sz w:val="22"/>
          <w:szCs w:val="22"/>
        </w:rPr>
      </w:pPr>
    </w:p>
    <w:p w14:paraId="20694FA9" w14:textId="0496C9AE" w:rsidR="002E46BE" w:rsidRPr="005C5949" w:rsidRDefault="00406322" w:rsidP="00D76364">
      <w:pPr>
        <w:ind w:left="720"/>
        <w:rPr>
          <w:rFonts w:ascii="Times New Roman" w:hAnsi="Times New Roman" w:cs="Times New Roman"/>
          <w:i/>
        </w:rPr>
      </w:pPr>
      <w:r>
        <w:rPr>
          <w:rFonts w:ascii="Times New Roman" w:hAnsi="Times New Roman" w:cs="Times New Roman"/>
          <w:i/>
        </w:rPr>
        <w:t xml:space="preserve">Yes. </w:t>
      </w:r>
      <w:r w:rsidR="00C00D13">
        <w:rPr>
          <w:rFonts w:ascii="Times New Roman" w:hAnsi="Times New Roman" w:cs="Times New Roman"/>
          <w:i/>
        </w:rPr>
        <w:t xml:space="preserve"> </w:t>
      </w:r>
      <w:r w:rsidR="00D76364" w:rsidRPr="005C5949">
        <w:rPr>
          <w:rFonts w:ascii="Times New Roman" w:hAnsi="Times New Roman" w:cs="Times New Roman"/>
          <w:i/>
        </w:rPr>
        <w:t xml:space="preserve">All participating members of the consortium should be clearly identified, even those that make up a “College Board.”  </w:t>
      </w:r>
    </w:p>
    <w:p w14:paraId="20694FAA" w14:textId="77777777" w:rsidR="00D76364" w:rsidRPr="005C5949" w:rsidRDefault="00D76364" w:rsidP="00D7636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If applying on behalf of a system that represents a very large number of IHEs, then is it a requirement to get letters of commitment and support from every single member of the system? </w:t>
      </w:r>
    </w:p>
    <w:p w14:paraId="20694FAB" w14:textId="77777777" w:rsidR="00D76364" w:rsidRPr="005C5949" w:rsidRDefault="00D76364" w:rsidP="00D76364">
      <w:pPr>
        <w:spacing w:after="0" w:line="240" w:lineRule="auto"/>
        <w:ind w:left="720"/>
        <w:rPr>
          <w:rFonts w:ascii="Times New Roman" w:hAnsi="Times New Roman" w:cs="Times New Roman"/>
        </w:rPr>
      </w:pPr>
    </w:p>
    <w:p w14:paraId="20694FAC" w14:textId="1D7E0FB5" w:rsidR="00D76364" w:rsidRDefault="00406322" w:rsidP="00D76364">
      <w:pPr>
        <w:spacing w:after="0" w:line="240" w:lineRule="auto"/>
        <w:ind w:left="720"/>
        <w:rPr>
          <w:rFonts w:ascii="Times New Roman" w:hAnsi="Times New Roman" w:cs="Times New Roman"/>
          <w:i/>
        </w:rPr>
      </w:pPr>
      <w:r>
        <w:rPr>
          <w:rFonts w:ascii="Times New Roman" w:hAnsi="Times New Roman" w:cs="Times New Roman"/>
          <w:i/>
        </w:rPr>
        <w:t xml:space="preserve">No. </w:t>
      </w:r>
      <w:r w:rsidR="00D76364" w:rsidRPr="005C5949">
        <w:rPr>
          <w:rFonts w:ascii="Times New Roman" w:hAnsi="Times New Roman" w:cs="Times New Roman"/>
          <w:i/>
        </w:rPr>
        <w:t>For the purpose of this grant, the consortium does not have to include all of the institutions in the system</w:t>
      </w:r>
      <w:r>
        <w:rPr>
          <w:rFonts w:ascii="Times New Roman" w:hAnsi="Times New Roman" w:cs="Times New Roman"/>
          <w:i/>
        </w:rPr>
        <w:t xml:space="preserve"> in its application</w:t>
      </w:r>
      <w:r w:rsidR="00D76364" w:rsidRPr="005C5949">
        <w:rPr>
          <w:rFonts w:ascii="Times New Roman" w:hAnsi="Times New Roman" w:cs="Times New Roman"/>
          <w:i/>
        </w:rPr>
        <w:t xml:space="preserve">.  As reflected in the NIA, there must be at least three IHEs in the consortium along with the other required participants. </w:t>
      </w:r>
      <w:r w:rsidR="00C00D13">
        <w:rPr>
          <w:rFonts w:ascii="Times New Roman" w:hAnsi="Times New Roman" w:cs="Times New Roman"/>
          <w:i/>
        </w:rPr>
        <w:t xml:space="preserve"> </w:t>
      </w:r>
      <w:r w:rsidR="00D76364" w:rsidRPr="005C5949">
        <w:rPr>
          <w:rFonts w:ascii="Times New Roman" w:hAnsi="Times New Roman" w:cs="Times New Roman"/>
          <w:i/>
        </w:rPr>
        <w:t>It is also acceptable to provide documentation that supports your large system arrangement and describes the system/consortium member’s willingness to</w:t>
      </w:r>
      <w:r w:rsidR="005274C6">
        <w:rPr>
          <w:rFonts w:ascii="Times New Roman" w:hAnsi="Times New Roman" w:cs="Times New Roman"/>
          <w:i/>
        </w:rPr>
        <w:t xml:space="preserve"> </w:t>
      </w:r>
      <w:r w:rsidR="00D76364" w:rsidRPr="005C5949">
        <w:rPr>
          <w:rFonts w:ascii="Times New Roman" w:hAnsi="Times New Roman" w:cs="Times New Roman"/>
          <w:i/>
        </w:rPr>
        <w:t xml:space="preserve">participate on the grant. </w:t>
      </w:r>
      <w:r w:rsidR="00C00D13">
        <w:rPr>
          <w:rFonts w:ascii="Times New Roman" w:hAnsi="Times New Roman" w:cs="Times New Roman"/>
          <w:i/>
        </w:rPr>
        <w:t xml:space="preserve"> </w:t>
      </w:r>
      <w:r w:rsidR="00D76364" w:rsidRPr="005C5949">
        <w:rPr>
          <w:rFonts w:ascii="Times New Roman" w:hAnsi="Times New Roman" w:cs="Times New Roman"/>
          <w:i/>
        </w:rPr>
        <w:t>For example, a signed letter of commitment from an Advisory board that represents the system arrangement would be appropriate documentation.</w:t>
      </w:r>
    </w:p>
    <w:p w14:paraId="20694FAD" w14:textId="77777777" w:rsidR="00B86AE8" w:rsidRDefault="00B86AE8" w:rsidP="00D76364">
      <w:pPr>
        <w:spacing w:after="0" w:line="240" w:lineRule="auto"/>
        <w:ind w:left="720"/>
        <w:rPr>
          <w:rFonts w:ascii="Times New Roman" w:hAnsi="Times New Roman" w:cs="Times New Roman"/>
          <w:i/>
        </w:rPr>
      </w:pPr>
    </w:p>
    <w:p w14:paraId="20694FAE" w14:textId="51FBBD24" w:rsidR="00B86AE8" w:rsidRPr="003D7A81" w:rsidRDefault="00B86AE8" w:rsidP="00B86AE8">
      <w:pPr>
        <w:pStyle w:val="ListParagraph"/>
        <w:numPr>
          <w:ilvl w:val="0"/>
          <w:numId w:val="15"/>
        </w:numPr>
        <w:contextualSpacing/>
        <w:rPr>
          <w:rFonts w:ascii="Times New Roman" w:hAnsi="Times New Roman"/>
          <w:b/>
        </w:rPr>
      </w:pPr>
      <w:r w:rsidRPr="003D7A81">
        <w:rPr>
          <w:rFonts w:ascii="Times New Roman" w:hAnsi="Times New Roman"/>
          <w:b/>
        </w:rPr>
        <w:t xml:space="preserve">Is a separate letter </w:t>
      </w:r>
      <w:r w:rsidR="005274C6">
        <w:rPr>
          <w:rFonts w:ascii="Times New Roman" w:hAnsi="Times New Roman"/>
          <w:b/>
        </w:rPr>
        <w:t xml:space="preserve">of commitment </w:t>
      </w:r>
      <w:r w:rsidRPr="003D7A81">
        <w:rPr>
          <w:rFonts w:ascii="Times New Roman" w:hAnsi="Times New Roman"/>
          <w:b/>
        </w:rPr>
        <w:t>needed for the educational technology or electronic curriculum design expert that’s part of the eligibility requirements if that person(s) is within one of the institutions of higher education consortium partners?</w:t>
      </w:r>
    </w:p>
    <w:p w14:paraId="20694FAF" w14:textId="77777777" w:rsidR="00B86AE8" w:rsidRDefault="00B86AE8" w:rsidP="00B86AE8">
      <w:pPr>
        <w:ind w:left="360"/>
        <w:contextualSpacing/>
        <w:rPr>
          <w:rFonts w:ascii="Times New Roman" w:hAnsi="Times New Roman"/>
        </w:rPr>
      </w:pPr>
    </w:p>
    <w:p w14:paraId="20694FB0" w14:textId="13722D84" w:rsidR="00B86AE8" w:rsidRPr="00A72B0E" w:rsidRDefault="00B86AE8" w:rsidP="00B86AE8">
      <w:pPr>
        <w:ind w:left="720"/>
        <w:contextualSpacing/>
        <w:rPr>
          <w:rFonts w:ascii="Times New Roman" w:hAnsi="Times New Roman"/>
          <w:i/>
        </w:rPr>
      </w:pPr>
      <w:r w:rsidRPr="00A72B0E">
        <w:rPr>
          <w:rFonts w:ascii="Times New Roman" w:hAnsi="Times New Roman"/>
          <w:i/>
        </w:rPr>
        <w:t>No</w:t>
      </w:r>
      <w:r w:rsidR="00C00D13">
        <w:rPr>
          <w:rFonts w:ascii="Times New Roman" w:hAnsi="Times New Roman"/>
          <w:i/>
        </w:rPr>
        <w:t xml:space="preserve">.  </w:t>
      </w:r>
      <w:r w:rsidRPr="00A72B0E">
        <w:rPr>
          <w:rFonts w:ascii="Times New Roman" w:hAnsi="Times New Roman"/>
          <w:i/>
        </w:rPr>
        <w:t xml:space="preserve">However, in your application this individual should be clearly identified and information regarding their qualifications and responsibilities on the grant should be provided.     </w:t>
      </w:r>
    </w:p>
    <w:p w14:paraId="20694FB1" w14:textId="256DD6E5" w:rsidR="00B86AE8" w:rsidRPr="00A72B0E" w:rsidRDefault="00B86AE8" w:rsidP="00B86AE8">
      <w:pPr>
        <w:pStyle w:val="ListParagraph"/>
        <w:numPr>
          <w:ilvl w:val="0"/>
          <w:numId w:val="15"/>
        </w:numPr>
        <w:contextualSpacing/>
        <w:rPr>
          <w:rFonts w:ascii="Times New Roman" w:hAnsi="Times New Roman"/>
          <w:b/>
        </w:rPr>
      </w:pPr>
      <w:r w:rsidRPr="00A72B0E">
        <w:rPr>
          <w:rFonts w:ascii="Times New Roman" w:hAnsi="Times New Roman"/>
          <w:b/>
        </w:rPr>
        <w:t xml:space="preserve">Is a separate letter </w:t>
      </w:r>
      <w:r w:rsidR="005274C6">
        <w:rPr>
          <w:rFonts w:ascii="Times New Roman" w:hAnsi="Times New Roman"/>
          <w:b/>
        </w:rPr>
        <w:t xml:space="preserve">of commitment </w:t>
      </w:r>
      <w:r w:rsidRPr="00A72B0E">
        <w:rPr>
          <w:rFonts w:ascii="Times New Roman" w:hAnsi="Times New Roman"/>
          <w:b/>
        </w:rPr>
        <w:t xml:space="preserve">needed for each member of the advisory group? </w:t>
      </w:r>
    </w:p>
    <w:p w14:paraId="20694FB2" w14:textId="77777777" w:rsidR="00B86AE8" w:rsidRDefault="00B86AE8" w:rsidP="00B86AE8">
      <w:pPr>
        <w:pStyle w:val="ListParagraph"/>
        <w:contextualSpacing/>
        <w:rPr>
          <w:rFonts w:ascii="Times New Roman" w:hAnsi="Times New Roman"/>
        </w:rPr>
      </w:pPr>
    </w:p>
    <w:p w14:paraId="20694FB3" w14:textId="7A337576" w:rsidR="00B86AE8" w:rsidRDefault="00B86AE8" w:rsidP="00B86AE8">
      <w:pPr>
        <w:pStyle w:val="ListParagraph"/>
        <w:contextualSpacing/>
        <w:rPr>
          <w:rFonts w:ascii="Times New Roman" w:hAnsi="Times New Roman"/>
          <w:i/>
        </w:rPr>
      </w:pPr>
      <w:r w:rsidRPr="00A72B0E">
        <w:rPr>
          <w:rFonts w:ascii="Times New Roman" w:hAnsi="Times New Roman"/>
          <w:i/>
        </w:rPr>
        <w:t>N</w:t>
      </w:r>
      <w:r w:rsidR="00C00D13">
        <w:rPr>
          <w:rFonts w:ascii="Times New Roman" w:hAnsi="Times New Roman"/>
          <w:i/>
        </w:rPr>
        <w:t xml:space="preserve">o.  </w:t>
      </w:r>
      <w:r w:rsidRPr="00A72B0E">
        <w:rPr>
          <w:rFonts w:ascii="Times New Roman" w:hAnsi="Times New Roman"/>
          <w:i/>
        </w:rPr>
        <w:t>However, in your application the members that make up the advisory group should be clearly identified and documentation that describes the member’s role, responsibilities and willingness to participate on the grant</w:t>
      </w:r>
      <w:r>
        <w:rPr>
          <w:rFonts w:ascii="Times New Roman" w:hAnsi="Times New Roman"/>
          <w:i/>
        </w:rPr>
        <w:t xml:space="preserve"> should be provided. </w:t>
      </w:r>
    </w:p>
    <w:p w14:paraId="45E8D748" w14:textId="77777777" w:rsidR="00A13AC3" w:rsidRDefault="00A13AC3" w:rsidP="00304FEE">
      <w:pPr>
        <w:pStyle w:val="ListParagraph"/>
        <w:rPr>
          <w:rFonts w:ascii="Times New Roman" w:hAnsi="Times New Roman"/>
          <w:b/>
          <w:sz w:val="22"/>
          <w:szCs w:val="22"/>
        </w:rPr>
      </w:pPr>
    </w:p>
    <w:p w14:paraId="4386B619" w14:textId="37A75200" w:rsidR="00A13AC3" w:rsidRPr="005C5949" w:rsidRDefault="00A13AC3" w:rsidP="00A13AC3">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Can an IHE be </w:t>
      </w:r>
      <w:r>
        <w:rPr>
          <w:rFonts w:ascii="Times New Roman" w:hAnsi="Times New Roman"/>
          <w:b/>
          <w:sz w:val="22"/>
          <w:szCs w:val="22"/>
        </w:rPr>
        <w:t xml:space="preserve">the lead applicant for </w:t>
      </w:r>
      <w:r w:rsidRPr="005C5949">
        <w:rPr>
          <w:rFonts w:ascii="Times New Roman" w:hAnsi="Times New Roman"/>
          <w:b/>
          <w:sz w:val="22"/>
          <w:szCs w:val="22"/>
        </w:rPr>
        <w:t xml:space="preserve">more than one proposal? </w:t>
      </w:r>
    </w:p>
    <w:p w14:paraId="2204AA09" w14:textId="77777777" w:rsidR="00A13AC3" w:rsidRPr="005C5949" w:rsidRDefault="00A13AC3" w:rsidP="00A13AC3">
      <w:pPr>
        <w:pStyle w:val="ListParagraph"/>
        <w:rPr>
          <w:rFonts w:ascii="Times New Roman" w:hAnsi="Times New Roman"/>
          <w:sz w:val="22"/>
          <w:szCs w:val="22"/>
        </w:rPr>
      </w:pPr>
    </w:p>
    <w:p w14:paraId="20694FB4" w14:textId="2C485971" w:rsidR="00D76364" w:rsidRDefault="00D440A1" w:rsidP="00D76364">
      <w:pPr>
        <w:spacing w:after="0" w:line="240" w:lineRule="auto"/>
        <w:ind w:left="720"/>
        <w:rPr>
          <w:rFonts w:ascii="Times New Roman" w:hAnsi="Times New Roman"/>
          <w:i/>
        </w:rPr>
      </w:pPr>
      <w:r>
        <w:rPr>
          <w:rFonts w:ascii="Times New Roman" w:hAnsi="Times New Roman" w:cs="Times New Roman"/>
          <w:i/>
        </w:rPr>
        <w:t>No</w:t>
      </w:r>
      <w:r w:rsidR="00A13AC3" w:rsidRPr="005C5949">
        <w:rPr>
          <w:rFonts w:ascii="Times New Roman" w:hAnsi="Times New Roman" w:cs="Times New Roman"/>
          <w:i/>
        </w:rPr>
        <w:t>.</w:t>
      </w:r>
      <w:r w:rsidR="00C00D13">
        <w:rPr>
          <w:rFonts w:ascii="Times New Roman" w:hAnsi="Times New Roman" w:cs="Times New Roman"/>
          <w:i/>
        </w:rPr>
        <w:t xml:space="preserve">  </w:t>
      </w:r>
      <w:r w:rsidRPr="00D440A1">
        <w:rPr>
          <w:rFonts w:ascii="Times New Roman" w:hAnsi="Times New Roman" w:cs="Times New Roman"/>
          <w:i/>
        </w:rPr>
        <w:t xml:space="preserve">Please </w:t>
      </w:r>
      <w:r>
        <w:rPr>
          <w:rFonts w:ascii="Times New Roman" w:hAnsi="Times New Roman" w:cs="Times New Roman"/>
          <w:i/>
        </w:rPr>
        <w:t xml:space="preserve">note that </w:t>
      </w:r>
      <w:r w:rsidRPr="00D440A1">
        <w:rPr>
          <w:rFonts w:ascii="Times New Roman" w:hAnsi="Times New Roman" w:cs="Times New Roman"/>
          <w:i/>
        </w:rPr>
        <w:t xml:space="preserve">if the Department receives </w:t>
      </w:r>
      <w:r>
        <w:rPr>
          <w:rFonts w:ascii="Times New Roman" w:hAnsi="Times New Roman" w:cs="Times New Roman"/>
          <w:i/>
        </w:rPr>
        <w:t xml:space="preserve">more than one </w:t>
      </w:r>
      <w:r w:rsidRPr="00D440A1">
        <w:rPr>
          <w:rFonts w:ascii="Times New Roman" w:hAnsi="Times New Roman" w:cs="Times New Roman"/>
          <w:i/>
        </w:rPr>
        <w:t>application</w:t>
      </w:r>
      <w:r w:rsidR="00304FEE">
        <w:rPr>
          <w:rFonts w:ascii="Times New Roman" w:hAnsi="Times New Roman" w:cs="Times New Roman"/>
          <w:i/>
        </w:rPr>
        <w:t xml:space="preserve"> from </w:t>
      </w:r>
      <w:r w:rsidR="00D2251F">
        <w:rPr>
          <w:rFonts w:ascii="Times New Roman" w:hAnsi="Times New Roman" w:cs="Times New Roman"/>
          <w:i/>
        </w:rPr>
        <w:t xml:space="preserve">an IHE that serves as </w:t>
      </w:r>
      <w:r w:rsidR="00304FEE">
        <w:rPr>
          <w:rFonts w:ascii="Times New Roman" w:hAnsi="Times New Roman" w:cs="Times New Roman"/>
          <w:i/>
        </w:rPr>
        <w:t xml:space="preserve">the lead applicant, then </w:t>
      </w:r>
      <w:r w:rsidRPr="00D440A1">
        <w:rPr>
          <w:rFonts w:ascii="Times New Roman" w:hAnsi="Times New Roman" w:cs="Times New Roman"/>
          <w:i/>
        </w:rPr>
        <w:t>we will accept and process the application with the latest “date/time received” validation</w:t>
      </w:r>
      <w:r w:rsidR="00304FEE">
        <w:rPr>
          <w:rFonts w:ascii="Times New Roman" w:hAnsi="Times New Roman" w:cs="Times New Roman"/>
          <w:i/>
        </w:rPr>
        <w:t xml:space="preserve">. </w:t>
      </w:r>
    </w:p>
    <w:p w14:paraId="145C1F04" w14:textId="77777777" w:rsidR="00304FEE" w:rsidRPr="005C5949" w:rsidRDefault="00304FEE" w:rsidP="00D76364">
      <w:pPr>
        <w:spacing w:after="0" w:line="240" w:lineRule="auto"/>
        <w:ind w:left="720"/>
        <w:rPr>
          <w:rFonts w:ascii="Times New Roman" w:hAnsi="Times New Roman" w:cs="Times New Roman"/>
          <w:i/>
        </w:rPr>
      </w:pPr>
    </w:p>
    <w:p w14:paraId="20694FB5" w14:textId="5F069EDE" w:rsidR="00D76364" w:rsidRPr="005C5949" w:rsidRDefault="00D76364" w:rsidP="00D7636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Can an IHE be included as </w:t>
      </w:r>
      <w:r w:rsidR="001A7148">
        <w:rPr>
          <w:rFonts w:ascii="Times New Roman" w:hAnsi="Times New Roman"/>
          <w:b/>
          <w:sz w:val="22"/>
          <w:szCs w:val="22"/>
        </w:rPr>
        <w:t xml:space="preserve">a </w:t>
      </w:r>
      <w:r w:rsidRPr="005C5949">
        <w:rPr>
          <w:rFonts w:ascii="Times New Roman" w:hAnsi="Times New Roman"/>
          <w:b/>
          <w:sz w:val="22"/>
          <w:szCs w:val="22"/>
        </w:rPr>
        <w:t>subrecipient</w:t>
      </w:r>
      <w:r w:rsidR="00E227CF">
        <w:rPr>
          <w:rFonts w:ascii="Times New Roman" w:hAnsi="Times New Roman"/>
          <w:b/>
          <w:sz w:val="22"/>
          <w:szCs w:val="22"/>
        </w:rPr>
        <w:t xml:space="preserve"> or partnering entity</w:t>
      </w:r>
      <w:r w:rsidR="00955748">
        <w:rPr>
          <w:rFonts w:ascii="Times New Roman" w:hAnsi="Times New Roman"/>
          <w:b/>
          <w:sz w:val="22"/>
          <w:szCs w:val="22"/>
        </w:rPr>
        <w:t xml:space="preserve"> of the consortium</w:t>
      </w:r>
      <w:r w:rsidR="00676449">
        <w:rPr>
          <w:rFonts w:ascii="Times New Roman" w:hAnsi="Times New Roman"/>
          <w:b/>
          <w:sz w:val="22"/>
          <w:szCs w:val="22"/>
        </w:rPr>
        <w:t xml:space="preserve"> </w:t>
      </w:r>
      <w:r w:rsidRPr="005C5949">
        <w:rPr>
          <w:rFonts w:ascii="Times New Roman" w:hAnsi="Times New Roman"/>
          <w:b/>
          <w:sz w:val="22"/>
          <w:szCs w:val="22"/>
        </w:rPr>
        <w:t xml:space="preserve">– not the lead applicant – in more than one proposal? </w:t>
      </w:r>
    </w:p>
    <w:p w14:paraId="20694FB6" w14:textId="77777777" w:rsidR="00D76364" w:rsidRPr="005C5949" w:rsidRDefault="00D76364" w:rsidP="00D76364">
      <w:pPr>
        <w:pStyle w:val="ListParagraph"/>
        <w:rPr>
          <w:rFonts w:ascii="Times New Roman" w:hAnsi="Times New Roman"/>
          <w:sz w:val="22"/>
          <w:szCs w:val="22"/>
        </w:rPr>
      </w:pPr>
    </w:p>
    <w:p w14:paraId="20694FB7" w14:textId="77777777" w:rsidR="00D76364" w:rsidRDefault="00D76364" w:rsidP="00D76364">
      <w:pPr>
        <w:ind w:firstLine="720"/>
        <w:rPr>
          <w:rFonts w:ascii="Times New Roman" w:hAnsi="Times New Roman" w:cs="Times New Roman"/>
          <w:i/>
        </w:rPr>
      </w:pPr>
      <w:r w:rsidRPr="005C5949">
        <w:rPr>
          <w:rFonts w:ascii="Times New Roman" w:hAnsi="Times New Roman" w:cs="Times New Roman"/>
          <w:i/>
        </w:rPr>
        <w:t>Yes.</w:t>
      </w:r>
    </w:p>
    <w:p w14:paraId="20694FB8" w14:textId="77777777" w:rsidR="005368CC" w:rsidRPr="005368CC" w:rsidRDefault="005368CC" w:rsidP="005368CC">
      <w:pPr>
        <w:pStyle w:val="ListParagraph"/>
        <w:numPr>
          <w:ilvl w:val="0"/>
          <w:numId w:val="15"/>
        </w:numPr>
        <w:rPr>
          <w:rFonts w:ascii="Times New Roman" w:hAnsi="Times New Roman"/>
          <w:b/>
        </w:rPr>
      </w:pPr>
      <w:r w:rsidRPr="005368CC">
        <w:rPr>
          <w:rFonts w:ascii="Times New Roman" w:hAnsi="Times New Roman"/>
          <w:b/>
        </w:rPr>
        <w:t xml:space="preserve">Can an applicant be part of a proposal where they serve as the “lead” for one consortium while supporting/advising as a part of another? </w:t>
      </w:r>
    </w:p>
    <w:p w14:paraId="20694FB9" w14:textId="77777777" w:rsidR="005368CC" w:rsidRDefault="005368CC" w:rsidP="005368CC">
      <w:pPr>
        <w:pStyle w:val="ListParagraph"/>
        <w:rPr>
          <w:rFonts w:ascii="Times New Roman" w:hAnsi="Times New Roman"/>
        </w:rPr>
      </w:pPr>
    </w:p>
    <w:p w14:paraId="20694FBA" w14:textId="6E9C1220" w:rsidR="005368CC" w:rsidRPr="005368CC" w:rsidRDefault="005368CC" w:rsidP="005368CC">
      <w:pPr>
        <w:ind w:left="720"/>
        <w:rPr>
          <w:rFonts w:ascii="Times New Roman" w:hAnsi="Times New Roman" w:cs="Times New Roman"/>
          <w:i/>
        </w:rPr>
      </w:pPr>
      <w:r w:rsidRPr="005368CC">
        <w:rPr>
          <w:rFonts w:ascii="Times New Roman" w:hAnsi="Times New Roman"/>
          <w:i/>
        </w:rPr>
        <w:t xml:space="preserve">Yes. </w:t>
      </w:r>
      <w:r w:rsidR="00C00D13">
        <w:rPr>
          <w:rFonts w:ascii="Times New Roman" w:hAnsi="Times New Roman"/>
          <w:i/>
        </w:rPr>
        <w:t xml:space="preserve"> </w:t>
      </w:r>
      <w:r w:rsidRPr="005368CC">
        <w:rPr>
          <w:rFonts w:ascii="Times New Roman" w:hAnsi="Times New Roman"/>
          <w:i/>
        </w:rPr>
        <w:t xml:space="preserve">You may be a part of two different applications, as such, if both were to be awarded the expectation is that you have the capacity to meet the obligations as noted in the Notice Inviting Applications (NIA).   </w:t>
      </w:r>
    </w:p>
    <w:p w14:paraId="20694FBB" w14:textId="356CB5EE" w:rsidR="00BB261B" w:rsidRDefault="002E6FBA" w:rsidP="0094216A">
      <w:pPr>
        <w:pStyle w:val="ListParagraph"/>
        <w:numPr>
          <w:ilvl w:val="0"/>
          <w:numId w:val="15"/>
        </w:numPr>
        <w:rPr>
          <w:rFonts w:ascii="Times New Roman" w:hAnsi="Times New Roman"/>
          <w:b/>
          <w:sz w:val="22"/>
          <w:szCs w:val="22"/>
        </w:rPr>
      </w:pPr>
      <w:r w:rsidRPr="004717E8">
        <w:rPr>
          <w:rFonts w:ascii="Times New Roman" w:hAnsi="Times New Roman"/>
          <w:b/>
          <w:sz w:val="22"/>
          <w:szCs w:val="22"/>
        </w:rPr>
        <w:lastRenderedPageBreak/>
        <w:t xml:space="preserve">May a grantee include </w:t>
      </w:r>
      <w:r w:rsidR="0055378F" w:rsidRPr="004717E8">
        <w:rPr>
          <w:rFonts w:ascii="Times New Roman" w:hAnsi="Times New Roman"/>
          <w:b/>
          <w:sz w:val="22"/>
          <w:szCs w:val="22"/>
        </w:rPr>
        <w:t xml:space="preserve">non-US/foreign nonprofit </w:t>
      </w:r>
      <w:r w:rsidR="001C5D6B" w:rsidRPr="004717E8">
        <w:rPr>
          <w:rFonts w:ascii="Times New Roman" w:hAnsi="Times New Roman"/>
          <w:b/>
          <w:sz w:val="22"/>
          <w:szCs w:val="22"/>
        </w:rPr>
        <w:t>organizations</w:t>
      </w:r>
      <w:r w:rsidR="0055378F" w:rsidRPr="004717E8">
        <w:rPr>
          <w:rFonts w:ascii="Times New Roman" w:hAnsi="Times New Roman"/>
          <w:b/>
          <w:sz w:val="22"/>
          <w:szCs w:val="22"/>
        </w:rPr>
        <w:t xml:space="preserve"> as subgrantees</w:t>
      </w:r>
      <w:r w:rsidR="002E46BE" w:rsidRPr="004717E8">
        <w:rPr>
          <w:rFonts w:ascii="Times New Roman" w:hAnsi="Times New Roman"/>
          <w:b/>
          <w:sz w:val="22"/>
          <w:szCs w:val="22"/>
        </w:rPr>
        <w:t xml:space="preserve">? </w:t>
      </w:r>
    </w:p>
    <w:p w14:paraId="268C4A2C" w14:textId="77777777" w:rsidR="008B38E0" w:rsidRPr="004717E8" w:rsidRDefault="008B38E0" w:rsidP="008B38E0">
      <w:pPr>
        <w:pStyle w:val="ListParagraph"/>
        <w:rPr>
          <w:rFonts w:ascii="Times New Roman" w:hAnsi="Times New Roman"/>
          <w:b/>
          <w:sz w:val="22"/>
          <w:szCs w:val="22"/>
        </w:rPr>
      </w:pPr>
    </w:p>
    <w:p w14:paraId="20694FBC" w14:textId="1493EEEA" w:rsidR="002E46BE" w:rsidRPr="005C5949" w:rsidRDefault="00474AD4" w:rsidP="0094216A">
      <w:pPr>
        <w:spacing w:after="0" w:line="240" w:lineRule="auto"/>
        <w:ind w:left="720"/>
        <w:rPr>
          <w:rFonts w:ascii="Times New Roman" w:hAnsi="Times New Roman" w:cs="Times New Roman"/>
          <w:i/>
        </w:rPr>
      </w:pPr>
      <w:r w:rsidRPr="005C5949">
        <w:rPr>
          <w:rFonts w:ascii="Times New Roman" w:hAnsi="Times New Roman" w:cs="Times New Roman"/>
          <w:i/>
        </w:rPr>
        <w:t>Yes.</w:t>
      </w:r>
      <w:r w:rsidR="002E6FBA" w:rsidRPr="005C5949">
        <w:rPr>
          <w:rFonts w:ascii="Times New Roman" w:hAnsi="Times New Roman" w:cs="Times New Roman"/>
          <w:i/>
        </w:rPr>
        <w:t xml:space="preserve"> </w:t>
      </w:r>
      <w:r w:rsidR="00C00D13">
        <w:rPr>
          <w:rFonts w:ascii="Times New Roman" w:hAnsi="Times New Roman" w:cs="Times New Roman"/>
          <w:i/>
        </w:rPr>
        <w:t xml:space="preserve"> </w:t>
      </w:r>
      <w:r w:rsidR="002E6FBA" w:rsidRPr="005C5949">
        <w:rPr>
          <w:rFonts w:ascii="Times New Roman" w:hAnsi="Times New Roman" w:cs="Times New Roman"/>
          <w:i/>
        </w:rPr>
        <w:t>A grantee may make a s</w:t>
      </w:r>
      <w:r w:rsidRPr="005C5949">
        <w:rPr>
          <w:rFonts w:ascii="Times New Roman" w:hAnsi="Times New Roman" w:cs="Times New Roman"/>
          <w:i/>
        </w:rPr>
        <w:t>ubgrant to</w:t>
      </w:r>
      <w:r w:rsidR="002E6FBA" w:rsidRPr="005C5949">
        <w:rPr>
          <w:rFonts w:ascii="Times New Roman" w:hAnsi="Times New Roman" w:cs="Times New Roman"/>
          <w:i/>
        </w:rPr>
        <w:t xml:space="preserve"> a</w:t>
      </w:r>
      <w:r w:rsidRPr="005C5949">
        <w:rPr>
          <w:rFonts w:ascii="Times New Roman" w:hAnsi="Times New Roman" w:cs="Times New Roman"/>
          <w:i/>
        </w:rPr>
        <w:t xml:space="preserve"> foreign non-profit.  The foreign entity would need to </w:t>
      </w:r>
      <w:r w:rsidR="002E6FBA" w:rsidRPr="005C5949">
        <w:rPr>
          <w:rFonts w:ascii="Times New Roman" w:hAnsi="Times New Roman" w:cs="Times New Roman"/>
          <w:i/>
        </w:rPr>
        <w:t xml:space="preserve">be able to demonstrate to the grantee that it </w:t>
      </w:r>
      <w:r w:rsidR="007173E8" w:rsidRPr="005C5949">
        <w:rPr>
          <w:rFonts w:ascii="Times New Roman" w:hAnsi="Times New Roman" w:cs="Times New Roman"/>
          <w:i/>
        </w:rPr>
        <w:t>ha</w:t>
      </w:r>
      <w:r w:rsidR="002E6FBA" w:rsidRPr="005C5949">
        <w:rPr>
          <w:rFonts w:ascii="Times New Roman" w:hAnsi="Times New Roman" w:cs="Times New Roman"/>
          <w:i/>
        </w:rPr>
        <w:t>s a</w:t>
      </w:r>
      <w:r w:rsidRPr="005C5949">
        <w:rPr>
          <w:rFonts w:ascii="Times New Roman" w:hAnsi="Times New Roman" w:cs="Times New Roman"/>
          <w:i/>
        </w:rPr>
        <w:t xml:space="preserve"> non-profit statu</w:t>
      </w:r>
      <w:r w:rsidR="007173E8" w:rsidRPr="005C5949">
        <w:rPr>
          <w:rFonts w:ascii="Times New Roman" w:hAnsi="Times New Roman" w:cs="Times New Roman"/>
          <w:i/>
        </w:rPr>
        <w:t>s</w:t>
      </w:r>
      <w:r w:rsidRPr="005C5949">
        <w:rPr>
          <w:rFonts w:ascii="Times New Roman" w:hAnsi="Times New Roman" w:cs="Times New Roman"/>
          <w:i/>
        </w:rPr>
        <w:t xml:space="preserve"> under the laws of the nation in which it is domiciled.  This is necessary to establish eligibility for the subgrant.  </w:t>
      </w:r>
    </w:p>
    <w:p w14:paraId="20694FBD" w14:textId="77777777" w:rsidR="0094216A" w:rsidRPr="005C5949" w:rsidRDefault="0094216A" w:rsidP="0094216A">
      <w:pPr>
        <w:spacing w:after="0" w:line="240" w:lineRule="auto"/>
        <w:ind w:left="720"/>
        <w:rPr>
          <w:rFonts w:ascii="Times New Roman" w:hAnsi="Times New Roman" w:cs="Times New Roman"/>
        </w:rPr>
      </w:pPr>
    </w:p>
    <w:p w14:paraId="20694FBE" w14:textId="77777777" w:rsidR="00D76364" w:rsidRPr="005C5949" w:rsidRDefault="00D76364" w:rsidP="00D76364">
      <w:pPr>
        <w:pStyle w:val="ListParagraph"/>
        <w:rPr>
          <w:rFonts w:ascii="Times New Roman" w:hAnsi="Times New Roman"/>
          <w:b/>
          <w:sz w:val="22"/>
          <w:szCs w:val="22"/>
        </w:rPr>
      </w:pPr>
      <w:r w:rsidRPr="005C5949">
        <w:rPr>
          <w:rFonts w:ascii="Times New Roman" w:hAnsi="Times New Roman"/>
          <w:b/>
          <w:sz w:val="22"/>
          <w:szCs w:val="22"/>
        </w:rPr>
        <w:t xml:space="preserve">May a grantee contract </w:t>
      </w:r>
      <w:r w:rsidR="00034322" w:rsidRPr="005C5949">
        <w:rPr>
          <w:rFonts w:ascii="Times New Roman" w:hAnsi="Times New Roman"/>
          <w:b/>
          <w:sz w:val="22"/>
          <w:szCs w:val="22"/>
        </w:rPr>
        <w:t>with non-US/foreign nonprofit organizations</w:t>
      </w:r>
      <w:r w:rsidRPr="005C5949">
        <w:rPr>
          <w:rFonts w:ascii="Times New Roman" w:hAnsi="Times New Roman"/>
          <w:b/>
          <w:sz w:val="22"/>
          <w:szCs w:val="22"/>
        </w:rPr>
        <w:t xml:space="preserve"> for services under the grant?   </w:t>
      </w:r>
    </w:p>
    <w:p w14:paraId="20694FBF" w14:textId="77777777" w:rsidR="00D76364" w:rsidRPr="005C5949" w:rsidRDefault="00D76364" w:rsidP="0094216A">
      <w:pPr>
        <w:spacing w:after="0" w:line="240" w:lineRule="auto"/>
        <w:ind w:left="720"/>
        <w:rPr>
          <w:rFonts w:ascii="Times New Roman" w:hAnsi="Times New Roman" w:cs="Times New Roman"/>
          <w:i/>
        </w:rPr>
      </w:pPr>
    </w:p>
    <w:p w14:paraId="20694FC0" w14:textId="6F06443C" w:rsidR="002E46BE" w:rsidRDefault="00BB261B" w:rsidP="0094216A">
      <w:pPr>
        <w:spacing w:after="0" w:line="240" w:lineRule="auto"/>
        <w:ind w:left="720"/>
        <w:rPr>
          <w:rFonts w:ascii="Times New Roman" w:hAnsi="Times New Roman" w:cs="Times New Roman"/>
          <w:i/>
        </w:rPr>
      </w:pPr>
      <w:r w:rsidRPr="005C5949">
        <w:rPr>
          <w:rFonts w:ascii="Times New Roman" w:hAnsi="Times New Roman" w:cs="Times New Roman"/>
          <w:i/>
        </w:rPr>
        <w:t>T</w:t>
      </w:r>
      <w:r w:rsidR="00474AD4" w:rsidRPr="005C5949">
        <w:rPr>
          <w:rFonts w:ascii="Times New Roman" w:hAnsi="Times New Roman" w:cs="Times New Roman"/>
          <w:i/>
        </w:rPr>
        <w:t xml:space="preserve">here </w:t>
      </w:r>
      <w:r w:rsidR="002E46BE" w:rsidRPr="005C5949">
        <w:rPr>
          <w:rFonts w:ascii="Times New Roman" w:hAnsi="Times New Roman" w:cs="Times New Roman"/>
          <w:i/>
        </w:rPr>
        <w:t>aren’t</w:t>
      </w:r>
      <w:r w:rsidR="00474AD4" w:rsidRPr="005C5949">
        <w:rPr>
          <w:rFonts w:ascii="Times New Roman" w:hAnsi="Times New Roman" w:cs="Times New Roman"/>
          <w:i/>
        </w:rPr>
        <w:t xml:space="preserve"> any restriction</w:t>
      </w:r>
      <w:r w:rsidRPr="005C5949">
        <w:rPr>
          <w:rFonts w:ascii="Times New Roman" w:hAnsi="Times New Roman" w:cs="Times New Roman"/>
          <w:i/>
        </w:rPr>
        <w:t>s</w:t>
      </w:r>
      <w:r w:rsidR="00474AD4" w:rsidRPr="005C5949">
        <w:rPr>
          <w:rFonts w:ascii="Times New Roman" w:hAnsi="Times New Roman" w:cs="Times New Roman"/>
          <w:i/>
        </w:rPr>
        <w:t xml:space="preserve"> on who applicants/grantees can use as contractors as long as the contractor appears to have the capacity and ability to provide the services.</w:t>
      </w:r>
      <w:r w:rsidR="0055378F" w:rsidRPr="005C5949">
        <w:rPr>
          <w:rFonts w:ascii="Times New Roman" w:hAnsi="Times New Roman" w:cs="Times New Roman"/>
          <w:i/>
        </w:rPr>
        <w:t xml:space="preserve"> </w:t>
      </w:r>
    </w:p>
    <w:p w14:paraId="20694FC1" w14:textId="77777777" w:rsidR="00B86AE8" w:rsidRDefault="00B86AE8" w:rsidP="00C00D13">
      <w:pPr>
        <w:spacing w:after="0" w:line="240" w:lineRule="auto"/>
        <w:rPr>
          <w:rFonts w:ascii="Times New Roman" w:hAnsi="Times New Roman" w:cs="Times New Roman"/>
          <w:i/>
        </w:rPr>
      </w:pPr>
    </w:p>
    <w:p w14:paraId="20694FC2" w14:textId="33878D37" w:rsidR="00B86AE8" w:rsidRPr="000C5C25" w:rsidRDefault="00B86AE8" w:rsidP="00B86AE8">
      <w:pPr>
        <w:pStyle w:val="ListParagraph"/>
        <w:numPr>
          <w:ilvl w:val="0"/>
          <w:numId w:val="15"/>
        </w:numPr>
        <w:contextualSpacing/>
        <w:rPr>
          <w:rFonts w:ascii="Times New Roman" w:hAnsi="Times New Roman"/>
          <w:b/>
        </w:rPr>
      </w:pPr>
      <w:r w:rsidRPr="000C5C25">
        <w:rPr>
          <w:rFonts w:ascii="Times New Roman" w:hAnsi="Times New Roman"/>
          <w:b/>
        </w:rPr>
        <w:t xml:space="preserve">Can for-profit </w:t>
      </w:r>
      <w:r w:rsidR="00406322">
        <w:rPr>
          <w:rFonts w:ascii="Times New Roman" w:hAnsi="Times New Roman"/>
          <w:b/>
        </w:rPr>
        <w:t>organizations</w:t>
      </w:r>
      <w:r w:rsidR="00406322" w:rsidRPr="000C5C25">
        <w:rPr>
          <w:rFonts w:ascii="Times New Roman" w:hAnsi="Times New Roman"/>
          <w:b/>
        </w:rPr>
        <w:t xml:space="preserve"> </w:t>
      </w:r>
      <w:r w:rsidRPr="000C5C25">
        <w:rPr>
          <w:rFonts w:ascii="Times New Roman" w:hAnsi="Times New Roman"/>
          <w:b/>
        </w:rPr>
        <w:t xml:space="preserve">be a part of the consortium or </w:t>
      </w:r>
      <w:r>
        <w:rPr>
          <w:rFonts w:ascii="Times New Roman" w:hAnsi="Times New Roman"/>
          <w:b/>
        </w:rPr>
        <w:t>be a subgrantee</w:t>
      </w:r>
      <w:r w:rsidRPr="000C5C25">
        <w:rPr>
          <w:rFonts w:ascii="Times New Roman" w:hAnsi="Times New Roman"/>
          <w:b/>
        </w:rPr>
        <w:t>?</w:t>
      </w:r>
    </w:p>
    <w:p w14:paraId="20694FC3" w14:textId="77777777" w:rsidR="00B86AE8" w:rsidRDefault="00B86AE8" w:rsidP="00B86AE8">
      <w:pPr>
        <w:ind w:left="360"/>
        <w:contextualSpacing/>
        <w:rPr>
          <w:rFonts w:ascii="Times New Roman" w:hAnsi="Times New Roman"/>
        </w:rPr>
      </w:pPr>
    </w:p>
    <w:p w14:paraId="20694FC4" w14:textId="77777777" w:rsidR="00B86AE8" w:rsidRPr="00B86AE8" w:rsidRDefault="00B86AE8" w:rsidP="00B86AE8">
      <w:pPr>
        <w:ind w:left="360" w:firstLine="360"/>
        <w:contextualSpacing/>
        <w:rPr>
          <w:rFonts w:ascii="Times New Roman" w:hAnsi="Times New Roman"/>
          <w:i/>
        </w:rPr>
      </w:pPr>
      <w:r>
        <w:rPr>
          <w:rFonts w:ascii="Times New Roman" w:hAnsi="Times New Roman"/>
          <w:i/>
        </w:rPr>
        <w:t xml:space="preserve">Yes. </w:t>
      </w:r>
    </w:p>
    <w:p w14:paraId="20694FC5" w14:textId="77777777" w:rsidR="0094216A" w:rsidRPr="005C5949" w:rsidRDefault="0094216A" w:rsidP="0094216A">
      <w:pPr>
        <w:spacing w:after="0" w:line="240" w:lineRule="auto"/>
        <w:ind w:left="720"/>
        <w:rPr>
          <w:rFonts w:ascii="Times New Roman" w:hAnsi="Times New Roman" w:cs="Times New Roman"/>
        </w:rPr>
      </w:pPr>
    </w:p>
    <w:p w14:paraId="20694FC6" w14:textId="0CD4C1AB" w:rsidR="00D76364" w:rsidRPr="005C5949" w:rsidRDefault="00D76364" w:rsidP="00D76364">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Is a </w:t>
      </w:r>
      <w:r w:rsidR="008B38E0" w:rsidRPr="005C5949">
        <w:rPr>
          <w:rFonts w:ascii="Times New Roman" w:hAnsi="Times New Roman"/>
          <w:b/>
          <w:sz w:val="22"/>
          <w:szCs w:val="22"/>
        </w:rPr>
        <w:t>third-party</w:t>
      </w:r>
      <w:r w:rsidRPr="005C5949">
        <w:rPr>
          <w:rFonts w:ascii="Times New Roman" w:hAnsi="Times New Roman"/>
          <w:b/>
          <w:sz w:val="22"/>
          <w:szCs w:val="22"/>
        </w:rPr>
        <w:t xml:space="preserve"> evaluator required for this grant project? </w:t>
      </w:r>
    </w:p>
    <w:p w14:paraId="20694FC7" w14:textId="77777777" w:rsidR="00D76364" w:rsidRPr="005C5949" w:rsidRDefault="00D76364" w:rsidP="00D76364">
      <w:pPr>
        <w:spacing w:after="0" w:line="240" w:lineRule="auto"/>
        <w:rPr>
          <w:rFonts w:ascii="Times New Roman" w:hAnsi="Times New Roman" w:cs="Times New Roman"/>
        </w:rPr>
      </w:pPr>
    </w:p>
    <w:p w14:paraId="20694FC8" w14:textId="77777777" w:rsidR="00D76364" w:rsidRPr="005C5949" w:rsidRDefault="00D76364" w:rsidP="00D76364">
      <w:pPr>
        <w:ind w:left="720"/>
        <w:rPr>
          <w:rFonts w:ascii="Times New Roman" w:hAnsi="Times New Roman" w:cs="Times New Roman"/>
          <w:i/>
        </w:rPr>
      </w:pPr>
      <w:r w:rsidRPr="005C5949">
        <w:rPr>
          <w:rFonts w:ascii="Times New Roman" w:hAnsi="Times New Roman" w:cs="Times New Roman"/>
          <w:i/>
        </w:rPr>
        <w:t xml:space="preserve">An external evaluator is not required. </w:t>
      </w:r>
    </w:p>
    <w:p w14:paraId="20694FC9" w14:textId="7FE2CD5D" w:rsidR="00B55281" w:rsidRPr="005C5949" w:rsidRDefault="00B55281" w:rsidP="000C5C25">
      <w:pPr>
        <w:pStyle w:val="ListParagraph"/>
        <w:numPr>
          <w:ilvl w:val="0"/>
          <w:numId w:val="15"/>
        </w:numPr>
        <w:rPr>
          <w:rFonts w:ascii="Times New Roman" w:hAnsi="Times New Roman"/>
          <w:b/>
          <w:sz w:val="22"/>
          <w:szCs w:val="22"/>
        </w:rPr>
      </w:pPr>
      <w:r w:rsidRPr="005C5949">
        <w:rPr>
          <w:rFonts w:ascii="Times New Roman" w:hAnsi="Times New Roman"/>
          <w:b/>
          <w:sz w:val="22"/>
          <w:szCs w:val="22"/>
        </w:rPr>
        <w:t xml:space="preserve">What is </w:t>
      </w:r>
      <w:r w:rsidR="009774C1" w:rsidRPr="005C5949">
        <w:rPr>
          <w:rFonts w:ascii="Times New Roman" w:hAnsi="Times New Roman"/>
          <w:b/>
          <w:sz w:val="22"/>
          <w:szCs w:val="22"/>
        </w:rPr>
        <w:t xml:space="preserve">meant by </w:t>
      </w:r>
      <w:r w:rsidR="00406322">
        <w:rPr>
          <w:rFonts w:ascii="Times New Roman" w:hAnsi="Times New Roman"/>
          <w:b/>
          <w:sz w:val="22"/>
          <w:szCs w:val="22"/>
        </w:rPr>
        <w:t xml:space="preserve">an </w:t>
      </w:r>
      <w:r w:rsidR="009774C1" w:rsidRPr="005C5949">
        <w:rPr>
          <w:rFonts w:ascii="Times New Roman" w:hAnsi="Times New Roman"/>
          <w:b/>
          <w:sz w:val="22"/>
          <w:szCs w:val="22"/>
        </w:rPr>
        <w:t>"educational technology or electronic curriculum design expert</w:t>
      </w:r>
      <w:r w:rsidRPr="005C5949">
        <w:rPr>
          <w:rFonts w:ascii="Times New Roman" w:hAnsi="Times New Roman"/>
          <w:b/>
          <w:sz w:val="22"/>
          <w:szCs w:val="22"/>
        </w:rPr>
        <w:t>?"</w:t>
      </w:r>
      <w:r w:rsidR="009774C1" w:rsidRPr="005C5949">
        <w:rPr>
          <w:rFonts w:ascii="Times New Roman" w:hAnsi="Times New Roman"/>
          <w:b/>
          <w:sz w:val="22"/>
          <w:szCs w:val="22"/>
        </w:rPr>
        <w:t xml:space="preserve"> </w:t>
      </w:r>
    </w:p>
    <w:p w14:paraId="20694FCA" w14:textId="77777777" w:rsidR="00B55281" w:rsidRPr="005C5949" w:rsidRDefault="00B55281" w:rsidP="000C5C25">
      <w:pPr>
        <w:pStyle w:val="ListParagraph"/>
        <w:rPr>
          <w:rFonts w:ascii="Times New Roman" w:hAnsi="Times New Roman"/>
          <w:sz w:val="22"/>
          <w:szCs w:val="22"/>
        </w:rPr>
      </w:pPr>
    </w:p>
    <w:p w14:paraId="20694FCB" w14:textId="56620A75" w:rsidR="00B55281" w:rsidRDefault="00B55281" w:rsidP="000C5C25">
      <w:pPr>
        <w:ind w:left="720"/>
        <w:rPr>
          <w:rFonts w:ascii="Times New Roman" w:hAnsi="Times New Roman" w:cs="Times New Roman"/>
          <w:i/>
        </w:rPr>
      </w:pPr>
      <w:r w:rsidRPr="005C5949">
        <w:rPr>
          <w:rFonts w:ascii="Times New Roman" w:hAnsi="Times New Roman" w:cs="Times New Roman"/>
          <w:i/>
        </w:rPr>
        <w:t xml:space="preserve">The individual(s) </w:t>
      </w:r>
      <w:r w:rsidR="0091395D">
        <w:rPr>
          <w:rFonts w:ascii="Times New Roman" w:hAnsi="Times New Roman" w:cs="Times New Roman"/>
          <w:i/>
        </w:rPr>
        <w:t>fulfilling</w:t>
      </w:r>
      <w:r w:rsidR="0091395D" w:rsidRPr="005C5949">
        <w:rPr>
          <w:rFonts w:ascii="Times New Roman" w:hAnsi="Times New Roman" w:cs="Times New Roman"/>
          <w:i/>
        </w:rPr>
        <w:t xml:space="preserve"> </w:t>
      </w:r>
      <w:r w:rsidRPr="005C5949">
        <w:rPr>
          <w:rFonts w:ascii="Times New Roman" w:hAnsi="Times New Roman" w:cs="Times New Roman"/>
          <w:i/>
        </w:rPr>
        <w:t>this role</w:t>
      </w:r>
      <w:r w:rsidR="0091395D">
        <w:rPr>
          <w:rFonts w:ascii="Times New Roman" w:hAnsi="Times New Roman" w:cs="Times New Roman"/>
          <w:i/>
        </w:rPr>
        <w:t xml:space="preserve"> in the consortium</w:t>
      </w:r>
      <w:r w:rsidRPr="005C5949">
        <w:rPr>
          <w:rFonts w:ascii="Times New Roman" w:hAnsi="Times New Roman" w:cs="Times New Roman"/>
          <w:i/>
        </w:rPr>
        <w:t xml:space="preserve"> should be able to provide expertise in the design, development and delivery of the open textbooks and instructional resources. </w:t>
      </w:r>
      <w:r w:rsidR="00AA1702">
        <w:rPr>
          <w:rFonts w:ascii="Times New Roman" w:hAnsi="Times New Roman" w:cs="Times New Roman"/>
          <w:i/>
        </w:rPr>
        <w:t xml:space="preserve"> </w:t>
      </w:r>
      <w:r w:rsidR="002F5E1B" w:rsidRPr="005C5949">
        <w:rPr>
          <w:rFonts w:ascii="Times New Roman" w:hAnsi="Times New Roman" w:cs="Times New Roman"/>
          <w:i/>
        </w:rPr>
        <w:t>Ideally, the individual(s) possess the skills needed to create content for learning and have qualifications that facilitate designing, developing, implementing, and assessing instruction and learning.</w:t>
      </w:r>
    </w:p>
    <w:p w14:paraId="20694FCC" w14:textId="77777777" w:rsidR="00F91E5E" w:rsidRPr="005C5949" w:rsidRDefault="00F91E5E" w:rsidP="006C7FB3">
      <w:pPr>
        <w:pStyle w:val="ListParagraph"/>
        <w:numPr>
          <w:ilvl w:val="0"/>
          <w:numId w:val="15"/>
        </w:numPr>
        <w:rPr>
          <w:rFonts w:ascii="Times New Roman" w:hAnsi="Times New Roman"/>
          <w:b/>
          <w:sz w:val="22"/>
          <w:szCs w:val="22"/>
        </w:rPr>
      </w:pPr>
      <w:r>
        <w:rPr>
          <w:rFonts w:ascii="Times New Roman" w:hAnsi="Times New Roman"/>
          <w:b/>
          <w:sz w:val="22"/>
          <w:szCs w:val="22"/>
        </w:rPr>
        <w:t xml:space="preserve">Can </w:t>
      </w:r>
      <w:r w:rsidRPr="00F91E5E">
        <w:rPr>
          <w:rFonts w:ascii="Times New Roman" w:hAnsi="Times New Roman"/>
          <w:b/>
          <w:sz w:val="22"/>
          <w:szCs w:val="22"/>
        </w:rPr>
        <w:t xml:space="preserve">the educational technologist </w:t>
      </w:r>
      <w:r w:rsidR="006C7FB3" w:rsidRPr="006C7FB3">
        <w:rPr>
          <w:rFonts w:ascii="Times New Roman" w:hAnsi="Times New Roman"/>
          <w:b/>
          <w:sz w:val="22"/>
          <w:szCs w:val="22"/>
        </w:rPr>
        <w:t xml:space="preserve">or electronic curriculum design expert </w:t>
      </w:r>
      <w:r w:rsidRPr="00F91E5E">
        <w:rPr>
          <w:rFonts w:ascii="Times New Roman" w:hAnsi="Times New Roman"/>
          <w:b/>
          <w:sz w:val="22"/>
          <w:szCs w:val="22"/>
        </w:rPr>
        <w:t>involved in the project be provided from a system level if the IHEs do not employ such a role?</w:t>
      </w:r>
      <w:r w:rsidR="006C7FB3">
        <w:rPr>
          <w:rFonts w:ascii="Times New Roman" w:hAnsi="Times New Roman"/>
          <w:b/>
          <w:sz w:val="22"/>
          <w:szCs w:val="22"/>
        </w:rPr>
        <w:t xml:space="preserve"> </w:t>
      </w:r>
      <w:r w:rsidRPr="005C5949">
        <w:rPr>
          <w:rFonts w:ascii="Times New Roman" w:hAnsi="Times New Roman"/>
          <w:b/>
          <w:sz w:val="22"/>
          <w:szCs w:val="22"/>
        </w:rPr>
        <w:t xml:space="preserve"> </w:t>
      </w:r>
    </w:p>
    <w:p w14:paraId="20694FCD" w14:textId="77777777" w:rsidR="00F91E5E" w:rsidRPr="005C5949" w:rsidRDefault="00F91E5E" w:rsidP="00F91E5E">
      <w:pPr>
        <w:pStyle w:val="ListParagraph"/>
        <w:rPr>
          <w:rFonts w:ascii="Times New Roman" w:hAnsi="Times New Roman"/>
          <w:sz w:val="22"/>
          <w:szCs w:val="22"/>
        </w:rPr>
      </w:pPr>
    </w:p>
    <w:p w14:paraId="20694FCE" w14:textId="12592552" w:rsidR="00F91E5E" w:rsidRDefault="00F91E5E" w:rsidP="000C5C25">
      <w:pPr>
        <w:ind w:left="720"/>
        <w:rPr>
          <w:rFonts w:ascii="Times New Roman" w:hAnsi="Times New Roman" w:cs="Times New Roman"/>
          <w:i/>
        </w:rPr>
      </w:pPr>
      <w:r>
        <w:rPr>
          <w:rFonts w:ascii="Times New Roman" w:hAnsi="Times New Roman" w:cs="Times New Roman"/>
          <w:i/>
        </w:rPr>
        <w:t xml:space="preserve">Yes. </w:t>
      </w:r>
    </w:p>
    <w:p w14:paraId="7D8DF49C" w14:textId="3747BA45" w:rsidR="00EB64F3" w:rsidRPr="005C5949" w:rsidRDefault="00AA26B8" w:rsidP="00EB64F3">
      <w:pPr>
        <w:pStyle w:val="ListParagraph"/>
        <w:numPr>
          <w:ilvl w:val="0"/>
          <w:numId w:val="15"/>
        </w:numPr>
        <w:rPr>
          <w:rFonts w:ascii="Times New Roman" w:hAnsi="Times New Roman"/>
          <w:b/>
          <w:sz w:val="22"/>
          <w:szCs w:val="22"/>
        </w:rPr>
      </w:pPr>
      <w:r>
        <w:rPr>
          <w:rFonts w:ascii="Times New Roman" w:hAnsi="Times New Roman"/>
          <w:b/>
          <w:sz w:val="22"/>
          <w:szCs w:val="22"/>
        </w:rPr>
        <w:t>F</w:t>
      </w:r>
      <w:r w:rsidRPr="00AA26B8">
        <w:rPr>
          <w:rFonts w:ascii="Times New Roman" w:hAnsi="Times New Roman"/>
          <w:b/>
          <w:sz w:val="22"/>
          <w:szCs w:val="22"/>
        </w:rPr>
        <w:t>or the “Technical Standards for Interoperability</w:t>
      </w:r>
      <w:r>
        <w:rPr>
          <w:rFonts w:ascii="Times New Roman" w:hAnsi="Times New Roman"/>
          <w:b/>
          <w:sz w:val="22"/>
          <w:szCs w:val="22"/>
        </w:rPr>
        <w:t>,</w:t>
      </w:r>
      <w:r w:rsidRPr="00AA26B8">
        <w:rPr>
          <w:rFonts w:ascii="Times New Roman" w:hAnsi="Times New Roman"/>
          <w:b/>
          <w:sz w:val="22"/>
          <w:szCs w:val="22"/>
        </w:rPr>
        <w:t xml:space="preserve">” </w:t>
      </w:r>
      <w:r>
        <w:rPr>
          <w:rFonts w:ascii="Times New Roman" w:hAnsi="Times New Roman"/>
          <w:b/>
          <w:sz w:val="22"/>
          <w:szCs w:val="22"/>
        </w:rPr>
        <w:t>w</w:t>
      </w:r>
      <w:r w:rsidRPr="00AA26B8">
        <w:rPr>
          <w:rFonts w:ascii="Times New Roman" w:hAnsi="Times New Roman"/>
          <w:b/>
          <w:sz w:val="22"/>
          <w:szCs w:val="22"/>
        </w:rPr>
        <w:t>here in the application should an applicant identify the industry standard they will use</w:t>
      </w:r>
      <w:r w:rsidR="00EB64F3" w:rsidRPr="00F91E5E">
        <w:rPr>
          <w:rFonts w:ascii="Times New Roman" w:hAnsi="Times New Roman"/>
          <w:b/>
          <w:sz w:val="22"/>
          <w:szCs w:val="22"/>
        </w:rPr>
        <w:t>?</w:t>
      </w:r>
      <w:r w:rsidR="00EB64F3">
        <w:rPr>
          <w:rFonts w:ascii="Times New Roman" w:hAnsi="Times New Roman"/>
          <w:b/>
          <w:sz w:val="22"/>
          <w:szCs w:val="22"/>
        </w:rPr>
        <w:t xml:space="preserve"> </w:t>
      </w:r>
      <w:r w:rsidR="00EB64F3" w:rsidRPr="005C5949">
        <w:rPr>
          <w:rFonts w:ascii="Times New Roman" w:hAnsi="Times New Roman"/>
          <w:b/>
          <w:sz w:val="22"/>
          <w:szCs w:val="22"/>
        </w:rPr>
        <w:t xml:space="preserve"> </w:t>
      </w:r>
    </w:p>
    <w:p w14:paraId="49EDFFC7" w14:textId="77777777" w:rsidR="00EB64F3" w:rsidRPr="005C5949" w:rsidRDefault="00EB64F3" w:rsidP="00EB64F3">
      <w:pPr>
        <w:pStyle w:val="ListParagraph"/>
        <w:rPr>
          <w:rFonts w:ascii="Times New Roman" w:hAnsi="Times New Roman"/>
          <w:sz w:val="22"/>
          <w:szCs w:val="22"/>
        </w:rPr>
      </w:pPr>
    </w:p>
    <w:p w14:paraId="00F96D98" w14:textId="0A38059F" w:rsidR="00EB64F3" w:rsidRDefault="00C04C55" w:rsidP="00C04C55">
      <w:pPr>
        <w:ind w:left="720"/>
        <w:rPr>
          <w:rFonts w:ascii="Times New Roman" w:hAnsi="Times New Roman" w:cs="Times New Roman"/>
          <w:i/>
        </w:rPr>
      </w:pPr>
      <w:r w:rsidRPr="00C04C55">
        <w:rPr>
          <w:rFonts w:ascii="Times New Roman" w:hAnsi="Times New Roman" w:cs="Times New Roman"/>
          <w:i/>
        </w:rPr>
        <w:t xml:space="preserve">Applicants should identify the industry standard they will use for “Technical Standards for Interoperability” in the narrative section “Quality of the Project Design” within the Project Narrative Attachment Form. </w:t>
      </w:r>
      <w:r w:rsidR="00AA1702">
        <w:rPr>
          <w:rFonts w:ascii="Times New Roman" w:hAnsi="Times New Roman" w:cs="Times New Roman"/>
          <w:i/>
        </w:rPr>
        <w:t xml:space="preserve"> </w:t>
      </w:r>
      <w:r w:rsidRPr="00C04C55">
        <w:rPr>
          <w:rFonts w:ascii="Times New Roman" w:hAnsi="Times New Roman" w:cs="Times New Roman"/>
          <w:i/>
        </w:rPr>
        <w:t>The Project Narrative Attachment Form includes the narrative sections addressing the program selection criteria that will be used to evaluate applications submitted for this competition</w:t>
      </w:r>
      <w:r w:rsidR="00EB64F3">
        <w:rPr>
          <w:rFonts w:ascii="Times New Roman" w:hAnsi="Times New Roman" w:cs="Times New Roman"/>
          <w:i/>
        </w:rPr>
        <w:t xml:space="preserve">. </w:t>
      </w:r>
    </w:p>
    <w:p w14:paraId="50E2262E" w14:textId="42A59AE0" w:rsidR="0077448B" w:rsidRPr="005C5949" w:rsidRDefault="00B05895" w:rsidP="0077448B">
      <w:pPr>
        <w:pStyle w:val="ListParagraph"/>
        <w:numPr>
          <w:ilvl w:val="0"/>
          <w:numId w:val="15"/>
        </w:numPr>
        <w:rPr>
          <w:rFonts w:ascii="Times New Roman" w:hAnsi="Times New Roman"/>
          <w:b/>
          <w:sz w:val="22"/>
          <w:szCs w:val="22"/>
        </w:rPr>
      </w:pPr>
      <w:r w:rsidRPr="00B05895">
        <w:rPr>
          <w:rFonts w:ascii="Times New Roman" w:hAnsi="Times New Roman"/>
          <w:b/>
          <w:sz w:val="22"/>
          <w:szCs w:val="22"/>
        </w:rPr>
        <w:t xml:space="preserve">Are </w:t>
      </w:r>
      <w:r w:rsidR="00656BC1" w:rsidRPr="00656BC1">
        <w:rPr>
          <w:rFonts w:ascii="Times New Roman" w:hAnsi="Times New Roman"/>
          <w:b/>
          <w:sz w:val="22"/>
          <w:szCs w:val="22"/>
        </w:rPr>
        <w:t xml:space="preserve">certificate and Career/technical education programs </w:t>
      </w:r>
      <w:r w:rsidRPr="00B05895">
        <w:rPr>
          <w:rFonts w:ascii="Times New Roman" w:hAnsi="Times New Roman"/>
          <w:b/>
          <w:sz w:val="22"/>
          <w:szCs w:val="22"/>
        </w:rPr>
        <w:t>included in the program’s target or is the grant targeted to true degree programs only</w:t>
      </w:r>
      <w:r w:rsidR="0077448B" w:rsidRPr="00F91E5E">
        <w:rPr>
          <w:rFonts w:ascii="Times New Roman" w:hAnsi="Times New Roman"/>
          <w:b/>
          <w:sz w:val="22"/>
          <w:szCs w:val="22"/>
        </w:rPr>
        <w:t>?</w:t>
      </w:r>
      <w:r w:rsidR="0077448B">
        <w:rPr>
          <w:rFonts w:ascii="Times New Roman" w:hAnsi="Times New Roman"/>
          <w:b/>
          <w:sz w:val="22"/>
          <w:szCs w:val="22"/>
        </w:rPr>
        <w:t xml:space="preserve"> </w:t>
      </w:r>
      <w:r w:rsidR="0077448B" w:rsidRPr="005C5949">
        <w:rPr>
          <w:rFonts w:ascii="Times New Roman" w:hAnsi="Times New Roman"/>
          <w:b/>
          <w:sz w:val="22"/>
          <w:szCs w:val="22"/>
        </w:rPr>
        <w:t xml:space="preserve"> </w:t>
      </w:r>
    </w:p>
    <w:p w14:paraId="0EDF8775" w14:textId="77777777" w:rsidR="0077448B" w:rsidRPr="005C5949" w:rsidRDefault="0077448B" w:rsidP="0077448B">
      <w:pPr>
        <w:pStyle w:val="ListParagraph"/>
        <w:rPr>
          <w:rFonts w:ascii="Times New Roman" w:hAnsi="Times New Roman"/>
          <w:sz w:val="22"/>
          <w:szCs w:val="22"/>
        </w:rPr>
      </w:pPr>
    </w:p>
    <w:p w14:paraId="02E7C5B8" w14:textId="44305D6A" w:rsidR="0077448B" w:rsidRDefault="0077448B" w:rsidP="0077448B">
      <w:pPr>
        <w:ind w:left="720"/>
        <w:rPr>
          <w:rFonts w:ascii="Times New Roman" w:hAnsi="Times New Roman" w:cs="Times New Roman"/>
          <w:i/>
        </w:rPr>
      </w:pPr>
      <w:r w:rsidRPr="00C04C55">
        <w:rPr>
          <w:rFonts w:ascii="Times New Roman" w:hAnsi="Times New Roman" w:cs="Times New Roman"/>
          <w:i/>
        </w:rPr>
        <w:t>A</w:t>
      </w:r>
      <w:r w:rsidR="00656BC1" w:rsidRPr="00656BC1">
        <w:rPr>
          <w:rFonts w:ascii="Times New Roman" w:hAnsi="Times New Roman" w:cs="Times New Roman"/>
          <w:i/>
        </w:rPr>
        <w:t>s noted in the explanatory statement accompanying the FY 2020 appropriation for the Open Textbooks program, funding is intended to target “the use of open textbooks in courses that are part of a degree granting program.” As such, this program’s support of high-enrollment courses or programs may include certificate and Career/technical education programs so long as they are part of a postsecondary degree-granting program</w:t>
      </w:r>
      <w:r>
        <w:rPr>
          <w:rFonts w:ascii="Times New Roman" w:hAnsi="Times New Roman" w:cs="Times New Roman"/>
          <w:i/>
        </w:rPr>
        <w:t xml:space="preserve">. </w:t>
      </w:r>
    </w:p>
    <w:p w14:paraId="20694FCF" w14:textId="77777777" w:rsidR="00B86AE8" w:rsidRDefault="00B86AE8" w:rsidP="00B86AE8">
      <w:pPr>
        <w:pStyle w:val="ListParagraph"/>
        <w:numPr>
          <w:ilvl w:val="0"/>
          <w:numId w:val="15"/>
        </w:numPr>
        <w:contextualSpacing/>
        <w:rPr>
          <w:rFonts w:ascii="Times New Roman" w:hAnsi="Times New Roman"/>
          <w:b/>
        </w:rPr>
      </w:pPr>
      <w:r>
        <w:rPr>
          <w:rFonts w:ascii="Times New Roman" w:hAnsi="Times New Roman"/>
          <w:b/>
        </w:rPr>
        <w:lastRenderedPageBreak/>
        <w:t>What is the indirect cost rate for this grant program?</w:t>
      </w:r>
    </w:p>
    <w:p w14:paraId="20694FD0" w14:textId="77777777" w:rsidR="00B86AE8" w:rsidRDefault="00B86AE8" w:rsidP="00B86AE8">
      <w:pPr>
        <w:spacing w:line="240" w:lineRule="auto"/>
        <w:ind w:left="720"/>
        <w:contextualSpacing/>
        <w:rPr>
          <w:rFonts w:ascii="Times New Roman" w:hAnsi="Times New Roman"/>
          <w:i/>
        </w:rPr>
      </w:pPr>
    </w:p>
    <w:p w14:paraId="20694FD1" w14:textId="722B9DCA" w:rsidR="00B86AE8" w:rsidRDefault="00B86AE8" w:rsidP="00B86AE8">
      <w:pPr>
        <w:spacing w:line="240" w:lineRule="auto"/>
        <w:ind w:left="720"/>
        <w:contextualSpacing/>
        <w:rPr>
          <w:rFonts w:ascii="Times New Roman" w:hAnsi="Times New Roman"/>
        </w:rPr>
      </w:pPr>
      <w:r>
        <w:rPr>
          <w:rFonts w:ascii="Times New Roman" w:hAnsi="Times New Roman"/>
          <w:i/>
        </w:rPr>
        <w:t xml:space="preserve">The </w:t>
      </w:r>
      <w:r w:rsidRPr="00B86AE8">
        <w:rPr>
          <w:rFonts w:ascii="Times New Roman" w:hAnsi="Times New Roman"/>
          <w:i/>
        </w:rPr>
        <w:t xml:space="preserve">indirect cost rate for this grant program </w:t>
      </w:r>
      <w:r>
        <w:rPr>
          <w:rFonts w:ascii="Times New Roman" w:hAnsi="Times New Roman"/>
          <w:i/>
        </w:rPr>
        <w:t>is eight (8) percent</w:t>
      </w:r>
      <w:r>
        <w:rPr>
          <w:rFonts w:ascii="Times New Roman" w:hAnsi="Times New Roman"/>
        </w:rPr>
        <w:t>.</w:t>
      </w:r>
    </w:p>
    <w:p w14:paraId="71A0B9A6" w14:textId="1DEF0DF4" w:rsidR="002A4F2E" w:rsidRDefault="002A4F2E" w:rsidP="002A4F2E">
      <w:pPr>
        <w:pStyle w:val="ListParagraph"/>
        <w:numPr>
          <w:ilvl w:val="0"/>
          <w:numId w:val="15"/>
        </w:numPr>
        <w:contextualSpacing/>
        <w:rPr>
          <w:rFonts w:ascii="Times New Roman" w:hAnsi="Times New Roman"/>
          <w:b/>
        </w:rPr>
      </w:pPr>
      <w:r>
        <w:rPr>
          <w:rFonts w:ascii="Times New Roman" w:hAnsi="Times New Roman"/>
          <w:b/>
        </w:rPr>
        <w:t xml:space="preserve">Are </w:t>
      </w:r>
      <w:r w:rsidRPr="002A4F2E">
        <w:rPr>
          <w:rFonts w:ascii="Times New Roman" w:hAnsi="Times New Roman"/>
          <w:b/>
        </w:rPr>
        <w:t xml:space="preserve">subgrants subject to the </w:t>
      </w:r>
      <w:r>
        <w:rPr>
          <w:rFonts w:ascii="Times New Roman" w:hAnsi="Times New Roman"/>
          <w:b/>
        </w:rPr>
        <w:t xml:space="preserve">grant program’s eight (8) percent </w:t>
      </w:r>
      <w:r w:rsidRPr="002A4F2E">
        <w:rPr>
          <w:rFonts w:ascii="Times New Roman" w:hAnsi="Times New Roman"/>
          <w:b/>
        </w:rPr>
        <w:t>indirect cost rate</w:t>
      </w:r>
      <w:r>
        <w:rPr>
          <w:rFonts w:ascii="Times New Roman" w:hAnsi="Times New Roman"/>
          <w:b/>
        </w:rPr>
        <w:t xml:space="preserve">? </w:t>
      </w:r>
    </w:p>
    <w:p w14:paraId="3DFEFC8E" w14:textId="77777777" w:rsidR="002A4F2E" w:rsidRDefault="002A4F2E" w:rsidP="002A4F2E">
      <w:pPr>
        <w:spacing w:line="240" w:lineRule="auto"/>
        <w:ind w:left="720"/>
        <w:contextualSpacing/>
        <w:rPr>
          <w:rFonts w:ascii="Times New Roman" w:hAnsi="Times New Roman"/>
          <w:i/>
        </w:rPr>
      </w:pPr>
    </w:p>
    <w:p w14:paraId="0E5146CC" w14:textId="2D04636B" w:rsidR="002A4F2E" w:rsidRPr="002A4F2E" w:rsidRDefault="002A4F2E" w:rsidP="002A4F2E">
      <w:pPr>
        <w:spacing w:line="240" w:lineRule="auto"/>
        <w:ind w:left="720"/>
        <w:contextualSpacing/>
        <w:rPr>
          <w:rFonts w:ascii="Times New Roman" w:hAnsi="Times New Roman"/>
        </w:rPr>
      </w:pPr>
      <w:r>
        <w:rPr>
          <w:rFonts w:ascii="Times New Roman" w:hAnsi="Times New Roman"/>
          <w:i/>
        </w:rPr>
        <w:t xml:space="preserve">Yes.  </w:t>
      </w:r>
      <w:r w:rsidRPr="002A4F2E">
        <w:rPr>
          <w:rFonts w:ascii="Times New Roman" w:hAnsi="Times New Roman"/>
          <w:i/>
        </w:rPr>
        <w:t>When a grantee subawards to an entity</w:t>
      </w:r>
      <w:r>
        <w:rPr>
          <w:rFonts w:ascii="Times New Roman" w:hAnsi="Times New Roman"/>
          <w:i/>
        </w:rPr>
        <w:t>,</w:t>
      </w:r>
      <w:r w:rsidRPr="002A4F2E">
        <w:rPr>
          <w:rFonts w:ascii="Times New Roman" w:hAnsi="Times New Roman"/>
          <w:i/>
        </w:rPr>
        <w:t xml:space="preserve"> the federal indirect cost rate and regulations applies to the subaward</w:t>
      </w:r>
      <w:r>
        <w:rPr>
          <w:rFonts w:ascii="Times New Roman" w:hAnsi="Times New Roman"/>
          <w:i/>
        </w:rPr>
        <w:t xml:space="preserve">.  </w:t>
      </w:r>
      <w:r w:rsidRPr="002A4F2E">
        <w:rPr>
          <w:rFonts w:ascii="Times New Roman" w:hAnsi="Times New Roman"/>
          <w:i/>
        </w:rPr>
        <w:t>Pass-through entities are required to abide by the regulations imposed to the prime entity.</w:t>
      </w:r>
      <w:r>
        <w:rPr>
          <w:rFonts w:ascii="Times New Roman" w:hAnsi="Times New Roman"/>
          <w:i/>
        </w:rPr>
        <w:t xml:space="preserve">  The </w:t>
      </w:r>
      <w:r w:rsidRPr="002A4F2E">
        <w:rPr>
          <w:rFonts w:ascii="Times New Roman" w:hAnsi="Times New Roman"/>
          <w:i/>
        </w:rPr>
        <w:t xml:space="preserve">requirements for pass-through entities </w:t>
      </w:r>
      <w:r>
        <w:rPr>
          <w:rFonts w:ascii="Times New Roman" w:hAnsi="Times New Roman"/>
          <w:i/>
        </w:rPr>
        <w:t xml:space="preserve">are found at </w:t>
      </w:r>
      <w:r w:rsidRPr="002A4F2E">
        <w:rPr>
          <w:rFonts w:ascii="Times New Roman" w:hAnsi="Times New Roman"/>
          <w:i/>
        </w:rPr>
        <w:t>2 C.F.R. §200.331</w:t>
      </w:r>
      <w:r>
        <w:rPr>
          <w:rFonts w:ascii="Times New Roman" w:hAnsi="Times New Roman"/>
          <w:i/>
        </w:rPr>
        <w:t xml:space="preserve">.  </w:t>
      </w:r>
    </w:p>
    <w:p w14:paraId="20694FD2" w14:textId="77777777" w:rsidR="00A42F36" w:rsidRPr="005C5949" w:rsidRDefault="00A42F36" w:rsidP="00A42F36">
      <w:pPr>
        <w:pStyle w:val="ListParagraph"/>
        <w:numPr>
          <w:ilvl w:val="0"/>
          <w:numId w:val="15"/>
        </w:numPr>
        <w:rPr>
          <w:rFonts w:ascii="Times New Roman" w:hAnsi="Times New Roman"/>
          <w:b/>
          <w:sz w:val="22"/>
          <w:szCs w:val="22"/>
        </w:rPr>
      </w:pPr>
      <w:r w:rsidRPr="005C5949">
        <w:rPr>
          <w:rFonts w:ascii="Times New Roman" w:hAnsi="Times New Roman"/>
          <w:b/>
          <w:sz w:val="22"/>
          <w:szCs w:val="22"/>
        </w:rPr>
        <w:t>If SAM is delayed in processing our paperwork, may we either:</w:t>
      </w:r>
    </w:p>
    <w:p w14:paraId="20694FD3" w14:textId="77777777" w:rsidR="00A42F36" w:rsidRPr="005C5949" w:rsidRDefault="00A42F36" w:rsidP="00A42F36">
      <w:pPr>
        <w:pStyle w:val="ListParagraph"/>
        <w:ind w:left="1440" w:hanging="360"/>
        <w:rPr>
          <w:rFonts w:ascii="Times New Roman" w:hAnsi="Times New Roman"/>
          <w:b/>
          <w:sz w:val="22"/>
          <w:szCs w:val="22"/>
        </w:rPr>
      </w:pPr>
      <w:r w:rsidRPr="005C5949">
        <w:rPr>
          <w:rFonts w:ascii="Times New Roman" w:hAnsi="Times New Roman"/>
          <w:b/>
          <w:sz w:val="22"/>
          <w:szCs w:val="22"/>
        </w:rPr>
        <w:t>a.   Submit a hard copy application per the instructions in Common Instructions for Applicants to Department of Education Discretionary Grant Programs, or;</w:t>
      </w:r>
    </w:p>
    <w:p w14:paraId="20694FD4" w14:textId="77777777" w:rsidR="00A42F36" w:rsidRPr="005C5949" w:rsidRDefault="00A42F36" w:rsidP="00A42F36">
      <w:pPr>
        <w:ind w:left="720" w:firstLine="360"/>
        <w:rPr>
          <w:rFonts w:ascii="Times New Roman" w:hAnsi="Times New Roman" w:cs="Times New Roman"/>
          <w:b/>
        </w:rPr>
      </w:pPr>
      <w:r w:rsidRPr="005C5949">
        <w:rPr>
          <w:rFonts w:ascii="Times New Roman" w:hAnsi="Times New Roman" w:cs="Times New Roman"/>
          <w:b/>
        </w:rPr>
        <w:t xml:space="preserve">b.   Provide an emailed or dropbox submission of our application? </w:t>
      </w:r>
    </w:p>
    <w:p w14:paraId="20694FD5" w14:textId="223C5372" w:rsidR="00A42F36" w:rsidRDefault="00A42F36" w:rsidP="00A42F36">
      <w:pPr>
        <w:ind w:left="720"/>
        <w:rPr>
          <w:rFonts w:ascii="Times New Roman" w:hAnsi="Times New Roman" w:cs="Times New Roman"/>
          <w:i/>
        </w:rPr>
      </w:pPr>
      <w:r w:rsidRPr="005C5949">
        <w:rPr>
          <w:rFonts w:ascii="Times New Roman" w:hAnsi="Times New Roman" w:cs="Times New Roman"/>
          <w:i/>
        </w:rPr>
        <w:t xml:space="preserve">No. </w:t>
      </w:r>
      <w:r w:rsidR="00AA1702">
        <w:rPr>
          <w:rFonts w:ascii="Times New Roman" w:hAnsi="Times New Roman" w:cs="Times New Roman"/>
          <w:i/>
        </w:rPr>
        <w:t xml:space="preserve"> </w:t>
      </w:r>
      <w:r w:rsidRPr="005C5949">
        <w:rPr>
          <w:rFonts w:ascii="Times New Roman" w:hAnsi="Times New Roman" w:cs="Times New Roman"/>
          <w:i/>
        </w:rPr>
        <w:t>In addition, we will not grant you an extension if you failed to fully register in order to submit your application to Grants.gov (including with the required DUNS number and TIN currently registered in SAM) before the application deadline date and time or if you experience technical problems unre</w:t>
      </w:r>
      <w:r w:rsidR="0057778B">
        <w:rPr>
          <w:rFonts w:ascii="Times New Roman" w:hAnsi="Times New Roman" w:cs="Times New Roman"/>
          <w:i/>
        </w:rPr>
        <w:t>lated to the Grants.gov system.</w:t>
      </w:r>
      <w:r w:rsidRPr="005C5949">
        <w:rPr>
          <w:rFonts w:ascii="Times New Roman" w:hAnsi="Times New Roman" w:cs="Times New Roman"/>
          <w:i/>
        </w:rPr>
        <w:t xml:space="preserve"> </w:t>
      </w:r>
    </w:p>
    <w:p w14:paraId="20694FD6" w14:textId="77777777" w:rsidR="00B3702B" w:rsidRPr="00B3702B" w:rsidRDefault="00B3702B" w:rsidP="00B3702B">
      <w:pPr>
        <w:pStyle w:val="ListParagraph"/>
        <w:contextualSpacing/>
        <w:rPr>
          <w:rFonts w:ascii="Times New Roman" w:hAnsi="Times New Roman"/>
        </w:rPr>
      </w:pPr>
      <w:r w:rsidRPr="00B3702B">
        <w:rPr>
          <w:rFonts w:ascii="Times New Roman" w:hAnsi="Times New Roman"/>
        </w:rPr>
        <w:t xml:space="preserve">    </w:t>
      </w:r>
    </w:p>
    <w:p w14:paraId="20694FD7" w14:textId="77777777" w:rsidR="003A2574" w:rsidRPr="00CF61C8" w:rsidRDefault="003A2574" w:rsidP="00B8590F">
      <w:pPr>
        <w:rPr>
          <w:rFonts w:ascii="Times New Roman" w:hAnsi="Times New Roman"/>
        </w:rPr>
      </w:pPr>
    </w:p>
    <w:p w14:paraId="20694FD8" w14:textId="77777777" w:rsidR="003A2574" w:rsidRPr="005C5949" w:rsidRDefault="003A2574" w:rsidP="003A2574">
      <w:pPr>
        <w:spacing w:after="0" w:line="240" w:lineRule="auto"/>
        <w:ind w:left="720" w:hanging="360"/>
        <w:rPr>
          <w:rFonts w:ascii="Times New Roman" w:hAnsi="Times New Roman" w:cs="Times New Roman"/>
        </w:rPr>
      </w:pPr>
    </w:p>
    <w:sectPr w:rsidR="003A2574" w:rsidRPr="005C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873"/>
    <w:multiLevelType w:val="hybridMultilevel"/>
    <w:tmpl w:val="D722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0DE"/>
    <w:multiLevelType w:val="multilevel"/>
    <w:tmpl w:val="67D8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24FE3"/>
    <w:multiLevelType w:val="hybridMultilevel"/>
    <w:tmpl w:val="FDF6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D2C4F"/>
    <w:multiLevelType w:val="multilevel"/>
    <w:tmpl w:val="26DAC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13BEF"/>
    <w:multiLevelType w:val="multilevel"/>
    <w:tmpl w:val="05BE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53911"/>
    <w:multiLevelType w:val="hybridMultilevel"/>
    <w:tmpl w:val="FF7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543EB"/>
    <w:multiLevelType w:val="multilevel"/>
    <w:tmpl w:val="A4DAF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35077"/>
    <w:multiLevelType w:val="hybridMultilevel"/>
    <w:tmpl w:val="7018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362BF"/>
    <w:multiLevelType w:val="multilevel"/>
    <w:tmpl w:val="11564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E6CA5"/>
    <w:multiLevelType w:val="hybridMultilevel"/>
    <w:tmpl w:val="22C67564"/>
    <w:lvl w:ilvl="0" w:tplc="8A401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0526"/>
    <w:multiLevelType w:val="hybridMultilevel"/>
    <w:tmpl w:val="58AA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03530"/>
    <w:multiLevelType w:val="hybridMultilevel"/>
    <w:tmpl w:val="0244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1529F"/>
    <w:multiLevelType w:val="hybridMultilevel"/>
    <w:tmpl w:val="AA6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D0562"/>
    <w:multiLevelType w:val="hybridMultilevel"/>
    <w:tmpl w:val="AFDC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A172C"/>
    <w:multiLevelType w:val="hybridMultilevel"/>
    <w:tmpl w:val="E3B6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5911"/>
    <w:multiLevelType w:val="hybridMultilevel"/>
    <w:tmpl w:val="32CA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90615"/>
    <w:multiLevelType w:val="hybridMultilevel"/>
    <w:tmpl w:val="56267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91F66"/>
    <w:multiLevelType w:val="hybridMultilevel"/>
    <w:tmpl w:val="8408CCFC"/>
    <w:lvl w:ilvl="0" w:tplc="8A401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A3D38"/>
    <w:multiLevelType w:val="hybridMultilevel"/>
    <w:tmpl w:val="968E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1"/>
  </w:num>
  <w:num w:numId="6">
    <w:abstractNumId w:val="16"/>
  </w:num>
  <w:num w:numId="7">
    <w:abstractNumId w:val="15"/>
  </w:num>
  <w:num w:numId="8">
    <w:abstractNumId w:val="18"/>
  </w:num>
  <w:num w:numId="9">
    <w:abstractNumId w:val="12"/>
  </w:num>
  <w:num w:numId="10">
    <w:abstractNumId w:val="2"/>
  </w:num>
  <w:num w:numId="11">
    <w:abstractNumId w:val="11"/>
  </w:num>
  <w:num w:numId="12">
    <w:abstractNumId w:val="14"/>
  </w:num>
  <w:num w:numId="13">
    <w:abstractNumId w:val="10"/>
  </w:num>
  <w:num w:numId="14">
    <w:abstractNumId w:val="5"/>
  </w:num>
  <w:num w:numId="15">
    <w:abstractNumId w:val="0"/>
  </w:num>
  <w:num w:numId="16">
    <w:abstractNumId w:val="9"/>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8"/>
    <w:rsid w:val="000020CC"/>
    <w:rsid w:val="00005CF1"/>
    <w:rsid w:val="000130E3"/>
    <w:rsid w:val="00034322"/>
    <w:rsid w:val="0007201D"/>
    <w:rsid w:val="000C5C25"/>
    <w:rsid w:val="000C7148"/>
    <w:rsid w:val="000D7CD4"/>
    <w:rsid w:val="001826B1"/>
    <w:rsid w:val="001A1940"/>
    <w:rsid w:val="001A7148"/>
    <w:rsid w:val="001B270B"/>
    <w:rsid w:val="001C5D6B"/>
    <w:rsid w:val="00204655"/>
    <w:rsid w:val="00215D6C"/>
    <w:rsid w:val="00223D63"/>
    <w:rsid w:val="00230932"/>
    <w:rsid w:val="0026531F"/>
    <w:rsid w:val="002851BE"/>
    <w:rsid w:val="00287A6F"/>
    <w:rsid w:val="00294424"/>
    <w:rsid w:val="00296570"/>
    <w:rsid w:val="002A4F2E"/>
    <w:rsid w:val="002B7DF7"/>
    <w:rsid w:val="002C68DE"/>
    <w:rsid w:val="002E04C4"/>
    <w:rsid w:val="002E46BE"/>
    <w:rsid w:val="002E6FBA"/>
    <w:rsid w:val="002F5E1B"/>
    <w:rsid w:val="00304FEE"/>
    <w:rsid w:val="003510AB"/>
    <w:rsid w:val="003670AC"/>
    <w:rsid w:val="00372CA7"/>
    <w:rsid w:val="003751C2"/>
    <w:rsid w:val="00380E2B"/>
    <w:rsid w:val="003941B9"/>
    <w:rsid w:val="003A2574"/>
    <w:rsid w:val="003C3EBB"/>
    <w:rsid w:val="003C6620"/>
    <w:rsid w:val="003D01CB"/>
    <w:rsid w:val="003D2E9B"/>
    <w:rsid w:val="003D7A81"/>
    <w:rsid w:val="00406322"/>
    <w:rsid w:val="004717E8"/>
    <w:rsid w:val="00474AD4"/>
    <w:rsid w:val="004774EC"/>
    <w:rsid w:val="00484C25"/>
    <w:rsid w:val="004975F0"/>
    <w:rsid w:val="004B4676"/>
    <w:rsid w:val="004C2E5D"/>
    <w:rsid w:val="004E2721"/>
    <w:rsid w:val="0051745B"/>
    <w:rsid w:val="005250A2"/>
    <w:rsid w:val="005274C6"/>
    <w:rsid w:val="005368CC"/>
    <w:rsid w:val="00544B1A"/>
    <w:rsid w:val="00546173"/>
    <w:rsid w:val="0055378F"/>
    <w:rsid w:val="005552B9"/>
    <w:rsid w:val="0057778B"/>
    <w:rsid w:val="0059014C"/>
    <w:rsid w:val="005C5949"/>
    <w:rsid w:val="005D35DE"/>
    <w:rsid w:val="005E608B"/>
    <w:rsid w:val="00621884"/>
    <w:rsid w:val="006263A4"/>
    <w:rsid w:val="00654DDC"/>
    <w:rsid w:val="00656BC1"/>
    <w:rsid w:val="00676449"/>
    <w:rsid w:val="006A2B5C"/>
    <w:rsid w:val="006C7FB1"/>
    <w:rsid w:val="006C7FB3"/>
    <w:rsid w:val="006D2B55"/>
    <w:rsid w:val="00715FE2"/>
    <w:rsid w:val="007173E8"/>
    <w:rsid w:val="0075364C"/>
    <w:rsid w:val="00753E1E"/>
    <w:rsid w:val="00762C89"/>
    <w:rsid w:val="007661F4"/>
    <w:rsid w:val="0077448B"/>
    <w:rsid w:val="0078693C"/>
    <w:rsid w:val="007A0188"/>
    <w:rsid w:val="007E5E96"/>
    <w:rsid w:val="008142CC"/>
    <w:rsid w:val="008237E6"/>
    <w:rsid w:val="00831831"/>
    <w:rsid w:val="00845B27"/>
    <w:rsid w:val="008477F1"/>
    <w:rsid w:val="00855986"/>
    <w:rsid w:val="00856E72"/>
    <w:rsid w:val="0089165B"/>
    <w:rsid w:val="008B38E0"/>
    <w:rsid w:val="008F1024"/>
    <w:rsid w:val="008F155E"/>
    <w:rsid w:val="008F502D"/>
    <w:rsid w:val="0091395D"/>
    <w:rsid w:val="0094216A"/>
    <w:rsid w:val="00955748"/>
    <w:rsid w:val="009774C1"/>
    <w:rsid w:val="009B4FEA"/>
    <w:rsid w:val="009E45CB"/>
    <w:rsid w:val="009F2B08"/>
    <w:rsid w:val="009F65DE"/>
    <w:rsid w:val="00A13AC3"/>
    <w:rsid w:val="00A2467B"/>
    <w:rsid w:val="00A42F36"/>
    <w:rsid w:val="00A72B0E"/>
    <w:rsid w:val="00A96141"/>
    <w:rsid w:val="00AA1702"/>
    <w:rsid w:val="00AA26B8"/>
    <w:rsid w:val="00AA2FAB"/>
    <w:rsid w:val="00AA5EAD"/>
    <w:rsid w:val="00AB70EC"/>
    <w:rsid w:val="00B00F0F"/>
    <w:rsid w:val="00B05895"/>
    <w:rsid w:val="00B2418E"/>
    <w:rsid w:val="00B3702B"/>
    <w:rsid w:val="00B55281"/>
    <w:rsid w:val="00B65C82"/>
    <w:rsid w:val="00B8590F"/>
    <w:rsid w:val="00B86AE8"/>
    <w:rsid w:val="00BA2C1C"/>
    <w:rsid w:val="00BB261B"/>
    <w:rsid w:val="00BB3658"/>
    <w:rsid w:val="00BB4491"/>
    <w:rsid w:val="00BC1FBA"/>
    <w:rsid w:val="00BE5F06"/>
    <w:rsid w:val="00C00D13"/>
    <w:rsid w:val="00C04C55"/>
    <w:rsid w:val="00C079F6"/>
    <w:rsid w:val="00C213D1"/>
    <w:rsid w:val="00C30453"/>
    <w:rsid w:val="00C34E24"/>
    <w:rsid w:val="00C4267F"/>
    <w:rsid w:val="00C42DC2"/>
    <w:rsid w:val="00C504D6"/>
    <w:rsid w:val="00C53E7C"/>
    <w:rsid w:val="00C55366"/>
    <w:rsid w:val="00C55CCA"/>
    <w:rsid w:val="00C72EAF"/>
    <w:rsid w:val="00C90506"/>
    <w:rsid w:val="00CD76CE"/>
    <w:rsid w:val="00CD7A4E"/>
    <w:rsid w:val="00CF61C8"/>
    <w:rsid w:val="00D170AC"/>
    <w:rsid w:val="00D2251F"/>
    <w:rsid w:val="00D440A1"/>
    <w:rsid w:val="00D5299C"/>
    <w:rsid w:val="00D731B2"/>
    <w:rsid w:val="00D76364"/>
    <w:rsid w:val="00E227CF"/>
    <w:rsid w:val="00E7018F"/>
    <w:rsid w:val="00EB1D3E"/>
    <w:rsid w:val="00EB64F3"/>
    <w:rsid w:val="00EE225C"/>
    <w:rsid w:val="00EF0B09"/>
    <w:rsid w:val="00F4082E"/>
    <w:rsid w:val="00F47D14"/>
    <w:rsid w:val="00F83531"/>
    <w:rsid w:val="00F91E5E"/>
    <w:rsid w:val="00F9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4F94"/>
  <w15:docId w15:val="{75CF3C74-24C6-4E14-AF03-54D9237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B1"/>
    <w:pPr>
      <w:spacing w:after="0" w:line="240" w:lineRule="auto"/>
      <w:ind w:left="720"/>
    </w:pPr>
    <w:rPr>
      <w:rFonts w:ascii="Calibri" w:hAnsi="Calibri" w:cs="Times New Roman"/>
      <w:sz w:val="24"/>
      <w:szCs w:val="24"/>
    </w:rPr>
  </w:style>
  <w:style w:type="character" w:customStyle="1" w:styleId="helvetica1">
    <w:name w:val="helvetica1"/>
    <w:basedOn w:val="DefaultParagraphFont"/>
    <w:rsid w:val="00380E2B"/>
    <w:rPr>
      <w:rFonts w:ascii="Verdana" w:hAnsi="Verdana" w:hint="default"/>
      <w:sz w:val="22"/>
      <w:szCs w:val="22"/>
    </w:rPr>
  </w:style>
  <w:style w:type="character" w:customStyle="1" w:styleId="search-custom">
    <w:name w:val="search-custom"/>
    <w:basedOn w:val="DefaultParagraphFont"/>
    <w:rsid w:val="00715FE2"/>
  </w:style>
  <w:style w:type="character" w:styleId="Hyperlink">
    <w:name w:val="Hyperlink"/>
    <w:basedOn w:val="DefaultParagraphFont"/>
    <w:uiPriority w:val="99"/>
    <w:unhideWhenUsed/>
    <w:rsid w:val="00715FE2"/>
    <w:rPr>
      <w:color w:val="0563C1"/>
      <w:u w:val="single"/>
    </w:rPr>
  </w:style>
  <w:style w:type="character" w:customStyle="1" w:styleId="enumxml1">
    <w:name w:val="enumxml1"/>
    <w:basedOn w:val="DefaultParagraphFont"/>
    <w:rsid w:val="00B65C82"/>
    <w:rPr>
      <w:b/>
      <w:bCs/>
    </w:rPr>
  </w:style>
  <w:style w:type="paragraph" w:styleId="PlainText">
    <w:name w:val="Plain Text"/>
    <w:basedOn w:val="Normal"/>
    <w:link w:val="PlainTextChar"/>
    <w:uiPriority w:val="99"/>
    <w:unhideWhenUsed/>
    <w:rsid w:val="008477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7F1"/>
    <w:rPr>
      <w:rFonts w:ascii="Calibri" w:hAnsi="Calibri"/>
      <w:szCs w:val="21"/>
    </w:rPr>
  </w:style>
  <w:style w:type="character" w:styleId="FollowedHyperlink">
    <w:name w:val="FollowedHyperlink"/>
    <w:basedOn w:val="DefaultParagraphFont"/>
    <w:uiPriority w:val="99"/>
    <w:semiHidden/>
    <w:unhideWhenUsed/>
    <w:rsid w:val="004774EC"/>
    <w:rPr>
      <w:color w:val="800080" w:themeColor="followedHyperlink"/>
      <w:u w:val="single"/>
    </w:rPr>
  </w:style>
  <w:style w:type="paragraph" w:styleId="BalloonText">
    <w:name w:val="Balloon Text"/>
    <w:basedOn w:val="Normal"/>
    <w:link w:val="BalloonTextChar"/>
    <w:uiPriority w:val="99"/>
    <w:semiHidden/>
    <w:unhideWhenUsed/>
    <w:rsid w:val="003A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74"/>
    <w:rPr>
      <w:rFonts w:ascii="Tahoma" w:hAnsi="Tahoma" w:cs="Tahoma"/>
      <w:sz w:val="16"/>
      <w:szCs w:val="16"/>
    </w:rPr>
  </w:style>
  <w:style w:type="character" w:styleId="CommentReference">
    <w:name w:val="annotation reference"/>
    <w:basedOn w:val="DefaultParagraphFont"/>
    <w:uiPriority w:val="99"/>
    <w:semiHidden/>
    <w:unhideWhenUsed/>
    <w:rsid w:val="002E6FBA"/>
    <w:rPr>
      <w:sz w:val="16"/>
      <w:szCs w:val="16"/>
    </w:rPr>
  </w:style>
  <w:style w:type="paragraph" w:styleId="CommentText">
    <w:name w:val="annotation text"/>
    <w:basedOn w:val="Normal"/>
    <w:link w:val="CommentTextChar"/>
    <w:uiPriority w:val="99"/>
    <w:semiHidden/>
    <w:unhideWhenUsed/>
    <w:rsid w:val="002E6FBA"/>
    <w:pPr>
      <w:spacing w:line="240" w:lineRule="auto"/>
    </w:pPr>
    <w:rPr>
      <w:sz w:val="20"/>
      <w:szCs w:val="20"/>
    </w:rPr>
  </w:style>
  <w:style w:type="character" w:customStyle="1" w:styleId="CommentTextChar">
    <w:name w:val="Comment Text Char"/>
    <w:basedOn w:val="DefaultParagraphFont"/>
    <w:link w:val="CommentText"/>
    <w:uiPriority w:val="99"/>
    <w:semiHidden/>
    <w:rsid w:val="002E6FBA"/>
    <w:rPr>
      <w:sz w:val="20"/>
      <w:szCs w:val="20"/>
    </w:rPr>
  </w:style>
  <w:style w:type="paragraph" w:styleId="CommentSubject">
    <w:name w:val="annotation subject"/>
    <w:basedOn w:val="CommentText"/>
    <w:next w:val="CommentText"/>
    <w:link w:val="CommentSubjectChar"/>
    <w:uiPriority w:val="99"/>
    <w:semiHidden/>
    <w:unhideWhenUsed/>
    <w:rsid w:val="002E6FBA"/>
    <w:rPr>
      <w:b/>
      <w:bCs/>
    </w:rPr>
  </w:style>
  <w:style w:type="character" w:customStyle="1" w:styleId="CommentSubjectChar">
    <w:name w:val="Comment Subject Char"/>
    <w:basedOn w:val="CommentTextChar"/>
    <w:link w:val="CommentSubject"/>
    <w:uiPriority w:val="99"/>
    <w:semiHidden/>
    <w:rsid w:val="002E6FBA"/>
    <w:rPr>
      <w:b/>
      <w:bCs/>
      <w:sz w:val="20"/>
      <w:szCs w:val="20"/>
    </w:rPr>
  </w:style>
  <w:style w:type="paragraph" w:styleId="Revision">
    <w:name w:val="Revision"/>
    <w:hidden/>
    <w:uiPriority w:val="99"/>
    <w:semiHidden/>
    <w:rsid w:val="00034322"/>
    <w:pPr>
      <w:spacing w:after="0" w:line="240" w:lineRule="auto"/>
    </w:pPr>
  </w:style>
  <w:style w:type="character" w:styleId="UnresolvedMention">
    <w:name w:val="Unresolved Mention"/>
    <w:basedOn w:val="DefaultParagraphFont"/>
    <w:uiPriority w:val="99"/>
    <w:semiHidden/>
    <w:unhideWhenUsed/>
    <w:rsid w:val="002A4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9672">
      <w:bodyDiv w:val="1"/>
      <w:marLeft w:val="0"/>
      <w:marRight w:val="0"/>
      <w:marTop w:val="0"/>
      <w:marBottom w:val="0"/>
      <w:divBdr>
        <w:top w:val="none" w:sz="0" w:space="0" w:color="auto"/>
        <w:left w:val="none" w:sz="0" w:space="0" w:color="auto"/>
        <w:bottom w:val="none" w:sz="0" w:space="0" w:color="auto"/>
        <w:right w:val="none" w:sz="0" w:space="0" w:color="auto"/>
      </w:divBdr>
      <w:divsChild>
        <w:div w:id="202446152">
          <w:marLeft w:val="0"/>
          <w:marRight w:val="0"/>
          <w:marTop w:val="0"/>
          <w:marBottom w:val="0"/>
          <w:divBdr>
            <w:top w:val="none" w:sz="0" w:space="0" w:color="auto"/>
            <w:left w:val="none" w:sz="0" w:space="0" w:color="auto"/>
            <w:bottom w:val="none" w:sz="0" w:space="0" w:color="auto"/>
            <w:right w:val="none" w:sz="0" w:space="0" w:color="auto"/>
          </w:divBdr>
          <w:divsChild>
            <w:div w:id="1896814781">
              <w:marLeft w:val="-225"/>
              <w:marRight w:val="-225"/>
              <w:marTop w:val="0"/>
              <w:marBottom w:val="0"/>
              <w:divBdr>
                <w:top w:val="none" w:sz="0" w:space="0" w:color="auto"/>
                <w:left w:val="none" w:sz="0" w:space="0" w:color="auto"/>
                <w:bottom w:val="none" w:sz="0" w:space="0" w:color="auto"/>
                <w:right w:val="none" w:sz="0" w:space="0" w:color="auto"/>
              </w:divBdr>
              <w:divsChild>
                <w:div w:id="431122592">
                  <w:marLeft w:val="0"/>
                  <w:marRight w:val="0"/>
                  <w:marTop w:val="0"/>
                  <w:marBottom w:val="0"/>
                  <w:divBdr>
                    <w:top w:val="none" w:sz="0" w:space="0" w:color="auto"/>
                    <w:left w:val="none" w:sz="0" w:space="0" w:color="auto"/>
                    <w:bottom w:val="none" w:sz="0" w:space="0" w:color="auto"/>
                    <w:right w:val="none" w:sz="0" w:space="0" w:color="auto"/>
                  </w:divBdr>
                  <w:divsChild>
                    <w:div w:id="2017727970">
                      <w:marLeft w:val="0"/>
                      <w:marRight w:val="0"/>
                      <w:marTop w:val="0"/>
                      <w:marBottom w:val="0"/>
                      <w:divBdr>
                        <w:top w:val="none" w:sz="0" w:space="0" w:color="auto"/>
                        <w:left w:val="none" w:sz="0" w:space="0" w:color="auto"/>
                        <w:bottom w:val="none" w:sz="0" w:space="0" w:color="auto"/>
                        <w:right w:val="none" w:sz="0" w:space="0" w:color="auto"/>
                      </w:divBdr>
                      <w:divsChild>
                        <w:div w:id="932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827">
      <w:bodyDiv w:val="1"/>
      <w:marLeft w:val="0"/>
      <w:marRight w:val="0"/>
      <w:marTop w:val="0"/>
      <w:marBottom w:val="0"/>
      <w:divBdr>
        <w:top w:val="none" w:sz="0" w:space="0" w:color="auto"/>
        <w:left w:val="none" w:sz="0" w:space="0" w:color="auto"/>
        <w:bottom w:val="none" w:sz="0" w:space="0" w:color="auto"/>
        <w:right w:val="none" w:sz="0" w:space="0" w:color="auto"/>
      </w:divBdr>
    </w:div>
    <w:div w:id="446857088">
      <w:bodyDiv w:val="1"/>
      <w:marLeft w:val="0"/>
      <w:marRight w:val="0"/>
      <w:marTop w:val="0"/>
      <w:marBottom w:val="0"/>
      <w:divBdr>
        <w:top w:val="none" w:sz="0" w:space="0" w:color="auto"/>
        <w:left w:val="none" w:sz="0" w:space="0" w:color="auto"/>
        <w:bottom w:val="none" w:sz="0" w:space="0" w:color="auto"/>
        <w:right w:val="none" w:sz="0" w:space="0" w:color="auto"/>
      </w:divBdr>
    </w:div>
    <w:div w:id="495346718">
      <w:bodyDiv w:val="1"/>
      <w:marLeft w:val="0"/>
      <w:marRight w:val="0"/>
      <w:marTop w:val="0"/>
      <w:marBottom w:val="0"/>
      <w:divBdr>
        <w:top w:val="none" w:sz="0" w:space="0" w:color="auto"/>
        <w:left w:val="none" w:sz="0" w:space="0" w:color="auto"/>
        <w:bottom w:val="none" w:sz="0" w:space="0" w:color="auto"/>
        <w:right w:val="none" w:sz="0" w:space="0" w:color="auto"/>
      </w:divBdr>
      <w:divsChild>
        <w:div w:id="2045980616">
          <w:marLeft w:val="0"/>
          <w:marRight w:val="0"/>
          <w:marTop w:val="0"/>
          <w:marBottom w:val="0"/>
          <w:divBdr>
            <w:top w:val="none" w:sz="0" w:space="0" w:color="auto"/>
            <w:left w:val="none" w:sz="0" w:space="0" w:color="auto"/>
            <w:bottom w:val="none" w:sz="0" w:space="0" w:color="auto"/>
            <w:right w:val="none" w:sz="0" w:space="0" w:color="auto"/>
          </w:divBdr>
          <w:divsChild>
            <w:div w:id="676736990">
              <w:marLeft w:val="-225"/>
              <w:marRight w:val="-225"/>
              <w:marTop w:val="0"/>
              <w:marBottom w:val="0"/>
              <w:divBdr>
                <w:top w:val="none" w:sz="0" w:space="0" w:color="auto"/>
                <w:left w:val="none" w:sz="0" w:space="0" w:color="auto"/>
                <w:bottom w:val="none" w:sz="0" w:space="0" w:color="auto"/>
                <w:right w:val="none" w:sz="0" w:space="0" w:color="auto"/>
              </w:divBdr>
              <w:divsChild>
                <w:div w:id="491994124">
                  <w:marLeft w:val="0"/>
                  <w:marRight w:val="0"/>
                  <w:marTop w:val="0"/>
                  <w:marBottom w:val="0"/>
                  <w:divBdr>
                    <w:top w:val="none" w:sz="0" w:space="0" w:color="auto"/>
                    <w:left w:val="none" w:sz="0" w:space="0" w:color="auto"/>
                    <w:bottom w:val="none" w:sz="0" w:space="0" w:color="auto"/>
                    <w:right w:val="none" w:sz="0" w:space="0" w:color="auto"/>
                  </w:divBdr>
                  <w:divsChild>
                    <w:div w:id="1333532751">
                      <w:marLeft w:val="0"/>
                      <w:marRight w:val="0"/>
                      <w:marTop w:val="0"/>
                      <w:marBottom w:val="0"/>
                      <w:divBdr>
                        <w:top w:val="none" w:sz="0" w:space="0" w:color="auto"/>
                        <w:left w:val="none" w:sz="0" w:space="0" w:color="auto"/>
                        <w:bottom w:val="none" w:sz="0" w:space="0" w:color="auto"/>
                        <w:right w:val="none" w:sz="0" w:space="0" w:color="auto"/>
                      </w:divBdr>
                      <w:divsChild>
                        <w:div w:id="1997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28367">
      <w:bodyDiv w:val="1"/>
      <w:marLeft w:val="0"/>
      <w:marRight w:val="0"/>
      <w:marTop w:val="0"/>
      <w:marBottom w:val="0"/>
      <w:divBdr>
        <w:top w:val="none" w:sz="0" w:space="0" w:color="auto"/>
        <w:left w:val="none" w:sz="0" w:space="0" w:color="auto"/>
        <w:bottom w:val="none" w:sz="0" w:space="0" w:color="auto"/>
        <w:right w:val="none" w:sz="0" w:space="0" w:color="auto"/>
      </w:divBdr>
    </w:div>
    <w:div w:id="624041132">
      <w:bodyDiv w:val="1"/>
      <w:marLeft w:val="0"/>
      <w:marRight w:val="0"/>
      <w:marTop w:val="0"/>
      <w:marBottom w:val="0"/>
      <w:divBdr>
        <w:top w:val="none" w:sz="0" w:space="0" w:color="auto"/>
        <w:left w:val="none" w:sz="0" w:space="0" w:color="auto"/>
        <w:bottom w:val="none" w:sz="0" w:space="0" w:color="auto"/>
        <w:right w:val="none" w:sz="0" w:space="0" w:color="auto"/>
      </w:divBdr>
    </w:div>
    <w:div w:id="777984985">
      <w:bodyDiv w:val="1"/>
      <w:marLeft w:val="0"/>
      <w:marRight w:val="0"/>
      <w:marTop w:val="0"/>
      <w:marBottom w:val="0"/>
      <w:divBdr>
        <w:top w:val="none" w:sz="0" w:space="0" w:color="auto"/>
        <w:left w:val="none" w:sz="0" w:space="0" w:color="auto"/>
        <w:bottom w:val="none" w:sz="0" w:space="0" w:color="auto"/>
        <w:right w:val="none" w:sz="0" w:space="0" w:color="auto"/>
      </w:divBdr>
    </w:div>
    <w:div w:id="1430586104">
      <w:bodyDiv w:val="1"/>
      <w:marLeft w:val="0"/>
      <w:marRight w:val="0"/>
      <w:marTop w:val="0"/>
      <w:marBottom w:val="0"/>
      <w:divBdr>
        <w:top w:val="none" w:sz="0" w:space="0" w:color="auto"/>
        <w:left w:val="none" w:sz="0" w:space="0" w:color="auto"/>
        <w:bottom w:val="none" w:sz="0" w:space="0" w:color="auto"/>
        <w:right w:val="none" w:sz="0" w:space="0" w:color="auto"/>
      </w:divBdr>
    </w:div>
    <w:div w:id="1616207422">
      <w:bodyDiv w:val="1"/>
      <w:marLeft w:val="0"/>
      <w:marRight w:val="0"/>
      <w:marTop w:val="0"/>
      <w:marBottom w:val="0"/>
      <w:divBdr>
        <w:top w:val="none" w:sz="0" w:space="0" w:color="auto"/>
        <w:left w:val="none" w:sz="0" w:space="0" w:color="auto"/>
        <w:bottom w:val="none" w:sz="0" w:space="0" w:color="auto"/>
        <w:right w:val="none" w:sz="0" w:space="0" w:color="auto"/>
      </w:divBdr>
    </w:div>
    <w:div w:id="1957560875">
      <w:bodyDiv w:val="1"/>
      <w:marLeft w:val="0"/>
      <w:marRight w:val="0"/>
      <w:marTop w:val="0"/>
      <w:marBottom w:val="0"/>
      <w:divBdr>
        <w:top w:val="none" w:sz="0" w:space="0" w:color="auto"/>
        <w:left w:val="none" w:sz="0" w:space="0" w:color="auto"/>
        <w:bottom w:val="none" w:sz="0" w:space="0" w:color="auto"/>
        <w:right w:val="none" w:sz="0" w:space="0" w:color="auto"/>
      </w:divBdr>
    </w:div>
    <w:div w:id="21232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5b41726cb1de93f211d4c55b61ded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6b20fc6c33f0c5b802abf251ad0c5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03E3F-334D-4E55-A03C-A64AED4A2DA3}">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02e41e38-1731-4866-b09a-6257d8bc047f"/>
    <ds:schemaRef ds:uri="f87c7b8b-c0e7-4b77-a067-2c707fd1239f"/>
    <ds:schemaRef ds:uri="http://www.w3.org/XML/1998/namespace"/>
    <ds:schemaRef ds:uri="http://purl.org/dc/dcmitype/"/>
  </ds:schemaRefs>
</ds:datastoreItem>
</file>

<file path=customXml/itemProps2.xml><?xml version="1.0" encoding="utf-8"?>
<ds:datastoreItem xmlns:ds="http://schemas.openxmlformats.org/officeDocument/2006/customXml" ds:itemID="{EAE7627C-7A12-4CB3-BEF5-3EABA66D30AB}">
  <ds:schemaRefs>
    <ds:schemaRef ds:uri="http://schemas.microsoft.com/sharepoint/v3/contenttype/forms"/>
  </ds:schemaRefs>
</ds:datastoreItem>
</file>

<file path=customXml/itemProps3.xml><?xml version="1.0" encoding="utf-8"?>
<ds:datastoreItem xmlns:ds="http://schemas.openxmlformats.org/officeDocument/2006/customXml" ds:itemID="{E96BFB3C-49D2-415C-9C95-36017914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Slijepcevic, Stacey</dc:creator>
  <cp:lastModifiedBy>Myers, Terri L.</cp:lastModifiedBy>
  <cp:revision>2</cp:revision>
  <cp:lastPrinted>2018-08-20T15:13:00Z</cp:lastPrinted>
  <dcterms:created xsi:type="dcterms:W3CDTF">2020-10-21T11:45:00Z</dcterms:created>
  <dcterms:modified xsi:type="dcterms:W3CDTF">2020-10-21T11:45:00Z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0x01010057DC98171ABF41439B409D0A1DDFBE39</vt:lpwstr>
  </property>
</Properties>
</file>