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A5D1" w14:textId="77777777" w:rsidR="005B6ACA" w:rsidRPr="00067195" w:rsidRDefault="005B6ACA" w:rsidP="005B6ACA">
      <w:pPr>
        <w:adjustRightInd w:val="0"/>
        <w:jc w:val="center"/>
        <w:rPr>
          <w:rFonts w:eastAsia="Calibri"/>
          <w:b/>
          <w:sz w:val="24"/>
          <w:szCs w:val="24"/>
          <w:lang w:val="x-none" w:eastAsia="x-none"/>
        </w:rPr>
      </w:pPr>
      <w:bookmarkStart w:id="0" w:name="_Hlk17300974"/>
      <w:bookmarkStart w:id="1" w:name="_GoBack"/>
      <w:bookmarkEnd w:id="1"/>
      <w:r w:rsidRPr="00067195">
        <w:rPr>
          <w:rFonts w:eastAsia="Calibri"/>
          <w:b/>
          <w:sz w:val="24"/>
          <w:szCs w:val="24"/>
          <w:lang w:val="x-none" w:eastAsia="x-none"/>
        </w:rPr>
        <w:t>Introduction</w:t>
      </w:r>
    </w:p>
    <w:p w14:paraId="55F80FA7" w14:textId="77777777" w:rsidR="005B6ACA" w:rsidRPr="00067195" w:rsidRDefault="005B6ACA" w:rsidP="005B6ACA">
      <w:pPr>
        <w:adjustRightInd w:val="0"/>
        <w:rPr>
          <w:rFonts w:eastAsia="Calibri"/>
          <w:color w:val="000000"/>
          <w:sz w:val="24"/>
          <w:szCs w:val="24"/>
          <w:lang w:eastAsia="x-none"/>
        </w:rPr>
      </w:pPr>
    </w:p>
    <w:p w14:paraId="287D5382" w14:textId="77777777" w:rsidR="005B6ACA" w:rsidRPr="00067195" w:rsidRDefault="005B6ACA" w:rsidP="005B6ACA">
      <w:pPr>
        <w:adjustRightInd w:val="0"/>
        <w:rPr>
          <w:rFonts w:eastAsia="Calibri"/>
          <w:color w:val="000000"/>
          <w:sz w:val="24"/>
          <w:szCs w:val="24"/>
          <w:lang w:val="x-none" w:eastAsia="x-none"/>
        </w:rPr>
      </w:pPr>
      <w:r w:rsidRPr="00067195">
        <w:rPr>
          <w:rFonts w:eastAsia="Calibri"/>
          <w:color w:val="000000"/>
          <w:sz w:val="24"/>
          <w:szCs w:val="24"/>
          <w:lang w:val="x-none" w:eastAsia="x-none"/>
        </w:rPr>
        <w:t xml:space="preserve">The </w:t>
      </w:r>
      <w:r w:rsidRPr="00067195">
        <w:rPr>
          <w:rFonts w:eastAsia="Calibri"/>
          <w:color w:val="000000"/>
          <w:sz w:val="24"/>
          <w:szCs w:val="24"/>
          <w:lang w:eastAsia="x-none"/>
        </w:rPr>
        <w:t>Hispanic-Serving Institutions Division administers</w:t>
      </w:r>
      <w:r w:rsidRPr="00067195">
        <w:rPr>
          <w:rFonts w:eastAsia="Calibri"/>
          <w:color w:val="000000"/>
          <w:sz w:val="24"/>
          <w:szCs w:val="24"/>
          <w:lang w:val="x-none" w:eastAsia="x-none"/>
        </w:rPr>
        <w:t xml:space="preserve"> the Developing Hispanic–Serving Institutions (</w:t>
      </w:r>
      <w:r w:rsidRPr="00067195">
        <w:rPr>
          <w:rFonts w:eastAsia="Calibri"/>
          <w:color w:val="000000"/>
          <w:sz w:val="24"/>
          <w:szCs w:val="24"/>
          <w:lang w:eastAsia="x-none"/>
        </w:rPr>
        <w:t>D</w:t>
      </w:r>
      <w:r w:rsidRPr="00067195">
        <w:rPr>
          <w:rFonts w:eastAsia="Calibri"/>
          <w:color w:val="000000"/>
          <w:sz w:val="24"/>
          <w:szCs w:val="24"/>
          <w:lang w:val="x-none" w:eastAsia="x-none"/>
        </w:rPr>
        <w:t xml:space="preserve">HSI) Program </w:t>
      </w:r>
      <w:r w:rsidRPr="00067195">
        <w:rPr>
          <w:rFonts w:eastAsia="Calibri"/>
          <w:color w:val="000000"/>
          <w:sz w:val="24"/>
          <w:szCs w:val="24"/>
          <w:lang w:eastAsia="x-none"/>
        </w:rPr>
        <w:t xml:space="preserve">which </w:t>
      </w:r>
      <w:r w:rsidRPr="00067195">
        <w:rPr>
          <w:rFonts w:eastAsia="Calibri"/>
          <w:color w:val="000000"/>
          <w:sz w:val="24"/>
          <w:szCs w:val="24"/>
          <w:lang w:val="x-none" w:eastAsia="x-none"/>
        </w:rPr>
        <w:t>is authorized under Title V of the Higher Education Act of 1965, as amended.</w:t>
      </w:r>
      <w:r w:rsidRPr="00067195">
        <w:rPr>
          <w:rFonts w:eastAsia="Calibri"/>
          <w:color w:val="000000"/>
          <w:sz w:val="24"/>
          <w:szCs w:val="24"/>
          <w:lang w:eastAsia="x-none"/>
        </w:rPr>
        <w:t xml:space="preserve">  </w:t>
      </w:r>
      <w:r w:rsidRPr="00067195">
        <w:rPr>
          <w:rFonts w:eastAsia="Calibri"/>
          <w:color w:val="000000"/>
          <w:sz w:val="24"/>
          <w:szCs w:val="24"/>
          <w:lang w:val="x-none" w:eastAsia="x-none"/>
        </w:rPr>
        <w:t>The purposes of the program are to expand educational opportunities for, and improve the academic attainment of, Hispanic students, and to expand and enhance the academic offerings, program quality, and institutional stability of the colleges and universities that educate the majority of Hispanic students and help large numbers of Hispanic and other low-income students complete postsecondary degrees.</w:t>
      </w:r>
    </w:p>
    <w:p w14:paraId="6AF973E5" w14:textId="77777777" w:rsidR="005B6ACA" w:rsidRPr="00067195" w:rsidRDefault="005B6ACA" w:rsidP="005B6ACA">
      <w:pPr>
        <w:adjustRightInd w:val="0"/>
        <w:rPr>
          <w:rFonts w:eastAsia="Calibri"/>
          <w:color w:val="000000"/>
          <w:sz w:val="24"/>
          <w:szCs w:val="24"/>
          <w:lang w:eastAsia="x-none"/>
        </w:rPr>
      </w:pPr>
    </w:p>
    <w:p w14:paraId="7EE017F1" w14:textId="77777777" w:rsidR="005B6ACA" w:rsidRPr="00067195" w:rsidRDefault="005B6ACA" w:rsidP="005B6ACA">
      <w:pPr>
        <w:adjustRightInd w:val="0"/>
        <w:rPr>
          <w:rFonts w:eastAsia="Calibri"/>
          <w:color w:val="000000"/>
          <w:sz w:val="24"/>
          <w:szCs w:val="24"/>
          <w:lang w:eastAsia="x-none"/>
        </w:rPr>
      </w:pPr>
      <w:r w:rsidRPr="00067195">
        <w:rPr>
          <w:rFonts w:eastAsia="Calibri"/>
          <w:color w:val="000000"/>
          <w:sz w:val="24"/>
          <w:szCs w:val="24"/>
          <w:lang w:val="x-none" w:eastAsia="x-none"/>
        </w:rPr>
        <w:t xml:space="preserve">In order to </w:t>
      </w:r>
      <w:r w:rsidRPr="00067195">
        <w:rPr>
          <w:rFonts w:eastAsia="Calibri"/>
          <w:color w:val="000000"/>
          <w:sz w:val="24"/>
          <w:szCs w:val="24"/>
          <w:lang w:eastAsia="x-none"/>
        </w:rPr>
        <w:t xml:space="preserve">apply for </w:t>
      </w:r>
      <w:r w:rsidRPr="00067195">
        <w:rPr>
          <w:rFonts w:eastAsia="Calibri"/>
          <w:color w:val="000000"/>
          <w:sz w:val="24"/>
          <w:szCs w:val="24"/>
          <w:lang w:val="x-none" w:eastAsia="x-none"/>
        </w:rPr>
        <w:t>a grant under Title V program</w:t>
      </w:r>
      <w:r w:rsidRPr="00067195">
        <w:rPr>
          <w:rFonts w:eastAsia="Calibri"/>
          <w:color w:val="000000"/>
          <w:sz w:val="24"/>
          <w:szCs w:val="24"/>
          <w:lang w:eastAsia="x-none"/>
        </w:rPr>
        <w:t>s</w:t>
      </w:r>
      <w:r w:rsidRPr="00067195">
        <w:rPr>
          <w:rFonts w:eastAsia="Calibri"/>
          <w:color w:val="000000"/>
          <w:sz w:val="24"/>
          <w:szCs w:val="24"/>
          <w:lang w:val="x-none" w:eastAsia="x-none"/>
        </w:rPr>
        <w:t>, an institution of higher education must have applied for and been designated as an eligible institution.</w:t>
      </w:r>
      <w:r w:rsidRPr="00067195">
        <w:rPr>
          <w:rFonts w:eastAsia="Calibri"/>
          <w:color w:val="000000"/>
          <w:sz w:val="24"/>
          <w:szCs w:val="24"/>
          <w:lang w:eastAsia="x-none"/>
        </w:rPr>
        <w:t xml:space="preserve">  </w:t>
      </w:r>
      <w:r w:rsidRPr="00067195">
        <w:rPr>
          <w:rFonts w:eastAsia="Calibri"/>
          <w:sz w:val="24"/>
          <w:szCs w:val="24"/>
        </w:rPr>
        <w:t xml:space="preserve">The notice announcing the FY 2019 process for designation of eligible institutions, and inviting applications for waiver of eligibility requirements, was published in the </w:t>
      </w:r>
      <w:r w:rsidRPr="00067195">
        <w:rPr>
          <w:rFonts w:eastAsia="Calibri"/>
          <w:iCs/>
          <w:sz w:val="24"/>
          <w:szCs w:val="24"/>
          <w:u w:val="single"/>
        </w:rPr>
        <w:t>Federal Register</w:t>
      </w:r>
      <w:r w:rsidRPr="00067195">
        <w:rPr>
          <w:rFonts w:eastAsia="Calibri"/>
          <w:sz w:val="24"/>
          <w:szCs w:val="24"/>
        </w:rPr>
        <w:t xml:space="preserve"> on January 29, 2019 (84 FR 451).  </w:t>
      </w:r>
      <w:r w:rsidRPr="00067195">
        <w:rPr>
          <w:rFonts w:eastAsia="Calibri"/>
          <w:color w:val="000000"/>
          <w:sz w:val="24"/>
          <w:szCs w:val="24"/>
          <w:lang w:val="x-none" w:eastAsia="x-none"/>
        </w:rPr>
        <w:t>In addition to basic eligibility requirements, an institution must have at least 25 percent enrollment of undergraduate full-time equivalent (FTE) Hispanic students at the end of the award year immediately preceding the date of application.</w:t>
      </w:r>
      <w:r w:rsidRPr="00067195">
        <w:rPr>
          <w:rFonts w:eastAsia="Calibri"/>
          <w:color w:val="000000"/>
          <w:sz w:val="24"/>
          <w:szCs w:val="24"/>
          <w:lang w:eastAsia="x-none"/>
        </w:rPr>
        <w:t xml:space="preserve">  </w:t>
      </w:r>
    </w:p>
    <w:p w14:paraId="76036D36" w14:textId="77777777" w:rsidR="005B6ACA" w:rsidRPr="00067195" w:rsidRDefault="005B6ACA" w:rsidP="005B6ACA">
      <w:pPr>
        <w:adjustRightInd w:val="0"/>
        <w:rPr>
          <w:rFonts w:eastAsia="Calibri"/>
          <w:color w:val="000000"/>
          <w:sz w:val="24"/>
          <w:szCs w:val="24"/>
          <w:lang w:eastAsia="x-none"/>
        </w:rPr>
      </w:pPr>
    </w:p>
    <w:p w14:paraId="7C81A9C6" w14:textId="77777777" w:rsidR="005B6ACA" w:rsidRPr="00067195" w:rsidRDefault="005B6ACA" w:rsidP="005B6ACA">
      <w:pPr>
        <w:adjustRightInd w:val="0"/>
        <w:rPr>
          <w:rFonts w:eastAsia="Calibri"/>
          <w:color w:val="000000"/>
          <w:sz w:val="24"/>
          <w:szCs w:val="24"/>
          <w:lang w:val="x-none" w:eastAsia="x-none"/>
        </w:rPr>
      </w:pPr>
      <w:r>
        <w:rPr>
          <w:rFonts w:eastAsia="Calibri"/>
          <w:color w:val="000000"/>
          <w:sz w:val="24"/>
          <w:szCs w:val="24"/>
          <w:lang w:eastAsia="x-none"/>
        </w:rPr>
        <w:t xml:space="preserve">The </w:t>
      </w:r>
      <w:r w:rsidRPr="00067195">
        <w:rPr>
          <w:rFonts w:eastAsia="Calibri"/>
          <w:color w:val="000000"/>
          <w:sz w:val="24"/>
          <w:szCs w:val="24"/>
          <w:lang w:eastAsia="x-none"/>
        </w:rPr>
        <w:t>DHSI</w:t>
      </w:r>
      <w:r>
        <w:rPr>
          <w:rFonts w:eastAsia="Calibri"/>
          <w:color w:val="000000"/>
          <w:sz w:val="24"/>
          <w:szCs w:val="24"/>
          <w:lang w:eastAsia="x-none"/>
        </w:rPr>
        <w:t xml:space="preserve"> program</w:t>
      </w:r>
      <w:r w:rsidRPr="00067195">
        <w:rPr>
          <w:rFonts w:eastAsia="Calibri"/>
          <w:color w:val="000000"/>
          <w:sz w:val="24"/>
          <w:szCs w:val="24"/>
          <w:lang w:val="x-none" w:eastAsia="x-none"/>
        </w:rPr>
        <w:t xml:space="preserve"> supports many institutional activities that include:  purchase of equipment for education and research; improvement of instruction facilities (construction, maintenance, renovation); faculty and staff development; curriculum revision and development; purchase of educational materials; student </w:t>
      </w:r>
      <w:r w:rsidRPr="00067195">
        <w:rPr>
          <w:rFonts w:eastAsia="Calibri"/>
          <w:color w:val="000000"/>
          <w:sz w:val="24"/>
          <w:szCs w:val="24"/>
          <w:lang w:eastAsia="x-none"/>
        </w:rPr>
        <w:t>support services</w:t>
      </w:r>
      <w:r w:rsidRPr="00067195">
        <w:rPr>
          <w:rFonts w:eastAsia="Calibri"/>
          <w:color w:val="000000"/>
          <w:sz w:val="24"/>
          <w:szCs w:val="24"/>
          <w:lang w:val="x-none" w:eastAsia="x-none"/>
        </w:rPr>
        <w:t>; enhancement of administrative and funds management systems; community outreach programs; and establishment or increase of an institutional endowment fund.</w:t>
      </w:r>
    </w:p>
    <w:p w14:paraId="155B0632" w14:textId="77777777" w:rsidR="005B6ACA" w:rsidRPr="00067195" w:rsidRDefault="005B6ACA" w:rsidP="005B6ACA">
      <w:pPr>
        <w:adjustRightInd w:val="0"/>
        <w:rPr>
          <w:rFonts w:eastAsia="Calibri"/>
          <w:color w:val="000000"/>
          <w:sz w:val="24"/>
          <w:szCs w:val="24"/>
          <w:lang w:val="x-none" w:eastAsia="x-none"/>
        </w:rPr>
      </w:pPr>
    </w:p>
    <w:p w14:paraId="600969FA" w14:textId="77777777" w:rsidR="005B6ACA" w:rsidRPr="00067195" w:rsidRDefault="005B6ACA" w:rsidP="005B6ACA">
      <w:pPr>
        <w:adjustRightInd w:val="0"/>
        <w:rPr>
          <w:rFonts w:eastAsia="Calibri"/>
          <w:color w:val="000000"/>
          <w:sz w:val="24"/>
          <w:szCs w:val="24"/>
          <w:lang w:eastAsia="x-none"/>
        </w:rPr>
      </w:pPr>
      <w:r w:rsidRPr="00067195">
        <w:rPr>
          <w:rFonts w:eastAsia="Calibri"/>
          <w:color w:val="000000"/>
          <w:sz w:val="24"/>
          <w:szCs w:val="24"/>
          <w:lang w:val="x-none" w:eastAsia="x-none"/>
        </w:rPr>
        <w:t>Note:</w:t>
      </w:r>
      <w:r w:rsidRPr="00067195">
        <w:rPr>
          <w:rFonts w:eastAsia="Calibri"/>
          <w:color w:val="000000"/>
          <w:sz w:val="24"/>
          <w:szCs w:val="24"/>
          <w:lang w:eastAsia="x-none"/>
        </w:rPr>
        <w:t xml:space="preserve"> </w:t>
      </w:r>
      <w:r w:rsidRPr="00067195">
        <w:rPr>
          <w:rFonts w:eastAsia="Calibri"/>
          <w:color w:val="000000"/>
          <w:sz w:val="24"/>
          <w:szCs w:val="24"/>
          <w:lang w:val="x-none" w:eastAsia="x-none"/>
        </w:rPr>
        <w:t xml:space="preserve"> The Higher Education Opportunity Act of 2008 (HEOA) as amended, section 503(b) was expanded to include:</w:t>
      </w:r>
      <w:r w:rsidRPr="00067195">
        <w:rPr>
          <w:rFonts w:eastAsia="Calibri"/>
          <w:color w:val="000000"/>
          <w:sz w:val="24"/>
          <w:szCs w:val="24"/>
          <w:lang w:eastAsia="x-none"/>
        </w:rPr>
        <w:t xml:space="preserve">  </w:t>
      </w:r>
      <w:r w:rsidRPr="00067195">
        <w:rPr>
          <w:rFonts w:eastAsia="Calibri"/>
          <w:color w:val="000000"/>
          <w:sz w:val="24"/>
          <w:szCs w:val="24"/>
          <w:lang w:val="x-none" w:eastAsia="x-none"/>
        </w:rPr>
        <w:t>activities to improve student services, including innovative and customized instruction courses designed to help retain students and move the students into core courses; articulation agreements and student support programs designed to facilitate the transfer of students from two-year to four-year institutions; and providing education, counseling services, and financial information designed to improve the financial and economic literacy of students or their families.</w:t>
      </w:r>
      <w:r w:rsidRPr="00067195">
        <w:rPr>
          <w:rFonts w:eastAsia="Calibri"/>
          <w:color w:val="000000"/>
          <w:sz w:val="24"/>
          <w:szCs w:val="24"/>
          <w:lang w:eastAsia="x-none"/>
        </w:rPr>
        <w:t xml:space="preserve">  </w:t>
      </w:r>
      <w:r w:rsidRPr="00067195">
        <w:rPr>
          <w:rFonts w:eastAsia="Calibri"/>
          <w:color w:val="000000"/>
          <w:sz w:val="24"/>
          <w:szCs w:val="24"/>
          <w:lang w:val="x-none" w:eastAsia="x-none"/>
        </w:rPr>
        <w:t>The list of authorized activities in section 503(b) was also amended to use the term “distance education technologies” in place of “distance learning academic instruction capabilities.”</w:t>
      </w:r>
      <w:r w:rsidRPr="00067195">
        <w:rPr>
          <w:rFonts w:eastAsia="Calibri"/>
          <w:color w:val="000000"/>
          <w:sz w:val="24"/>
          <w:szCs w:val="24"/>
          <w:lang w:eastAsia="x-none"/>
        </w:rPr>
        <w:t xml:space="preserve"> </w:t>
      </w:r>
    </w:p>
    <w:p w14:paraId="64339667" w14:textId="77777777" w:rsidR="005B6ACA" w:rsidRPr="00067195" w:rsidRDefault="005B6ACA" w:rsidP="005B6ACA">
      <w:pPr>
        <w:adjustRightInd w:val="0"/>
        <w:rPr>
          <w:rFonts w:eastAsia="Calibri"/>
          <w:color w:val="000000"/>
          <w:sz w:val="24"/>
          <w:szCs w:val="24"/>
          <w:lang w:eastAsia="x-none"/>
        </w:rPr>
      </w:pPr>
    </w:p>
    <w:p w14:paraId="2A1DCD8D" w14:textId="77777777" w:rsidR="005B6ACA" w:rsidRDefault="005B6ACA" w:rsidP="005B6ACA">
      <w:pPr>
        <w:spacing w:after="200" w:line="276" w:lineRule="auto"/>
        <w:rPr>
          <w:rFonts w:eastAsia="Calibri"/>
          <w:sz w:val="24"/>
          <w:szCs w:val="24"/>
        </w:rPr>
      </w:pPr>
      <w:r w:rsidRPr="00067195">
        <w:rPr>
          <w:rFonts w:eastAsia="Calibri"/>
          <w:sz w:val="24"/>
          <w:szCs w:val="24"/>
        </w:rPr>
        <w:t xml:space="preserve">The Notice Inviting Applications for new awards for fiscal year (FY) 2019 was published in the </w:t>
      </w:r>
      <w:r w:rsidRPr="00067195">
        <w:rPr>
          <w:rFonts w:eastAsia="Calibri"/>
          <w:sz w:val="24"/>
          <w:szCs w:val="24"/>
          <w:u w:val="single"/>
        </w:rPr>
        <w:t>Federal Register</w:t>
      </w:r>
      <w:r w:rsidRPr="00067195">
        <w:rPr>
          <w:rFonts w:eastAsia="Calibri"/>
          <w:sz w:val="24"/>
          <w:szCs w:val="24"/>
        </w:rPr>
        <w:t xml:space="preserve"> on May 15, 2019</w:t>
      </w:r>
      <w:r w:rsidRPr="00CB51D9">
        <w:rPr>
          <w:rFonts w:eastAsia="Calibri"/>
          <w:sz w:val="24"/>
          <w:szCs w:val="24"/>
        </w:rPr>
        <w:t xml:space="preserve"> (</w:t>
      </w:r>
      <w:r w:rsidRPr="00CB51D9">
        <w:rPr>
          <w:color w:val="333333"/>
          <w:sz w:val="24"/>
          <w:szCs w:val="24"/>
        </w:rPr>
        <w:t>84 FR 21758</w:t>
      </w:r>
      <w:r w:rsidRPr="00CB51D9">
        <w:rPr>
          <w:rFonts w:eastAsia="Calibri"/>
          <w:sz w:val="24"/>
          <w:szCs w:val="24"/>
        </w:rPr>
        <w:t>).  The deadline</w:t>
      </w:r>
      <w:r w:rsidRPr="00067195">
        <w:rPr>
          <w:rFonts w:eastAsia="Calibri"/>
          <w:sz w:val="24"/>
          <w:szCs w:val="24"/>
        </w:rPr>
        <w:t xml:space="preserve"> for the transmittal of applications was July 15, 2019.  Applications for grants under the FY 2019 Developing Hispanic–Serving Institutions program grant competition were submitted electronically using Grants.gov and they were reviewed by a panel of three external grant reviewers. </w:t>
      </w:r>
    </w:p>
    <w:p w14:paraId="546375C9" w14:textId="77777777" w:rsidR="005B6ACA" w:rsidRPr="00067195" w:rsidRDefault="005B6ACA" w:rsidP="005B6ACA">
      <w:pPr>
        <w:spacing w:after="200" w:line="276" w:lineRule="auto"/>
        <w:rPr>
          <w:rFonts w:eastAsia="Calibri"/>
          <w:sz w:val="24"/>
          <w:szCs w:val="24"/>
        </w:rPr>
      </w:pPr>
      <w:r>
        <w:rPr>
          <w:rFonts w:eastAsia="Calibri"/>
          <w:sz w:val="24"/>
          <w:szCs w:val="24"/>
        </w:rPr>
        <w:t>This year,</w:t>
      </w:r>
      <w:r w:rsidRPr="00067195">
        <w:rPr>
          <w:rFonts w:eastAsia="Calibri"/>
          <w:sz w:val="24"/>
          <w:szCs w:val="24"/>
        </w:rPr>
        <w:t xml:space="preserve"> 223 grant applications were received</w:t>
      </w:r>
      <w:r>
        <w:rPr>
          <w:rFonts w:eastAsia="Calibri"/>
          <w:sz w:val="24"/>
          <w:szCs w:val="24"/>
        </w:rPr>
        <w:t>, and</w:t>
      </w:r>
      <w:r w:rsidRPr="00067195">
        <w:rPr>
          <w:rFonts w:eastAsia="Calibri"/>
          <w:sz w:val="24"/>
          <w:szCs w:val="24"/>
        </w:rPr>
        <w:t xml:space="preserve"> 43 </w:t>
      </w:r>
      <w:r>
        <w:rPr>
          <w:rFonts w:eastAsia="Calibri"/>
          <w:sz w:val="24"/>
          <w:szCs w:val="24"/>
        </w:rPr>
        <w:t xml:space="preserve">grant </w:t>
      </w:r>
      <w:r w:rsidRPr="00067195">
        <w:rPr>
          <w:rFonts w:eastAsia="Calibri"/>
          <w:sz w:val="24"/>
          <w:szCs w:val="24"/>
        </w:rPr>
        <w:t>awards were made</w:t>
      </w:r>
      <w:r>
        <w:rPr>
          <w:rFonts w:eastAsia="Calibri"/>
          <w:sz w:val="24"/>
          <w:szCs w:val="24"/>
        </w:rPr>
        <w:t>.</w:t>
      </w:r>
      <w:r w:rsidRPr="00067195">
        <w:rPr>
          <w:rFonts w:eastAsia="Calibri"/>
          <w:color w:val="000000"/>
          <w:sz w:val="24"/>
          <w:szCs w:val="24"/>
          <w:lang w:eastAsia="x-none"/>
        </w:rPr>
        <w:t xml:space="preserve"> The maximum award size </w:t>
      </w:r>
      <w:r>
        <w:rPr>
          <w:rFonts w:eastAsia="Calibri"/>
          <w:color w:val="000000"/>
          <w:sz w:val="24"/>
          <w:szCs w:val="24"/>
          <w:lang w:eastAsia="x-none"/>
        </w:rPr>
        <w:t xml:space="preserve">per grant award </w:t>
      </w:r>
      <w:r w:rsidRPr="00067195">
        <w:rPr>
          <w:rFonts w:eastAsia="Calibri"/>
          <w:color w:val="000000"/>
          <w:sz w:val="24"/>
          <w:szCs w:val="24"/>
          <w:lang w:eastAsia="x-none"/>
        </w:rPr>
        <w:t>is $600,000 per year</w:t>
      </w:r>
      <w:r>
        <w:rPr>
          <w:rFonts w:eastAsia="Calibri"/>
          <w:color w:val="000000"/>
          <w:sz w:val="24"/>
          <w:szCs w:val="24"/>
          <w:lang w:eastAsia="x-none"/>
        </w:rPr>
        <w:t xml:space="preserve"> for a per</w:t>
      </w:r>
      <w:r w:rsidRPr="00067195">
        <w:rPr>
          <w:rFonts w:eastAsia="Calibri"/>
          <w:color w:val="000000"/>
          <w:sz w:val="24"/>
          <w:szCs w:val="24"/>
          <w:lang w:eastAsia="x-none"/>
        </w:rPr>
        <w:t>iod</w:t>
      </w:r>
      <w:r>
        <w:rPr>
          <w:rFonts w:eastAsia="Calibri"/>
          <w:color w:val="000000"/>
          <w:sz w:val="24"/>
          <w:szCs w:val="24"/>
          <w:lang w:eastAsia="x-none"/>
        </w:rPr>
        <w:t xml:space="preserve"> of</w:t>
      </w:r>
      <w:r w:rsidRPr="00067195">
        <w:rPr>
          <w:rFonts w:eastAsia="Calibri"/>
          <w:color w:val="000000"/>
          <w:sz w:val="24"/>
          <w:szCs w:val="24"/>
          <w:lang w:eastAsia="x-none"/>
        </w:rPr>
        <w:t xml:space="preserve"> 5 years. </w:t>
      </w:r>
      <w:r w:rsidRPr="00067195">
        <w:rPr>
          <w:rFonts w:eastAsia="Calibri"/>
          <w:sz w:val="24"/>
          <w:szCs w:val="24"/>
        </w:rPr>
        <w:t>Total funding for new awards was $24,695,319</w:t>
      </w:r>
      <w:r w:rsidRPr="00067195">
        <w:rPr>
          <w:noProof/>
          <w:sz w:val="24"/>
          <w:szCs w:val="24"/>
        </w:rPr>
        <w:t>.</w:t>
      </w:r>
      <w:r>
        <w:rPr>
          <w:noProof/>
          <w:sz w:val="24"/>
          <w:szCs w:val="24"/>
        </w:rPr>
        <w:t xml:space="preserve"> Here are the abstracts for the newly funded grant projects:</w:t>
      </w:r>
    </w:p>
    <w:p w14:paraId="06AA7883" w14:textId="77777777" w:rsidR="005B6ACA" w:rsidRPr="00067195" w:rsidRDefault="005B6ACA" w:rsidP="005B6ACA">
      <w:pPr>
        <w:adjustRightInd w:val="0"/>
        <w:jc w:val="center"/>
        <w:rPr>
          <w:rFonts w:eastAsia="Calibri"/>
          <w:b/>
          <w:sz w:val="32"/>
          <w:szCs w:val="32"/>
          <w:lang w:val="x-none" w:eastAsia="x-none"/>
        </w:rPr>
      </w:pPr>
      <w:r w:rsidRPr="00067195">
        <w:rPr>
          <w:rFonts w:eastAsia="Calibri"/>
          <w:sz w:val="24"/>
          <w:szCs w:val="24"/>
          <w:lang w:val="x-none" w:eastAsia="x-none"/>
        </w:rPr>
        <w:br w:type="page"/>
      </w:r>
      <w:r w:rsidRPr="00067195">
        <w:rPr>
          <w:rFonts w:eastAsia="Calibri"/>
          <w:b/>
          <w:sz w:val="32"/>
          <w:szCs w:val="32"/>
          <w:lang w:val="x-none" w:eastAsia="x-none"/>
        </w:rPr>
        <w:lastRenderedPageBreak/>
        <w:t>Table of Contents</w:t>
      </w:r>
    </w:p>
    <w:p w14:paraId="54DE00EC" w14:textId="77777777" w:rsidR="005B6ACA" w:rsidRPr="00067195" w:rsidRDefault="005B6ACA" w:rsidP="005B6ACA">
      <w:pPr>
        <w:adjustRightInd w:val="0"/>
        <w:rPr>
          <w:rFonts w:eastAsia="Calibri"/>
          <w:sz w:val="24"/>
          <w:szCs w:val="24"/>
          <w:lang w:val="x-none" w:eastAsia="x-none"/>
        </w:rPr>
      </w:pPr>
    </w:p>
    <w:p w14:paraId="63D63493" w14:textId="77777777" w:rsidR="005B6ACA" w:rsidRPr="00067195" w:rsidRDefault="005B6ACA" w:rsidP="005B6ACA">
      <w:pPr>
        <w:rPr>
          <w:sz w:val="24"/>
          <w:szCs w:val="24"/>
          <w:lang w:eastAsia="x-none"/>
        </w:rPr>
      </w:pPr>
      <w:r w:rsidRPr="00067195">
        <w:rPr>
          <w:sz w:val="24"/>
          <w:szCs w:val="24"/>
          <w:lang w:val="x-none" w:eastAsia="x-none"/>
        </w:rPr>
        <w:t>Grants are listed in “state” and “applicant name” order for each grant type.</w:t>
      </w:r>
    </w:p>
    <w:p w14:paraId="1687C352" w14:textId="5303A15C" w:rsidR="007C42E0" w:rsidRDefault="007C42E0" w:rsidP="00517BB6">
      <w:pPr>
        <w:spacing w:after="300"/>
        <w:contextualSpacing/>
        <w:jc w:val="center"/>
      </w:pPr>
    </w:p>
    <w:tbl>
      <w:tblPr>
        <w:tblW w:w="9617" w:type="dxa"/>
        <w:tblLook w:val="04A0" w:firstRow="1" w:lastRow="0" w:firstColumn="1" w:lastColumn="0" w:noHBand="0" w:noVBand="1"/>
      </w:tblPr>
      <w:tblGrid>
        <w:gridCol w:w="1020"/>
        <w:gridCol w:w="6037"/>
        <w:gridCol w:w="1760"/>
        <w:gridCol w:w="800"/>
      </w:tblGrid>
      <w:tr w:rsidR="0095766D" w:rsidRPr="0095766D" w14:paraId="433B09CF" w14:textId="77777777" w:rsidTr="00634CAD">
        <w:trPr>
          <w:trHeight w:val="433"/>
        </w:trPr>
        <w:tc>
          <w:tcPr>
            <w:tcW w:w="1020" w:type="dxa"/>
            <w:vMerge w:val="restart"/>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330BAFF7" w14:textId="77777777" w:rsidR="0095766D" w:rsidRPr="0095766D" w:rsidRDefault="0095766D" w:rsidP="0095766D">
            <w:pPr>
              <w:widowControl/>
              <w:autoSpaceDE/>
              <w:autoSpaceDN/>
              <w:jc w:val="center"/>
              <w:rPr>
                <w:b/>
                <w:bCs/>
                <w:color w:val="000000"/>
                <w:sz w:val="24"/>
                <w:szCs w:val="24"/>
              </w:rPr>
            </w:pPr>
            <w:r w:rsidRPr="0095766D">
              <w:rPr>
                <w:b/>
                <w:bCs/>
                <w:color w:val="000000"/>
                <w:sz w:val="24"/>
                <w:szCs w:val="24"/>
              </w:rPr>
              <w:t>State</w:t>
            </w:r>
          </w:p>
        </w:tc>
        <w:tc>
          <w:tcPr>
            <w:tcW w:w="6037" w:type="dxa"/>
            <w:vMerge w:val="restart"/>
            <w:tcBorders>
              <w:top w:val="single" w:sz="4" w:space="0" w:color="auto"/>
              <w:left w:val="single" w:sz="4" w:space="0" w:color="auto"/>
              <w:bottom w:val="single" w:sz="4" w:space="0" w:color="auto"/>
              <w:right w:val="single" w:sz="4" w:space="0" w:color="auto"/>
            </w:tcBorders>
            <w:shd w:val="clear" w:color="000000" w:fill="DDD9C4"/>
            <w:vAlign w:val="center"/>
            <w:hideMark/>
          </w:tcPr>
          <w:p w14:paraId="626A74C4" w14:textId="77777777" w:rsidR="0095766D" w:rsidRPr="0095766D" w:rsidRDefault="0095766D" w:rsidP="0095766D">
            <w:pPr>
              <w:widowControl/>
              <w:autoSpaceDE/>
              <w:autoSpaceDN/>
              <w:jc w:val="center"/>
              <w:rPr>
                <w:b/>
                <w:bCs/>
                <w:color w:val="000000"/>
                <w:sz w:val="24"/>
                <w:szCs w:val="24"/>
              </w:rPr>
            </w:pPr>
            <w:r w:rsidRPr="0095766D">
              <w:rPr>
                <w:b/>
                <w:bCs/>
                <w:color w:val="000000"/>
                <w:sz w:val="24"/>
                <w:szCs w:val="24"/>
              </w:rPr>
              <w:t>Individual Development Grants</w:t>
            </w:r>
          </w:p>
        </w:tc>
        <w:tc>
          <w:tcPr>
            <w:tcW w:w="1760" w:type="dxa"/>
            <w:vMerge w:val="restart"/>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290E5B78" w14:textId="77777777" w:rsidR="0095766D" w:rsidRPr="0095766D" w:rsidRDefault="0095766D" w:rsidP="0095766D">
            <w:pPr>
              <w:widowControl/>
              <w:autoSpaceDE/>
              <w:autoSpaceDN/>
              <w:jc w:val="center"/>
              <w:rPr>
                <w:b/>
                <w:bCs/>
                <w:color w:val="000000"/>
                <w:sz w:val="24"/>
                <w:szCs w:val="24"/>
              </w:rPr>
            </w:pPr>
            <w:r w:rsidRPr="0095766D">
              <w:rPr>
                <w:b/>
                <w:bCs/>
                <w:color w:val="000000"/>
                <w:sz w:val="24"/>
                <w:szCs w:val="24"/>
              </w:rPr>
              <w:t>Year 1 Funding</w:t>
            </w:r>
          </w:p>
        </w:tc>
        <w:tc>
          <w:tcPr>
            <w:tcW w:w="800" w:type="dxa"/>
            <w:vMerge w:val="restart"/>
            <w:tcBorders>
              <w:top w:val="single" w:sz="4" w:space="0" w:color="auto"/>
              <w:left w:val="single" w:sz="4" w:space="0" w:color="auto"/>
              <w:bottom w:val="single" w:sz="4" w:space="0" w:color="auto"/>
              <w:right w:val="single" w:sz="4" w:space="0" w:color="auto"/>
            </w:tcBorders>
            <w:shd w:val="clear" w:color="000000" w:fill="DDD9C4"/>
            <w:noWrap/>
            <w:vAlign w:val="center"/>
            <w:hideMark/>
          </w:tcPr>
          <w:p w14:paraId="26D7E363" w14:textId="77777777" w:rsidR="0095766D" w:rsidRPr="0095766D" w:rsidRDefault="0095766D" w:rsidP="0095766D">
            <w:pPr>
              <w:widowControl/>
              <w:autoSpaceDE/>
              <w:autoSpaceDN/>
              <w:jc w:val="center"/>
              <w:rPr>
                <w:b/>
                <w:bCs/>
                <w:color w:val="000000"/>
                <w:sz w:val="24"/>
                <w:szCs w:val="24"/>
              </w:rPr>
            </w:pPr>
            <w:r w:rsidRPr="0095766D">
              <w:rPr>
                <w:b/>
                <w:bCs/>
                <w:color w:val="000000"/>
                <w:sz w:val="24"/>
                <w:szCs w:val="24"/>
              </w:rPr>
              <w:t>Page</w:t>
            </w:r>
          </w:p>
        </w:tc>
      </w:tr>
      <w:tr w:rsidR="0095766D" w:rsidRPr="0095766D" w14:paraId="470B04EC" w14:textId="77777777" w:rsidTr="00634CAD">
        <w:trPr>
          <w:trHeight w:val="433"/>
        </w:trPr>
        <w:tc>
          <w:tcPr>
            <w:tcW w:w="1020" w:type="dxa"/>
            <w:vMerge/>
            <w:tcBorders>
              <w:top w:val="single" w:sz="4" w:space="0" w:color="auto"/>
              <w:left w:val="single" w:sz="4" w:space="0" w:color="auto"/>
              <w:bottom w:val="single" w:sz="4" w:space="0" w:color="auto"/>
              <w:right w:val="single" w:sz="4" w:space="0" w:color="auto"/>
            </w:tcBorders>
            <w:vAlign w:val="center"/>
            <w:hideMark/>
          </w:tcPr>
          <w:p w14:paraId="4AF4108E" w14:textId="77777777" w:rsidR="0095766D" w:rsidRPr="0095766D" w:rsidRDefault="0095766D" w:rsidP="0095766D">
            <w:pPr>
              <w:widowControl/>
              <w:autoSpaceDE/>
              <w:autoSpaceDN/>
              <w:rPr>
                <w:b/>
                <w:bCs/>
                <w:color w:val="000000"/>
                <w:sz w:val="24"/>
                <w:szCs w:val="24"/>
              </w:rPr>
            </w:pPr>
          </w:p>
        </w:tc>
        <w:tc>
          <w:tcPr>
            <w:tcW w:w="6037" w:type="dxa"/>
            <w:vMerge/>
            <w:tcBorders>
              <w:top w:val="single" w:sz="4" w:space="0" w:color="auto"/>
              <w:left w:val="single" w:sz="4" w:space="0" w:color="auto"/>
              <w:bottom w:val="single" w:sz="4" w:space="0" w:color="auto"/>
              <w:right w:val="single" w:sz="4" w:space="0" w:color="auto"/>
            </w:tcBorders>
            <w:vAlign w:val="center"/>
            <w:hideMark/>
          </w:tcPr>
          <w:p w14:paraId="102C06EF" w14:textId="77777777" w:rsidR="0095766D" w:rsidRPr="0095766D" w:rsidRDefault="0095766D" w:rsidP="0095766D">
            <w:pPr>
              <w:widowControl/>
              <w:autoSpaceDE/>
              <w:autoSpaceDN/>
              <w:rPr>
                <w:b/>
                <w:bCs/>
                <w:color w:val="000000"/>
                <w:sz w:val="24"/>
                <w:szCs w:val="24"/>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14:paraId="0412AF28" w14:textId="77777777" w:rsidR="0095766D" w:rsidRPr="0095766D" w:rsidRDefault="0095766D" w:rsidP="0095766D">
            <w:pPr>
              <w:widowControl/>
              <w:autoSpaceDE/>
              <w:autoSpaceDN/>
              <w:rPr>
                <w:b/>
                <w:bCs/>
                <w:color w:val="000000"/>
                <w:sz w:val="24"/>
                <w:szCs w:val="24"/>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5BD64B13" w14:textId="77777777" w:rsidR="0095766D" w:rsidRPr="0095766D" w:rsidRDefault="0095766D" w:rsidP="0095766D">
            <w:pPr>
              <w:widowControl/>
              <w:autoSpaceDE/>
              <w:autoSpaceDN/>
              <w:rPr>
                <w:b/>
                <w:bCs/>
                <w:color w:val="000000"/>
                <w:sz w:val="24"/>
                <w:szCs w:val="24"/>
              </w:rPr>
            </w:pPr>
          </w:p>
        </w:tc>
      </w:tr>
      <w:tr w:rsidR="0095766D" w:rsidRPr="0095766D" w14:paraId="1F6C31F4" w14:textId="77777777" w:rsidTr="00634CAD">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8B697" w14:textId="77777777" w:rsidR="0095766D" w:rsidRPr="0095766D" w:rsidRDefault="0095766D" w:rsidP="0095766D">
            <w:pPr>
              <w:widowControl/>
              <w:autoSpaceDE/>
              <w:autoSpaceDN/>
              <w:jc w:val="center"/>
              <w:rPr>
                <w:color w:val="000000"/>
              </w:rPr>
            </w:pPr>
            <w:r w:rsidRPr="0095766D">
              <w:rPr>
                <w:color w:val="000000"/>
              </w:rPr>
              <w:t>AZ</w:t>
            </w:r>
          </w:p>
        </w:tc>
        <w:tc>
          <w:tcPr>
            <w:tcW w:w="6037" w:type="dxa"/>
            <w:tcBorders>
              <w:top w:val="single" w:sz="4" w:space="0" w:color="auto"/>
              <w:left w:val="nil"/>
              <w:bottom w:val="single" w:sz="4" w:space="0" w:color="auto"/>
              <w:right w:val="single" w:sz="4" w:space="0" w:color="auto"/>
            </w:tcBorders>
            <w:shd w:val="clear" w:color="auto" w:fill="auto"/>
            <w:noWrap/>
            <w:vAlign w:val="bottom"/>
            <w:hideMark/>
          </w:tcPr>
          <w:p w14:paraId="0B118511" w14:textId="77777777" w:rsidR="0095766D" w:rsidRPr="0095766D" w:rsidRDefault="0095766D" w:rsidP="0095766D">
            <w:pPr>
              <w:widowControl/>
              <w:autoSpaceDE/>
              <w:autoSpaceDN/>
              <w:rPr>
                <w:color w:val="000000"/>
              </w:rPr>
            </w:pPr>
            <w:r w:rsidRPr="0095766D">
              <w:rPr>
                <w:color w:val="000000"/>
              </w:rPr>
              <w:t>GateWay Community College</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3A2A9838" w14:textId="77777777" w:rsidR="0095766D" w:rsidRPr="0095766D" w:rsidRDefault="0095766D" w:rsidP="0095766D">
            <w:pPr>
              <w:widowControl/>
              <w:autoSpaceDE/>
              <w:autoSpaceDN/>
              <w:jc w:val="center"/>
              <w:rPr>
                <w:color w:val="000000"/>
              </w:rPr>
            </w:pPr>
            <w:r w:rsidRPr="0095766D">
              <w:rPr>
                <w:color w:val="000000"/>
              </w:rPr>
              <w:t>$582,043.00</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0F1E7B48" w14:textId="77777777" w:rsidR="0095766D" w:rsidRPr="0095766D" w:rsidRDefault="0095766D" w:rsidP="0095766D">
            <w:pPr>
              <w:widowControl/>
              <w:autoSpaceDE/>
              <w:autoSpaceDN/>
              <w:jc w:val="center"/>
              <w:rPr>
                <w:color w:val="000000"/>
              </w:rPr>
            </w:pPr>
            <w:r w:rsidRPr="0095766D">
              <w:rPr>
                <w:color w:val="000000"/>
              </w:rPr>
              <w:t>4</w:t>
            </w:r>
          </w:p>
        </w:tc>
      </w:tr>
      <w:tr w:rsidR="0095766D" w:rsidRPr="0095766D" w14:paraId="71C3AD35" w14:textId="77777777" w:rsidTr="0095766D">
        <w:trPr>
          <w:trHeight w:val="300"/>
        </w:trPr>
        <w:tc>
          <w:tcPr>
            <w:tcW w:w="1020" w:type="dxa"/>
            <w:tcBorders>
              <w:top w:val="nil"/>
              <w:left w:val="single" w:sz="4" w:space="0" w:color="auto"/>
              <w:bottom w:val="single" w:sz="4" w:space="0" w:color="auto"/>
              <w:right w:val="single" w:sz="4" w:space="0" w:color="auto"/>
            </w:tcBorders>
            <w:shd w:val="clear" w:color="000000" w:fill="F2F2F2"/>
            <w:noWrap/>
            <w:vAlign w:val="bottom"/>
            <w:hideMark/>
          </w:tcPr>
          <w:p w14:paraId="14C52B58" w14:textId="77777777" w:rsidR="0095766D" w:rsidRPr="0095766D" w:rsidRDefault="0095766D" w:rsidP="0095766D">
            <w:pPr>
              <w:widowControl/>
              <w:autoSpaceDE/>
              <w:autoSpaceDN/>
              <w:jc w:val="center"/>
              <w:rPr>
                <w:color w:val="000000"/>
              </w:rPr>
            </w:pPr>
            <w:r w:rsidRPr="0095766D">
              <w:rPr>
                <w:color w:val="000000"/>
              </w:rPr>
              <w:t>AZ</w:t>
            </w:r>
          </w:p>
        </w:tc>
        <w:tc>
          <w:tcPr>
            <w:tcW w:w="6037" w:type="dxa"/>
            <w:tcBorders>
              <w:top w:val="nil"/>
              <w:left w:val="nil"/>
              <w:bottom w:val="single" w:sz="4" w:space="0" w:color="auto"/>
              <w:right w:val="single" w:sz="4" w:space="0" w:color="auto"/>
            </w:tcBorders>
            <w:shd w:val="clear" w:color="000000" w:fill="F2F2F2"/>
            <w:noWrap/>
            <w:vAlign w:val="bottom"/>
            <w:hideMark/>
          </w:tcPr>
          <w:p w14:paraId="6B1C904E" w14:textId="77777777" w:rsidR="0095766D" w:rsidRPr="0095766D" w:rsidRDefault="0095766D" w:rsidP="0095766D">
            <w:pPr>
              <w:widowControl/>
              <w:autoSpaceDE/>
              <w:autoSpaceDN/>
              <w:rPr>
                <w:color w:val="000000"/>
              </w:rPr>
            </w:pPr>
            <w:r w:rsidRPr="0095766D">
              <w:rPr>
                <w:color w:val="000000"/>
              </w:rPr>
              <w:t>Pima County Community College District - Desert Vista Campus</w:t>
            </w:r>
          </w:p>
        </w:tc>
        <w:tc>
          <w:tcPr>
            <w:tcW w:w="1760" w:type="dxa"/>
            <w:tcBorders>
              <w:top w:val="nil"/>
              <w:left w:val="nil"/>
              <w:bottom w:val="single" w:sz="4" w:space="0" w:color="auto"/>
              <w:right w:val="single" w:sz="4" w:space="0" w:color="auto"/>
            </w:tcBorders>
            <w:shd w:val="clear" w:color="000000" w:fill="F2F2F2"/>
            <w:noWrap/>
            <w:vAlign w:val="bottom"/>
            <w:hideMark/>
          </w:tcPr>
          <w:p w14:paraId="41D8E929" w14:textId="77777777" w:rsidR="0095766D" w:rsidRPr="0095766D" w:rsidRDefault="0095766D" w:rsidP="0095766D">
            <w:pPr>
              <w:widowControl/>
              <w:autoSpaceDE/>
              <w:autoSpaceDN/>
              <w:jc w:val="center"/>
              <w:rPr>
                <w:color w:val="000000"/>
              </w:rPr>
            </w:pPr>
            <w:r w:rsidRPr="0095766D">
              <w:rPr>
                <w:color w:val="000000"/>
              </w:rPr>
              <w:t>$508,929.00</w:t>
            </w:r>
          </w:p>
        </w:tc>
        <w:tc>
          <w:tcPr>
            <w:tcW w:w="800" w:type="dxa"/>
            <w:tcBorders>
              <w:top w:val="nil"/>
              <w:left w:val="nil"/>
              <w:bottom w:val="single" w:sz="4" w:space="0" w:color="auto"/>
              <w:right w:val="single" w:sz="4" w:space="0" w:color="auto"/>
            </w:tcBorders>
            <w:shd w:val="clear" w:color="000000" w:fill="F2F2F2"/>
            <w:noWrap/>
            <w:vAlign w:val="bottom"/>
            <w:hideMark/>
          </w:tcPr>
          <w:p w14:paraId="3975A83B" w14:textId="77777777" w:rsidR="0095766D" w:rsidRPr="0095766D" w:rsidRDefault="0095766D" w:rsidP="0095766D">
            <w:pPr>
              <w:widowControl/>
              <w:autoSpaceDE/>
              <w:autoSpaceDN/>
              <w:jc w:val="center"/>
              <w:rPr>
                <w:color w:val="000000"/>
              </w:rPr>
            </w:pPr>
            <w:r w:rsidRPr="0095766D">
              <w:rPr>
                <w:color w:val="000000"/>
              </w:rPr>
              <w:t>5</w:t>
            </w:r>
          </w:p>
        </w:tc>
      </w:tr>
      <w:tr w:rsidR="0095766D" w:rsidRPr="0095766D" w14:paraId="087488F8" w14:textId="77777777" w:rsidTr="0095766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AD8B8EB" w14:textId="77777777" w:rsidR="0095766D" w:rsidRPr="0095766D" w:rsidRDefault="0095766D" w:rsidP="0095766D">
            <w:pPr>
              <w:widowControl/>
              <w:autoSpaceDE/>
              <w:autoSpaceDN/>
              <w:jc w:val="center"/>
              <w:rPr>
                <w:color w:val="000000"/>
              </w:rPr>
            </w:pPr>
            <w:r w:rsidRPr="0095766D">
              <w:rPr>
                <w:color w:val="000000"/>
              </w:rPr>
              <w:t>CA</w:t>
            </w:r>
          </w:p>
        </w:tc>
        <w:tc>
          <w:tcPr>
            <w:tcW w:w="6037" w:type="dxa"/>
            <w:tcBorders>
              <w:top w:val="nil"/>
              <w:left w:val="nil"/>
              <w:bottom w:val="single" w:sz="4" w:space="0" w:color="auto"/>
              <w:right w:val="single" w:sz="4" w:space="0" w:color="auto"/>
            </w:tcBorders>
            <w:shd w:val="clear" w:color="auto" w:fill="auto"/>
            <w:noWrap/>
            <w:vAlign w:val="bottom"/>
            <w:hideMark/>
          </w:tcPr>
          <w:p w14:paraId="673B1A83" w14:textId="77777777" w:rsidR="0095766D" w:rsidRPr="0095766D" w:rsidRDefault="0095766D" w:rsidP="0095766D">
            <w:pPr>
              <w:widowControl/>
              <w:autoSpaceDE/>
              <w:autoSpaceDN/>
              <w:rPr>
                <w:color w:val="000000"/>
              </w:rPr>
            </w:pPr>
            <w:r w:rsidRPr="0095766D">
              <w:rPr>
                <w:color w:val="000000"/>
              </w:rPr>
              <w:t>Antelope Valley College</w:t>
            </w:r>
          </w:p>
        </w:tc>
        <w:tc>
          <w:tcPr>
            <w:tcW w:w="1760" w:type="dxa"/>
            <w:tcBorders>
              <w:top w:val="nil"/>
              <w:left w:val="nil"/>
              <w:bottom w:val="single" w:sz="4" w:space="0" w:color="auto"/>
              <w:right w:val="single" w:sz="4" w:space="0" w:color="auto"/>
            </w:tcBorders>
            <w:shd w:val="clear" w:color="auto" w:fill="auto"/>
            <w:noWrap/>
            <w:vAlign w:val="bottom"/>
            <w:hideMark/>
          </w:tcPr>
          <w:p w14:paraId="6174F944" w14:textId="77777777" w:rsidR="0095766D" w:rsidRPr="0095766D" w:rsidRDefault="0095766D" w:rsidP="0095766D">
            <w:pPr>
              <w:widowControl/>
              <w:autoSpaceDE/>
              <w:autoSpaceDN/>
              <w:jc w:val="center"/>
              <w:rPr>
                <w:color w:val="000000"/>
              </w:rPr>
            </w:pPr>
            <w:r w:rsidRPr="0095766D">
              <w:rPr>
                <w:color w:val="000000"/>
              </w:rPr>
              <w:t>$599,994.00</w:t>
            </w:r>
          </w:p>
        </w:tc>
        <w:tc>
          <w:tcPr>
            <w:tcW w:w="800" w:type="dxa"/>
            <w:tcBorders>
              <w:top w:val="nil"/>
              <w:left w:val="nil"/>
              <w:bottom w:val="single" w:sz="4" w:space="0" w:color="auto"/>
              <w:right w:val="single" w:sz="4" w:space="0" w:color="auto"/>
            </w:tcBorders>
            <w:shd w:val="clear" w:color="auto" w:fill="auto"/>
            <w:noWrap/>
            <w:vAlign w:val="bottom"/>
            <w:hideMark/>
          </w:tcPr>
          <w:p w14:paraId="5F8B9233" w14:textId="77777777" w:rsidR="0095766D" w:rsidRPr="0095766D" w:rsidRDefault="0095766D" w:rsidP="0095766D">
            <w:pPr>
              <w:widowControl/>
              <w:autoSpaceDE/>
              <w:autoSpaceDN/>
              <w:jc w:val="center"/>
              <w:rPr>
                <w:color w:val="000000"/>
              </w:rPr>
            </w:pPr>
            <w:r w:rsidRPr="0095766D">
              <w:rPr>
                <w:color w:val="000000"/>
              </w:rPr>
              <w:t>6</w:t>
            </w:r>
          </w:p>
        </w:tc>
      </w:tr>
      <w:tr w:rsidR="0095766D" w:rsidRPr="0095766D" w14:paraId="04BFBD2D" w14:textId="77777777" w:rsidTr="0095766D">
        <w:trPr>
          <w:trHeight w:val="300"/>
        </w:trPr>
        <w:tc>
          <w:tcPr>
            <w:tcW w:w="1020" w:type="dxa"/>
            <w:tcBorders>
              <w:top w:val="nil"/>
              <w:left w:val="single" w:sz="4" w:space="0" w:color="auto"/>
              <w:bottom w:val="single" w:sz="4" w:space="0" w:color="auto"/>
              <w:right w:val="single" w:sz="4" w:space="0" w:color="auto"/>
            </w:tcBorders>
            <w:shd w:val="clear" w:color="000000" w:fill="F2F2F2"/>
            <w:noWrap/>
            <w:vAlign w:val="bottom"/>
            <w:hideMark/>
          </w:tcPr>
          <w:p w14:paraId="79B74EC8" w14:textId="77777777" w:rsidR="0095766D" w:rsidRPr="0095766D" w:rsidRDefault="0095766D" w:rsidP="0095766D">
            <w:pPr>
              <w:widowControl/>
              <w:autoSpaceDE/>
              <w:autoSpaceDN/>
              <w:jc w:val="center"/>
              <w:rPr>
                <w:color w:val="000000"/>
              </w:rPr>
            </w:pPr>
            <w:r w:rsidRPr="0095766D">
              <w:rPr>
                <w:color w:val="000000"/>
              </w:rPr>
              <w:t>CA</w:t>
            </w:r>
          </w:p>
        </w:tc>
        <w:tc>
          <w:tcPr>
            <w:tcW w:w="6037" w:type="dxa"/>
            <w:tcBorders>
              <w:top w:val="nil"/>
              <w:left w:val="nil"/>
              <w:bottom w:val="single" w:sz="4" w:space="0" w:color="auto"/>
              <w:right w:val="single" w:sz="4" w:space="0" w:color="auto"/>
            </w:tcBorders>
            <w:shd w:val="clear" w:color="000000" w:fill="F2F2F2"/>
            <w:noWrap/>
            <w:vAlign w:val="bottom"/>
            <w:hideMark/>
          </w:tcPr>
          <w:p w14:paraId="085653CF" w14:textId="77777777" w:rsidR="0095766D" w:rsidRPr="0095766D" w:rsidRDefault="0095766D" w:rsidP="0095766D">
            <w:pPr>
              <w:widowControl/>
              <w:autoSpaceDE/>
              <w:autoSpaceDN/>
              <w:rPr>
                <w:color w:val="000000"/>
              </w:rPr>
            </w:pPr>
            <w:r w:rsidRPr="0095766D">
              <w:rPr>
                <w:color w:val="000000"/>
              </w:rPr>
              <w:t>Cabrillo Community College District</w:t>
            </w:r>
          </w:p>
        </w:tc>
        <w:tc>
          <w:tcPr>
            <w:tcW w:w="1760" w:type="dxa"/>
            <w:tcBorders>
              <w:top w:val="nil"/>
              <w:left w:val="nil"/>
              <w:bottom w:val="single" w:sz="4" w:space="0" w:color="auto"/>
              <w:right w:val="single" w:sz="4" w:space="0" w:color="auto"/>
            </w:tcBorders>
            <w:shd w:val="clear" w:color="000000" w:fill="F2F2F2"/>
            <w:noWrap/>
            <w:vAlign w:val="bottom"/>
            <w:hideMark/>
          </w:tcPr>
          <w:p w14:paraId="72D9D721" w14:textId="77777777" w:rsidR="0095766D" w:rsidRPr="0095766D" w:rsidRDefault="0095766D" w:rsidP="0095766D">
            <w:pPr>
              <w:widowControl/>
              <w:autoSpaceDE/>
              <w:autoSpaceDN/>
              <w:jc w:val="center"/>
              <w:rPr>
                <w:color w:val="000000"/>
              </w:rPr>
            </w:pPr>
            <w:r w:rsidRPr="0095766D">
              <w:rPr>
                <w:color w:val="000000"/>
              </w:rPr>
              <w:t>$600,000.00</w:t>
            </w:r>
          </w:p>
        </w:tc>
        <w:tc>
          <w:tcPr>
            <w:tcW w:w="800" w:type="dxa"/>
            <w:tcBorders>
              <w:top w:val="nil"/>
              <w:left w:val="nil"/>
              <w:bottom w:val="single" w:sz="4" w:space="0" w:color="auto"/>
              <w:right w:val="single" w:sz="4" w:space="0" w:color="auto"/>
            </w:tcBorders>
            <w:shd w:val="clear" w:color="000000" w:fill="F2F2F2"/>
            <w:noWrap/>
            <w:vAlign w:val="bottom"/>
            <w:hideMark/>
          </w:tcPr>
          <w:p w14:paraId="2A1F1044" w14:textId="77777777" w:rsidR="0095766D" w:rsidRPr="0095766D" w:rsidRDefault="0095766D" w:rsidP="0095766D">
            <w:pPr>
              <w:widowControl/>
              <w:autoSpaceDE/>
              <w:autoSpaceDN/>
              <w:jc w:val="center"/>
              <w:rPr>
                <w:color w:val="000000"/>
              </w:rPr>
            </w:pPr>
            <w:r w:rsidRPr="0095766D">
              <w:rPr>
                <w:color w:val="000000"/>
              </w:rPr>
              <w:t>7</w:t>
            </w:r>
          </w:p>
        </w:tc>
      </w:tr>
      <w:tr w:rsidR="0095766D" w:rsidRPr="0095766D" w14:paraId="205AE85E" w14:textId="77777777" w:rsidTr="0095766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AC90ADD" w14:textId="77777777" w:rsidR="0095766D" w:rsidRPr="0095766D" w:rsidRDefault="0095766D" w:rsidP="0095766D">
            <w:pPr>
              <w:widowControl/>
              <w:autoSpaceDE/>
              <w:autoSpaceDN/>
              <w:jc w:val="center"/>
              <w:rPr>
                <w:color w:val="000000"/>
              </w:rPr>
            </w:pPr>
            <w:r w:rsidRPr="0095766D">
              <w:rPr>
                <w:color w:val="000000"/>
              </w:rPr>
              <w:t>CA</w:t>
            </w:r>
          </w:p>
        </w:tc>
        <w:tc>
          <w:tcPr>
            <w:tcW w:w="6037" w:type="dxa"/>
            <w:tcBorders>
              <w:top w:val="nil"/>
              <w:left w:val="nil"/>
              <w:bottom w:val="single" w:sz="4" w:space="0" w:color="auto"/>
              <w:right w:val="single" w:sz="4" w:space="0" w:color="auto"/>
            </w:tcBorders>
            <w:shd w:val="clear" w:color="auto" w:fill="auto"/>
            <w:noWrap/>
            <w:vAlign w:val="bottom"/>
            <w:hideMark/>
          </w:tcPr>
          <w:p w14:paraId="1DB29DDF" w14:textId="77777777" w:rsidR="0095766D" w:rsidRPr="0095766D" w:rsidRDefault="0095766D" w:rsidP="0095766D">
            <w:pPr>
              <w:widowControl/>
              <w:autoSpaceDE/>
              <w:autoSpaceDN/>
              <w:rPr>
                <w:color w:val="000000"/>
              </w:rPr>
            </w:pPr>
            <w:r w:rsidRPr="0095766D">
              <w:rPr>
                <w:color w:val="000000"/>
              </w:rPr>
              <w:t>Cal Poly Pomona Foundation, Inc.</w:t>
            </w:r>
          </w:p>
        </w:tc>
        <w:tc>
          <w:tcPr>
            <w:tcW w:w="1760" w:type="dxa"/>
            <w:tcBorders>
              <w:top w:val="nil"/>
              <w:left w:val="nil"/>
              <w:bottom w:val="single" w:sz="4" w:space="0" w:color="auto"/>
              <w:right w:val="single" w:sz="4" w:space="0" w:color="auto"/>
            </w:tcBorders>
            <w:shd w:val="clear" w:color="auto" w:fill="auto"/>
            <w:noWrap/>
            <w:vAlign w:val="bottom"/>
            <w:hideMark/>
          </w:tcPr>
          <w:p w14:paraId="685F48D4" w14:textId="77777777" w:rsidR="0095766D" w:rsidRPr="0095766D" w:rsidRDefault="0095766D" w:rsidP="0095766D">
            <w:pPr>
              <w:widowControl/>
              <w:autoSpaceDE/>
              <w:autoSpaceDN/>
              <w:jc w:val="center"/>
              <w:rPr>
                <w:color w:val="000000"/>
              </w:rPr>
            </w:pPr>
            <w:r w:rsidRPr="0095766D">
              <w:rPr>
                <w:color w:val="000000"/>
              </w:rPr>
              <w:t>$600,000.00</w:t>
            </w:r>
          </w:p>
        </w:tc>
        <w:tc>
          <w:tcPr>
            <w:tcW w:w="800" w:type="dxa"/>
            <w:tcBorders>
              <w:top w:val="nil"/>
              <w:left w:val="nil"/>
              <w:bottom w:val="single" w:sz="4" w:space="0" w:color="auto"/>
              <w:right w:val="single" w:sz="4" w:space="0" w:color="auto"/>
            </w:tcBorders>
            <w:shd w:val="clear" w:color="auto" w:fill="auto"/>
            <w:noWrap/>
            <w:vAlign w:val="bottom"/>
            <w:hideMark/>
          </w:tcPr>
          <w:p w14:paraId="2A79DE89" w14:textId="77777777" w:rsidR="0095766D" w:rsidRPr="0095766D" w:rsidRDefault="0095766D" w:rsidP="0095766D">
            <w:pPr>
              <w:widowControl/>
              <w:autoSpaceDE/>
              <w:autoSpaceDN/>
              <w:jc w:val="center"/>
              <w:rPr>
                <w:color w:val="000000"/>
              </w:rPr>
            </w:pPr>
            <w:r w:rsidRPr="0095766D">
              <w:rPr>
                <w:color w:val="000000"/>
              </w:rPr>
              <w:t>8</w:t>
            </w:r>
          </w:p>
        </w:tc>
      </w:tr>
      <w:tr w:rsidR="0095766D" w:rsidRPr="0095766D" w14:paraId="04AD9472" w14:textId="77777777" w:rsidTr="0095766D">
        <w:trPr>
          <w:trHeight w:val="300"/>
        </w:trPr>
        <w:tc>
          <w:tcPr>
            <w:tcW w:w="1020" w:type="dxa"/>
            <w:tcBorders>
              <w:top w:val="nil"/>
              <w:left w:val="single" w:sz="4" w:space="0" w:color="auto"/>
              <w:bottom w:val="single" w:sz="4" w:space="0" w:color="auto"/>
              <w:right w:val="single" w:sz="4" w:space="0" w:color="auto"/>
            </w:tcBorders>
            <w:shd w:val="clear" w:color="000000" w:fill="F2F2F2"/>
            <w:noWrap/>
            <w:vAlign w:val="bottom"/>
            <w:hideMark/>
          </w:tcPr>
          <w:p w14:paraId="5A911345" w14:textId="77777777" w:rsidR="0095766D" w:rsidRPr="0095766D" w:rsidRDefault="0095766D" w:rsidP="0095766D">
            <w:pPr>
              <w:widowControl/>
              <w:autoSpaceDE/>
              <w:autoSpaceDN/>
              <w:jc w:val="center"/>
              <w:rPr>
                <w:color w:val="000000"/>
              </w:rPr>
            </w:pPr>
            <w:r w:rsidRPr="0095766D">
              <w:rPr>
                <w:color w:val="000000"/>
              </w:rPr>
              <w:t>CA</w:t>
            </w:r>
          </w:p>
        </w:tc>
        <w:tc>
          <w:tcPr>
            <w:tcW w:w="6037" w:type="dxa"/>
            <w:tcBorders>
              <w:top w:val="nil"/>
              <w:left w:val="nil"/>
              <w:bottom w:val="single" w:sz="4" w:space="0" w:color="auto"/>
              <w:right w:val="single" w:sz="4" w:space="0" w:color="auto"/>
            </w:tcBorders>
            <w:shd w:val="clear" w:color="000000" w:fill="F2F2F2"/>
            <w:noWrap/>
            <w:vAlign w:val="bottom"/>
            <w:hideMark/>
          </w:tcPr>
          <w:p w14:paraId="0A9D35F5" w14:textId="77777777" w:rsidR="0095766D" w:rsidRPr="0095766D" w:rsidRDefault="0095766D" w:rsidP="0095766D">
            <w:pPr>
              <w:widowControl/>
              <w:autoSpaceDE/>
              <w:autoSpaceDN/>
              <w:rPr>
                <w:color w:val="000000"/>
              </w:rPr>
            </w:pPr>
            <w:r w:rsidRPr="0095766D">
              <w:rPr>
                <w:color w:val="000000"/>
              </w:rPr>
              <w:t>California State University, Dominguez Hills Foundation</w:t>
            </w:r>
          </w:p>
        </w:tc>
        <w:tc>
          <w:tcPr>
            <w:tcW w:w="1760" w:type="dxa"/>
            <w:tcBorders>
              <w:top w:val="nil"/>
              <w:left w:val="nil"/>
              <w:bottom w:val="single" w:sz="4" w:space="0" w:color="auto"/>
              <w:right w:val="single" w:sz="4" w:space="0" w:color="auto"/>
            </w:tcBorders>
            <w:shd w:val="clear" w:color="000000" w:fill="F2F2F2"/>
            <w:noWrap/>
            <w:vAlign w:val="bottom"/>
            <w:hideMark/>
          </w:tcPr>
          <w:p w14:paraId="4C2B9D18" w14:textId="77777777" w:rsidR="0095766D" w:rsidRPr="0095766D" w:rsidRDefault="0095766D" w:rsidP="0095766D">
            <w:pPr>
              <w:widowControl/>
              <w:autoSpaceDE/>
              <w:autoSpaceDN/>
              <w:jc w:val="center"/>
              <w:rPr>
                <w:color w:val="000000"/>
              </w:rPr>
            </w:pPr>
            <w:r w:rsidRPr="0095766D">
              <w:rPr>
                <w:color w:val="000000"/>
              </w:rPr>
              <w:t>$599,662.00</w:t>
            </w:r>
          </w:p>
        </w:tc>
        <w:tc>
          <w:tcPr>
            <w:tcW w:w="800" w:type="dxa"/>
            <w:tcBorders>
              <w:top w:val="nil"/>
              <w:left w:val="nil"/>
              <w:bottom w:val="single" w:sz="4" w:space="0" w:color="auto"/>
              <w:right w:val="single" w:sz="4" w:space="0" w:color="auto"/>
            </w:tcBorders>
            <w:shd w:val="clear" w:color="000000" w:fill="F2F2F2"/>
            <w:noWrap/>
            <w:vAlign w:val="bottom"/>
            <w:hideMark/>
          </w:tcPr>
          <w:p w14:paraId="40367830" w14:textId="77777777" w:rsidR="0095766D" w:rsidRPr="0095766D" w:rsidRDefault="0095766D" w:rsidP="0095766D">
            <w:pPr>
              <w:widowControl/>
              <w:autoSpaceDE/>
              <w:autoSpaceDN/>
              <w:jc w:val="center"/>
              <w:rPr>
                <w:color w:val="000000"/>
              </w:rPr>
            </w:pPr>
            <w:r w:rsidRPr="0095766D">
              <w:rPr>
                <w:color w:val="000000"/>
              </w:rPr>
              <w:t>9</w:t>
            </w:r>
          </w:p>
        </w:tc>
      </w:tr>
      <w:tr w:rsidR="0095766D" w:rsidRPr="0095766D" w14:paraId="382E8256" w14:textId="77777777" w:rsidTr="0095766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2248613" w14:textId="77777777" w:rsidR="0095766D" w:rsidRPr="0095766D" w:rsidRDefault="0095766D" w:rsidP="0095766D">
            <w:pPr>
              <w:widowControl/>
              <w:autoSpaceDE/>
              <w:autoSpaceDN/>
              <w:jc w:val="center"/>
              <w:rPr>
                <w:color w:val="000000"/>
              </w:rPr>
            </w:pPr>
            <w:r w:rsidRPr="0095766D">
              <w:rPr>
                <w:color w:val="000000"/>
              </w:rPr>
              <w:t>CA</w:t>
            </w:r>
          </w:p>
        </w:tc>
        <w:tc>
          <w:tcPr>
            <w:tcW w:w="6037" w:type="dxa"/>
            <w:tcBorders>
              <w:top w:val="nil"/>
              <w:left w:val="nil"/>
              <w:bottom w:val="single" w:sz="4" w:space="0" w:color="auto"/>
              <w:right w:val="single" w:sz="4" w:space="0" w:color="auto"/>
            </w:tcBorders>
            <w:shd w:val="clear" w:color="auto" w:fill="auto"/>
            <w:noWrap/>
            <w:vAlign w:val="bottom"/>
            <w:hideMark/>
          </w:tcPr>
          <w:p w14:paraId="1E384445" w14:textId="77777777" w:rsidR="0095766D" w:rsidRPr="0095766D" w:rsidRDefault="0095766D" w:rsidP="0095766D">
            <w:pPr>
              <w:widowControl/>
              <w:autoSpaceDE/>
              <w:autoSpaceDN/>
              <w:rPr>
                <w:color w:val="000000"/>
              </w:rPr>
            </w:pPr>
            <w:r w:rsidRPr="0095766D">
              <w:rPr>
                <w:color w:val="000000"/>
              </w:rPr>
              <w:t>CSU, Chico Research Foundation</w:t>
            </w:r>
          </w:p>
        </w:tc>
        <w:tc>
          <w:tcPr>
            <w:tcW w:w="1760" w:type="dxa"/>
            <w:tcBorders>
              <w:top w:val="nil"/>
              <w:left w:val="nil"/>
              <w:bottom w:val="single" w:sz="4" w:space="0" w:color="auto"/>
              <w:right w:val="single" w:sz="4" w:space="0" w:color="auto"/>
            </w:tcBorders>
            <w:shd w:val="clear" w:color="auto" w:fill="auto"/>
            <w:noWrap/>
            <w:vAlign w:val="bottom"/>
            <w:hideMark/>
          </w:tcPr>
          <w:p w14:paraId="6F9FDBD6" w14:textId="77777777" w:rsidR="0095766D" w:rsidRPr="0095766D" w:rsidRDefault="0095766D" w:rsidP="0095766D">
            <w:pPr>
              <w:widowControl/>
              <w:autoSpaceDE/>
              <w:autoSpaceDN/>
              <w:jc w:val="center"/>
              <w:rPr>
                <w:color w:val="000000"/>
              </w:rPr>
            </w:pPr>
            <w:r w:rsidRPr="0095766D">
              <w:rPr>
                <w:color w:val="000000"/>
              </w:rPr>
              <w:t>$572,259.00</w:t>
            </w:r>
          </w:p>
        </w:tc>
        <w:tc>
          <w:tcPr>
            <w:tcW w:w="800" w:type="dxa"/>
            <w:tcBorders>
              <w:top w:val="nil"/>
              <w:left w:val="nil"/>
              <w:bottom w:val="single" w:sz="4" w:space="0" w:color="auto"/>
              <w:right w:val="single" w:sz="4" w:space="0" w:color="auto"/>
            </w:tcBorders>
            <w:shd w:val="clear" w:color="auto" w:fill="auto"/>
            <w:noWrap/>
            <w:vAlign w:val="bottom"/>
            <w:hideMark/>
          </w:tcPr>
          <w:p w14:paraId="62C1999A" w14:textId="77777777" w:rsidR="0095766D" w:rsidRPr="0095766D" w:rsidRDefault="0095766D" w:rsidP="0095766D">
            <w:pPr>
              <w:widowControl/>
              <w:autoSpaceDE/>
              <w:autoSpaceDN/>
              <w:jc w:val="center"/>
              <w:rPr>
                <w:color w:val="000000"/>
              </w:rPr>
            </w:pPr>
            <w:r w:rsidRPr="0095766D">
              <w:rPr>
                <w:color w:val="000000"/>
              </w:rPr>
              <w:t>10</w:t>
            </w:r>
          </w:p>
        </w:tc>
      </w:tr>
      <w:tr w:rsidR="0095766D" w:rsidRPr="0095766D" w14:paraId="31F57D8A" w14:textId="77777777" w:rsidTr="0095766D">
        <w:trPr>
          <w:trHeight w:val="300"/>
        </w:trPr>
        <w:tc>
          <w:tcPr>
            <w:tcW w:w="1020" w:type="dxa"/>
            <w:tcBorders>
              <w:top w:val="nil"/>
              <w:left w:val="single" w:sz="4" w:space="0" w:color="auto"/>
              <w:bottom w:val="single" w:sz="4" w:space="0" w:color="auto"/>
              <w:right w:val="single" w:sz="4" w:space="0" w:color="auto"/>
            </w:tcBorders>
            <w:shd w:val="clear" w:color="000000" w:fill="F2F2F2"/>
            <w:noWrap/>
            <w:vAlign w:val="bottom"/>
            <w:hideMark/>
          </w:tcPr>
          <w:p w14:paraId="6B4AEB77" w14:textId="77777777" w:rsidR="0095766D" w:rsidRPr="0095766D" w:rsidRDefault="0095766D" w:rsidP="0095766D">
            <w:pPr>
              <w:widowControl/>
              <w:autoSpaceDE/>
              <w:autoSpaceDN/>
              <w:jc w:val="center"/>
              <w:rPr>
                <w:color w:val="000000"/>
              </w:rPr>
            </w:pPr>
            <w:r w:rsidRPr="0095766D">
              <w:rPr>
                <w:color w:val="000000"/>
              </w:rPr>
              <w:t>CA</w:t>
            </w:r>
          </w:p>
        </w:tc>
        <w:tc>
          <w:tcPr>
            <w:tcW w:w="6037" w:type="dxa"/>
            <w:tcBorders>
              <w:top w:val="nil"/>
              <w:left w:val="nil"/>
              <w:bottom w:val="single" w:sz="4" w:space="0" w:color="auto"/>
              <w:right w:val="single" w:sz="4" w:space="0" w:color="auto"/>
            </w:tcBorders>
            <w:shd w:val="clear" w:color="000000" w:fill="F2F2F2"/>
            <w:noWrap/>
            <w:vAlign w:val="bottom"/>
            <w:hideMark/>
          </w:tcPr>
          <w:p w14:paraId="34382659" w14:textId="77777777" w:rsidR="0095766D" w:rsidRPr="0095766D" w:rsidRDefault="0095766D" w:rsidP="0095766D">
            <w:pPr>
              <w:widowControl/>
              <w:autoSpaceDE/>
              <w:autoSpaceDN/>
              <w:rPr>
                <w:color w:val="000000"/>
              </w:rPr>
            </w:pPr>
            <w:r w:rsidRPr="0095766D">
              <w:rPr>
                <w:color w:val="000000"/>
              </w:rPr>
              <w:t>Fresno City College</w:t>
            </w:r>
          </w:p>
        </w:tc>
        <w:tc>
          <w:tcPr>
            <w:tcW w:w="1760" w:type="dxa"/>
            <w:tcBorders>
              <w:top w:val="nil"/>
              <w:left w:val="nil"/>
              <w:bottom w:val="single" w:sz="4" w:space="0" w:color="auto"/>
              <w:right w:val="single" w:sz="4" w:space="0" w:color="auto"/>
            </w:tcBorders>
            <w:shd w:val="clear" w:color="000000" w:fill="F2F2F2"/>
            <w:noWrap/>
            <w:vAlign w:val="bottom"/>
            <w:hideMark/>
          </w:tcPr>
          <w:p w14:paraId="6923F062" w14:textId="77777777" w:rsidR="0095766D" w:rsidRPr="0095766D" w:rsidRDefault="0095766D" w:rsidP="0095766D">
            <w:pPr>
              <w:widowControl/>
              <w:autoSpaceDE/>
              <w:autoSpaceDN/>
              <w:jc w:val="center"/>
              <w:rPr>
                <w:color w:val="000000"/>
              </w:rPr>
            </w:pPr>
            <w:r w:rsidRPr="0095766D">
              <w:rPr>
                <w:color w:val="000000"/>
              </w:rPr>
              <w:t>$600,000.00</w:t>
            </w:r>
          </w:p>
        </w:tc>
        <w:tc>
          <w:tcPr>
            <w:tcW w:w="800" w:type="dxa"/>
            <w:tcBorders>
              <w:top w:val="nil"/>
              <w:left w:val="nil"/>
              <w:bottom w:val="single" w:sz="4" w:space="0" w:color="auto"/>
              <w:right w:val="single" w:sz="4" w:space="0" w:color="auto"/>
            </w:tcBorders>
            <w:shd w:val="clear" w:color="000000" w:fill="F2F2F2"/>
            <w:noWrap/>
            <w:vAlign w:val="bottom"/>
            <w:hideMark/>
          </w:tcPr>
          <w:p w14:paraId="22C9C774" w14:textId="77777777" w:rsidR="0095766D" w:rsidRPr="0095766D" w:rsidRDefault="0095766D" w:rsidP="0095766D">
            <w:pPr>
              <w:widowControl/>
              <w:autoSpaceDE/>
              <w:autoSpaceDN/>
              <w:jc w:val="center"/>
              <w:rPr>
                <w:color w:val="000000"/>
              </w:rPr>
            </w:pPr>
            <w:r w:rsidRPr="0095766D">
              <w:rPr>
                <w:color w:val="000000"/>
              </w:rPr>
              <w:t>11</w:t>
            </w:r>
          </w:p>
        </w:tc>
      </w:tr>
      <w:tr w:rsidR="0095766D" w:rsidRPr="0095766D" w14:paraId="440F512A" w14:textId="77777777" w:rsidTr="0095766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1DDED27" w14:textId="77777777" w:rsidR="0095766D" w:rsidRPr="0095766D" w:rsidRDefault="0095766D" w:rsidP="0095766D">
            <w:pPr>
              <w:widowControl/>
              <w:autoSpaceDE/>
              <w:autoSpaceDN/>
              <w:jc w:val="center"/>
              <w:rPr>
                <w:color w:val="000000"/>
              </w:rPr>
            </w:pPr>
            <w:r w:rsidRPr="0095766D">
              <w:rPr>
                <w:color w:val="000000"/>
              </w:rPr>
              <w:t>CA</w:t>
            </w:r>
          </w:p>
        </w:tc>
        <w:tc>
          <w:tcPr>
            <w:tcW w:w="6037" w:type="dxa"/>
            <w:tcBorders>
              <w:top w:val="nil"/>
              <w:left w:val="nil"/>
              <w:bottom w:val="single" w:sz="4" w:space="0" w:color="auto"/>
              <w:right w:val="single" w:sz="4" w:space="0" w:color="auto"/>
            </w:tcBorders>
            <w:shd w:val="clear" w:color="auto" w:fill="auto"/>
            <w:noWrap/>
            <w:vAlign w:val="bottom"/>
            <w:hideMark/>
          </w:tcPr>
          <w:p w14:paraId="29DFB8BA" w14:textId="77777777" w:rsidR="0095766D" w:rsidRPr="0095766D" w:rsidRDefault="0095766D" w:rsidP="0095766D">
            <w:pPr>
              <w:widowControl/>
              <w:autoSpaceDE/>
              <w:autoSpaceDN/>
              <w:rPr>
                <w:color w:val="000000"/>
              </w:rPr>
            </w:pPr>
            <w:r w:rsidRPr="0095766D">
              <w:rPr>
                <w:color w:val="000000"/>
              </w:rPr>
              <w:t>La Sierra University</w:t>
            </w:r>
          </w:p>
        </w:tc>
        <w:tc>
          <w:tcPr>
            <w:tcW w:w="1760" w:type="dxa"/>
            <w:tcBorders>
              <w:top w:val="nil"/>
              <w:left w:val="nil"/>
              <w:bottom w:val="single" w:sz="4" w:space="0" w:color="auto"/>
              <w:right w:val="single" w:sz="4" w:space="0" w:color="auto"/>
            </w:tcBorders>
            <w:shd w:val="clear" w:color="auto" w:fill="auto"/>
            <w:noWrap/>
            <w:vAlign w:val="bottom"/>
            <w:hideMark/>
          </w:tcPr>
          <w:p w14:paraId="06BE7CF5" w14:textId="77777777" w:rsidR="0095766D" w:rsidRPr="0095766D" w:rsidRDefault="0095766D" w:rsidP="0095766D">
            <w:pPr>
              <w:widowControl/>
              <w:autoSpaceDE/>
              <w:autoSpaceDN/>
              <w:jc w:val="center"/>
              <w:rPr>
                <w:color w:val="000000"/>
              </w:rPr>
            </w:pPr>
            <w:r w:rsidRPr="0095766D">
              <w:rPr>
                <w:color w:val="000000"/>
              </w:rPr>
              <w:t>$599,887.00</w:t>
            </w:r>
          </w:p>
        </w:tc>
        <w:tc>
          <w:tcPr>
            <w:tcW w:w="800" w:type="dxa"/>
            <w:tcBorders>
              <w:top w:val="nil"/>
              <w:left w:val="nil"/>
              <w:bottom w:val="single" w:sz="4" w:space="0" w:color="auto"/>
              <w:right w:val="single" w:sz="4" w:space="0" w:color="auto"/>
            </w:tcBorders>
            <w:shd w:val="clear" w:color="auto" w:fill="auto"/>
            <w:noWrap/>
            <w:vAlign w:val="bottom"/>
            <w:hideMark/>
          </w:tcPr>
          <w:p w14:paraId="54CC7E1F" w14:textId="77777777" w:rsidR="0095766D" w:rsidRPr="0095766D" w:rsidRDefault="0095766D" w:rsidP="0095766D">
            <w:pPr>
              <w:widowControl/>
              <w:autoSpaceDE/>
              <w:autoSpaceDN/>
              <w:jc w:val="center"/>
              <w:rPr>
                <w:color w:val="000000"/>
              </w:rPr>
            </w:pPr>
            <w:r w:rsidRPr="0095766D">
              <w:rPr>
                <w:color w:val="000000"/>
              </w:rPr>
              <w:t>12</w:t>
            </w:r>
          </w:p>
        </w:tc>
      </w:tr>
      <w:tr w:rsidR="0095766D" w:rsidRPr="0095766D" w14:paraId="303CF9E2" w14:textId="77777777" w:rsidTr="0095766D">
        <w:trPr>
          <w:trHeight w:val="300"/>
        </w:trPr>
        <w:tc>
          <w:tcPr>
            <w:tcW w:w="1020" w:type="dxa"/>
            <w:tcBorders>
              <w:top w:val="nil"/>
              <w:left w:val="single" w:sz="4" w:space="0" w:color="auto"/>
              <w:bottom w:val="single" w:sz="4" w:space="0" w:color="auto"/>
              <w:right w:val="single" w:sz="4" w:space="0" w:color="auto"/>
            </w:tcBorders>
            <w:shd w:val="clear" w:color="000000" w:fill="F2F2F2"/>
            <w:noWrap/>
            <w:vAlign w:val="bottom"/>
            <w:hideMark/>
          </w:tcPr>
          <w:p w14:paraId="1AA9934C" w14:textId="77777777" w:rsidR="0095766D" w:rsidRPr="0095766D" w:rsidRDefault="0095766D" w:rsidP="0095766D">
            <w:pPr>
              <w:widowControl/>
              <w:autoSpaceDE/>
              <w:autoSpaceDN/>
              <w:jc w:val="center"/>
              <w:rPr>
                <w:color w:val="000000"/>
              </w:rPr>
            </w:pPr>
            <w:r w:rsidRPr="0095766D">
              <w:rPr>
                <w:color w:val="000000"/>
              </w:rPr>
              <w:t>CA</w:t>
            </w:r>
          </w:p>
        </w:tc>
        <w:tc>
          <w:tcPr>
            <w:tcW w:w="6037" w:type="dxa"/>
            <w:tcBorders>
              <w:top w:val="nil"/>
              <w:left w:val="nil"/>
              <w:bottom w:val="single" w:sz="4" w:space="0" w:color="auto"/>
              <w:right w:val="single" w:sz="4" w:space="0" w:color="auto"/>
            </w:tcBorders>
            <w:shd w:val="clear" w:color="000000" w:fill="F2F2F2"/>
            <w:noWrap/>
            <w:vAlign w:val="bottom"/>
            <w:hideMark/>
          </w:tcPr>
          <w:p w14:paraId="768498AF" w14:textId="77777777" w:rsidR="0095766D" w:rsidRPr="0095766D" w:rsidRDefault="0095766D" w:rsidP="0095766D">
            <w:pPr>
              <w:widowControl/>
              <w:autoSpaceDE/>
              <w:autoSpaceDN/>
              <w:rPr>
                <w:color w:val="000000"/>
              </w:rPr>
            </w:pPr>
            <w:r w:rsidRPr="0095766D">
              <w:rPr>
                <w:color w:val="000000"/>
              </w:rPr>
              <w:t>Long Beach Community College District</w:t>
            </w:r>
          </w:p>
        </w:tc>
        <w:tc>
          <w:tcPr>
            <w:tcW w:w="1760" w:type="dxa"/>
            <w:tcBorders>
              <w:top w:val="nil"/>
              <w:left w:val="nil"/>
              <w:bottom w:val="single" w:sz="4" w:space="0" w:color="auto"/>
              <w:right w:val="single" w:sz="4" w:space="0" w:color="auto"/>
            </w:tcBorders>
            <w:shd w:val="clear" w:color="000000" w:fill="F2F2F2"/>
            <w:noWrap/>
            <w:vAlign w:val="bottom"/>
            <w:hideMark/>
          </w:tcPr>
          <w:p w14:paraId="57E255C1" w14:textId="77777777" w:rsidR="0095766D" w:rsidRPr="0095766D" w:rsidRDefault="0095766D" w:rsidP="0095766D">
            <w:pPr>
              <w:widowControl/>
              <w:autoSpaceDE/>
              <w:autoSpaceDN/>
              <w:jc w:val="center"/>
              <w:rPr>
                <w:color w:val="000000"/>
              </w:rPr>
            </w:pPr>
            <w:r w:rsidRPr="0095766D">
              <w:rPr>
                <w:color w:val="000000"/>
              </w:rPr>
              <w:t>$600,000.00</w:t>
            </w:r>
          </w:p>
        </w:tc>
        <w:tc>
          <w:tcPr>
            <w:tcW w:w="800" w:type="dxa"/>
            <w:tcBorders>
              <w:top w:val="nil"/>
              <w:left w:val="nil"/>
              <w:bottom w:val="single" w:sz="4" w:space="0" w:color="auto"/>
              <w:right w:val="single" w:sz="4" w:space="0" w:color="auto"/>
            </w:tcBorders>
            <w:shd w:val="clear" w:color="000000" w:fill="F2F2F2"/>
            <w:noWrap/>
            <w:vAlign w:val="bottom"/>
            <w:hideMark/>
          </w:tcPr>
          <w:p w14:paraId="2100A169" w14:textId="77777777" w:rsidR="0095766D" w:rsidRPr="0095766D" w:rsidRDefault="0095766D" w:rsidP="0095766D">
            <w:pPr>
              <w:widowControl/>
              <w:autoSpaceDE/>
              <w:autoSpaceDN/>
              <w:jc w:val="center"/>
              <w:rPr>
                <w:color w:val="000000"/>
              </w:rPr>
            </w:pPr>
            <w:r w:rsidRPr="0095766D">
              <w:rPr>
                <w:color w:val="000000"/>
              </w:rPr>
              <w:t>13</w:t>
            </w:r>
          </w:p>
        </w:tc>
      </w:tr>
      <w:tr w:rsidR="0095766D" w:rsidRPr="0095766D" w14:paraId="054E0AA6" w14:textId="77777777" w:rsidTr="0095766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E4B2A8B" w14:textId="77777777" w:rsidR="0095766D" w:rsidRPr="0095766D" w:rsidRDefault="0095766D" w:rsidP="0095766D">
            <w:pPr>
              <w:widowControl/>
              <w:autoSpaceDE/>
              <w:autoSpaceDN/>
              <w:jc w:val="center"/>
              <w:rPr>
                <w:color w:val="000000"/>
              </w:rPr>
            </w:pPr>
            <w:r w:rsidRPr="0095766D">
              <w:rPr>
                <w:color w:val="000000"/>
              </w:rPr>
              <w:t>CA</w:t>
            </w:r>
          </w:p>
        </w:tc>
        <w:tc>
          <w:tcPr>
            <w:tcW w:w="6037" w:type="dxa"/>
            <w:tcBorders>
              <w:top w:val="nil"/>
              <w:left w:val="nil"/>
              <w:bottom w:val="single" w:sz="4" w:space="0" w:color="auto"/>
              <w:right w:val="single" w:sz="4" w:space="0" w:color="auto"/>
            </w:tcBorders>
            <w:shd w:val="clear" w:color="auto" w:fill="auto"/>
            <w:noWrap/>
            <w:vAlign w:val="bottom"/>
            <w:hideMark/>
          </w:tcPr>
          <w:p w14:paraId="14ABEF5D" w14:textId="77777777" w:rsidR="0095766D" w:rsidRPr="0095766D" w:rsidRDefault="0095766D" w:rsidP="0095766D">
            <w:pPr>
              <w:widowControl/>
              <w:autoSpaceDE/>
              <w:autoSpaceDN/>
              <w:rPr>
                <w:color w:val="000000"/>
              </w:rPr>
            </w:pPr>
            <w:r w:rsidRPr="0095766D">
              <w:rPr>
                <w:color w:val="000000"/>
              </w:rPr>
              <w:t>Los Angeles Valley College</w:t>
            </w:r>
          </w:p>
        </w:tc>
        <w:tc>
          <w:tcPr>
            <w:tcW w:w="1760" w:type="dxa"/>
            <w:tcBorders>
              <w:top w:val="nil"/>
              <w:left w:val="nil"/>
              <w:bottom w:val="single" w:sz="4" w:space="0" w:color="auto"/>
              <w:right w:val="single" w:sz="4" w:space="0" w:color="auto"/>
            </w:tcBorders>
            <w:shd w:val="clear" w:color="auto" w:fill="auto"/>
            <w:noWrap/>
            <w:vAlign w:val="bottom"/>
            <w:hideMark/>
          </w:tcPr>
          <w:p w14:paraId="230A8699" w14:textId="4C901E21" w:rsidR="0095766D" w:rsidRPr="0095766D" w:rsidRDefault="0095766D" w:rsidP="0095766D">
            <w:pPr>
              <w:widowControl/>
              <w:autoSpaceDE/>
              <w:autoSpaceDN/>
              <w:jc w:val="center"/>
              <w:rPr>
                <w:color w:val="000000"/>
              </w:rPr>
            </w:pPr>
            <w:r w:rsidRPr="0095766D">
              <w:rPr>
                <w:color w:val="000000"/>
              </w:rPr>
              <w:t>$60</w:t>
            </w:r>
            <w:r w:rsidR="000E0F1C">
              <w:rPr>
                <w:color w:val="000000"/>
              </w:rPr>
              <w:t>0</w:t>
            </w:r>
            <w:r w:rsidRPr="0095766D">
              <w:rPr>
                <w:color w:val="000000"/>
              </w:rPr>
              <w:t>,</w:t>
            </w:r>
            <w:r w:rsidR="000E0F1C">
              <w:rPr>
                <w:color w:val="000000"/>
              </w:rPr>
              <w:t>000</w:t>
            </w:r>
            <w:r w:rsidRPr="0095766D">
              <w:rPr>
                <w:color w:val="000000"/>
              </w:rPr>
              <w:t>.00</w:t>
            </w:r>
          </w:p>
        </w:tc>
        <w:tc>
          <w:tcPr>
            <w:tcW w:w="800" w:type="dxa"/>
            <w:tcBorders>
              <w:top w:val="nil"/>
              <w:left w:val="nil"/>
              <w:bottom w:val="single" w:sz="4" w:space="0" w:color="auto"/>
              <w:right w:val="single" w:sz="4" w:space="0" w:color="auto"/>
            </w:tcBorders>
            <w:shd w:val="clear" w:color="auto" w:fill="auto"/>
            <w:noWrap/>
            <w:vAlign w:val="bottom"/>
            <w:hideMark/>
          </w:tcPr>
          <w:p w14:paraId="65DA5DD1" w14:textId="77777777" w:rsidR="0095766D" w:rsidRPr="0095766D" w:rsidRDefault="0095766D" w:rsidP="0095766D">
            <w:pPr>
              <w:widowControl/>
              <w:autoSpaceDE/>
              <w:autoSpaceDN/>
              <w:jc w:val="center"/>
              <w:rPr>
                <w:color w:val="000000"/>
              </w:rPr>
            </w:pPr>
            <w:r w:rsidRPr="0095766D">
              <w:rPr>
                <w:color w:val="000000"/>
              </w:rPr>
              <w:t>14</w:t>
            </w:r>
          </w:p>
        </w:tc>
      </w:tr>
      <w:tr w:rsidR="0095766D" w:rsidRPr="0095766D" w14:paraId="3C23CF24" w14:textId="77777777" w:rsidTr="0095766D">
        <w:trPr>
          <w:trHeight w:val="300"/>
        </w:trPr>
        <w:tc>
          <w:tcPr>
            <w:tcW w:w="1020" w:type="dxa"/>
            <w:tcBorders>
              <w:top w:val="nil"/>
              <w:left w:val="single" w:sz="4" w:space="0" w:color="auto"/>
              <w:bottom w:val="single" w:sz="4" w:space="0" w:color="auto"/>
              <w:right w:val="single" w:sz="4" w:space="0" w:color="auto"/>
            </w:tcBorders>
            <w:shd w:val="clear" w:color="000000" w:fill="F2F2F2"/>
            <w:noWrap/>
            <w:vAlign w:val="bottom"/>
            <w:hideMark/>
          </w:tcPr>
          <w:p w14:paraId="1DFB2F1D" w14:textId="77777777" w:rsidR="0095766D" w:rsidRPr="0095766D" w:rsidRDefault="0095766D" w:rsidP="0095766D">
            <w:pPr>
              <w:widowControl/>
              <w:autoSpaceDE/>
              <w:autoSpaceDN/>
              <w:jc w:val="center"/>
              <w:rPr>
                <w:color w:val="000000"/>
              </w:rPr>
            </w:pPr>
            <w:r w:rsidRPr="0095766D">
              <w:rPr>
                <w:color w:val="000000"/>
              </w:rPr>
              <w:t>CA</w:t>
            </w:r>
          </w:p>
        </w:tc>
        <w:tc>
          <w:tcPr>
            <w:tcW w:w="6037" w:type="dxa"/>
            <w:tcBorders>
              <w:top w:val="nil"/>
              <w:left w:val="nil"/>
              <w:bottom w:val="single" w:sz="4" w:space="0" w:color="auto"/>
              <w:right w:val="single" w:sz="4" w:space="0" w:color="auto"/>
            </w:tcBorders>
            <w:shd w:val="clear" w:color="000000" w:fill="F2F2F2"/>
            <w:noWrap/>
            <w:vAlign w:val="bottom"/>
            <w:hideMark/>
          </w:tcPr>
          <w:p w14:paraId="484B36D7" w14:textId="77777777" w:rsidR="0095766D" w:rsidRPr="0095766D" w:rsidRDefault="0095766D" w:rsidP="0095766D">
            <w:pPr>
              <w:widowControl/>
              <w:autoSpaceDE/>
              <w:autoSpaceDN/>
              <w:rPr>
                <w:color w:val="000000"/>
              </w:rPr>
            </w:pPr>
            <w:r w:rsidRPr="0095766D">
              <w:rPr>
                <w:color w:val="000000"/>
              </w:rPr>
              <w:t>Mt. San Antonio College</w:t>
            </w:r>
          </w:p>
        </w:tc>
        <w:tc>
          <w:tcPr>
            <w:tcW w:w="1760" w:type="dxa"/>
            <w:tcBorders>
              <w:top w:val="nil"/>
              <w:left w:val="nil"/>
              <w:bottom w:val="single" w:sz="4" w:space="0" w:color="auto"/>
              <w:right w:val="single" w:sz="4" w:space="0" w:color="auto"/>
            </w:tcBorders>
            <w:shd w:val="clear" w:color="000000" w:fill="F2F2F2"/>
            <w:noWrap/>
            <w:vAlign w:val="bottom"/>
            <w:hideMark/>
          </w:tcPr>
          <w:p w14:paraId="08839EA4" w14:textId="77777777" w:rsidR="0095766D" w:rsidRPr="0095766D" w:rsidRDefault="0095766D" w:rsidP="0095766D">
            <w:pPr>
              <w:widowControl/>
              <w:autoSpaceDE/>
              <w:autoSpaceDN/>
              <w:jc w:val="center"/>
              <w:rPr>
                <w:color w:val="000000"/>
              </w:rPr>
            </w:pPr>
            <w:r w:rsidRPr="0095766D">
              <w:rPr>
                <w:color w:val="000000"/>
              </w:rPr>
              <w:t>$599,938.00</w:t>
            </w:r>
          </w:p>
        </w:tc>
        <w:tc>
          <w:tcPr>
            <w:tcW w:w="800" w:type="dxa"/>
            <w:tcBorders>
              <w:top w:val="nil"/>
              <w:left w:val="nil"/>
              <w:bottom w:val="single" w:sz="4" w:space="0" w:color="auto"/>
              <w:right w:val="single" w:sz="4" w:space="0" w:color="auto"/>
            </w:tcBorders>
            <w:shd w:val="clear" w:color="000000" w:fill="F2F2F2"/>
            <w:noWrap/>
            <w:vAlign w:val="bottom"/>
            <w:hideMark/>
          </w:tcPr>
          <w:p w14:paraId="3C69A676" w14:textId="77777777" w:rsidR="0095766D" w:rsidRPr="0095766D" w:rsidRDefault="0095766D" w:rsidP="0095766D">
            <w:pPr>
              <w:widowControl/>
              <w:autoSpaceDE/>
              <w:autoSpaceDN/>
              <w:jc w:val="center"/>
              <w:rPr>
                <w:color w:val="000000"/>
              </w:rPr>
            </w:pPr>
            <w:r w:rsidRPr="0095766D">
              <w:rPr>
                <w:color w:val="000000"/>
              </w:rPr>
              <w:t>15</w:t>
            </w:r>
          </w:p>
        </w:tc>
      </w:tr>
      <w:tr w:rsidR="0095766D" w:rsidRPr="0095766D" w14:paraId="2FE44106" w14:textId="77777777" w:rsidTr="0095766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4CE5C7D" w14:textId="77777777" w:rsidR="0095766D" w:rsidRPr="0095766D" w:rsidRDefault="0095766D" w:rsidP="0095766D">
            <w:pPr>
              <w:widowControl/>
              <w:autoSpaceDE/>
              <w:autoSpaceDN/>
              <w:jc w:val="center"/>
              <w:rPr>
                <w:color w:val="000000"/>
              </w:rPr>
            </w:pPr>
            <w:r w:rsidRPr="0095766D">
              <w:rPr>
                <w:color w:val="000000"/>
              </w:rPr>
              <w:t>CA</w:t>
            </w:r>
          </w:p>
        </w:tc>
        <w:tc>
          <w:tcPr>
            <w:tcW w:w="6037" w:type="dxa"/>
            <w:tcBorders>
              <w:top w:val="nil"/>
              <w:left w:val="nil"/>
              <w:bottom w:val="single" w:sz="4" w:space="0" w:color="auto"/>
              <w:right w:val="single" w:sz="4" w:space="0" w:color="auto"/>
            </w:tcBorders>
            <w:shd w:val="clear" w:color="auto" w:fill="auto"/>
            <w:noWrap/>
            <w:vAlign w:val="bottom"/>
            <w:hideMark/>
          </w:tcPr>
          <w:p w14:paraId="3BBEFB08" w14:textId="77777777" w:rsidR="0095766D" w:rsidRPr="0095766D" w:rsidRDefault="0095766D" w:rsidP="0095766D">
            <w:pPr>
              <w:widowControl/>
              <w:autoSpaceDE/>
              <w:autoSpaceDN/>
              <w:rPr>
                <w:color w:val="000000"/>
              </w:rPr>
            </w:pPr>
            <w:r w:rsidRPr="0095766D">
              <w:rPr>
                <w:color w:val="000000"/>
              </w:rPr>
              <w:t>North Orange County Community College District - Cypress CC</w:t>
            </w:r>
          </w:p>
        </w:tc>
        <w:tc>
          <w:tcPr>
            <w:tcW w:w="1760" w:type="dxa"/>
            <w:tcBorders>
              <w:top w:val="nil"/>
              <w:left w:val="nil"/>
              <w:bottom w:val="single" w:sz="4" w:space="0" w:color="auto"/>
              <w:right w:val="single" w:sz="4" w:space="0" w:color="auto"/>
            </w:tcBorders>
            <w:shd w:val="clear" w:color="auto" w:fill="auto"/>
            <w:noWrap/>
            <w:vAlign w:val="bottom"/>
            <w:hideMark/>
          </w:tcPr>
          <w:p w14:paraId="28B130A8" w14:textId="77777777" w:rsidR="0095766D" w:rsidRPr="0095766D" w:rsidRDefault="0095766D" w:rsidP="0095766D">
            <w:pPr>
              <w:widowControl/>
              <w:autoSpaceDE/>
              <w:autoSpaceDN/>
              <w:jc w:val="center"/>
              <w:rPr>
                <w:color w:val="000000"/>
              </w:rPr>
            </w:pPr>
            <w:r w:rsidRPr="0095766D">
              <w:rPr>
                <w:color w:val="000000"/>
              </w:rPr>
              <w:t>$528,451.00</w:t>
            </w:r>
          </w:p>
        </w:tc>
        <w:tc>
          <w:tcPr>
            <w:tcW w:w="800" w:type="dxa"/>
            <w:tcBorders>
              <w:top w:val="nil"/>
              <w:left w:val="nil"/>
              <w:bottom w:val="single" w:sz="4" w:space="0" w:color="auto"/>
              <w:right w:val="single" w:sz="4" w:space="0" w:color="auto"/>
            </w:tcBorders>
            <w:shd w:val="clear" w:color="auto" w:fill="auto"/>
            <w:noWrap/>
            <w:vAlign w:val="bottom"/>
            <w:hideMark/>
          </w:tcPr>
          <w:p w14:paraId="30A47333" w14:textId="77777777" w:rsidR="0095766D" w:rsidRPr="0095766D" w:rsidRDefault="0095766D" w:rsidP="0095766D">
            <w:pPr>
              <w:widowControl/>
              <w:autoSpaceDE/>
              <w:autoSpaceDN/>
              <w:jc w:val="center"/>
              <w:rPr>
                <w:color w:val="000000"/>
              </w:rPr>
            </w:pPr>
            <w:r w:rsidRPr="0095766D">
              <w:rPr>
                <w:color w:val="000000"/>
              </w:rPr>
              <w:t>16</w:t>
            </w:r>
          </w:p>
        </w:tc>
      </w:tr>
      <w:tr w:rsidR="0095766D" w:rsidRPr="0095766D" w14:paraId="735A0C87" w14:textId="77777777" w:rsidTr="0095766D">
        <w:trPr>
          <w:trHeight w:val="300"/>
        </w:trPr>
        <w:tc>
          <w:tcPr>
            <w:tcW w:w="1020" w:type="dxa"/>
            <w:tcBorders>
              <w:top w:val="nil"/>
              <w:left w:val="single" w:sz="4" w:space="0" w:color="auto"/>
              <w:bottom w:val="single" w:sz="4" w:space="0" w:color="auto"/>
              <w:right w:val="single" w:sz="4" w:space="0" w:color="auto"/>
            </w:tcBorders>
            <w:shd w:val="clear" w:color="000000" w:fill="F2F2F2"/>
            <w:noWrap/>
            <w:vAlign w:val="bottom"/>
            <w:hideMark/>
          </w:tcPr>
          <w:p w14:paraId="629F4052" w14:textId="77777777" w:rsidR="0095766D" w:rsidRPr="0095766D" w:rsidRDefault="0095766D" w:rsidP="0095766D">
            <w:pPr>
              <w:widowControl/>
              <w:autoSpaceDE/>
              <w:autoSpaceDN/>
              <w:jc w:val="center"/>
              <w:rPr>
                <w:color w:val="000000"/>
              </w:rPr>
            </w:pPr>
            <w:r w:rsidRPr="0095766D">
              <w:rPr>
                <w:color w:val="000000"/>
              </w:rPr>
              <w:t>CA</w:t>
            </w:r>
          </w:p>
        </w:tc>
        <w:tc>
          <w:tcPr>
            <w:tcW w:w="6037" w:type="dxa"/>
            <w:tcBorders>
              <w:top w:val="nil"/>
              <w:left w:val="nil"/>
              <w:bottom w:val="single" w:sz="4" w:space="0" w:color="auto"/>
              <w:right w:val="single" w:sz="4" w:space="0" w:color="auto"/>
            </w:tcBorders>
            <w:shd w:val="clear" w:color="000000" w:fill="F2F2F2"/>
            <w:noWrap/>
            <w:vAlign w:val="bottom"/>
            <w:hideMark/>
          </w:tcPr>
          <w:p w14:paraId="12736C06" w14:textId="77777777" w:rsidR="0095766D" w:rsidRPr="0095766D" w:rsidRDefault="0095766D" w:rsidP="0095766D">
            <w:pPr>
              <w:widowControl/>
              <w:autoSpaceDE/>
              <w:autoSpaceDN/>
              <w:rPr>
                <w:color w:val="000000"/>
              </w:rPr>
            </w:pPr>
            <w:r w:rsidRPr="0095766D">
              <w:rPr>
                <w:color w:val="000000"/>
              </w:rPr>
              <w:t>Pasadena City College</w:t>
            </w:r>
          </w:p>
        </w:tc>
        <w:tc>
          <w:tcPr>
            <w:tcW w:w="1760" w:type="dxa"/>
            <w:tcBorders>
              <w:top w:val="nil"/>
              <w:left w:val="nil"/>
              <w:bottom w:val="single" w:sz="4" w:space="0" w:color="auto"/>
              <w:right w:val="single" w:sz="4" w:space="0" w:color="auto"/>
            </w:tcBorders>
            <w:shd w:val="clear" w:color="000000" w:fill="F2F2F2"/>
            <w:noWrap/>
            <w:vAlign w:val="bottom"/>
            <w:hideMark/>
          </w:tcPr>
          <w:p w14:paraId="7103DAAC" w14:textId="77777777" w:rsidR="0095766D" w:rsidRPr="0095766D" w:rsidRDefault="0095766D" w:rsidP="0095766D">
            <w:pPr>
              <w:widowControl/>
              <w:autoSpaceDE/>
              <w:autoSpaceDN/>
              <w:jc w:val="center"/>
              <w:rPr>
                <w:color w:val="000000"/>
              </w:rPr>
            </w:pPr>
            <w:r w:rsidRPr="0095766D">
              <w:rPr>
                <w:color w:val="000000"/>
              </w:rPr>
              <w:t>$600,000.00</w:t>
            </w:r>
          </w:p>
        </w:tc>
        <w:tc>
          <w:tcPr>
            <w:tcW w:w="800" w:type="dxa"/>
            <w:tcBorders>
              <w:top w:val="nil"/>
              <w:left w:val="nil"/>
              <w:bottom w:val="single" w:sz="4" w:space="0" w:color="auto"/>
              <w:right w:val="single" w:sz="4" w:space="0" w:color="auto"/>
            </w:tcBorders>
            <w:shd w:val="clear" w:color="000000" w:fill="F2F2F2"/>
            <w:noWrap/>
            <w:vAlign w:val="bottom"/>
            <w:hideMark/>
          </w:tcPr>
          <w:p w14:paraId="3BE8F70A" w14:textId="77777777" w:rsidR="0095766D" w:rsidRPr="0095766D" w:rsidRDefault="0095766D" w:rsidP="0095766D">
            <w:pPr>
              <w:widowControl/>
              <w:autoSpaceDE/>
              <w:autoSpaceDN/>
              <w:jc w:val="center"/>
              <w:rPr>
                <w:color w:val="000000"/>
              </w:rPr>
            </w:pPr>
            <w:r w:rsidRPr="0095766D">
              <w:rPr>
                <w:color w:val="000000"/>
              </w:rPr>
              <w:t>17</w:t>
            </w:r>
          </w:p>
        </w:tc>
      </w:tr>
      <w:tr w:rsidR="0095766D" w:rsidRPr="0095766D" w14:paraId="77B010F0" w14:textId="77777777" w:rsidTr="0095766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09F8556" w14:textId="77777777" w:rsidR="0095766D" w:rsidRPr="0095766D" w:rsidRDefault="0095766D" w:rsidP="0095766D">
            <w:pPr>
              <w:widowControl/>
              <w:autoSpaceDE/>
              <w:autoSpaceDN/>
              <w:jc w:val="center"/>
              <w:rPr>
                <w:color w:val="000000"/>
              </w:rPr>
            </w:pPr>
            <w:r w:rsidRPr="0095766D">
              <w:rPr>
                <w:color w:val="000000"/>
              </w:rPr>
              <w:t>CA</w:t>
            </w:r>
          </w:p>
        </w:tc>
        <w:tc>
          <w:tcPr>
            <w:tcW w:w="6037" w:type="dxa"/>
            <w:tcBorders>
              <w:top w:val="nil"/>
              <w:left w:val="nil"/>
              <w:bottom w:val="single" w:sz="4" w:space="0" w:color="auto"/>
              <w:right w:val="single" w:sz="4" w:space="0" w:color="auto"/>
            </w:tcBorders>
            <w:shd w:val="clear" w:color="auto" w:fill="auto"/>
            <w:noWrap/>
            <w:vAlign w:val="bottom"/>
            <w:hideMark/>
          </w:tcPr>
          <w:p w14:paraId="62CB1C77" w14:textId="77777777" w:rsidR="0095766D" w:rsidRPr="0095766D" w:rsidRDefault="0095766D" w:rsidP="0095766D">
            <w:pPr>
              <w:widowControl/>
              <w:autoSpaceDE/>
              <w:autoSpaceDN/>
              <w:rPr>
                <w:color w:val="000000"/>
              </w:rPr>
            </w:pPr>
            <w:r w:rsidRPr="0095766D">
              <w:rPr>
                <w:color w:val="000000"/>
              </w:rPr>
              <w:t>Peralta Community College District</w:t>
            </w:r>
          </w:p>
        </w:tc>
        <w:tc>
          <w:tcPr>
            <w:tcW w:w="1760" w:type="dxa"/>
            <w:tcBorders>
              <w:top w:val="nil"/>
              <w:left w:val="nil"/>
              <w:bottom w:val="single" w:sz="4" w:space="0" w:color="auto"/>
              <w:right w:val="single" w:sz="4" w:space="0" w:color="auto"/>
            </w:tcBorders>
            <w:shd w:val="clear" w:color="auto" w:fill="auto"/>
            <w:noWrap/>
            <w:vAlign w:val="bottom"/>
            <w:hideMark/>
          </w:tcPr>
          <w:p w14:paraId="250FF479" w14:textId="77777777" w:rsidR="0095766D" w:rsidRPr="0095766D" w:rsidRDefault="0095766D" w:rsidP="0095766D">
            <w:pPr>
              <w:widowControl/>
              <w:autoSpaceDE/>
              <w:autoSpaceDN/>
              <w:jc w:val="center"/>
              <w:rPr>
                <w:color w:val="000000"/>
              </w:rPr>
            </w:pPr>
            <w:r w:rsidRPr="0095766D">
              <w:rPr>
                <w:color w:val="000000"/>
              </w:rPr>
              <w:t>$596,950.00</w:t>
            </w:r>
          </w:p>
        </w:tc>
        <w:tc>
          <w:tcPr>
            <w:tcW w:w="800" w:type="dxa"/>
            <w:tcBorders>
              <w:top w:val="nil"/>
              <w:left w:val="nil"/>
              <w:bottom w:val="single" w:sz="4" w:space="0" w:color="auto"/>
              <w:right w:val="single" w:sz="4" w:space="0" w:color="auto"/>
            </w:tcBorders>
            <w:shd w:val="clear" w:color="auto" w:fill="auto"/>
            <w:noWrap/>
            <w:vAlign w:val="bottom"/>
            <w:hideMark/>
          </w:tcPr>
          <w:p w14:paraId="7022875E" w14:textId="77777777" w:rsidR="0095766D" w:rsidRPr="0095766D" w:rsidRDefault="0095766D" w:rsidP="0095766D">
            <w:pPr>
              <w:widowControl/>
              <w:autoSpaceDE/>
              <w:autoSpaceDN/>
              <w:jc w:val="center"/>
              <w:rPr>
                <w:color w:val="000000"/>
              </w:rPr>
            </w:pPr>
            <w:r w:rsidRPr="0095766D">
              <w:rPr>
                <w:color w:val="000000"/>
              </w:rPr>
              <w:t>18</w:t>
            </w:r>
          </w:p>
        </w:tc>
      </w:tr>
      <w:tr w:rsidR="0095766D" w:rsidRPr="0095766D" w14:paraId="1CE60105" w14:textId="77777777" w:rsidTr="0095766D">
        <w:trPr>
          <w:trHeight w:val="300"/>
        </w:trPr>
        <w:tc>
          <w:tcPr>
            <w:tcW w:w="1020" w:type="dxa"/>
            <w:tcBorders>
              <w:top w:val="nil"/>
              <w:left w:val="single" w:sz="4" w:space="0" w:color="auto"/>
              <w:bottom w:val="single" w:sz="4" w:space="0" w:color="auto"/>
              <w:right w:val="single" w:sz="4" w:space="0" w:color="auto"/>
            </w:tcBorders>
            <w:shd w:val="clear" w:color="000000" w:fill="F2F2F2"/>
            <w:noWrap/>
            <w:vAlign w:val="bottom"/>
            <w:hideMark/>
          </w:tcPr>
          <w:p w14:paraId="3886C7B1" w14:textId="77777777" w:rsidR="0095766D" w:rsidRPr="0095766D" w:rsidRDefault="0095766D" w:rsidP="0095766D">
            <w:pPr>
              <w:widowControl/>
              <w:autoSpaceDE/>
              <w:autoSpaceDN/>
              <w:jc w:val="center"/>
              <w:rPr>
                <w:color w:val="000000"/>
              </w:rPr>
            </w:pPr>
            <w:r w:rsidRPr="0095766D">
              <w:rPr>
                <w:color w:val="000000"/>
              </w:rPr>
              <w:t>CA</w:t>
            </w:r>
          </w:p>
        </w:tc>
        <w:tc>
          <w:tcPr>
            <w:tcW w:w="6037" w:type="dxa"/>
            <w:tcBorders>
              <w:top w:val="nil"/>
              <w:left w:val="nil"/>
              <w:bottom w:val="single" w:sz="4" w:space="0" w:color="auto"/>
              <w:right w:val="single" w:sz="4" w:space="0" w:color="auto"/>
            </w:tcBorders>
            <w:shd w:val="clear" w:color="000000" w:fill="F2F2F2"/>
            <w:noWrap/>
            <w:vAlign w:val="bottom"/>
            <w:hideMark/>
          </w:tcPr>
          <w:p w14:paraId="25A7988F" w14:textId="77777777" w:rsidR="0095766D" w:rsidRPr="0095766D" w:rsidRDefault="0095766D" w:rsidP="0095766D">
            <w:pPr>
              <w:widowControl/>
              <w:autoSpaceDE/>
              <w:autoSpaceDN/>
              <w:rPr>
                <w:color w:val="000000"/>
              </w:rPr>
            </w:pPr>
            <w:r w:rsidRPr="0095766D">
              <w:rPr>
                <w:color w:val="000000"/>
              </w:rPr>
              <w:t>Reedley College</w:t>
            </w:r>
          </w:p>
        </w:tc>
        <w:tc>
          <w:tcPr>
            <w:tcW w:w="1760" w:type="dxa"/>
            <w:tcBorders>
              <w:top w:val="nil"/>
              <w:left w:val="nil"/>
              <w:bottom w:val="single" w:sz="4" w:space="0" w:color="auto"/>
              <w:right w:val="single" w:sz="4" w:space="0" w:color="auto"/>
            </w:tcBorders>
            <w:shd w:val="clear" w:color="000000" w:fill="F2F2F2"/>
            <w:noWrap/>
            <w:vAlign w:val="bottom"/>
            <w:hideMark/>
          </w:tcPr>
          <w:p w14:paraId="299475D3" w14:textId="77777777" w:rsidR="0095766D" w:rsidRPr="0095766D" w:rsidRDefault="0095766D" w:rsidP="0095766D">
            <w:pPr>
              <w:widowControl/>
              <w:autoSpaceDE/>
              <w:autoSpaceDN/>
              <w:jc w:val="center"/>
              <w:rPr>
                <w:color w:val="000000"/>
              </w:rPr>
            </w:pPr>
            <w:r w:rsidRPr="0095766D">
              <w:rPr>
                <w:color w:val="000000"/>
              </w:rPr>
              <w:t>$600,000.00</w:t>
            </w:r>
          </w:p>
        </w:tc>
        <w:tc>
          <w:tcPr>
            <w:tcW w:w="800" w:type="dxa"/>
            <w:tcBorders>
              <w:top w:val="nil"/>
              <w:left w:val="nil"/>
              <w:bottom w:val="single" w:sz="4" w:space="0" w:color="auto"/>
              <w:right w:val="single" w:sz="4" w:space="0" w:color="auto"/>
            </w:tcBorders>
            <w:shd w:val="clear" w:color="000000" w:fill="F2F2F2"/>
            <w:noWrap/>
            <w:vAlign w:val="bottom"/>
            <w:hideMark/>
          </w:tcPr>
          <w:p w14:paraId="3F78EB41" w14:textId="77777777" w:rsidR="0095766D" w:rsidRPr="0095766D" w:rsidRDefault="0095766D" w:rsidP="0095766D">
            <w:pPr>
              <w:widowControl/>
              <w:autoSpaceDE/>
              <w:autoSpaceDN/>
              <w:jc w:val="center"/>
              <w:rPr>
                <w:color w:val="000000"/>
              </w:rPr>
            </w:pPr>
            <w:r w:rsidRPr="0095766D">
              <w:rPr>
                <w:color w:val="000000"/>
              </w:rPr>
              <w:t>19</w:t>
            </w:r>
          </w:p>
        </w:tc>
      </w:tr>
      <w:tr w:rsidR="0095766D" w:rsidRPr="0095766D" w14:paraId="56692834" w14:textId="77777777" w:rsidTr="0095766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EC1DF94" w14:textId="77777777" w:rsidR="0095766D" w:rsidRPr="0095766D" w:rsidRDefault="0095766D" w:rsidP="0095766D">
            <w:pPr>
              <w:widowControl/>
              <w:autoSpaceDE/>
              <w:autoSpaceDN/>
              <w:jc w:val="center"/>
              <w:rPr>
                <w:color w:val="000000"/>
              </w:rPr>
            </w:pPr>
            <w:r w:rsidRPr="0095766D">
              <w:rPr>
                <w:color w:val="000000"/>
              </w:rPr>
              <w:t>CA</w:t>
            </w:r>
          </w:p>
        </w:tc>
        <w:tc>
          <w:tcPr>
            <w:tcW w:w="6037" w:type="dxa"/>
            <w:tcBorders>
              <w:top w:val="nil"/>
              <w:left w:val="nil"/>
              <w:bottom w:val="single" w:sz="4" w:space="0" w:color="auto"/>
              <w:right w:val="single" w:sz="4" w:space="0" w:color="auto"/>
            </w:tcBorders>
            <w:shd w:val="clear" w:color="auto" w:fill="auto"/>
            <w:noWrap/>
            <w:vAlign w:val="bottom"/>
            <w:hideMark/>
          </w:tcPr>
          <w:p w14:paraId="2EAB0489" w14:textId="77777777" w:rsidR="0095766D" w:rsidRPr="0095766D" w:rsidRDefault="0095766D" w:rsidP="0095766D">
            <w:pPr>
              <w:widowControl/>
              <w:autoSpaceDE/>
              <w:autoSpaceDN/>
              <w:rPr>
                <w:color w:val="000000"/>
              </w:rPr>
            </w:pPr>
            <w:r w:rsidRPr="0095766D">
              <w:rPr>
                <w:color w:val="000000"/>
              </w:rPr>
              <w:t>Riverside Community College District/Norco College</w:t>
            </w:r>
          </w:p>
        </w:tc>
        <w:tc>
          <w:tcPr>
            <w:tcW w:w="1760" w:type="dxa"/>
            <w:tcBorders>
              <w:top w:val="nil"/>
              <w:left w:val="nil"/>
              <w:bottom w:val="single" w:sz="4" w:space="0" w:color="auto"/>
              <w:right w:val="single" w:sz="4" w:space="0" w:color="auto"/>
            </w:tcBorders>
            <w:shd w:val="clear" w:color="auto" w:fill="auto"/>
            <w:noWrap/>
            <w:vAlign w:val="bottom"/>
            <w:hideMark/>
          </w:tcPr>
          <w:p w14:paraId="71D9D874" w14:textId="77777777" w:rsidR="0095766D" w:rsidRPr="0095766D" w:rsidRDefault="0095766D" w:rsidP="0095766D">
            <w:pPr>
              <w:widowControl/>
              <w:autoSpaceDE/>
              <w:autoSpaceDN/>
              <w:jc w:val="center"/>
              <w:rPr>
                <w:color w:val="000000"/>
              </w:rPr>
            </w:pPr>
            <w:r w:rsidRPr="0095766D">
              <w:rPr>
                <w:color w:val="000000"/>
              </w:rPr>
              <w:t>$535,449.00</w:t>
            </w:r>
          </w:p>
        </w:tc>
        <w:tc>
          <w:tcPr>
            <w:tcW w:w="800" w:type="dxa"/>
            <w:tcBorders>
              <w:top w:val="nil"/>
              <w:left w:val="nil"/>
              <w:bottom w:val="single" w:sz="4" w:space="0" w:color="auto"/>
              <w:right w:val="single" w:sz="4" w:space="0" w:color="auto"/>
            </w:tcBorders>
            <w:shd w:val="clear" w:color="auto" w:fill="auto"/>
            <w:noWrap/>
            <w:vAlign w:val="bottom"/>
            <w:hideMark/>
          </w:tcPr>
          <w:p w14:paraId="4D51CE6E" w14:textId="77777777" w:rsidR="0095766D" w:rsidRPr="0095766D" w:rsidRDefault="0095766D" w:rsidP="0095766D">
            <w:pPr>
              <w:widowControl/>
              <w:autoSpaceDE/>
              <w:autoSpaceDN/>
              <w:jc w:val="center"/>
              <w:rPr>
                <w:color w:val="000000"/>
              </w:rPr>
            </w:pPr>
            <w:r w:rsidRPr="0095766D">
              <w:rPr>
                <w:color w:val="000000"/>
              </w:rPr>
              <w:t>20</w:t>
            </w:r>
          </w:p>
        </w:tc>
      </w:tr>
      <w:tr w:rsidR="0095766D" w:rsidRPr="0095766D" w14:paraId="580D8248" w14:textId="77777777" w:rsidTr="0095766D">
        <w:trPr>
          <w:trHeight w:val="300"/>
        </w:trPr>
        <w:tc>
          <w:tcPr>
            <w:tcW w:w="1020" w:type="dxa"/>
            <w:tcBorders>
              <w:top w:val="nil"/>
              <w:left w:val="single" w:sz="4" w:space="0" w:color="auto"/>
              <w:bottom w:val="single" w:sz="4" w:space="0" w:color="auto"/>
              <w:right w:val="single" w:sz="4" w:space="0" w:color="auto"/>
            </w:tcBorders>
            <w:shd w:val="clear" w:color="000000" w:fill="F2F2F2"/>
            <w:noWrap/>
            <w:vAlign w:val="bottom"/>
            <w:hideMark/>
          </w:tcPr>
          <w:p w14:paraId="1B382F5B" w14:textId="77777777" w:rsidR="0095766D" w:rsidRPr="0095766D" w:rsidRDefault="0095766D" w:rsidP="0095766D">
            <w:pPr>
              <w:widowControl/>
              <w:autoSpaceDE/>
              <w:autoSpaceDN/>
              <w:jc w:val="center"/>
              <w:rPr>
                <w:color w:val="000000"/>
              </w:rPr>
            </w:pPr>
            <w:r w:rsidRPr="0095766D">
              <w:rPr>
                <w:color w:val="000000"/>
              </w:rPr>
              <w:t>CA</w:t>
            </w:r>
          </w:p>
        </w:tc>
        <w:tc>
          <w:tcPr>
            <w:tcW w:w="6037" w:type="dxa"/>
            <w:tcBorders>
              <w:top w:val="nil"/>
              <w:left w:val="nil"/>
              <w:bottom w:val="single" w:sz="4" w:space="0" w:color="auto"/>
              <w:right w:val="single" w:sz="4" w:space="0" w:color="auto"/>
            </w:tcBorders>
            <w:shd w:val="clear" w:color="000000" w:fill="F2F2F2"/>
            <w:noWrap/>
            <w:vAlign w:val="bottom"/>
            <w:hideMark/>
          </w:tcPr>
          <w:p w14:paraId="557D6F14" w14:textId="77777777" w:rsidR="0095766D" w:rsidRPr="0095766D" w:rsidRDefault="0095766D" w:rsidP="0095766D">
            <w:pPr>
              <w:widowControl/>
              <w:autoSpaceDE/>
              <w:autoSpaceDN/>
              <w:rPr>
                <w:color w:val="000000"/>
              </w:rPr>
            </w:pPr>
            <w:r w:rsidRPr="0095766D">
              <w:rPr>
                <w:color w:val="000000"/>
              </w:rPr>
              <w:t>Santa Monica College</w:t>
            </w:r>
          </w:p>
        </w:tc>
        <w:tc>
          <w:tcPr>
            <w:tcW w:w="1760" w:type="dxa"/>
            <w:tcBorders>
              <w:top w:val="nil"/>
              <w:left w:val="nil"/>
              <w:bottom w:val="single" w:sz="4" w:space="0" w:color="auto"/>
              <w:right w:val="single" w:sz="4" w:space="0" w:color="auto"/>
            </w:tcBorders>
            <w:shd w:val="clear" w:color="000000" w:fill="F2F2F2"/>
            <w:noWrap/>
            <w:vAlign w:val="bottom"/>
            <w:hideMark/>
          </w:tcPr>
          <w:p w14:paraId="481B34DF" w14:textId="77777777" w:rsidR="0095766D" w:rsidRPr="0095766D" w:rsidRDefault="0095766D" w:rsidP="0095766D">
            <w:pPr>
              <w:widowControl/>
              <w:autoSpaceDE/>
              <w:autoSpaceDN/>
              <w:jc w:val="center"/>
              <w:rPr>
                <w:color w:val="000000"/>
              </w:rPr>
            </w:pPr>
            <w:r w:rsidRPr="0095766D">
              <w:rPr>
                <w:color w:val="000000"/>
              </w:rPr>
              <w:t>$600,000.00</w:t>
            </w:r>
          </w:p>
        </w:tc>
        <w:tc>
          <w:tcPr>
            <w:tcW w:w="800" w:type="dxa"/>
            <w:tcBorders>
              <w:top w:val="nil"/>
              <w:left w:val="nil"/>
              <w:bottom w:val="single" w:sz="4" w:space="0" w:color="auto"/>
              <w:right w:val="single" w:sz="4" w:space="0" w:color="auto"/>
            </w:tcBorders>
            <w:shd w:val="clear" w:color="000000" w:fill="F2F2F2"/>
            <w:noWrap/>
            <w:vAlign w:val="bottom"/>
            <w:hideMark/>
          </w:tcPr>
          <w:p w14:paraId="56C82A59" w14:textId="77777777" w:rsidR="0095766D" w:rsidRPr="0095766D" w:rsidRDefault="0095766D" w:rsidP="0095766D">
            <w:pPr>
              <w:widowControl/>
              <w:autoSpaceDE/>
              <w:autoSpaceDN/>
              <w:jc w:val="center"/>
              <w:rPr>
                <w:color w:val="000000"/>
              </w:rPr>
            </w:pPr>
            <w:r w:rsidRPr="0095766D">
              <w:rPr>
                <w:color w:val="000000"/>
              </w:rPr>
              <w:t>21</w:t>
            </w:r>
          </w:p>
        </w:tc>
      </w:tr>
      <w:tr w:rsidR="0095766D" w:rsidRPr="0095766D" w14:paraId="557128C6" w14:textId="77777777" w:rsidTr="0095766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94BD7DB" w14:textId="77777777" w:rsidR="0095766D" w:rsidRPr="0095766D" w:rsidRDefault="0095766D" w:rsidP="0095766D">
            <w:pPr>
              <w:widowControl/>
              <w:autoSpaceDE/>
              <w:autoSpaceDN/>
              <w:jc w:val="center"/>
              <w:rPr>
                <w:color w:val="000000"/>
              </w:rPr>
            </w:pPr>
            <w:r w:rsidRPr="0095766D">
              <w:rPr>
                <w:color w:val="000000"/>
              </w:rPr>
              <w:t>CA</w:t>
            </w:r>
          </w:p>
        </w:tc>
        <w:tc>
          <w:tcPr>
            <w:tcW w:w="6037" w:type="dxa"/>
            <w:tcBorders>
              <w:top w:val="nil"/>
              <w:left w:val="nil"/>
              <w:bottom w:val="single" w:sz="4" w:space="0" w:color="auto"/>
              <w:right w:val="single" w:sz="4" w:space="0" w:color="auto"/>
            </w:tcBorders>
            <w:shd w:val="clear" w:color="auto" w:fill="auto"/>
            <w:noWrap/>
            <w:vAlign w:val="bottom"/>
            <w:hideMark/>
          </w:tcPr>
          <w:p w14:paraId="0DA49BEB" w14:textId="77777777" w:rsidR="0095766D" w:rsidRPr="0095766D" w:rsidRDefault="0095766D" w:rsidP="0095766D">
            <w:pPr>
              <w:widowControl/>
              <w:autoSpaceDE/>
              <w:autoSpaceDN/>
              <w:rPr>
                <w:color w:val="000000"/>
              </w:rPr>
            </w:pPr>
            <w:r w:rsidRPr="0095766D">
              <w:rPr>
                <w:color w:val="000000"/>
              </w:rPr>
              <w:t>Ventura County Community College District - Oxnard College</w:t>
            </w:r>
          </w:p>
        </w:tc>
        <w:tc>
          <w:tcPr>
            <w:tcW w:w="1760" w:type="dxa"/>
            <w:tcBorders>
              <w:top w:val="nil"/>
              <w:left w:val="nil"/>
              <w:bottom w:val="single" w:sz="4" w:space="0" w:color="auto"/>
              <w:right w:val="single" w:sz="4" w:space="0" w:color="auto"/>
            </w:tcBorders>
            <w:shd w:val="clear" w:color="auto" w:fill="auto"/>
            <w:noWrap/>
            <w:vAlign w:val="bottom"/>
            <w:hideMark/>
          </w:tcPr>
          <w:p w14:paraId="7EFE320D" w14:textId="7A9CDD7A" w:rsidR="0095766D" w:rsidRPr="0095766D" w:rsidRDefault="0095766D" w:rsidP="0095766D">
            <w:pPr>
              <w:widowControl/>
              <w:autoSpaceDE/>
              <w:autoSpaceDN/>
              <w:jc w:val="center"/>
              <w:rPr>
                <w:color w:val="000000"/>
              </w:rPr>
            </w:pPr>
            <w:r w:rsidRPr="0095766D">
              <w:rPr>
                <w:color w:val="000000"/>
              </w:rPr>
              <w:t>$599,999.</w:t>
            </w:r>
            <w:r w:rsidR="000E0F1C">
              <w:rPr>
                <w:color w:val="000000"/>
              </w:rPr>
              <w:t>0</w:t>
            </w:r>
            <w:r w:rsidRPr="0095766D">
              <w:rPr>
                <w:color w:val="000000"/>
              </w:rPr>
              <w:t>0</w:t>
            </w:r>
          </w:p>
        </w:tc>
        <w:tc>
          <w:tcPr>
            <w:tcW w:w="800" w:type="dxa"/>
            <w:tcBorders>
              <w:top w:val="nil"/>
              <w:left w:val="nil"/>
              <w:bottom w:val="single" w:sz="4" w:space="0" w:color="auto"/>
              <w:right w:val="single" w:sz="4" w:space="0" w:color="auto"/>
            </w:tcBorders>
            <w:shd w:val="clear" w:color="auto" w:fill="auto"/>
            <w:noWrap/>
            <w:vAlign w:val="bottom"/>
            <w:hideMark/>
          </w:tcPr>
          <w:p w14:paraId="78D318F3" w14:textId="77777777" w:rsidR="0095766D" w:rsidRPr="0095766D" w:rsidRDefault="0095766D" w:rsidP="0095766D">
            <w:pPr>
              <w:widowControl/>
              <w:autoSpaceDE/>
              <w:autoSpaceDN/>
              <w:jc w:val="center"/>
              <w:rPr>
                <w:color w:val="000000"/>
              </w:rPr>
            </w:pPr>
            <w:r w:rsidRPr="0095766D">
              <w:rPr>
                <w:color w:val="000000"/>
              </w:rPr>
              <w:t>22</w:t>
            </w:r>
          </w:p>
        </w:tc>
      </w:tr>
      <w:tr w:rsidR="0095766D" w:rsidRPr="0095766D" w14:paraId="5BC0D42A" w14:textId="77777777" w:rsidTr="0095766D">
        <w:trPr>
          <w:trHeight w:val="300"/>
        </w:trPr>
        <w:tc>
          <w:tcPr>
            <w:tcW w:w="1020" w:type="dxa"/>
            <w:tcBorders>
              <w:top w:val="nil"/>
              <w:left w:val="single" w:sz="4" w:space="0" w:color="auto"/>
              <w:bottom w:val="single" w:sz="4" w:space="0" w:color="auto"/>
              <w:right w:val="single" w:sz="4" w:space="0" w:color="auto"/>
            </w:tcBorders>
            <w:shd w:val="clear" w:color="000000" w:fill="F2F2F2"/>
            <w:noWrap/>
            <w:vAlign w:val="bottom"/>
            <w:hideMark/>
          </w:tcPr>
          <w:p w14:paraId="71360F90" w14:textId="77777777" w:rsidR="0095766D" w:rsidRPr="0095766D" w:rsidRDefault="0095766D" w:rsidP="0095766D">
            <w:pPr>
              <w:widowControl/>
              <w:autoSpaceDE/>
              <w:autoSpaceDN/>
              <w:jc w:val="center"/>
              <w:rPr>
                <w:color w:val="000000"/>
              </w:rPr>
            </w:pPr>
            <w:r w:rsidRPr="0095766D">
              <w:rPr>
                <w:color w:val="000000"/>
              </w:rPr>
              <w:t>CA</w:t>
            </w:r>
          </w:p>
        </w:tc>
        <w:tc>
          <w:tcPr>
            <w:tcW w:w="6037" w:type="dxa"/>
            <w:tcBorders>
              <w:top w:val="nil"/>
              <w:left w:val="nil"/>
              <w:bottom w:val="single" w:sz="4" w:space="0" w:color="auto"/>
              <w:right w:val="single" w:sz="4" w:space="0" w:color="auto"/>
            </w:tcBorders>
            <w:shd w:val="clear" w:color="000000" w:fill="F2F2F2"/>
            <w:noWrap/>
            <w:vAlign w:val="bottom"/>
            <w:hideMark/>
          </w:tcPr>
          <w:p w14:paraId="42000D22" w14:textId="77777777" w:rsidR="0095766D" w:rsidRPr="0095766D" w:rsidRDefault="0095766D" w:rsidP="0095766D">
            <w:pPr>
              <w:widowControl/>
              <w:autoSpaceDE/>
              <w:autoSpaceDN/>
              <w:rPr>
                <w:color w:val="000000"/>
              </w:rPr>
            </w:pPr>
            <w:r w:rsidRPr="0095766D">
              <w:rPr>
                <w:color w:val="000000"/>
              </w:rPr>
              <w:t>Woodbury University</w:t>
            </w:r>
          </w:p>
        </w:tc>
        <w:tc>
          <w:tcPr>
            <w:tcW w:w="1760" w:type="dxa"/>
            <w:tcBorders>
              <w:top w:val="nil"/>
              <w:left w:val="nil"/>
              <w:bottom w:val="single" w:sz="4" w:space="0" w:color="auto"/>
              <w:right w:val="single" w:sz="4" w:space="0" w:color="auto"/>
            </w:tcBorders>
            <w:shd w:val="clear" w:color="000000" w:fill="F2F2F2"/>
            <w:noWrap/>
            <w:vAlign w:val="bottom"/>
            <w:hideMark/>
          </w:tcPr>
          <w:p w14:paraId="1704BB14" w14:textId="77777777" w:rsidR="0095766D" w:rsidRPr="0095766D" w:rsidRDefault="0095766D" w:rsidP="0095766D">
            <w:pPr>
              <w:widowControl/>
              <w:autoSpaceDE/>
              <w:autoSpaceDN/>
              <w:jc w:val="center"/>
              <w:rPr>
                <w:color w:val="000000"/>
              </w:rPr>
            </w:pPr>
            <w:r w:rsidRPr="0095766D">
              <w:rPr>
                <w:color w:val="000000"/>
              </w:rPr>
              <w:t>$599,683.00</w:t>
            </w:r>
          </w:p>
        </w:tc>
        <w:tc>
          <w:tcPr>
            <w:tcW w:w="800" w:type="dxa"/>
            <w:tcBorders>
              <w:top w:val="nil"/>
              <w:left w:val="nil"/>
              <w:bottom w:val="single" w:sz="4" w:space="0" w:color="auto"/>
              <w:right w:val="single" w:sz="4" w:space="0" w:color="auto"/>
            </w:tcBorders>
            <w:shd w:val="clear" w:color="000000" w:fill="F2F2F2"/>
            <w:noWrap/>
            <w:vAlign w:val="bottom"/>
            <w:hideMark/>
          </w:tcPr>
          <w:p w14:paraId="2B89AD0F" w14:textId="77777777" w:rsidR="0095766D" w:rsidRPr="0095766D" w:rsidRDefault="0095766D" w:rsidP="0095766D">
            <w:pPr>
              <w:widowControl/>
              <w:autoSpaceDE/>
              <w:autoSpaceDN/>
              <w:jc w:val="center"/>
              <w:rPr>
                <w:color w:val="000000"/>
              </w:rPr>
            </w:pPr>
            <w:r w:rsidRPr="0095766D">
              <w:rPr>
                <w:color w:val="000000"/>
              </w:rPr>
              <w:t>23</w:t>
            </w:r>
          </w:p>
        </w:tc>
      </w:tr>
      <w:tr w:rsidR="0095766D" w:rsidRPr="0095766D" w14:paraId="48A18B20" w14:textId="77777777" w:rsidTr="0095766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F98468C" w14:textId="77777777" w:rsidR="0095766D" w:rsidRPr="0095766D" w:rsidRDefault="0095766D" w:rsidP="0095766D">
            <w:pPr>
              <w:widowControl/>
              <w:autoSpaceDE/>
              <w:autoSpaceDN/>
              <w:jc w:val="center"/>
              <w:rPr>
                <w:color w:val="000000"/>
              </w:rPr>
            </w:pPr>
            <w:r w:rsidRPr="0095766D">
              <w:rPr>
                <w:color w:val="000000"/>
              </w:rPr>
              <w:t>CO</w:t>
            </w:r>
          </w:p>
        </w:tc>
        <w:tc>
          <w:tcPr>
            <w:tcW w:w="6037" w:type="dxa"/>
            <w:tcBorders>
              <w:top w:val="nil"/>
              <w:left w:val="nil"/>
              <w:bottom w:val="single" w:sz="4" w:space="0" w:color="auto"/>
              <w:right w:val="single" w:sz="4" w:space="0" w:color="auto"/>
            </w:tcBorders>
            <w:shd w:val="clear" w:color="auto" w:fill="auto"/>
            <w:noWrap/>
            <w:vAlign w:val="bottom"/>
            <w:hideMark/>
          </w:tcPr>
          <w:p w14:paraId="5FD722ED" w14:textId="77777777" w:rsidR="0095766D" w:rsidRPr="0095766D" w:rsidRDefault="0095766D" w:rsidP="0095766D">
            <w:pPr>
              <w:widowControl/>
              <w:autoSpaceDE/>
              <w:autoSpaceDN/>
              <w:rPr>
                <w:color w:val="000000"/>
              </w:rPr>
            </w:pPr>
            <w:r w:rsidRPr="0095766D">
              <w:rPr>
                <w:color w:val="000000"/>
              </w:rPr>
              <w:t>Community College of Aurora</w:t>
            </w:r>
          </w:p>
        </w:tc>
        <w:tc>
          <w:tcPr>
            <w:tcW w:w="1760" w:type="dxa"/>
            <w:tcBorders>
              <w:top w:val="nil"/>
              <w:left w:val="nil"/>
              <w:bottom w:val="single" w:sz="4" w:space="0" w:color="auto"/>
              <w:right w:val="single" w:sz="4" w:space="0" w:color="auto"/>
            </w:tcBorders>
            <w:shd w:val="clear" w:color="auto" w:fill="auto"/>
            <w:noWrap/>
            <w:vAlign w:val="bottom"/>
            <w:hideMark/>
          </w:tcPr>
          <w:p w14:paraId="5B63D588" w14:textId="77777777" w:rsidR="0095766D" w:rsidRPr="0095766D" w:rsidRDefault="0095766D" w:rsidP="0095766D">
            <w:pPr>
              <w:widowControl/>
              <w:autoSpaceDE/>
              <w:autoSpaceDN/>
              <w:jc w:val="center"/>
              <w:rPr>
                <w:color w:val="000000"/>
              </w:rPr>
            </w:pPr>
            <w:r w:rsidRPr="0095766D">
              <w:rPr>
                <w:color w:val="000000"/>
              </w:rPr>
              <w:t>$454,846.00</w:t>
            </w:r>
          </w:p>
        </w:tc>
        <w:tc>
          <w:tcPr>
            <w:tcW w:w="800" w:type="dxa"/>
            <w:tcBorders>
              <w:top w:val="nil"/>
              <w:left w:val="nil"/>
              <w:bottom w:val="single" w:sz="4" w:space="0" w:color="auto"/>
              <w:right w:val="single" w:sz="4" w:space="0" w:color="auto"/>
            </w:tcBorders>
            <w:shd w:val="clear" w:color="auto" w:fill="auto"/>
            <w:noWrap/>
            <w:vAlign w:val="bottom"/>
            <w:hideMark/>
          </w:tcPr>
          <w:p w14:paraId="2003B0C7" w14:textId="77777777" w:rsidR="0095766D" w:rsidRPr="0095766D" w:rsidRDefault="0095766D" w:rsidP="0095766D">
            <w:pPr>
              <w:widowControl/>
              <w:autoSpaceDE/>
              <w:autoSpaceDN/>
              <w:jc w:val="center"/>
              <w:rPr>
                <w:color w:val="000000"/>
              </w:rPr>
            </w:pPr>
            <w:r w:rsidRPr="0095766D">
              <w:rPr>
                <w:color w:val="000000"/>
              </w:rPr>
              <w:t>24</w:t>
            </w:r>
          </w:p>
        </w:tc>
      </w:tr>
      <w:tr w:rsidR="0095766D" w:rsidRPr="0095766D" w14:paraId="349DF880" w14:textId="77777777" w:rsidTr="0095766D">
        <w:trPr>
          <w:trHeight w:val="300"/>
        </w:trPr>
        <w:tc>
          <w:tcPr>
            <w:tcW w:w="1020" w:type="dxa"/>
            <w:tcBorders>
              <w:top w:val="nil"/>
              <w:left w:val="single" w:sz="4" w:space="0" w:color="auto"/>
              <w:bottom w:val="single" w:sz="4" w:space="0" w:color="auto"/>
              <w:right w:val="single" w:sz="4" w:space="0" w:color="auto"/>
            </w:tcBorders>
            <w:shd w:val="clear" w:color="000000" w:fill="F2F2F2"/>
            <w:noWrap/>
            <w:vAlign w:val="bottom"/>
            <w:hideMark/>
          </w:tcPr>
          <w:p w14:paraId="78631361" w14:textId="77777777" w:rsidR="0095766D" w:rsidRPr="0095766D" w:rsidRDefault="0095766D" w:rsidP="0095766D">
            <w:pPr>
              <w:widowControl/>
              <w:autoSpaceDE/>
              <w:autoSpaceDN/>
              <w:jc w:val="center"/>
              <w:rPr>
                <w:color w:val="000000"/>
              </w:rPr>
            </w:pPr>
            <w:r w:rsidRPr="0095766D">
              <w:rPr>
                <w:color w:val="000000"/>
              </w:rPr>
              <w:t>CO</w:t>
            </w:r>
          </w:p>
        </w:tc>
        <w:tc>
          <w:tcPr>
            <w:tcW w:w="6037" w:type="dxa"/>
            <w:tcBorders>
              <w:top w:val="nil"/>
              <w:left w:val="nil"/>
              <w:bottom w:val="single" w:sz="4" w:space="0" w:color="auto"/>
              <w:right w:val="single" w:sz="4" w:space="0" w:color="auto"/>
            </w:tcBorders>
            <w:shd w:val="clear" w:color="000000" w:fill="F2F2F2"/>
            <w:noWrap/>
            <w:vAlign w:val="bottom"/>
            <w:hideMark/>
          </w:tcPr>
          <w:p w14:paraId="0BEB5864" w14:textId="77777777" w:rsidR="0095766D" w:rsidRPr="0095766D" w:rsidRDefault="0095766D" w:rsidP="0095766D">
            <w:pPr>
              <w:widowControl/>
              <w:autoSpaceDE/>
              <w:autoSpaceDN/>
              <w:rPr>
                <w:color w:val="000000"/>
              </w:rPr>
            </w:pPr>
            <w:r w:rsidRPr="0095766D">
              <w:rPr>
                <w:color w:val="000000"/>
              </w:rPr>
              <w:t>Morgan Community College</w:t>
            </w:r>
          </w:p>
        </w:tc>
        <w:tc>
          <w:tcPr>
            <w:tcW w:w="1760" w:type="dxa"/>
            <w:tcBorders>
              <w:top w:val="nil"/>
              <w:left w:val="nil"/>
              <w:bottom w:val="single" w:sz="4" w:space="0" w:color="auto"/>
              <w:right w:val="single" w:sz="4" w:space="0" w:color="auto"/>
            </w:tcBorders>
            <w:shd w:val="clear" w:color="000000" w:fill="F2F2F2"/>
            <w:noWrap/>
            <w:vAlign w:val="bottom"/>
            <w:hideMark/>
          </w:tcPr>
          <w:p w14:paraId="5EAABA62" w14:textId="77777777" w:rsidR="0095766D" w:rsidRPr="0095766D" w:rsidRDefault="0095766D" w:rsidP="0095766D">
            <w:pPr>
              <w:widowControl/>
              <w:autoSpaceDE/>
              <w:autoSpaceDN/>
              <w:jc w:val="center"/>
              <w:rPr>
                <w:color w:val="000000"/>
              </w:rPr>
            </w:pPr>
            <w:r w:rsidRPr="0095766D">
              <w:rPr>
                <w:color w:val="000000"/>
              </w:rPr>
              <w:t>$600,000.00</w:t>
            </w:r>
          </w:p>
        </w:tc>
        <w:tc>
          <w:tcPr>
            <w:tcW w:w="800" w:type="dxa"/>
            <w:tcBorders>
              <w:top w:val="nil"/>
              <w:left w:val="nil"/>
              <w:bottom w:val="single" w:sz="4" w:space="0" w:color="auto"/>
              <w:right w:val="single" w:sz="4" w:space="0" w:color="auto"/>
            </w:tcBorders>
            <w:shd w:val="clear" w:color="000000" w:fill="F2F2F2"/>
            <w:noWrap/>
            <w:vAlign w:val="bottom"/>
            <w:hideMark/>
          </w:tcPr>
          <w:p w14:paraId="56BD3B6F" w14:textId="77777777" w:rsidR="0095766D" w:rsidRPr="0095766D" w:rsidRDefault="0095766D" w:rsidP="0095766D">
            <w:pPr>
              <w:widowControl/>
              <w:autoSpaceDE/>
              <w:autoSpaceDN/>
              <w:jc w:val="center"/>
              <w:rPr>
                <w:color w:val="000000"/>
              </w:rPr>
            </w:pPr>
            <w:r w:rsidRPr="0095766D">
              <w:rPr>
                <w:color w:val="000000"/>
              </w:rPr>
              <w:t>25</w:t>
            </w:r>
          </w:p>
        </w:tc>
      </w:tr>
      <w:tr w:rsidR="0095766D" w:rsidRPr="0095766D" w14:paraId="63E8083B" w14:textId="77777777" w:rsidTr="0095766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B5324E9" w14:textId="77777777" w:rsidR="0095766D" w:rsidRPr="0095766D" w:rsidRDefault="0095766D" w:rsidP="0095766D">
            <w:pPr>
              <w:widowControl/>
              <w:autoSpaceDE/>
              <w:autoSpaceDN/>
              <w:jc w:val="center"/>
              <w:rPr>
                <w:color w:val="000000"/>
              </w:rPr>
            </w:pPr>
            <w:r w:rsidRPr="0095766D">
              <w:rPr>
                <w:color w:val="000000"/>
              </w:rPr>
              <w:t>GA</w:t>
            </w:r>
          </w:p>
        </w:tc>
        <w:tc>
          <w:tcPr>
            <w:tcW w:w="6037" w:type="dxa"/>
            <w:tcBorders>
              <w:top w:val="nil"/>
              <w:left w:val="nil"/>
              <w:bottom w:val="single" w:sz="4" w:space="0" w:color="auto"/>
              <w:right w:val="single" w:sz="4" w:space="0" w:color="auto"/>
            </w:tcBorders>
            <w:shd w:val="clear" w:color="auto" w:fill="auto"/>
            <w:noWrap/>
            <w:vAlign w:val="bottom"/>
            <w:hideMark/>
          </w:tcPr>
          <w:p w14:paraId="2FBBD364" w14:textId="77777777" w:rsidR="0095766D" w:rsidRPr="0095766D" w:rsidRDefault="0095766D" w:rsidP="0095766D">
            <w:pPr>
              <w:widowControl/>
              <w:autoSpaceDE/>
              <w:autoSpaceDN/>
              <w:rPr>
                <w:color w:val="000000"/>
              </w:rPr>
            </w:pPr>
            <w:r w:rsidRPr="0095766D">
              <w:rPr>
                <w:color w:val="000000"/>
              </w:rPr>
              <w:t>Dalton State College</w:t>
            </w:r>
          </w:p>
        </w:tc>
        <w:tc>
          <w:tcPr>
            <w:tcW w:w="1760" w:type="dxa"/>
            <w:tcBorders>
              <w:top w:val="nil"/>
              <w:left w:val="nil"/>
              <w:bottom w:val="single" w:sz="4" w:space="0" w:color="auto"/>
              <w:right w:val="single" w:sz="4" w:space="0" w:color="auto"/>
            </w:tcBorders>
            <w:shd w:val="clear" w:color="auto" w:fill="auto"/>
            <w:noWrap/>
            <w:vAlign w:val="bottom"/>
            <w:hideMark/>
          </w:tcPr>
          <w:p w14:paraId="53A96783" w14:textId="77777777" w:rsidR="0095766D" w:rsidRPr="0095766D" w:rsidRDefault="0095766D" w:rsidP="0095766D">
            <w:pPr>
              <w:widowControl/>
              <w:autoSpaceDE/>
              <w:autoSpaceDN/>
              <w:jc w:val="center"/>
              <w:rPr>
                <w:color w:val="000000"/>
              </w:rPr>
            </w:pPr>
            <w:r w:rsidRPr="0095766D">
              <w:rPr>
                <w:color w:val="000000"/>
              </w:rPr>
              <w:t>$435,823.00</w:t>
            </w:r>
          </w:p>
        </w:tc>
        <w:tc>
          <w:tcPr>
            <w:tcW w:w="800" w:type="dxa"/>
            <w:tcBorders>
              <w:top w:val="nil"/>
              <w:left w:val="nil"/>
              <w:bottom w:val="single" w:sz="4" w:space="0" w:color="auto"/>
              <w:right w:val="single" w:sz="4" w:space="0" w:color="auto"/>
            </w:tcBorders>
            <w:shd w:val="clear" w:color="auto" w:fill="auto"/>
            <w:noWrap/>
            <w:vAlign w:val="bottom"/>
            <w:hideMark/>
          </w:tcPr>
          <w:p w14:paraId="24F4F1AC" w14:textId="77777777" w:rsidR="0095766D" w:rsidRPr="0095766D" w:rsidRDefault="0095766D" w:rsidP="0095766D">
            <w:pPr>
              <w:widowControl/>
              <w:autoSpaceDE/>
              <w:autoSpaceDN/>
              <w:jc w:val="center"/>
              <w:rPr>
                <w:color w:val="000000"/>
              </w:rPr>
            </w:pPr>
            <w:r w:rsidRPr="0095766D">
              <w:rPr>
                <w:color w:val="000000"/>
              </w:rPr>
              <w:t>26</w:t>
            </w:r>
          </w:p>
        </w:tc>
      </w:tr>
      <w:tr w:rsidR="0095766D" w:rsidRPr="0095766D" w14:paraId="40458028" w14:textId="77777777" w:rsidTr="0095766D">
        <w:trPr>
          <w:trHeight w:val="300"/>
        </w:trPr>
        <w:tc>
          <w:tcPr>
            <w:tcW w:w="1020" w:type="dxa"/>
            <w:tcBorders>
              <w:top w:val="nil"/>
              <w:left w:val="single" w:sz="4" w:space="0" w:color="auto"/>
              <w:bottom w:val="single" w:sz="4" w:space="0" w:color="auto"/>
              <w:right w:val="single" w:sz="4" w:space="0" w:color="auto"/>
            </w:tcBorders>
            <w:shd w:val="clear" w:color="000000" w:fill="F2F2F2"/>
            <w:noWrap/>
            <w:vAlign w:val="bottom"/>
            <w:hideMark/>
          </w:tcPr>
          <w:p w14:paraId="5790BAD7" w14:textId="77777777" w:rsidR="0095766D" w:rsidRPr="0095766D" w:rsidRDefault="0095766D" w:rsidP="0095766D">
            <w:pPr>
              <w:widowControl/>
              <w:autoSpaceDE/>
              <w:autoSpaceDN/>
              <w:jc w:val="center"/>
              <w:rPr>
                <w:color w:val="000000"/>
              </w:rPr>
            </w:pPr>
            <w:r w:rsidRPr="0095766D">
              <w:rPr>
                <w:color w:val="000000"/>
              </w:rPr>
              <w:t>IL</w:t>
            </w:r>
          </w:p>
        </w:tc>
        <w:tc>
          <w:tcPr>
            <w:tcW w:w="6037" w:type="dxa"/>
            <w:tcBorders>
              <w:top w:val="nil"/>
              <w:left w:val="nil"/>
              <w:bottom w:val="single" w:sz="4" w:space="0" w:color="auto"/>
              <w:right w:val="single" w:sz="4" w:space="0" w:color="auto"/>
            </w:tcBorders>
            <w:shd w:val="clear" w:color="000000" w:fill="F2F2F2"/>
            <w:noWrap/>
            <w:vAlign w:val="bottom"/>
            <w:hideMark/>
          </w:tcPr>
          <w:p w14:paraId="665CAA29" w14:textId="77777777" w:rsidR="0095766D" w:rsidRPr="0095766D" w:rsidRDefault="0095766D" w:rsidP="0095766D">
            <w:pPr>
              <w:widowControl/>
              <w:autoSpaceDE/>
              <w:autoSpaceDN/>
              <w:rPr>
                <w:color w:val="000000"/>
              </w:rPr>
            </w:pPr>
            <w:r w:rsidRPr="0095766D">
              <w:rPr>
                <w:color w:val="000000"/>
              </w:rPr>
              <w:t>Saint Xavier University</w:t>
            </w:r>
          </w:p>
        </w:tc>
        <w:tc>
          <w:tcPr>
            <w:tcW w:w="1760" w:type="dxa"/>
            <w:tcBorders>
              <w:top w:val="nil"/>
              <w:left w:val="nil"/>
              <w:bottom w:val="single" w:sz="4" w:space="0" w:color="auto"/>
              <w:right w:val="single" w:sz="4" w:space="0" w:color="auto"/>
            </w:tcBorders>
            <w:shd w:val="clear" w:color="000000" w:fill="F2F2F2"/>
            <w:noWrap/>
            <w:vAlign w:val="bottom"/>
            <w:hideMark/>
          </w:tcPr>
          <w:p w14:paraId="0BF8E1DB" w14:textId="77777777" w:rsidR="0095766D" w:rsidRPr="0095766D" w:rsidRDefault="0095766D" w:rsidP="0095766D">
            <w:pPr>
              <w:widowControl/>
              <w:autoSpaceDE/>
              <w:autoSpaceDN/>
              <w:jc w:val="center"/>
              <w:rPr>
                <w:color w:val="000000"/>
              </w:rPr>
            </w:pPr>
            <w:r w:rsidRPr="0095766D">
              <w:rPr>
                <w:color w:val="000000"/>
              </w:rPr>
              <w:t>$599,787.00</w:t>
            </w:r>
          </w:p>
        </w:tc>
        <w:tc>
          <w:tcPr>
            <w:tcW w:w="800" w:type="dxa"/>
            <w:tcBorders>
              <w:top w:val="nil"/>
              <w:left w:val="nil"/>
              <w:bottom w:val="single" w:sz="4" w:space="0" w:color="auto"/>
              <w:right w:val="single" w:sz="4" w:space="0" w:color="auto"/>
            </w:tcBorders>
            <w:shd w:val="clear" w:color="000000" w:fill="F2F2F2"/>
            <w:noWrap/>
            <w:vAlign w:val="bottom"/>
            <w:hideMark/>
          </w:tcPr>
          <w:p w14:paraId="65FD44CE" w14:textId="77777777" w:rsidR="0095766D" w:rsidRPr="0095766D" w:rsidRDefault="0095766D" w:rsidP="0095766D">
            <w:pPr>
              <w:widowControl/>
              <w:autoSpaceDE/>
              <w:autoSpaceDN/>
              <w:jc w:val="center"/>
              <w:rPr>
                <w:color w:val="000000"/>
              </w:rPr>
            </w:pPr>
            <w:r w:rsidRPr="0095766D">
              <w:rPr>
                <w:color w:val="000000"/>
              </w:rPr>
              <w:t>27</w:t>
            </w:r>
          </w:p>
        </w:tc>
      </w:tr>
      <w:tr w:rsidR="0095766D" w:rsidRPr="0095766D" w14:paraId="2BE2A7D8" w14:textId="77777777" w:rsidTr="0095766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55258E5" w14:textId="77777777" w:rsidR="0095766D" w:rsidRPr="0095766D" w:rsidRDefault="0095766D" w:rsidP="0095766D">
            <w:pPr>
              <w:widowControl/>
              <w:autoSpaceDE/>
              <w:autoSpaceDN/>
              <w:jc w:val="center"/>
              <w:rPr>
                <w:color w:val="000000"/>
              </w:rPr>
            </w:pPr>
            <w:r w:rsidRPr="0095766D">
              <w:rPr>
                <w:color w:val="000000"/>
              </w:rPr>
              <w:t>KS</w:t>
            </w:r>
          </w:p>
        </w:tc>
        <w:tc>
          <w:tcPr>
            <w:tcW w:w="6037" w:type="dxa"/>
            <w:tcBorders>
              <w:top w:val="nil"/>
              <w:left w:val="nil"/>
              <w:bottom w:val="single" w:sz="4" w:space="0" w:color="auto"/>
              <w:right w:val="single" w:sz="4" w:space="0" w:color="auto"/>
            </w:tcBorders>
            <w:shd w:val="clear" w:color="auto" w:fill="auto"/>
            <w:noWrap/>
            <w:vAlign w:val="bottom"/>
            <w:hideMark/>
          </w:tcPr>
          <w:p w14:paraId="03292548" w14:textId="77777777" w:rsidR="0095766D" w:rsidRPr="0095766D" w:rsidRDefault="0095766D" w:rsidP="0095766D">
            <w:pPr>
              <w:widowControl/>
              <w:autoSpaceDE/>
              <w:autoSpaceDN/>
              <w:rPr>
                <w:color w:val="000000"/>
              </w:rPr>
            </w:pPr>
            <w:r w:rsidRPr="0095766D">
              <w:rPr>
                <w:color w:val="000000"/>
              </w:rPr>
              <w:t>Donnelly College</w:t>
            </w:r>
          </w:p>
        </w:tc>
        <w:tc>
          <w:tcPr>
            <w:tcW w:w="1760" w:type="dxa"/>
            <w:tcBorders>
              <w:top w:val="nil"/>
              <w:left w:val="nil"/>
              <w:bottom w:val="single" w:sz="4" w:space="0" w:color="auto"/>
              <w:right w:val="single" w:sz="4" w:space="0" w:color="auto"/>
            </w:tcBorders>
            <w:shd w:val="clear" w:color="auto" w:fill="auto"/>
            <w:noWrap/>
            <w:vAlign w:val="bottom"/>
            <w:hideMark/>
          </w:tcPr>
          <w:p w14:paraId="5C87F7B2" w14:textId="77777777" w:rsidR="0095766D" w:rsidRPr="0095766D" w:rsidRDefault="0095766D" w:rsidP="0095766D">
            <w:pPr>
              <w:widowControl/>
              <w:autoSpaceDE/>
              <w:autoSpaceDN/>
              <w:jc w:val="center"/>
              <w:rPr>
                <w:color w:val="000000"/>
              </w:rPr>
            </w:pPr>
            <w:r w:rsidRPr="0095766D">
              <w:rPr>
                <w:color w:val="000000"/>
              </w:rPr>
              <w:t>$600,000.00</w:t>
            </w:r>
          </w:p>
        </w:tc>
        <w:tc>
          <w:tcPr>
            <w:tcW w:w="800" w:type="dxa"/>
            <w:tcBorders>
              <w:top w:val="nil"/>
              <w:left w:val="nil"/>
              <w:bottom w:val="single" w:sz="4" w:space="0" w:color="auto"/>
              <w:right w:val="single" w:sz="4" w:space="0" w:color="auto"/>
            </w:tcBorders>
            <w:shd w:val="clear" w:color="auto" w:fill="auto"/>
            <w:noWrap/>
            <w:vAlign w:val="bottom"/>
            <w:hideMark/>
          </w:tcPr>
          <w:p w14:paraId="67365EE0" w14:textId="77777777" w:rsidR="0095766D" w:rsidRPr="0095766D" w:rsidRDefault="0095766D" w:rsidP="0095766D">
            <w:pPr>
              <w:widowControl/>
              <w:autoSpaceDE/>
              <w:autoSpaceDN/>
              <w:jc w:val="center"/>
              <w:rPr>
                <w:color w:val="000000"/>
              </w:rPr>
            </w:pPr>
            <w:r w:rsidRPr="0095766D">
              <w:rPr>
                <w:color w:val="000000"/>
              </w:rPr>
              <w:t>28</w:t>
            </w:r>
          </w:p>
        </w:tc>
      </w:tr>
      <w:tr w:rsidR="0095766D" w:rsidRPr="0095766D" w14:paraId="73C5B6AA" w14:textId="77777777" w:rsidTr="0095766D">
        <w:trPr>
          <w:trHeight w:val="300"/>
        </w:trPr>
        <w:tc>
          <w:tcPr>
            <w:tcW w:w="1020" w:type="dxa"/>
            <w:tcBorders>
              <w:top w:val="nil"/>
              <w:left w:val="single" w:sz="4" w:space="0" w:color="auto"/>
              <w:bottom w:val="single" w:sz="4" w:space="0" w:color="auto"/>
              <w:right w:val="single" w:sz="4" w:space="0" w:color="auto"/>
            </w:tcBorders>
            <w:shd w:val="clear" w:color="000000" w:fill="F2F2F2"/>
            <w:noWrap/>
            <w:vAlign w:val="bottom"/>
            <w:hideMark/>
          </w:tcPr>
          <w:p w14:paraId="314DD599" w14:textId="77777777" w:rsidR="0095766D" w:rsidRPr="0095766D" w:rsidRDefault="0095766D" w:rsidP="0095766D">
            <w:pPr>
              <w:widowControl/>
              <w:autoSpaceDE/>
              <w:autoSpaceDN/>
              <w:jc w:val="center"/>
              <w:rPr>
                <w:color w:val="000000"/>
              </w:rPr>
            </w:pPr>
            <w:r w:rsidRPr="0095766D">
              <w:rPr>
                <w:color w:val="000000"/>
              </w:rPr>
              <w:t>NJ</w:t>
            </w:r>
          </w:p>
        </w:tc>
        <w:tc>
          <w:tcPr>
            <w:tcW w:w="6037" w:type="dxa"/>
            <w:tcBorders>
              <w:top w:val="nil"/>
              <w:left w:val="nil"/>
              <w:bottom w:val="single" w:sz="4" w:space="0" w:color="auto"/>
              <w:right w:val="single" w:sz="4" w:space="0" w:color="auto"/>
            </w:tcBorders>
            <w:shd w:val="clear" w:color="000000" w:fill="F2F2F2"/>
            <w:noWrap/>
            <w:vAlign w:val="bottom"/>
            <w:hideMark/>
          </w:tcPr>
          <w:p w14:paraId="1208170A" w14:textId="77777777" w:rsidR="0095766D" w:rsidRPr="0095766D" w:rsidRDefault="0095766D" w:rsidP="0095766D">
            <w:pPr>
              <w:widowControl/>
              <w:autoSpaceDE/>
              <w:autoSpaceDN/>
              <w:rPr>
                <w:color w:val="000000"/>
              </w:rPr>
            </w:pPr>
            <w:r w:rsidRPr="0095766D">
              <w:rPr>
                <w:color w:val="000000"/>
              </w:rPr>
              <w:t>Passaic County Community College</w:t>
            </w:r>
          </w:p>
        </w:tc>
        <w:tc>
          <w:tcPr>
            <w:tcW w:w="1760" w:type="dxa"/>
            <w:tcBorders>
              <w:top w:val="nil"/>
              <w:left w:val="nil"/>
              <w:bottom w:val="single" w:sz="4" w:space="0" w:color="auto"/>
              <w:right w:val="single" w:sz="4" w:space="0" w:color="auto"/>
            </w:tcBorders>
            <w:shd w:val="clear" w:color="000000" w:fill="F2F2F2"/>
            <w:noWrap/>
            <w:vAlign w:val="bottom"/>
            <w:hideMark/>
          </w:tcPr>
          <w:p w14:paraId="5B68A6E9" w14:textId="77777777" w:rsidR="0095766D" w:rsidRPr="0095766D" w:rsidRDefault="0095766D" w:rsidP="0095766D">
            <w:pPr>
              <w:widowControl/>
              <w:autoSpaceDE/>
              <w:autoSpaceDN/>
              <w:jc w:val="center"/>
              <w:rPr>
                <w:color w:val="000000"/>
              </w:rPr>
            </w:pPr>
            <w:r w:rsidRPr="0095766D">
              <w:rPr>
                <w:color w:val="000000"/>
              </w:rPr>
              <w:t>$486,662.00</w:t>
            </w:r>
          </w:p>
        </w:tc>
        <w:tc>
          <w:tcPr>
            <w:tcW w:w="800" w:type="dxa"/>
            <w:tcBorders>
              <w:top w:val="nil"/>
              <w:left w:val="nil"/>
              <w:bottom w:val="single" w:sz="4" w:space="0" w:color="auto"/>
              <w:right w:val="single" w:sz="4" w:space="0" w:color="auto"/>
            </w:tcBorders>
            <w:shd w:val="clear" w:color="000000" w:fill="F2F2F2"/>
            <w:noWrap/>
            <w:vAlign w:val="bottom"/>
            <w:hideMark/>
          </w:tcPr>
          <w:p w14:paraId="58D80F09" w14:textId="77777777" w:rsidR="0095766D" w:rsidRPr="0095766D" w:rsidRDefault="0095766D" w:rsidP="0095766D">
            <w:pPr>
              <w:widowControl/>
              <w:autoSpaceDE/>
              <w:autoSpaceDN/>
              <w:jc w:val="center"/>
              <w:rPr>
                <w:color w:val="000000"/>
              </w:rPr>
            </w:pPr>
            <w:r w:rsidRPr="0095766D">
              <w:rPr>
                <w:color w:val="000000"/>
              </w:rPr>
              <w:t>29</w:t>
            </w:r>
          </w:p>
        </w:tc>
      </w:tr>
      <w:tr w:rsidR="0095766D" w:rsidRPr="0095766D" w14:paraId="3B61D7C0" w14:textId="77777777" w:rsidTr="0095766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2FD9544" w14:textId="77777777" w:rsidR="0095766D" w:rsidRPr="0095766D" w:rsidRDefault="0095766D" w:rsidP="0095766D">
            <w:pPr>
              <w:widowControl/>
              <w:autoSpaceDE/>
              <w:autoSpaceDN/>
              <w:jc w:val="center"/>
              <w:rPr>
                <w:color w:val="000000"/>
              </w:rPr>
            </w:pPr>
            <w:r w:rsidRPr="0095766D">
              <w:rPr>
                <w:color w:val="000000"/>
              </w:rPr>
              <w:t>NM</w:t>
            </w:r>
          </w:p>
        </w:tc>
        <w:tc>
          <w:tcPr>
            <w:tcW w:w="6037" w:type="dxa"/>
            <w:tcBorders>
              <w:top w:val="nil"/>
              <w:left w:val="nil"/>
              <w:bottom w:val="single" w:sz="4" w:space="0" w:color="auto"/>
              <w:right w:val="single" w:sz="4" w:space="0" w:color="auto"/>
            </w:tcBorders>
            <w:shd w:val="clear" w:color="auto" w:fill="auto"/>
            <w:noWrap/>
            <w:vAlign w:val="bottom"/>
            <w:hideMark/>
          </w:tcPr>
          <w:p w14:paraId="55540EC5" w14:textId="77777777" w:rsidR="0095766D" w:rsidRPr="0095766D" w:rsidRDefault="0095766D" w:rsidP="0095766D">
            <w:pPr>
              <w:widowControl/>
              <w:autoSpaceDE/>
              <w:autoSpaceDN/>
              <w:rPr>
                <w:color w:val="000000"/>
              </w:rPr>
            </w:pPr>
            <w:r w:rsidRPr="0095766D">
              <w:rPr>
                <w:color w:val="000000"/>
              </w:rPr>
              <w:t>Santa Fe Community College</w:t>
            </w:r>
          </w:p>
        </w:tc>
        <w:tc>
          <w:tcPr>
            <w:tcW w:w="1760" w:type="dxa"/>
            <w:tcBorders>
              <w:top w:val="nil"/>
              <w:left w:val="nil"/>
              <w:bottom w:val="single" w:sz="4" w:space="0" w:color="auto"/>
              <w:right w:val="single" w:sz="4" w:space="0" w:color="auto"/>
            </w:tcBorders>
            <w:shd w:val="clear" w:color="auto" w:fill="auto"/>
            <w:noWrap/>
            <w:vAlign w:val="bottom"/>
            <w:hideMark/>
          </w:tcPr>
          <w:p w14:paraId="14C776D6" w14:textId="77777777" w:rsidR="0095766D" w:rsidRPr="0095766D" w:rsidRDefault="0095766D" w:rsidP="0095766D">
            <w:pPr>
              <w:widowControl/>
              <w:autoSpaceDE/>
              <w:autoSpaceDN/>
              <w:jc w:val="center"/>
              <w:rPr>
                <w:color w:val="000000"/>
              </w:rPr>
            </w:pPr>
            <w:r w:rsidRPr="0095766D">
              <w:rPr>
                <w:color w:val="000000"/>
              </w:rPr>
              <w:t>$600,000.00</w:t>
            </w:r>
          </w:p>
        </w:tc>
        <w:tc>
          <w:tcPr>
            <w:tcW w:w="800" w:type="dxa"/>
            <w:tcBorders>
              <w:top w:val="nil"/>
              <w:left w:val="nil"/>
              <w:bottom w:val="single" w:sz="4" w:space="0" w:color="auto"/>
              <w:right w:val="single" w:sz="4" w:space="0" w:color="auto"/>
            </w:tcBorders>
            <w:shd w:val="clear" w:color="auto" w:fill="auto"/>
            <w:noWrap/>
            <w:vAlign w:val="bottom"/>
            <w:hideMark/>
          </w:tcPr>
          <w:p w14:paraId="43269D00" w14:textId="77777777" w:rsidR="0095766D" w:rsidRPr="0095766D" w:rsidRDefault="0095766D" w:rsidP="0095766D">
            <w:pPr>
              <w:widowControl/>
              <w:autoSpaceDE/>
              <w:autoSpaceDN/>
              <w:jc w:val="center"/>
              <w:rPr>
                <w:color w:val="000000"/>
              </w:rPr>
            </w:pPr>
            <w:r w:rsidRPr="0095766D">
              <w:rPr>
                <w:color w:val="000000"/>
              </w:rPr>
              <w:t>30</w:t>
            </w:r>
          </w:p>
        </w:tc>
      </w:tr>
      <w:tr w:rsidR="0095766D" w:rsidRPr="0095766D" w14:paraId="23942BE5" w14:textId="77777777" w:rsidTr="0095766D">
        <w:trPr>
          <w:trHeight w:val="300"/>
        </w:trPr>
        <w:tc>
          <w:tcPr>
            <w:tcW w:w="1020" w:type="dxa"/>
            <w:tcBorders>
              <w:top w:val="nil"/>
              <w:left w:val="single" w:sz="4" w:space="0" w:color="auto"/>
              <w:bottom w:val="single" w:sz="4" w:space="0" w:color="auto"/>
              <w:right w:val="single" w:sz="4" w:space="0" w:color="auto"/>
            </w:tcBorders>
            <w:shd w:val="clear" w:color="000000" w:fill="F2F2F2"/>
            <w:noWrap/>
            <w:vAlign w:val="bottom"/>
            <w:hideMark/>
          </w:tcPr>
          <w:p w14:paraId="339EB6EB" w14:textId="77777777" w:rsidR="0095766D" w:rsidRPr="0095766D" w:rsidRDefault="0095766D" w:rsidP="0095766D">
            <w:pPr>
              <w:widowControl/>
              <w:autoSpaceDE/>
              <w:autoSpaceDN/>
              <w:jc w:val="center"/>
              <w:rPr>
                <w:color w:val="000000"/>
              </w:rPr>
            </w:pPr>
            <w:r w:rsidRPr="0095766D">
              <w:rPr>
                <w:color w:val="000000"/>
              </w:rPr>
              <w:t>NM</w:t>
            </w:r>
          </w:p>
        </w:tc>
        <w:tc>
          <w:tcPr>
            <w:tcW w:w="6037" w:type="dxa"/>
            <w:tcBorders>
              <w:top w:val="nil"/>
              <w:left w:val="nil"/>
              <w:bottom w:val="single" w:sz="4" w:space="0" w:color="auto"/>
              <w:right w:val="single" w:sz="4" w:space="0" w:color="auto"/>
            </w:tcBorders>
            <w:shd w:val="clear" w:color="000000" w:fill="F2F2F2"/>
            <w:noWrap/>
            <w:vAlign w:val="bottom"/>
            <w:hideMark/>
          </w:tcPr>
          <w:p w14:paraId="6ADC2ADD" w14:textId="77777777" w:rsidR="0095766D" w:rsidRPr="0095766D" w:rsidRDefault="0095766D" w:rsidP="0095766D">
            <w:pPr>
              <w:widowControl/>
              <w:autoSpaceDE/>
              <w:autoSpaceDN/>
              <w:rPr>
                <w:color w:val="000000"/>
              </w:rPr>
            </w:pPr>
            <w:r w:rsidRPr="0095766D">
              <w:rPr>
                <w:color w:val="000000"/>
              </w:rPr>
              <w:t>The University of New Mexico</w:t>
            </w:r>
          </w:p>
        </w:tc>
        <w:tc>
          <w:tcPr>
            <w:tcW w:w="1760" w:type="dxa"/>
            <w:tcBorders>
              <w:top w:val="nil"/>
              <w:left w:val="nil"/>
              <w:bottom w:val="single" w:sz="4" w:space="0" w:color="auto"/>
              <w:right w:val="single" w:sz="4" w:space="0" w:color="auto"/>
            </w:tcBorders>
            <w:shd w:val="clear" w:color="000000" w:fill="F2F2F2"/>
            <w:noWrap/>
            <w:vAlign w:val="bottom"/>
            <w:hideMark/>
          </w:tcPr>
          <w:p w14:paraId="1B6543CB" w14:textId="77777777" w:rsidR="0095766D" w:rsidRPr="0095766D" w:rsidRDefault="0095766D" w:rsidP="0095766D">
            <w:pPr>
              <w:widowControl/>
              <w:autoSpaceDE/>
              <w:autoSpaceDN/>
              <w:jc w:val="center"/>
              <w:rPr>
                <w:color w:val="000000"/>
              </w:rPr>
            </w:pPr>
            <w:r w:rsidRPr="0095766D">
              <w:rPr>
                <w:color w:val="000000"/>
              </w:rPr>
              <w:t>$534,715.00</w:t>
            </w:r>
          </w:p>
        </w:tc>
        <w:tc>
          <w:tcPr>
            <w:tcW w:w="800" w:type="dxa"/>
            <w:tcBorders>
              <w:top w:val="nil"/>
              <w:left w:val="nil"/>
              <w:bottom w:val="single" w:sz="4" w:space="0" w:color="auto"/>
              <w:right w:val="single" w:sz="4" w:space="0" w:color="auto"/>
            </w:tcBorders>
            <w:shd w:val="clear" w:color="000000" w:fill="F2F2F2"/>
            <w:noWrap/>
            <w:vAlign w:val="bottom"/>
            <w:hideMark/>
          </w:tcPr>
          <w:p w14:paraId="16E67E9E" w14:textId="77777777" w:rsidR="0095766D" w:rsidRPr="0095766D" w:rsidRDefault="0095766D" w:rsidP="0095766D">
            <w:pPr>
              <w:widowControl/>
              <w:autoSpaceDE/>
              <w:autoSpaceDN/>
              <w:jc w:val="center"/>
              <w:rPr>
                <w:color w:val="000000"/>
              </w:rPr>
            </w:pPr>
            <w:r w:rsidRPr="0095766D">
              <w:rPr>
                <w:color w:val="000000"/>
              </w:rPr>
              <w:t>31</w:t>
            </w:r>
          </w:p>
        </w:tc>
      </w:tr>
      <w:tr w:rsidR="0095766D" w:rsidRPr="0095766D" w14:paraId="5913F51C" w14:textId="77777777" w:rsidTr="0095766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664C863" w14:textId="77777777" w:rsidR="0095766D" w:rsidRPr="0095766D" w:rsidRDefault="0095766D" w:rsidP="0095766D">
            <w:pPr>
              <w:widowControl/>
              <w:autoSpaceDE/>
              <w:autoSpaceDN/>
              <w:jc w:val="center"/>
              <w:rPr>
                <w:color w:val="000000"/>
              </w:rPr>
            </w:pPr>
            <w:r w:rsidRPr="0095766D">
              <w:rPr>
                <w:color w:val="000000"/>
              </w:rPr>
              <w:t>NY</w:t>
            </w:r>
          </w:p>
        </w:tc>
        <w:tc>
          <w:tcPr>
            <w:tcW w:w="6037" w:type="dxa"/>
            <w:tcBorders>
              <w:top w:val="nil"/>
              <w:left w:val="nil"/>
              <w:bottom w:val="single" w:sz="4" w:space="0" w:color="auto"/>
              <w:right w:val="single" w:sz="4" w:space="0" w:color="auto"/>
            </w:tcBorders>
            <w:shd w:val="clear" w:color="auto" w:fill="auto"/>
            <w:noWrap/>
            <w:vAlign w:val="bottom"/>
            <w:hideMark/>
          </w:tcPr>
          <w:p w14:paraId="6368296C" w14:textId="555A6FAC" w:rsidR="0095766D" w:rsidRPr="0095766D" w:rsidRDefault="0095766D" w:rsidP="0095766D">
            <w:pPr>
              <w:widowControl/>
              <w:autoSpaceDE/>
              <w:autoSpaceDN/>
              <w:rPr>
                <w:color w:val="000000"/>
              </w:rPr>
            </w:pPr>
            <w:r w:rsidRPr="0095766D">
              <w:rPr>
                <w:color w:val="000000"/>
              </w:rPr>
              <w:t>LaGuardia Community College</w:t>
            </w:r>
          </w:p>
        </w:tc>
        <w:tc>
          <w:tcPr>
            <w:tcW w:w="1760" w:type="dxa"/>
            <w:tcBorders>
              <w:top w:val="nil"/>
              <w:left w:val="nil"/>
              <w:bottom w:val="single" w:sz="4" w:space="0" w:color="auto"/>
              <w:right w:val="single" w:sz="4" w:space="0" w:color="auto"/>
            </w:tcBorders>
            <w:shd w:val="clear" w:color="auto" w:fill="auto"/>
            <w:noWrap/>
            <w:vAlign w:val="bottom"/>
            <w:hideMark/>
          </w:tcPr>
          <w:p w14:paraId="2E09FB90" w14:textId="77777777" w:rsidR="0095766D" w:rsidRPr="0095766D" w:rsidRDefault="0095766D" w:rsidP="0095766D">
            <w:pPr>
              <w:widowControl/>
              <w:autoSpaceDE/>
              <w:autoSpaceDN/>
              <w:jc w:val="center"/>
              <w:rPr>
                <w:color w:val="000000"/>
              </w:rPr>
            </w:pPr>
            <w:r w:rsidRPr="0095766D">
              <w:rPr>
                <w:color w:val="000000"/>
              </w:rPr>
              <w:t>$559,206.00</w:t>
            </w:r>
          </w:p>
        </w:tc>
        <w:tc>
          <w:tcPr>
            <w:tcW w:w="800" w:type="dxa"/>
            <w:tcBorders>
              <w:top w:val="nil"/>
              <w:left w:val="nil"/>
              <w:bottom w:val="single" w:sz="4" w:space="0" w:color="auto"/>
              <w:right w:val="single" w:sz="4" w:space="0" w:color="auto"/>
            </w:tcBorders>
            <w:shd w:val="clear" w:color="auto" w:fill="auto"/>
            <w:noWrap/>
            <w:vAlign w:val="bottom"/>
            <w:hideMark/>
          </w:tcPr>
          <w:p w14:paraId="5004894B" w14:textId="77777777" w:rsidR="0095766D" w:rsidRPr="0095766D" w:rsidRDefault="0095766D" w:rsidP="0095766D">
            <w:pPr>
              <w:widowControl/>
              <w:autoSpaceDE/>
              <w:autoSpaceDN/>
              <w:jc w:val="center"/>
              <w:rPr>
                <w:color w:val="000000"/>
              </w:rPr>
            </w:pPr>
            <w:r w:rsidRPr="0095766D">
              <w:rPr>
                <w:color w:val="000000"/>
              </w:rPr>
              <w:t>32</w:t>
            </w:r>
          </w:p>
        </w:tc>
      </w:tr>
      <w:tr w:rsidR="0095766D" w:rsidRPr="0095766D" w14:paraId="7B0771E2" w14:textId="77777777" w:rsidTr="0095766D">
        <w:trPr>
          <w:trHeight w:val="300"/>
        </w:trPr>
        <w:tc>
          <w:tcPr>
            <w:tcW w:w="1020" w:type="dxa"/>
            <w:tcBorders>
              <w:top w:val="nil"/>
              <w:left w:val="single" w:sz="4" w:space="0" w:color="auto"/>
              <w:bottom w:val="single" w:sz="4" w:space="0" w:color="auto"/>
              <w:right w:val="single" w:sz="4" w:space="0" w:color="auto"/>
            </w:tcBorders>
            <w:shd w:val="clear" w:color="000000" w:fill="F2F2F2"/>
            <w:noWrap/>
            <w:vAlign w:val="bottom"/>
            <w:hideMark/>
          </w:tcPr>
          <w:p w14:paraId="6DAF1E77" w14:textId="77777777" w:rsidR="0095766D" w:rsidRPr="0095766D" w:rsidRDefault="0095766D" w:rsidP="0095766D">
            <w:pPr>
              <w:widowControl/>
              <w:autoSpaceDE/>
              <w:autoSpaceDN/>
              <w:jc w:val="center"/>
              <w:rPr>
                <w:color w:val="000000"/>
              </w:rPr>
            </w:pPr>
            <w:r w:rsidRPr="0095766D">
              <w:rPr>
                <w:color w:val="000000"/>
              </w:rPr>
              <w:t>NY</w:t>
            </w:r>
          </w:p>
        </w:tc>
        <w:tc>
          <w:tcPr>
            <w:tcW w:w="6037" w:type="dxa"/>
            <w:tcBorders>
              <w:top w:val="nil"/>
              <w:left w:val="nil"/>
              <w:bottom w:val="single" w:sz="4" w:space="0" w:color="auto"/>
              <w:right w:val="single" w:sz="4" w:space="0" w:color="auto"/>
            </w:tcBorders>
            <w:shd w:val="clear" w:color="000000" w:fill="F2F2F2"/>
            <w:noWrap/>
            <w:vAlign w:val="bottom"/>
            <w:hideMark/>
          </w:tcPr>
          <w:p w14:paraId="7230BFA0" w14:textId="77777777" w:rsidR="0095766D" w:rsidRPr="0095766D" w:rsidRDefault="0095766D" w:rsidP="0095766D">
            <w:pPr>
              <w:widowControl/>
              <w:autoSpaceDE/>
              <w:autoSpaceDN/>
              <w:rPr>
                <w:color w:val="000000"/>
              </w:rPr>
            </w:pPr>
            <w:r w:rsidRPr="0095766D">
              <w:rPr>
                <w:color w:val="000000"/>
              </w:rPr>
              <w:t>SUNY Rockland Community College</w:t>
            </w:r>
          </w:p>
        </w:tc>
        <w:tc>
          <w:tcPr>
            <w:tcW w:w="1760" w:type="dxa"/>
            <w:tcBorders>
              <w:top w:val="nil"/>
              <w:left w:val="nil"/>
              <w:bottom w:val="single" w:sz="4" w:space="0" w:color="auto"/>
              <w:right w:val="single" w:sz="4" w:space="0" w:color="auto"/>
            </w:tcBorders>
            <w:shd w:val="clear" w:color="000000" w:fill="F2F2F2"/>
            <w:noWrap/>
            <w:vAlign w:val="bottom"/>
            <w:hideMark/>
          </w:tcPr>
          <w:p w14:paraId="53345BD4" w14:textId="77777777" w:rsidR="0095766D" w:rsidRPr="0095766D" w:rsidRDefault="0095766D" w:rsidP="0095766D">
            <w:pPr>
              <w:widowControl/>
              <w:autoSpaceDE/>
              <w:autoSpaceDN/>
              <w:jc w:val="center"/>
              <w:rPr>
                <w:color w:val="000000"/>
              </w:rPr>
            </w:pPr>
            <w:r w:rsidRPr="0095766D">
              <w:rPr>
                <w:color w:val="000000"/>
              </w:rPr>
              <w:t>$599,999.00</w:t>
            </w:r>
          </w:p>
        </w:tc>
        <w:tc>
          <w:tcPr>
            <w:tcW w:w="800" w:type="dxa"/>
            <w:tcBorders>
              <w:top w:val="nil"/>
              <w:left w:val="nil"/>
              <w:bottom w:val="single" w:sz="4" w:space="0" w:color="auto"/>
              <w:right w:val="single" w:sz="4" w:space="0" w:color="auto"/>
            </w:tcBorders>
            <w:shd w:val="clear" w:color="000000" w:fill="F2F2F2"/>
            <w:noWrap/>
            <w:vAlign w:val="bottom"/>
            <w:hideMark/>
          </w:tcPr>
          <w:p w14:paraId="1AB3B3DA" w14:textId="77777777" w:rsidR="0095766D" w:rsidRPr="0095766D" w:rsidRDefault="0095766D" w:rsidP="0095766D">
            <w:pPr>
              <w:widowControl/>
              <w:autoSpaceDE/>
              <w:autoSpaceDN/>
              <w:jc w:val="center"/>
              <w:rPr>
                <w:color w:val="000000"/>
              </w:rPr>
            </w:pPr>
            <w:r w:rsidRPr="0095766D">
              <w:rPr>
                <w:color w:val="000000"/>
              </w:rPr>
              <w:t>33</w:t>
            </w:r>
          </w:p>
        </w:tc>
      </w:tr>
      <w:tr w:rsidR="0095766D" w:rsidRPr="0095766D" w14:paraId="15304F45" w14:textId="77777777" w:rsidTr="0095766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7A8D413" w14:textId="77777777" w:rsidR="0095766D" w:rsidRPr="0095766D" w:rsidRDefault="0095766D" w:rsidP="0095766D">
            <w:pPr>
              <w:widowControl/>
              <w:autoSpaceDE/>
              <w:autoSpaceDN/>
              <w:jc w:val="center"/>
              <w:rPr>
                <w:color w:val="000000"/>
              </w:rPr>
            </w:pPr>
            <w:r w:rsidRPr="0095766D">
              <w:rPr>
                <w:color w:val="000000"/>
              </w:rPr>
              <w:t>PR</w:t>
            </w:r>
          </w:p>
        </w:tc>
        <w:tc>
          <w:tcPr>
            <w:tcW w:w="6037" w:type="dxa"/>
            <w:tcBorders>
              <w:top w:val="nil"/>
              <w:left w:val="nil"/>
              <w:bottom w:val="single" w:sz="4" w:space="0" w:color="auto"/>
              <w:right w:val="single" w:sz="4" w:space="0" w:color="auto"/>
            </w:tcBorders>
            <w:shd w:val="clear" w:color="auto" w:fill="auto"/>
            <w:noWrap/>
            <w:vAlign w:val="bottom"/>
            <w:hideMark/>
          </w:tcPr>
          <w:p w14:paraId="52DCC92C" w14:textId="77777777" w:rsidR="0095766D" w:rsidRPr="0095766D" w:rsidRDefault="0095766D" w:rsidP="0095766D">
            <w:pPr>
              <w:widowControl/>
              <w:autoSpaceDE/>
              <w:autoSpaceDN/>
              <w:rPr>
                <w:color w:val="000000"/>
              </w:rPr>
            </w:pPr>
            <w:r w:rsidRPr="0095766D">
              <w:rPr>
                <w:color w:val="000000"/>
              </w:rPr>
              <w:t>Atlantic University College</w:t>
            </w:r>
          </w:p>
        </w:tc>
        <w:tc>
          <w:tcPr>
            <w:tcW w:w="1760" w:type="dxa"/>
            <w:tcBorders>
              <w:top w:val="nil"/>
              <w:left w:val="nil"/>
              <w:bottom w:val="single" w:sz="4" w:space="0" w:color="auto"/>
              <w:right w:val="single" w:sz="4" w:space="0" w:color="auto"/>
            </w:tcBorders>
            <w:shd w:val="clear" w:color="auto" w:fill="auto"/>
            <w:noWrap/>
            <w:vAlign w:val="bottom"/>
            <w:hideMark/>
          </w:tcPr>
          <w:p w14:paraId="7B1E88E1" w14:textId="77777777" w:rsidR="0095766D" w:rsidRPr="0095766D" w:rsidRDefault="0095766D" w:rsidP="0095766D">
            <w:pPr>
              <w:widowControl/>
              <w:autoSpaceDE/>
              <w:autoSpaceDN/>
              <w:jc w:val="center"/>
              <w:rPr>
                <w:color w:val="000000"/>
              </w:rPr>
            </w:pPr>
            <w:r w:rsidRPr="0095766D">
              <w:rPr>
                <w:color w:val="000000"/>
              </w:rPr>
              <w:t>$600,000.00</w:t>
            </w:r>
          </w:p>
        </w:tc>
        <w:tc>
          <w:tcPr>
            <w:tcW w:w="800" w:type="dxa"/>
            <w:tcBorders>
              <w:top w:val="nil"/>
              <w:left w:val="nil"/>
              <w:bottom w:val="single" w:sz="4" w:space="0" w:color="auto"/>
              <w:right w:val="single" w:sz="4" w:space="0" w:color="auto"/>
            </w:tcBorders>
            <w:shd w:val="clear" w:color="auto" w:fill="auto"/>
            <w:noWrap/>
            <w:vAlign w:val="bottom"/>
            <w:hideMark/>
          </w:tcPr>
          <w:p w14:paraId="5D760F28" w14:textId="77777777" w:rsidR="0095766D" w:rsidRPr="0095766D" w:rsidRDefault="0095766D" w:rsidP="0095766D">
            <w:pPr>
              <w:widowControl/>
              <w:autoSpaceDE/>
              <w:autoSpaceDN/>
              <w:jc w:val="center"/>
              <w:rPr>
                <w:color w:val="000000"/>
              </w:rPr>
            </w:pPr>
            <w:r w:rsidRPr="0095766D">
              <w:rPr>
                <w:color w:val="000000"/>
              </w:rPr>
              <w:t>34</w:t>
            </w:r>
          </w:p>
        </w:tc>
      </w:tr>
      <w:tr w:rsidR="0095766D" w:rsidRPr="0095766D" w14:paraId="6F0980FA" w14:textId="77777777" w:rsidTr="0095766D">
        <w:trPr>
          <w:trHeight w:val="300"/>
        </w:trPr>
        <w:tc>
          <w:tcPr>
            <w:tcW w:w="1020" w:type="dxa"/>
            <w:tcBorders>
              <w:top w:val="nil"/>
              <w:left w:val="single" w:sz="4" w:space="0" w:color="auto"/>
              <w:bottom w:val="single" w:sz="4" w:space="0" w:color="auto"/>
              <w:right w:val="single" w:sz="4" w:space="0" w:color="auto"/>
            </w:tcBorders>
            <w:shd w:val="clear" w:color="000000" w:fill="F2F2F2"/>
            <w:noWrap/>
            <w:vAlign w:val="bottom"/>
            <w:hideMark/>
          </w:tcPr>
          <w:p w14:paraId="795DC675" w14:textId="77777777" w:rsidR="0095766D" w:rsidRPr="0095766D" w:rsidRDefault="0095766D" w:rsidP="0095766D">
            <w:pPr>
              <w:widowControl/>
              <w:autoSpaceDE/>
              <w:autoSpaceDN/>
              <w:jc w:val="center"/>
              <w:rPr>
                <w:color w:val="000000"/>
              </w:rPr>
            </w:pPr>
            <w:r w:rsidRPr="0095766D">
              <w:rPr>
                <w:color w:val="000000"/>
              </w:rPr>
              <w:t>PR</w:t>
            </w:r>
          </w:p>
        </w:tc>
        <w:tc>
          <w:tcPr>
            <w:tcW w:w="6037" w:type="dxa"/>
            <w:tcBorders>
              <w:top w:val="nil"/>
              <w:left w:val="nil"/>
              <w:bottom w:val="single" w:sz="4" w:space="0" w:color="auto"/>
              <w:right w:val="single" w:sz="4" w:space="0" w:color="auto"/>
            </w:tcBorders>
            <w:shd w:val="clear" w:color="000000" w:fill="F2F2F2"/>
            <w:noWrap/>
            <w:vAlign w:val="bottom"/>
            <w:hideMark/>
          </w:tcPr>
          <w:p w14:paraId="1D935FC8" w14:textId="77777777" w:rsidR="0095766D" w:rsidRPr="0095766D" w:rsidRDefault="0095766D" w:rsidP="0095766D">
            <w:pPr>
              <w:widowControl/>
              <w:autoSpaceDE/>
              <w:autoSpaceDN/>
              <w:rPr>
                <w:color w:val="000000"/>
              </w:rPr>
            </w:pPr>
            <w:r w:rsidRPr="0095766D">
              <w:rPr>
                <w:color w:val="000000"/>
              </w:rPr>
              <w:t>Inter American University of Puerto Rico - Guayama</w:t>
            </w:r>
          </w:p>
        </w:tc>
        <w:tc>
          <w:tcPr>
            <w:tcW w:w="1760" w:type="dxa"/>
            <w:tcBorders>
              <w:top w:val="nil"/>
              <w:left w:val="nil"/>
              <w:bottom w:val="single" w:sz="4" w:space="0" w:color="auto"/>
              <w:right w:val="single" w:sz="4" w:space="0" w:color="auto"/>
            </w:tcBorders>
            <w:shd w:val="clear" w:color="000000" w:fill="F2F2F2"/>
            <w:noWrap/>
            <w:vAlign w:val="bottom"/>
            <w:hideMark/>
          </w:tcPr>
          <w:p w14:paraId="39CE3713" w14:textId="77777777" w:rsidR="0095766D" w:rsidRPr="0095766D" w:rsidRDefault="0095766D" w:rsidP="0095766D">
            <w:pPr>
              <w:widowControl/>
              <w:autoSpaceDE/>
              <w:autoSpaceDN/>
              <w:jc w:val="center"/>
              <w:rPr>
                <w:color w:val="000000"/>
              </w:rPr>
            </w:pPr>
            <w:r w:rsidRPr="0095766D">
              <w:rPr>
                <w:color w:val="000000"/>
              </w:rPr>
              <w:t>$599,996.00</w:t>
            </w:r>
          </w:p>
        </w:tc>
        <w:tc>
          <w:tcPr>
            <w:tcW w:w="800" w:type="dxa"/>
            <w:tcBorders>
              <w:top w:val="nil"/>
              <w:left w:val="nil"/>
              <w:bottom w:val="single" w:sz="4" w:space="0" w:color="auto"/>
              <w:right w:val="single" w:sz="4" w:space="0" w:color="auto"/>
            </w:tcBorders>
            <w:shd w:val="clear" w:color="000000" w:fill="F2F2F2"/>
            <w:noWrap/>
            <w:vAlign w:val="bottom"/>
            <w:hideMark/>
          </w:tcPr>
          <w:p w14:paraId="3723AF51" w14:textId="77777777" w:rsidR="0095766D" w:rsidRPr="0095766D" w:rsidRDefault="0095766D" w:rsidP="0095766D">
            <w:pPr>
              <w:widowControl/>
              <w:autoSpaceDE/>
              <w:autoSpaceDN/>
              <w:jc w:val="center"/>
              <w:rPr>
                <w:color w:val="000000"/>
              </w:rPr>
            </w:pPr>
            <w:r w:rsidRPr="0095766D">
              <w:rPr>
                <w:color w:val="000000"/>
              </w:rPr>
              <w:t>35</w:t>
            </w:r>
          </w:p>
        </w:tc>
      </w:tr>
      <w:tr w:rsidR="0095766D" w:rsidRPr="0095766D" w14:paraId="567BC386" w14:textId="77777777" w:rsidTr="0095766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AA5ECC2" w14:textId="77777777" w:rsidR="0095766D" w:rsidRPr="0095766D" w:rsidRDefault="0095766D" w:rsidP="0095766D">
            <w:pPr>
              <w:widowControl/>
              <w:autoSpaceDE/>
              <w:autoSpaceDN/>
              <w:jc w:val="center"/>
              <w:rPr>
                <w:color w:val="000000"/>
              </w:rPr>
            </w:pPr>
            <w:r w:rsidRPr="0095766D">
              <w:rPr>
                <w:color w:val="000000"/>
              </w:rPr>
              <w:t>PR</w:t>
            </w:r>
          </w:p>
        </w:tc>
        <w:tc>
          <w:tcPr>
            <w:tcW w:w="6037" w:type="dxa"/>
            <w:tcBorders>
              <w:top w:val="nil"/>
              <w:left w:val="nil"/>
              <w:bottom w:val="single" w:sz="4" w:space="0" w:color="auto"/>
              <w:right w:val="single" w:sz="4" w:space="0" w:color="auto"/>
            </w:tcBorders>
            <w:shd w:val="clear" w:color="auto" w:fill="auto"/>
            <w:noWrap/>
            <w:vAlign w:val="bottom"/>
            <w:hideMark/>
          </w:tcPr>
          <w:p w14:paraId="2A78A4B8" w14:textId="77777777" w:rsidR="0095766D" w:rsidRPr="0095766D" w:rsidRDefault="0095766D" w:rsidP="0095766D">
            <w:pPr>
              <w:widowControl/>
              <w:autoSpaceDE/>
              <w:autoSpaceDN/>
              <w:rPr>
                <w:color w:val="000000"/>
              </w:rPr>
            </w:pPr>
            <w:r w:rsidRPr="0095766D">
              <w:rPr>
                <w:color w:val="000000"/>
              </w:rPr>
              <w:t>Inter American University of Puerto Rico Fajardo Campus</w:t>
            </w:r>
          </w:p>
        </w:tc>
        <w:tc>
          <w:tcPr>
            <w:tcW w:w="1760" w:type="dxa"/>
            <w:tcBorders>
              <w:top w:val="nil"/>
              <w:left w:val="nil"/>
              <w:bottom w:val="single" w:sz="4" w:space="0" w:color="auto"/>
              <w:right w:val="single" w:sz="4" w:space="0" w:color="auto"/>
            </w:tcBorders>
            <w:shd w:val="clear" w:color="auto" w:fill="auto"/>
            <w:noWrap/>
            <w:vAlign w:val="bottom"/>
            <w:hideMark/>
          </w:tcPr>
          <w:p w14:paraId="7154034D" w14:textId="77777777" w:rsidR="0095766D" w:rsidRPr="0095766D" w:rsidRDefault="0095766D" w:rsidP="0095766D">
            <w:pPr>
              <w:widowControl/>
              <w:autoSpaceDE/>
              <w:autoSpaceDN/>
              <w:jc w:val="center"/>
              <w:rPr>
                <w:color w:val="000000"/>
              </w:rPr>
            </w:pPr>
            <w:r w:rsidRPr="0095766D">
              <w:rPr>
                <w:color w:val="000000"/>
              </w:rPr>
              <w:t>$599,873.00</w:t>
            </w:r>
          </w:p>
        </w:tc>
        <w:tc>
          <w:tcPr>
            <w:tcW w:w="800" w:type="dxa"/>
            <w:tcBorders>
              <w:top w:val="nil"/>
              <w:left w:val="nil"/>
              <w:bottom w:val="single" w:sz="4" w:space="0" w:color="auto"/>
              <w:right w:val="single" w:sz="4" w:space="0" w:color="auto"/>
            </w:tcBorders>
            <w:shd w:val="clear" w:color="auto" w:fill="auto"/>
            <w:noWrap/>
            <w:vAlign w:val="bottom"/>
            <w:hideMark/>
          </w:tcPr>
          <w:p w14:paraId="3F0FA6B8" w14:textId="77777777" w:rsidR="0095766D" w:rsidRPr="0095766D" w:rsidRDefault="0095766D" w:rsidP="0095766D">
            <w:pPr>
              <w:widowControl/>
              <w:autoSpaceDE/>
              <w:autoSpaceDN/>
              <w:jc w:val="center"/>
              <w:rPr>
                <w:color w:val="000000"/>
              </w:rPr>
            </w:pPr>
            <w:r w:rsidRPr="0095766D">
              <w:rPr>
                <w:color w:val="000000"/>
              </w:rPr>
              <w:t>36</w:t>
            </w:r>
          </w:p>
        </w:tc>
      </w:tr>
      <w:tr w:rsidR="0095766D" w:rsidRPr="0095766D" w14:paraId="7C1523F9" w14:textId="77777777" w:rsidTr="0095766D">
        <w:trPr>
          <w:trHeight w:val="300"/>
        </w:trPr>
        <w:tc>
          <w:tcPr>
            <w:tcW w:w="1020" w:type="dxa"/>
            <w:tcBorders>
              <w:top w:val="nil"/>
              <w:left w:val="single" w:sz="4" w:space="0" w:color="auto"/>
              <w:bottom w:val="single" w:sz="4" w:space="0" w:color="auto"/>
              <w:right w:val="single" w:sz="4" w:space="0" w:color="auto"/>
            </w:tcBorders>
            <w:shd w:val="clear" w:color="000000" w:fill="F2F2F2"/>
            <w:noWrap/>
            <w:vAlign w:val="bottom"/>
            <w:hideMark/>
          </w:tcPr>
          <w:p w14:paraId="6508CDFC" w14:textId="77777777" w:rsidR="0095766D" w:rsidRPr="0095766D" w:rsidRDefault="0095766D" w:rsidP="0095766D">
            <w:pPr>
              <w:widowControl/>
              <w:autoSpaceDE/>
              <w:autoSpaceDN/>
              <w:jc w:val="center"/>
              <w:rPr>
                <w:color w:val="000000"/>
              </w:rPr>
            </w:pPr>
            <w:r w:rsidRPr="0095766D">
              <w:rPr>
                <w:color w:val="000000"/>
              </w:rPr>
              <w:t>PR</w:t>
            </w:r>
          </w:p>
        </w:tc>
        <w:tc>
          <w:tcPr>
            <w:tcW w:w="6037" w:type="dxa"/>
            <w:tcBorders>
              <w:top w:val="nil"/>
              <w:left w:val="nil"/>
              <w:bottom w:val="single" w:sz="4" w:space="0" w:color="auto"/>
              <w:right w:val="single" w:sz="4" w:space="0" w:color="auto"/>
            </w:tcBorders>
            <w:shd w:val="clear" w:color="000000" w:fill="F2F2F2"/>
            <w:noWrap/>
            <w:vAlign w:val="bottom"/>
            <w:hideMark/>
          </w:tcPr>
          <w:p w14:paraId="1DD32260" w14:textId="77777777" w:rsidR="0095766D" w:rsidRPr="0095766D" w:rsidRDefault="0095766D" w:rsidP="0095766D">
            <w:pPr>
              <w:widowControl/>
              <w:autoSpaceDE/>
              <w:autoSpaceDN/>
              <w:rPr>
                <w:color w:val="000000"/>
              </w:rPr>
            </w:pPr>
            <w:r w:rsidRPr="0095766D">
              <w:rPr>
                <w:color w:val="000000"/>
              </w:rPr>
              <w:t>Universidad Central de Bayamón</w:t>
            </w:r>
          </w:p>
        </w:tc>
        <w:tc>
          <w:tcPr>
            <w:tcW w:w="1760" w:type="dxa"/>
            <w:tcBorders>
              <w:top w:val="nil"/>
              <w:left w:val="nil"/>
              <w:bottom w:val="single" w:sz="4" w:space="0" w:color="auto"/>
              <w:right w:val="single" w:sz="4" w:space="0" w:color="auto"/>
            </w:tcBorders>
            <w:shd w:val="clear" w:color="000000" w:fill="F2F2F2"/>
            <w:noWrap/>
            <w:vAlign w:val="bottom"/>
            <w:hideMark/>
          </w:tcPr>
          <w:p w14:paraId="47DA90F2" w14:textId="77777777" w:rsidR="0095766D" w:rsidRPr="0095766D" w:rsidRDefault="0095766D" w:rsidP="0095766D">
            <w:pPr>
              <w:widowControl/>
              <w:autoSpaceDE/>
              <w:autoSpaceDN/>
              <w:jc w:val="center"/>
              <w:rPr>
                <w:color w:val="000000"/>
              </w:rPr>
            </w:pPr>
            <w:r w:rsidRPr="0095766D">
              <w:rPr>
                <w:color w:val="000000"/>
              </w:rPr>
              <w:t>$599,588.00</w:t>
            </w:r>
          </w:p>
        </w:tc>
        <w:tc>
          <w:tcPr>
            <w:tcW w:w="800" w:type="dxa"/>
            <w:tcBorders>
              <w:top w:val="nil"/>
              <w:left w:val="nil"/>
              <w:bottom w:val="single" w:sz="4" w:space="0" w:color="auto"/>
              <w:right w:val="single" w:sz="4" w:space="0" w:color="auto"/>
            </w:tcBorders>
            <w:shd w:val="clear" w:color="000000" w:fill="F2F2F2"/>
            <w:noWrap/>
            <w:vAlign w:val="bottom"/>
            <w:hideMark/>
          </w:tcPr>
          <w:p w14:paraId="26F7661D" w14:textId="77777777" w:rsidR="0095766D" w:rsidRPr="0095766D" w:rsidRDefault="0095766D" w:rsidP="0095766D">
            <w:pPr>
              <w:widowControl/>
              <w:autoSpaceDE/>
              <w:autoSpaceDN/>
              <w:jc w:val="center"/>
              <w:rPr>
                <w:color w:val="000000"/>
              </w:rPr>
            </w:pPr>
            <w:r w:rsidRPr="0095766D">
              <w:rPr>
                <w:color w:val="000000"/>
              </w:rPr>
              <w:t>37</w:t>
            </w:r>
          </w:p>
        </w:tc>
      </w:tr>
      <w:tr w:rsidR="0095766D" w:rsidRPr="0095766D" w14:paraId="4D76508A" w14:textId="77777777" w:rsidTr="00634CA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2120590" w14:textId="77777777" w:rsidR="0095766D" w:rsidRPr="0095766D" w:rsidRDefault="0095766D" w:rsidP="0095766D">
            <w:pPr>
              <w:widowControl/>
              <w:autoSpaceDE/>
              <w:autoSpaceDN/>
              <w:jc w:val="center"/>
              <w:rPr>
                <w:color w:val="000000"/>
              </w:rPr>
            </w:pPr>
            <w:r w:rsidRPr="0095766D">
              <w:rPr>
                <w:color w:val="000000"/>
              </w:rPr>
              <w:t>TX</w:t>
            </w:r>
          </w:p>
        </w:tc>
        <w:tc>
          <w:tcPr>
            <w:tcW w:w="6037" w:type="dxa"/>
            <w:tcBorders>
              <w:top w:val="nil"/>
              <w:left w:val="nil"/>
              <w:bottom w:val="single" w:sz="4" w:space="0" w:color="auto"/>
              <w:right w:val="single" w:sz="4" w:space="0" w:color="auto"/>
            </w:tcBorders>
            <w:shd w:val="clear" w:color="auto" w:fill="auto"/>
            <w:noWrap/>
            <w:vAlign w:val="bottom"/>
            <w:hideMark/>
          </w:tcPr>
          <w:p w14:paraId="186C33C4" w14:textId="77777777" w:rsidR="0095766D" w:rsidRPr="0095766D" w:rsidRDefault="0095766D" w:rsidP="0095766D">
            <w:pPr>
              <w:widowControl/>
              <w:autoSpaceDE/>
              <w:autoSpaceDN/>
              <w:rPr>
                <w:color w:val="000000"/>
              </w:rPr>
            </w:pPr>
            <w:r w:rsidRPr="0095766D">
              <w:rPr>
                <w:color w:val="000000"/>
              </w:rPr>
              <w:t>Del Mar College</w:t>
            </w:r>
          </w:p>
        </w:tc>
        <w:tc>
          <w:tcPr>
            <w:tcW w:w="1760" w:type="dxa"/>
            <w:tcBorders>
              <w:top w:val="nil"/>
              <w:left w:val="nil"/>
              <w:bottom w:val="single" w:sz="4" w:space="0" w:color="auto"/>
              <w:right w:val="single" w:sz="4" w:space="0" w:color="auto"/>
            </w:tcBorders>
            <w:shd w:val="clear" w:color="auto" w:fill="auto"/>
            <w:noWrap/>
            <w:vAlign w:val="bottom"/>
            <w:hideMark/>
          </w:tcPr>
          <w:p w14:paraId="0A0AA080" w14:textId="77777777" w:rsidR="0095766D" w:rsidRPr="0095766D" w:rsidRDefault="0095766D" w:rsidP="0095766D">
            <w:pPr>
              <w:widowControl/>
              <w:autoSpaceDE/>
              <w:autoSpaceDN/>
              <w:jc w:val="center"/>
              <w:rPr>
                <w:color w:val="000000"/>
              </w:rPr>
            </w:pPr>
            <w:r w:rsidRPr="0095766D">
              <w:rPr>
                <w:color w:val="000000"/>
              </w:rPr>
              <w:t>$558,651.00</w:t>
            </w:r>
          </w:p>
        </w:tc>
        <w:tc>
          <w:tcPr>
            <w:tcW w:w="800" w:type="dxa"/>
            <w:tcBorders>
              <w:top w:val="nil"/>
              <w:left w:val="nil"/>
              <w:bottom w:val="single" w:sz="4" w:space="0" w:color="auto"/>
              <w:right w:val="single" w:sz="4" w:space="0" w:color="auto"/>
            </w:tcBorders>
            <w:shd w:val="clear" w:color="auto" w:fill="auto"/>
            <w:noWrap/>
            <w:vAlign w:val="bottom"/>
            <w:hideMark/>
          </w:tcPr>
          <w:p w14:paraId="54BC0E1D" w14:textId="77777777" w:rsidR="0095766D" w:rsidRPr="0095766D" w:rsidRDefault="0095766D" w:rsidP="0095766D">
            <w:pPr>
              <w:widowControl/>
              <w:autoSpaceDE/>
              <w:autoSpaceDN/>
              <w:jc w:val="center"/>
              <w:rPr>
                <w:color w:val="000000"/>
              </w:rPr>
            </w:pPr>
            <w:r w:rsidRPr="0095766D">
              <w:rPr>
                <w:color w:val="000000"/>
              </w:rPr>
              <w:t>38</w:t>
            </w:r>
          </w:p>
        </w:tc>
      </w:tr>
      <w:tr w:rsidR="0095766D" w:rsidRPr="0095766D" w14:paraId="55CDF2AE" w14:textId="77777777" w:rsidTr="00634CAD">
        <w:trPr>
          <w:trHeight w:val="300"/>
        </w:trPr>
        <w:tc>
          <w:tcPr>
            <w:tcW w:w="10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EFCAE73" w14:textId="77777777" w:rsidR="0095766D" w:rsidRPr="0095766D" w:rsidRDefault="0095766D" w:rsidP="0095766D">
            <w:pPr>
              <w:widowControl/>
              <w:autoSpaceDE/>
              <w:autoSpaceDN/>
              <w:jc w:val="center"/>
              <w:rPr>
                <w:color w:val="000000"/>
              </w:rPr>
            </w:pPr>
            <w:r w:rsidRPr="0095766D">
              <w:rPr>
                <w:color w:val="000000"/>
              </w:rPr>
              <w:lastRenderedPageBreak/>
              <w:t>TX</w:t>
            </w:r>
          </w:p>
        </w:tc>
        <w:tc>
          <w:tcPr>
            <w:tcW w:w="6037"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EBD5655" w14:textId="77777777" w:rsidR="0095766D" w:rsidRPr="0095766D" w:rsidRDefault="0095766D" w:rsidP="0095766D">
            <w:pPr>
              <w:widowControl/>
              <w:autoSpaceDE/>
              <w:autoSpaceDN/>
              <w:rPr>
                <w:color w:val="000000"/>
              </w:rPr>
            </w:pPr>
            <w:r w:rsidRPr="0095766D">
              <w:rPr>
                <w:color w:val="000000"/>
              </w:rPr>
              <w:t>Houston Baptist University</w:t>
            </w:r>
          </w:p>
        </w:tc>
        <w:tc>
          <w:tcPr>
            <w:tcW w:w="176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0A5CB93" w14:textId="77777777" w:rsidR="0095766D" w:rsidRPr="0095766D" w:rsidRDefault="0095766D" w:rsidP="0095766D">
            <w:pPr>
              <w:widowControl/>
              <w:autoSpaceDE/>
              <w:autoSpaceDN/>
              <w:jc w:val="center"/>
              <w:rPr>
                <w:color w:val="000000"/>
              </w:rPr>
            </w:pPr>
            <w:r w:rsidRPr="0095766D">
              <w:rPr>
                <w:color w:val="000000"/>
              </w:rPr>
              <w:t>$600,000.00</w:t>
            </w:r>
          </w:p>
        </w:tc>
        <w:tc>
          <w:tcPr>
            <w:tcW w:w="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37FB84C" w14:textId="77777777" w:rsidR="0095766D" w:rsidRPr="0095766D" w:rsidRDefault="0095766D" w:rsidP="0095766D">
            <w:pPr>
              <w:widowControl/>
              <w:autoSpaceDE/>
              <w:autoSpaceDN/>
              <w:jc w:val="center"/>
              <w:rPr>
                <w:color w:val="000000"/>
              </w:rPr>
            </w:pPr>
            <w:r w:rsidRPr="0095766D">
              <w:rPr>
                <w:color w:val="000000"/>
              </w:rPr>
              <w:t>39</w:t>
            </w:r>
          </w:p>
        </w:tc>
      </w:tr>
      <w:tr w:rsidR="0095766D" w:rsidRPr="0095766D" w14:paraId="32B6FFE2" w14:textId="77777777" w:rsidTr="00634CAD">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3EA75" w14:textId="77777777" w:rsidR="0095766D" w:rsidRPr="0095766D" w:rsidRDefault="0095766D" w:rsidP="0095766D">
            <w:pPr>
              <w:widowControl/>
              <w:autoSpaceDE/>
              <w:autoSpaceDN/>
              <w:jc w:val="center"/>
              <w:rPr>
                <w:color w:val="000000"/>
              </w:rPr>
            </w:pPr>
            <w:r w:rsidRPr="0095766D">
              <w:rPr>
                <w:color w:val="000000"/>
              </w:rPr>
              <w:t>TX</w:t>
            </w:r>
          </w:p>
        </w:tc>
        <w:tc>
          <w:tcPr>
            <w:tcW w:w="6037" w:type="dxa"/>
            <w:tcBorders>
              <w:top w:val="single" w:sz="4" w:space="0" w:color="auto"/>
              <w:left w:val="nil"/>
              <w:bottom w:val="single" w:sz="4" w:space="0" w:color="auto"/>
              <w:right w:val="single" w:sz="4" w:space="0" w:color="auto"/>
            </w:tcBorders>
            <w:shd w:val="clear" w:color="auto" w:fill="auto"/>
            <w:noWrap/>
            <w:vAlign w:val="bottom"/>
            <w:hideMark/>
          </w:tcPr>
          <w:p w14:paraId="3AA65DE6" w14:textId="77777777" w:rsidR="0095766D" w:rsidRPr="0095766D" w:rsidRDefault="0095766D" w:rsidP="0095766D">
            <w:pPr>
              <w:widowControl/>
              <w:autoSpaceDE/>
              <w:autoSpaceDN/>
              <w:rPr>
                <w:color w:val="000000"/>
              </w:rPr>
            </w:pPr>
            <w:r w:rsidRPr="0095766D">
              <w:rPr>
                <w:color w:val="000000"/>
              </w:rPr>
              <w:t>Lamar State College Port Arthur</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1B6D20C4" w14:textId="77777777" w:rsidR="0095766D" w:rsidRPr="0095766D" w:rsidRDefault="0095766D" w:rsidP="0095766D">
            <w:pPr>
              <w:widowControl/>
              <w:autoSpaceDE/>
              <w:autoSpaceDN/>
              <w:jc w:val="center"/>
              <w:rPr>
                <w:color w:val="000000"/>
              </w:rPr>
            </w:pPr>
            <w:r w:rsidRPr="0095766D">
              <w:rPr>
                <w:color w:val="000000"/>
              </w:rPr>
              <w:t>$566,808.00</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14:paraId="448EBB5F" w14:textId="77777777" w:rsidR="0095766D" w:rsidRPr="0095766D" w:rsidRDefault="0095766D" w:rsidP="0095766D">
            <w:pPr>
              <w:widowControl/>
              <w:autoSpaceDE/>
              <w:autoSpaceDN/>
              <w:jc w:val="center"/>
              <w:rPr>
                <w:color w:val="000000"/>
              </w:rPr>
            </w:pPr>
            <w:r w:rsidRPr="0095766D">
              <w:rPr>
                <w:color w:val="000000"/>
              </w:rPr>
              <w:t>40</w:t>
            </w:r>
          </w:p>
        </w:tc>
      </w:tr>
      <w:tr w:rsidR="0095766D" w:rsidRPr="0095766D" w14:paraId="10BCED29" w14:textId="77777777" w:rsidTr="00634CAD">
        <w:trPr>
          <w:trHeight w:val="300"/>
        </w:trPr>
        <w:tc>
          <w:tcPr>
            <w:tcW w:w="10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318348CF" w14:textId="77777777" w:rsidR="0095766D" w:rsidRPr="0095766D" w:rsidRDefault="0095766D" w:rsidP="0095766D">
            <w:pPr>
              <w:widowControl/>
              <w:autoSpaceDE/>
              <w:autoSpaceDN/>
              <w:jc w:val="center"/>
              <w:rPr>
                <w:color w:val="000000"/>
              </w:rPr>
            </w:pPr>
            <w:r w:rsidRPr="0095766D">
              <w:rPr>
                <w:color w:val="000000"/>
              </w:rPr>
              <w:t>TX</w:t>
            </w:r>
          </w:p>
        </w:tc>
        <w:tc>
          <w:tcPr>
            <w:tcW w:w="6037" w:type="dxa"/>
            <w:tcBorders>
              <w:top w:val="single" w:sz="4" w:space="0" w:color="auto"/>
              <w:left w:val="nil"/>
              <w:bottom w:val="single" w:sz="4" w:space="0" w:color="auto"/>
              <w:right w:val="single" w:sz="4" w:space="0" w:color="auto"/>
            </w:tcBorders>
            <w:shd w:val="clear" w:color="000000" w:fill="F2F2F2"/>
            <w:noWrap/>
            <w:vAlign w:val="bottom"/>
            <w:hideMark/>
          </w:tcPr>
          <w:p w14:paraId="148D0086" w14:textId="77777777" w:rsidR="0095766D" w:rsidRPr="0095766D" w:rsidRDefault="0095766D" w:rsidP="0095766D">
            <w:pPr>
              <w:widowControl/>
              <w:autoSpaceDE/>
              <w:autoSpaceDN/>
              <w:rPr>
                <w:color w:val="000000"/>
              </w:rPr>
            </w:pPr>
            <w:r w:rsidRPr="0095766D">
              <w:rPr>
                <w:color w:val="000000"/>
              </w:rPr>
              <w:t>Lee College</w:t>
            </w:r>
          </w:p>
        </w:tc>
        <w:tc>
          <w:tcPr>
            <w:tcW w:w="1760" w:type="dxa"/>
            <w:tcBorders>
              <w:top w:val="single" w:sz="4" w:space="0" w:color="auto"/>
              <w:left w:val="nil"/>
              <w:bottom w:val="single" w:sz="4" w:space="0" w:color="auto"/>
              <w:right w:val="single" w:sz="4" w:space="0" w:color="auto"/>
            </w:tcBorders>
            <w:shd w:val="clear" w:color="000000" w:fill="F2F2F2"/>
            <w:noWrap/>
            <w:vAlign w:val="bottom"/>
            <w:hideMark/>
          </w:tcPr>
          <w:p w14:paraId="0059C78F" w14:textId="77777777" w:rsidR="0095766D" w:rsidRPr="0095766D" w:rsidRDefault="0095766D" w:rsidP="0095766D">
            <w:pPr>
              <w:widowControl/>
              <w:autoSpaceDE/>
              <w:autoSpaceDN/>
              <w:jc w:val="center"/>
              <w:rPr>
                <w:color w:val="000000"/>
              </w:rPr>
            </w:pPr>
            <w:r w:rsidRPr="0095766D">
              <w:rPr>
                <w:color w:val="000000"/>
              </w:rPr>
              <w:t>$373,777.00</w:t>
            </w:r>
          </w:p>
        </w:tc>
        <w:tc>
          <w:tcPr>
            <w:tcW w:w="800" w:type="dxa"/>
            <w:tcBorders>
              <w:top w:val="single" w:sz="4" w:space="0" w:color="auto"/>
              <w:left w:val="nil"/>
              <w:bottom w:val="single" w:sz="4" w:space="0" w:color="auto"/>
              <w:right w:val="single" w:sz="4" w:space="0" w:color="auto"/>
            </w:tcBorders>
            <w:shd w:val="clear" w:color="000000" w:fill="F2F2F2"/>
            <w:noWrap/>
            <w:vAlign w:val="bottom"/>
            <w:hideMark/>
          </w:tcPr>
          <w:p w14:paraId="0F49793E" w14:textId="77777777" w:rsidR="0095766D" w:rsidRPr="0095766D" w:rsidRDefault="0095766D" w:rsidP="0095766D">
            <w:pPr>
              <w:widowControl/>
              <w:autoSpaceDE/>
              <w:autoSpaceDN/>
              <w:jc w:val="center"/>
              <w:rPr>
                <w:color w:val="000000"/>
              </w:rPr>
            </w:pPr>
            <w:r w:rsidRPr="0095766D">
              <w:rPr>
                <w:color w:val="000000"/>
              </w:rPr>
              <w:t>41</w:t>
            </w:r>
          </w:p>
        </w:tc>
      </w:tr>
      <w:tr w:rsidR="0095766D" w:rsidRPr="0095766D" w14:paraId="0C1F74C9" w14:textId="77777777" w:rsidTr="0095766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AE2F121" w14:textId="77777777" w:rsidR="0095766D" w:rsidRPr="0095766D" w:rsidRDefault="0095766D" w:rsidP="0095766D">
            <w:pPr>
              <w:widowControl/>
              <w:autoSpaceDE/>
              <w:autoSpaceDN/>
              <w:jc w:val="center"/>
              <w:rPr>
                <w:color w:val="000000"/>
              </w:rPr>
            </w:pPr>
            <w:r w:rsidRPr="0095766D">
              <w:rPr>
                <w:color w:val="000000"/>
              </w:rPr>
              <w:t>TX</w:t>
            </w:r>
          </w:p>
        </w:tc>
        <w:tc>
          <w:tcPr>
            <w:tcW w:w="6037" w:type="dxa"/>
            <w:tcBorders>
              <w:top w:val="nil"/>
              <w:left w:val="nil"/>
              <w:bottom w:val="single" w:sz="4" w:space="0" w:color="auto"/>
              <w:right w:val="single" w:sz="4" w:space="0" w:color="auto"/>
            </w:tcBorders>
            <w:shd w:val="clear" w:color="auto" w:fill="auto"/>
            <w:noWrap/>
            <w:vAlign w:val="bottom"/>
            <w:hideMark/>
          </w:tcPr>
          <w:p w14:paraId="2F49439B" w14:textId="77777777" w:rsidR="0095766D" w:rsidRPr="0095766D" w:rsidRDefault="0095766D" w:rsidP="0095766D">
            <w:pPr>
              <w:widowControl/>
              <w:autoSpaceDE/>
              <w:autoSpaceDN/>
              <w:rPr>
                <w:color w:val="000000"/>
              </w:rPr>
            </w:pPr>
            <w:r w:rsidRPr="0095766D">
              <w:rPr>
                <w:color w:val="000000"/>
              </w:rPr>
              <w:t>Northeast Texas Community College</w:t>
            </w:r>
          </w:p>
        </w:tc>
        <w:tc>
          <w:tcPr>
            <w:tcW w:w="1760" w:type="dxa"/>
            <w:tcBorders>
              <w:top w:val="nil"/>
              <w:left w:val="nil"/>
              <w:bottom w:val="single" w:sz="4" w:space="0" w:color="auto"/>
              <w:right w:val="single" w:sz="4" w:space="0" w:color="auto"/>
            </w:tcBorders>
            <w:shd w:val="clear" w:color="auto" w:fill="auto"/>
            <w:noWrap/>
            <w:vAlign w:val="bottom"/>
            <w:hideMark/>
          </w:tcPr>
          <w:p w14:paraId="28B35B57" w14:textId="77777777" w:rsidR="0095766D" w:rsidRPr="0095766D" w:rsidRDefault="0095766D" w:rsidP="0095766D">
            <w:pPr>
              <w:widowControl/>
              <w:autoSpaceDE/>
              <w:autoSpaceDN/>
              <w:jc w:val="center"/>
              <w:rPr>
                <w:color w:val="000000"/>
              </w:rPr>
            </w:pPr>
            <w:r w:rsidRPr="0095766D">
              <w:rPr>
                <w:color w:val="000000"/>
              </w:rPr>
              <w:t>$600,000.00</w:t>
            </w:r>
          </w:p>
        </w:tc>
        <w:tc>
          <w:tcPr>
            <w:tcW w:w="800" w:type="dxa"/>
            <w:tcBorders>
              <w:top w:val="nil"/>
              <w:left w:val="nil"/>
              <w:bottom w:val="single" w:sz="4" w:space="0" w:color="auto"/>
              <w:right w:val="single" w:sz="4" w:space="0" w:color="auto"/>
            </w:tcBorders>
            <w:shd w:val="clear" w:color="auto" w:fill="auto"/>
            <w:noWrap/>
            <w:vAlign w:val="bottom"/>
            <w:hideMark/>
          </w:tcPr>
          <w:p w14:paraId="03C3DDC5" w14:textId="77777777" w:rsidR="0095766D" w:rsidRPr="0095766D" w:rsidRDefault="0095766D" w:rsidP="0095766D">
            <w:pPr>
              <w:widowControl/>
              <w:autoSpaceDE/>
              <w:autoSpaceDN/>
              <w:jc w:val="center"/>
              <w:rPr>
                <w:color w:val="000000"/>
              </w:rPr>
            </w:pPr>
            <w:r w:rsidRPr="0095766D">
              <w:rPr>
                <w:color w:val="000000"/>
              </w:rPr>
              <w:t>42</w:t>
            </w:r>
          </w:p>
        </w:tc>
      </w:tr>
      <w:tr w:rsidR="0095766D" w:rsidRPr="0095766D" w14:paraId="59CD2ABF" w14:textId="77777777" w:rsidTr="0095766D">
        <w:trPr>
          <w:trHeight w:val="300"/>
        </w:trPr>
        <w:tc>
          <w:tcPr>
            <w:tcW w:w="1020" w:type="dxa"/>
            <w:tcBorders>
              <w:top w:val="nil"/>
              <w:left w:val="single" w:sz="4" w:space="0" w:color="auto"/>
              <w:bottom w:val="single" w:sz="4" w:space="0" w:color="auto"/>
              <w:right w:val="single" w:sz="4" w:space="0" w:color="auto"/>
            </w:tcBorders>
            <w:shd w:val="clear" w:color="000000" w:fill="F2F2F2"/>
            <w:noWrap/>
            <w:vAlign w:val="bottom"/>
            <w:hideMark/>
          </w:tcPr>
          <w:p w14:paraId="2DCFE88F" w14:textId="77777777" w:rsidR="0095766D" w:rsidRPr="0095766D" w:rsidRDefault="0095766D" w:rsidP="0095766D">
            <w:pPr>
              <w:widowControl/>
              <w:autoSpaceDE/>
              <w:autoSpaceDN/>
              <w:jc w:val="center"/>
              <w:rPr>
                <w:color w:val="000000"/>
              </w:rPr>
            </w:pPr>
            <w:r w:rsidRPr="0095766D">
              <w:rPr>
                <w:color w:val="000000"/>
              </w:rPr>
              <w:t>TX</w:t>
            </w:r>
          </w:p>
        </w:tc>
        <w:tc>
          <w:tcPr>
            <w:tcW w:w="6037" w:type="dxa"/>
            <w:tcBorders>
              <w:top w:val="nil"/>
              <w:left w:val="nil"/>
              <w:bottom w:val="single" w:sz="4" w:space="0" w:color="auto"/>
              <w:right w:val="single" w:sz="4" w:space="0" w:color="auto"/>
            </w:tcBorders>
            <w:shd w:val="clear" w:color="000000" w:fill="F2F2F2"/>
            <w:noWrap/>
            <w:vAlign w:val="bottom"/>
            <w:hideMark/>
          </w:tcPr>
          <w:p w14:paraId="1C198FDE" w14:textId="77777777" w:rsidR="0095766D" w:rsidRPr="0095766D" w:rsidRDefault="0095766D" w:rsidP="0095766D">
            <w:pPr>
              <w:widowControl/>
              <w:autoSpaceDE/>
              <w:autoSpaceDN/>
              <w:rPr>
                <w:color w:val="000000"/>
              </w:rPr>
            </w:pPr>
            <w:r w:rsidRPr="0095766D">
              <w:rPr>
                <w:color w:val="000000"/>
              </w:rPr>
              <w:t>San Jacinto Community College District</w:t>
            </w:r>
          </w:p>
        </w:tc>
        <w:tc>
          <w:tcPr>
            <w:tcW w:w="1760" w:type="dxa"/>
            <w:tcBorders>
              <w:top w:val="nil"/>
              <w:left w:val="nil"/>
              <w:bottom w:val="single" w:sz="4" w:space="0" w:color="auto"/>
              <w:right w:val="single" w:sz="4" w:space="0" w:color="auto"/>
            </w:tcBorders>
            <w:shd w:val="clear" w:color="000000" w:fill="F2F2F2"/>
            <w:noWrap/>
            <w:vAlign w:val="bottom"/>
            <w:hideMark/>
          </w:tcPr>
          <w:p w14:paraId="1BB0E9EE" w14:textId="77777777" w:rsidR="0095766D" w:rsidRPr="0095766D" w:rsidRDefault="0095766D" w:rsidP="0095766D">
            <w:pPr>
              <w:widowControl/>
              <w:autoSpaceDE/>
              <w:autoSpaceDN/>
              <w:jc w:val="center"/>
              <w:rPr>
                <w:color w:val="000000"/>
              </w:rPr>
            </w:pPr>
            <w:r w:rsidRPr="0095766D">
              <w:rPr>
                <w:color w:val="000000"/>
              </w:rPr>
              <w:t>$599,975.00</w:t>
            </w:r>
          </w:p>
        </w:tc>
        <w:tc>
          <w:tcPr>
            <w:tcW w:w="800" w:type="dxa"/>
            <w:tcBorders>
              <w:top w:val="nil"/>
              <w:left w:val="nil"/>
              <w:bottom w:val="single" w:sz="4" w:space="0" w:color="auto"/>
              <w:right w:val="single" w:sz="4" w:space="0" w:color="auto"/>
            </w:tcBorders>
            <w:shd w:val="clear" w:color="000000" w:fill="F2F2F2"/>
            <w:noWrap/>
            <w:vAlign w:val="bottom"/>
            <w:hideMark/>
          </w:tcPr>
          <w:p w14:paraId="6D0AFE5D" w14:textId="77777777" w:rsidR="0095766D" w:rsidRPr="0095766D" w:rsidRDefault="0095766D" w:rsidP="0095766D">
            <w:pPr>
              <w:widowControl/>
              <w:autoSpaceDE/>
              <w:autoSpaceDN/>
              <w:jc w:val="center"/>
              <w:rPr>
                <w:color w:val="000000"/>
              </w:rPr>
            </w:pPr>
            <w:r w:rsidRPr="0095766D">
              <w:rPr>
                <w:color w:val="000000"/>
              </w:rPr>
              <w:t>43</w:t>
            </w:r>
          </w:p>
        </w:tc>
      </w:tr>
      <w:tr w:rsidR="0095766D" w:rsidRPr="0095766D" w14:paraId="3DAB3F80" w14:textId="77777777" w:rsidTr="0095766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EEDD00F" w14:textId="77777777" w:rsidR="0095766D" w:rsidRPr="0095766D" w:rsidRDefault="0095766D" w:rsidP="0095766D">
            <w:pPr>
              <w:widowControl/>
              <w:autoSpaceDE/>
              <w:autoSpaceDN/>
              <w:jc w:val="center"/>
              <w:rPr>
                <w:color w:val="000000"/>
              </w:rPr>
            </w:pPr>
            <w:r w:rsidRPr="0095766D">
              <w:rPr>
                <w:color w:val="000000"/>
              </w:rPr>
              <w:t>TX</w:t>
            </w:r>
          </w:p>
        </w:tc>
        <w:tc>
          <w:tcPr>
            <w:tcW w:w="6037" w:type="dxa"/>
            <w:tcBorders>
              <w:top w:val="nil"/>
              <w:left w:val="nil"/>
              <w:bottom w:val="single" w:sz="4" w:space="0" w:color="auto"/>
              <w:right w:val="single" w:sz="4" w:space="0" w:color="auto"/>
            </w:tcBorders>
            <w:shd w:val="clear" w:color="auto" w:fill="auto"/>
            <w:noWrap/>
            <w:vAlign w:val="bottom"/>
            <w:hideMark/>
          </w:tcPr>
          <w:p w14:paraId="74538DC9" w14:textId="77777777" w:rsidR="0095766D" w:rsidRPr="0095766D" w:rsidRDefault="0095766D" w:rsidP="0095766D">
            <w:pPr>
              <w:widowControl/>
              <w:autoSpaceDE/>
              <w:autoSpaceDN/>
              <w:rPr>
                <w:color w:val="000000"/>
              </w:rPr>
            </w:pPr>
            <w:r w:rsidRPr="0095766D">
              <w:rPr>
                <w:color w:val="000000"/>
              </w:rPr>
              <w:t>St. Mary's University of San Antonio, Texas</w:t>
            </w:r>
          </w:p>
        </w:tc>
        <w:tc>
          <w:tcPr>
            <w:tcW w:w="1760" w:type="dxa"/>
            <w:tcBorders>
              <w:top w:val="nil"/>
              <w:left w:val="nil"/>
              <w:bottom w:val="single" w:sz="4" w:space="0" w:color="auto"/>
              <w:right w:val="single" w:sz="4" w:space="0" w:color="auto"/>
            </w:tcBorders>
            <w:shd w:val="clear" w:color="auto" w:fill="auto"/>
            <w:noWrap/>
            <w:vAlign w:val="bottom"/>
            <w:hideMark/>
          </w:tcPr>
          <w:p w14:paraId="44735D04" w14:textId="06861B8B" w:rsidR="0095766D" w:rsidRPr="0095766D" w:rsidRDefault="0095766D" w:rsidP="0095766D">
            <w:pPr>
              <w:widowControl/>
              <w:autoSpaceDE/>
              <w:autoSpaceDN/>
              <w:jc w:val="center"/>
              <w:rPr>
                <w:color w:val="000000"/>
              </w:rPr>
            </w:pPr>
            <w:r w:rsidRPr="0095766D">
              <w:rPr>
                <w:color w:val="000000"/>
              </w:rPr>
              <w:t>$597,027.</w:t>
            </w:r>
            <w:r w:rsidR="000E0F1C">
              <w:rPr>
                <w:color w:val="000000"/>
              </w:rPr>
              <w:t>00</w:t>
            </w:r>
          </w:p>
        </w:tc>
        <w:tc>
          <w:tcPr>
            <w:tcW w:w="800" w:type="dxa"/>
            <w:tcBorders>
              <w:top w:val="nil"/>
              <w:left w:val="nil"/>
              <w:bottom w:val="single" w:sz="4" w:space="0" w:color="auto"/>
              <w:right w:val="single" w:sz="4" w:space="0" w:color="auto"/>
            </w:tcBorders>
            <w:shd w:val="clear" w:color="auto" w:fill="auto"/>
            <w:noWrap/>
            <w:vAlign w:val="bottom"/>
            <w:hideMark/>
          </w:tcPr>
          <w:p w14:paraId="18C44C2E" w14:textId="77777777" w:rsidR="0095766D" w:rsidRPr="0095766D" w:rsidRDefault="0095766D" w:rsidP="0095766D">
            <w:pPr>
              <w:widowControl/>
              <w:autoSpaceDE/>
              <w:autoSpaceDN/>
              <w:jc w:val="center"/>
              <w:rPr>
                <w:color w:val="000000"/>
              </w:rPr>
            </w:pPr>
            <w:r w:rsidRPr="0095766D">
              <w:rPr>
                <w:color w:val="000000"/>
              </w:rPr>
              <w:t>44</w:t>
            </w:r>
          </w:p>
        </w:tc>
      </w:tr>
      <w:tr w:rsidR="0095766D" w:rsidRPr="0095766D" w14:paraId="0C1FFC52" w14:textId="77777777" w:rsidTr="0095766D">
        <w:trPr>
          <w:trHeight w:val="300"/>
        </w:trPr>
        <w:tc>
          <w:tcPr>
            <w:tcW w:w="1020" w:type="dxa"/>
            <w:tcBorders>
              <w:top w:val="nil"/>
              <w:left w:val="single" w:sz="4" w:space="0" w:color="auto"/>
              <w:bottom w:val="single" w:sz="4" w:space="0" w:color="auto"/>
              <w:right w:val="single" w:sz="4" w:space="0" w:color="auto"/>
            </w:tcBorders>
            <w:shd w:val="clear" w:color="000000" w:fill="F2F2F2"/>
            <w:noWrap/>
            <w:vAlign w:val="bottom"/>
            <w:hideMark/>
          </w:tcPr>
          <w:p w14:paraId="6DAFF394" w14:textId="77777777" w:rsidR="0095766D" w:rsidRPr="0095766D" w:rsidRDefault="0095766D" w:rsidP="0095766D">
            <w:pPr>
              <w:widowControl/>
              <w:autoSpaceDE/>
              <w:autoSpaceDN/>
              <w:jc w:val="center"/>
              <w:rPr>
                <w:color w:val="000000"/>
              </w:rPr>
            </w:pPr>
            <w:r w:rsidRPr="0095766D">
              <w:rPr>
                <w:color w:val="000000"/>
              </w:rPr>
              <w:t>TX</w:t>
            </w:r>
          </w:p>
        </w:tc>
        <w:tc>
          <w:tcPr>
            <w:tcW w:w="6037" w:type="dxa"/>
            <w:tcBorders>
              <w:top w:val="nil"/>
              <w:left w:val="nil"/>
              <w:bottom w:val="single" w:sz="4" w:space="0" w:color="auto"/>
              <w:right w:val="single" w:sz="4" w:space="0" w:color="auto"/>
            </w:tcBorders>
            <w:shd w:val="clear" w:color="000000" w:fill="F2F2F2"/>
            <w:noWrap/>
            <w:vAlign w:val="bottom"/>
            <w:hideMark/>
          </w:tcPr>
          <w:p w14:paraId="12206C0E" w14:textId="77777777" w:rsidR="0095766D" w:rsidRPr="0095766D" w:rsidRDefault="0095766D" w:rsidP="0095766D">
            <w:pPr>
              <w:widowControl/>
              <w:autoSpaceDE/>
              <w:autoSpaceDN/>
              <w:rPr>
                <w:color w:val="000000"/>
              </w:rPr>
            </w:pPr>
            <w:r w:rsidRPr="0095766D">
              <w:rPr>
                <w:color w:val="000000"/>
              </w:rPr>
              <w:t>Texas A&amp;M International University</w:t>
            </w:r>
          </w:p>
        </w:tc>
        <w:tc>
          <w:tcPr>
            <w:tcW w:w="1760" w:type="dxa"/>
            <w:tcBorders>
              <w:top w:val="nil"/>
              <w:left w:val="nil"/>
              <w:bottom w:val="single" w:sz="4" w:space="0" w:color="auto"/>
              <w:right w:val="single" w:sz="4" w:space="0" w:color="auto"/>
            </w:tcBorders>
            <w:shd w:val="clear" w:color="000000" w:fill="F2F2F2"/>
            <w:noWrap/>
            <w:vAlign w:val="bottom"/>
            <w:hideMark/>
          </w:tcPr>
          <w:p w14:paraId="00DE0F29" w14:textId="77777777" w:rsidR="0095766D" w:rsidRPr="0095766D" w:rsidRDefault="0095766D" w:rsidP="0095766D">
            <w:pPr>
              <w:widowControl/>
              <w:autoSpaceDE/>
              <w:autoSpaceDN/>
              <w:jc w:val="center"/>
              <w:rPr>
                <w:color w:val="000000"/>
              </w:rPr>
            </w:pPr>
            <w:r w:rsidRPr="0095766D">
              <w:rPr>
                <w:color w:val="000000"/>
              </w:rPr>
              <w:t>$597,680.00</w:t>
            </w:r>
          </w:p>
        </w:tc>
        <w:tc>
          <w:tcPr>
            <w:tcW w:w="800" w:type="dxa"/>
            <w:tcBorders>
              <w:top w:val="nil"/>
              <w:left w:val="nil"/>
              <w:bottom w:val="single" w:sz="4" w:space="0" w:color="auto"/>
              <w:right w:val="single" w:sz="4" w:space="0" w:color="auto"/>
            </w:tcBorders>
            <w:shd w:val="clear" w:color="000000" w:fill="F2F2F2"/>
            <w:noWrap/>
            <w:vAlign w:val="bottom"/>
            <w:hideMark/>
          </w:tcPr>
          <w:p w14:paraId="61F8429A" w14:textId="77777777" w:rsidR="0095766D" w:rsidRPr="0095766D" w:rsidRDefault="0095766D" w:rsidP="0095766D">
            <w:pPr>
              <w:widowControl/>
              <w:autoSpaceDE/>
              <w:autoSpaceDN/>
              <w:jc w:val="center"/>
              <w:rPr>
                <w:color w:val="000000"/>
              </w:rPr>
            </w:pPr>
            <w:r w:rsidRPr="0095766D">
              <w:rPr>
                <w:color w:val="000000"/>
              </w:rPr>
              <w:t>45</w:t>
            </w:r>
          </w:p>
        </w:tc>
      </w:tr>
      <w:tr w:rsidR="0095766D" w:rsidRPr="0095766D" w14:paraId="0C4F79E9" w14:textId="77777777" w:rsidTr="0095766D">
        <w:trPr>
          <w:trHeight w:val="30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21F83B8" w14:textId="77777777" w:rsidR="0095766D" w:rsidRPr="0095766D" w:rsidRDefault="0095766D" w:rsidP="0095766D">
            <w:pPr>
              <w:widowControl/>
              <w:autoSpaceDE/>
              <w:autoSpaceDN/>
              <w:jc w:val="center"/>
              <w:rPr>
                <w:color w:val="000000"/>
              </w:rPr>
            </w:pPr>
            <w:r w:rsidRPr="0095766D">
              <w:rPr>
                <w:color w:val="000000"/>
              </w:rPr>
              <w:t>TX</w:t>
            </w:r>
          </w:p>
        </w:tc>
        <w:tc>
          <w:tcPr>
            <w:tcW w:w="6037" w:type="dxa"/>
            <w:tcBorders>
              <w:top w:val="nil"/>
              <w:left w:val="nil"/>
              <w:bottom w:val="single" w:sz="4" w:space="0" w:color="auto"/>
              <w:right w:val="single" w:sz="4" w:space="0" w:color="auto"/>
            </w:tcBorders>
            <w:shd w:val="clear" w:color="auto" w:fill="auto"/>
            <w:noWrap/>
            <w:vAlign w:val="bottom"/>
            <w:hideMark/>
          </w:tcPr>
          <w:p w14:paraId="4E0D10F2" w14:textId="77777777" w:rsidR="0095766D" w:rsidRPr="0095766D" w:rsidRDefault="0095766D" w:rsidP="0095766D">
            <w:pPr>
              <w:widowControl/>
              <w:autoSpaceDE/>
              <w:autoSpaceDN/>
              <w:rPr>
                <w:color w:val="000000"/>
              </w:rPr>
            </w:pPr>
            <w:r w:rsidRPr="0095766D">
              <w:rPr>
                <w:color w:val="000000"/>
              </w:rPr>
              <w:t>University of St. Thomas</w:t>
            </w:r>
          </w:p>
        </w:tc>
        <w:tc>
          <w:tcPr>
            <w:tcW w:w="1760" w:type="dxa"/>
            <w:tcBorders>
              <w:top w:val="nil"/>
              <w:left w:val="nil"/>
              <w:bottom w:val="single" w:sz="4" w:space="0" w:color="auto"/>
              <w:right w:val="single" w:sz="4" w:space="0" w:color="auto"/>
            </w:tcBorders>
            <w:shd w:val="clear" w:color="auto" w:fill="auto"/>
            <w:noWrap/>
            <w:vAlign w:val="bottom"/>
            <w:hideMark/>
          </w:tcPr>
          <w:p w14:paraId="664FEB5A" w14:textId="77777777" w:rsidR="0095766D" w:rsidRPr="0095766D" w:rsidRDefault="0095766D" w:rsidP="0095766D">
            <w:pPr>
              <w:widowControl/>
              <w:autoSpaceDE/>
              <w:autoSpaceDN/>
              <w:jc w:val="center"/>
              <w:rPr>
                <w:color w:val="000000"/>
              </w:rPr>
            </w:pPr>
            <w:r w:rsidRPr="0095766D">
              <w:rPr>
                <w:color w:val="000000"/>
              </w:rPr>
              <w:t>$600,000.00</w:t>
            </w:r>
          </w:p>
        </w:tc>
        <w:tc>
          <w:tcPr>
            <w:tcW w:w="800" w:type="dxa"/>
            <w:tcBorders>
              <w:top w:val="nil"/>
              <w:left w:val="nil"/>
              <w:bottom w:val="single" w:sz="4" w:space="0" w:color="auto"/>
              <w:right w:val="single" w:sz="4" w:space="0" w:color="auto"/>
            </w:tcBorders>
            <w:shd w:val="clear" w:color="auto" w:fill="auto"/>
            <w:noWrap/>
            <w:vAlign w:val="bottom"/>
            <w:hideMark/>
          </w:tcPr>
          <w:p w14:paraId="2304DAED" w14:textId="77777777" w:rsidR="0095766D" w:rsidRPr="0095766D" w:rsidRDefault="0095766D" w:rsidP="0095766D">
            <w:pPr>
              <w:widowControl/>
              <w:autoSpaceDE/>
              <w:autoSpaceDN/>
              <w:jc w:val="center"/>
              <w:rPr>
                <w:color w:val="000000"/>
              </w:rPr>
            </w:pPr>
            <w:r w:rsidRPr="0095766D">
              <w:rPr>
                <w:color w:val="000000"/>
              </w:rPr>
              <w:t>46</w:t>
            </w:r>
          </w:p>
        </w:tc>
      </w:tr>
    </w:tbl>
    <w:p w14:paraId="4D522BF3" w14:textId="646CE7D6" w:rsidR="005B6ACA" w:rsidRDefault="005B6ACA" w:rsidP="00517BB6">
      <w:pPr>
        <w:spacing w:after="300"/>
        <w:contextualSpacing/>
        <w:jc w:val="center"/>
      </w:pPr>
    </w:p>
    <w:p w14:paraId="4106DF6C" w14:textId="77777777" w:rsidR="005B6ACA" w:rsidRDefault="005B6ACA" w:rsidP="00517BB6">
      <w:pPr>
        <w:spacing w:after="300"/>
        <w:contextualSpacing/>
        <w:jc w:val="center"/>
      </w:pPr>
    </w:p>
    <w:p w14:paraId="1B88FBC7" w14:textId="12FB575C" w:rsidR="004B21DB" w:rsidRDefault="004B21DB" w:rsidP="00383218">
      <w:pPr>
        <w:pStyle w:val="BodyText"/>
      </w:pPr>
      <w:bookmarkStart w:id="2" w:name="P120A190018.Howard_University.Abstract"/>
      <w:bookmarkStart w:id="3" w:name="P120A190052.INTER_AMERICAN_UNIVERSITY_OF"/>
      <w:bookmarkStart w:id="4" w:name="P120A190065.UNIVERSITY_OF_THE_DISTRICT_O"/>
      <w:bookmarkStart w:id="5" w:name="P120A190076.Abdelaziz_D_Bior.Abstract"/>
      <w:bookmarkStart w:id="6" w:name="P120A190085.Texas_A&amp;M_University-Kingsvi"/>
      <w:bookmarkStart w:id="7" w:name="P120A190088.Prairie_View_A&amp;M_University."/>
      <w:bookmarkStart w:id="8" w:name="P120A190090.Albany_State_University.Abst"/>
      <w:bookmarkStart w:id="9" w:name="P120A190091.Xavier_University_of_Louisia"/>
      <w:bookmarkStart w:id="10" w:name="P120A190100.Florida_A&amp;M_University.Abstr"/>
      <w:bookmarkStart w:id="11" w:name="P120A190101.Florida_A&amp;M_University_(FAMU"/>
      <w:bookmarkStart w:id="12" w:name="P120A190102.University_of_Puerto_Rico_in"/>
      <w:bookmarkStart w:id="13" w:name="P120A190104.St._Thomas_University.ABSTRA"/>
      <w:bookmarkEnd w:id="0"/>
      <w:bookmarkEnd w:id="2"/>
      <w:bookmarkEnd w:id="3"/>
      <w:bookmarkEnd w:id="4"/>
      <w:bookmarkEnd w:id="5"/>
      <w:bookmarkEnd w:id="6"/>
      <w:bookmarkEnd w:id="7"/>
      <w:bookmarkEnd w:id="8"/>
      <w:bookmarkEnd w:id="9"/>
      <w:bookmarkEnd w:id="10"/>
      <w:bookmarkEnd w:id="11"/>
      <w:bookmarkEnd w:id="12"/>
      <w:bookmarkEnd w:id="13"/>
    </w:p>
    <w:p w14:paraId="4F531CC4" w14:textId="42837BD2" w:rsidR="000D4D0A" w:rsidRDefault="000D4D0A" w:rsidP="00383218">
      <w:pPr>
        <w:pStyle w:val="BodyText"/>
      </w:pPr>
    </w:p>
    <w:p w14:paraId="2D8BE51D" w14:textId="1F8EB42D" w:rsidR="007973B1" w:rsidRPr="00AF1CF8" w:rsidRDefault="007973B1" w:rsidP="00634CAD">
      <w:pPr>
        <w:pStyle w:val="Heading1"/>
      </w:pPr>
      <w:bookmarkStart w:id="14" w:name="01-DHSI0167APP"/>
      <w:bookmarkEnd w:id="14"/>
      <w:r w:rsidRPr="00BB223B">
        <w:t>P031S190167</w:t>
      </w:r>
      <w:r w:rsidRPr="00AF1CF8">
        <w:t xml:space="preserve"> </w:t>
      </w:r>
      <w:r w:rsidRPr="00AF1CF8">
        <w:br/>
        <w:t>GateWay Community College, AZ</w:t>
      </w:r>
    </w:p>
    <w:p w14:paraId="746F2D79" w14:textId="77777777" w:rsidR="00BA19FF" w:rsidRDefault="00BA19FF" w:rsidP="007973B1">
      <w:pPr>
        <w:rPr>
          <w:color w:val="231F20"/>
        </w:rPr>
      </w:pPr>
    </w:p>
    <w:p w14:paraId="2BC97366" w14:textId="6802AAE8" w:rsidR="007973B1" w:rsidRPr="00BB223B" w:rsidRDefault="007973B1" w:rsidP="007973B1">
      <w:pPr>
        <w:rPr>
          <w:color w:val="231F20"/>
        </w:rPr>
      </w:pPr>
      <w:r w:rsidRPr="00EB748D">
        <w:rPr>
          <w:color w:val="231F20"/>
        </w:rPr>
        <w:t>GateWay Community College, a majority-minority serving institution with a large population of part-time students, serves a diverse population of n</w:t>
      </w:r>
      <w:r w:rsidRPr="00BB223B">
        <w:rPr>
          <w:color w:val="231F20"/>
        </w:rPr>
        <w:t xml:space="preserve">early 7,300 students from the Greater Phoenix area and Maricopa County, Arizona. GateWay’s proposal, </w:t>
      </w:r>
      <w:r w:rsidRPr="00AF1CF8">
        <w:rPr>
          <w:i/>
          <w:color w:val="231F20"/>
        </w:rPr>
        <w:t xml:space="preserve">Equitable Xperience Infused Through Out (ÉXITO) GateWay: a holistic approach to foster student well-being and academic </w:t>
      </w:r>
      <w:r w:rsidR="00E750CB" w:rsidRPr="00AF1CF8">
        <w:rPr>
          <w:i/>
          <w:color w:val="231F20"/>
        </w:rPr>
        <w:t>a</w:t>
      </w:r>
      <w:r w:rsidRPr="00EB748D">
        <w:rPr>
          <w:i/>
          <w:color w:val="231F20"/>
        </w:rPr>
        <w:t xml:space="preserve">ttainment </w:t>
      </w:r>
      <w:r w:rsidRPr="00BB223B">
        <w:rPr>
          <w:color w:val="231F20"/>
        </w:rPr>
        <w:t>encompass</w:t>
      </w:r>
      <w:r w:rsidRPr="00AF1CF8">
        <w:rPr>
          <w:color w:val="231F20"/>
        </w:rPr>
        <w:t xml:space="preserve">es GateWay’s vision to </w:t>
      </w:r>
      <w:r w:rsidRPr="00AF1CF8">
        <w:rPr>
          <w:b/>
          <w:color w:val="231F20"/>
        </w:rPr>
        <w:t xml:space="preserve">develop a </w:t>
      </w:r>
      <w:r w:rsidRPr="00AF1CF8">
        <w:rPr>
          <w:b/>
          <w:i/>
          <w:color w:val="231F20"/>
        </w:rPr>
        <w:t xml:space="preserve">proactive, student-ready culture </w:t>
      </w:r>
      <w:r w:rsidRPr="00AF1CF8">
        <w:rPr>
          <w:color w:val="231F20"/>
        </w:rPr>
        <w:t xml:space="preserve">that sets the stage for student success from the College’s first contact with a student, through graduation, and beyond. Furthermore, </w:t>
      </w:r>
      <w:r w:rsidRPr="00AF1CF8">
        <w:rPr>
          <w:i/>
          <w:color w:val="231F20"/>
        </w:rPr>
        <w:t xml:space="preserve">éxito </w:t>
      </w:r>
      <w:r w:rsidRPr="00AF1CF8">
        <w:rPr>
          <w:color w:val="231F20"/>
        </w:rPr>
        <w:t>in Spanish means, “success” and it is the College’s desire to support students to succeed. GateWay requests $2,967,840 over</w:t>
      </w:r>
      <w:r w:rsidR="00A23357" w:rsidRPr="00AF1CF8">
        <w:rPr>
          <w:color w:val="231F20"/>
        </w:rPr>
        <w:t xml:space="preserve"> five </w:t>
      </w:r>
      <w:r w:rsidRPr="00EB748D">
        <w:rPr>
          <w:color w:val="231F20"/>
        </w:rPr>
        <w:t>years to improve academic attainment, especially among Hispanic and low-income populations.</w:t>
      </w:r>
    </w:p>
    <w:p w14:paraId="6A5CEC37" w14:textId="77777777" w:rsidR="007973B1" w:rsidRPr="00AF1CF8" w:rsidRDefault="007973B1" w:rsidP="007973B1"/>
    <w:p w14:paraId="09DEE3DC" w14:textId="77777777" w:rsidR="007973B1" w:rsidRPr="00AF1CF8" w:rsidRDefault="007973B1" w:rsidP="007973B1">
      <w:r w:rsidRPr="00AF1CF8">
        <w:rPr>
          <w:i/>
          <w:color w:val="231F20"/>
        </w:rPr>
        <w:t xml:space="preserve">ÉXITO </w:t>
      </w:r>
      <w:r w:rsidRPr="00AF1CF8">
        <w:rPr>
          <w:color w:val="231F20"/>
        </w:rPr>
        <w:t xml:space="preserve">GateWay proposes the following: </w:t>
      </w:r>
      <w:r w:rsidRPr="00AF1CF8">
        <w:rPr>
          <w:b/>
          <w:color w:val="231F20"/>
        </w:rPr>
        <w:t xml:space="preserve">1.) </w:t>
      </w:r>
      <w:r w:rsidRPr="00AF1CF8">
        <w:rPr>
          <w:color w:val="231F20"/>
        </w:rPr>
        <w:t xml:space="preserve">Increase student success and completion by enhancing the students’ academic experience and creating an environment of well-being, </w:t>
      </w:r>
      <w:r w:rsidRPr="00AF1CF8">
        <w:rPr>
          <w:b/>
          <w:color w:val="231F20"/>
        </w:rPr>
        <w:t xml:space="preserve">2.) </w:t>
      </w:r>
      <w:r w:rsidRPr="00AF1CF8">
        <w:rPr>
          <w:color w:val="231F20"/>
        </w:rPr>
        <w:t xml:space="preserve">Strengthen our institution’s ability to meet students where they are by creating a student-ready culture, and </w:t>
      </w:r>
      <w:r w:rsidRPr="00AF1CF8">
        <w:rPr>
          <w:b/>
          <w:color w:val="231F20"/>
        </w:rPr>
        <w:t xml:space="preserve">3.) </w:t>
      </w:r>
      <w:r w:rsidRPr="00AF1CF8">
        <w:rPr>
          <w:color w:val="231F20"/>
        </w:rPr>
        <w:t>Expand the College’s financial resources to address emerging needs and</w:t>
      </w:r>
      <w:r w:rsidRPr="00AF1CF8">
        <w:rPr>
          <w:color w:val="231F20"/>
          <w:spacing w:val="-41"/>
        </w:rPr>
        <w:t xml:space="preserve"> </w:t>
      </w:r>
      <w:r w:rsidRPr="00AF1CF8">
        <w:rPr>
          <w:color w:val="231F20"/>
        </w:rPr>
        <w:t xml:space="preserve">continue to support ongoing student success efforts. GateWay will meet these goals by implementing the following activity objectives. </w:t>
      </w:r>
      <w:r w:rsidRPr="00AF1CF8">
        <w:rPr>
          <w:b/>
          <w:color w:val="231F20"/>
        </w:rPr>
        <w:t>Activity Obj. 1: Enhance the Student Experience</w:t>
      </w:r>
      <w:r w:rsidRPr="00AF1CF8">
        <w:rPr>
          <w:color w:val="231F20"/>
        </w:rPr>
        <w:t xml:space="preserve">. GateWay will develop a strong understanding of culture and diversity, develop non-academic skills, and expand experiential learning opportunities. </w:t>
      </w:r>
      <w:r w:rsidRPr="00AF1CF8">
        <w:rPr>
          <w:b/>
          <w:color w:val="231F20"/>
        </w:rPr>
        <w:t xml:space="preserve">Activity Obj. 2: Provide Holistic Support for all Students. </w:t>
      </w:r>
      <w:r w:rsidRPr="00AF1CF8">
        <w:rPr>
          <w:color w:val="231F20"/>
        </w:rPr>
        <w:t xml:space="preserve">GateWay will develop a holistic approach to assess and address barriers to graduation. </w:t>
      </w:r>
      <w:r w:rsidRPr="00AF1CF8">
        <w:rPr>
          <w:b/>
          <w:color w:val="231F20"/>
        </w:rPr>
        <w:t xml:space="preserve">Activity Obj. 3: Create a culture of well-being that supports all students. </w:t>
      </w:r>
      <w:r w:rsidRPr="00AF1CF8">
        <w:rPr>
          <w:color w:val="231F20"/>
        </w:rPr>
        <w:t xml:space="preserve">GateWay will infuse strengths-based communication and positive education at all levels of the college. Finally, </w:t>
      </w:r>
      <w:r w:rsidRPr="00AF1CF8">
        <w:rPr>
          <w:b/>
          <w:color w:val="231F20"/>
        </w:rPr>
        <w:t xml:space="preserve">Activity Obj. 4. Increase College Financial Resources. </w:t>
      </w:r>
      <w:r w:rsidRPr="00AF1CF8">
        <w:rPr>
          <w:color w:val="231F20"/>
        </w:rPr>
        <w:t>GateWay will support an endowment to enable GateWay to be adaptable, flexible, and responsive future community</w:t>
      </w:r>
      <w:r w:rsidRPr="00AF1CF8">
        <w:rPr>
          <w:color w:val="231F20"/>
          <w:spacing w:val="-28"/>
        </w:rPr>
        <w:t xml:space="preserve"> </w:t>
      </w:r>
      <w:r w:rsidRPr="00AF1CF8">
        <w:rPr>
          <w:color w:val="231F20"/>
        </w:rPr>
        <w:t>needs.</w:t>
      </w:r>
    </w:p>
    <w:p w14:paraId="4932015A" w14:textId="054713D3" w:rsidR="000D4D0A" w:rsidRPr="00AF1CF8" w:rsidRDefault="000D4D0A" w:rsidP="00383218">
      <w:pPr>
        <w:pStyle w:val="BodyText"/>
        <w:rPr>
          <w:szCs w:val="22"/>
        </w:rPr>
      </w:pPr>
    </w:p>
    <w:p w14:paraId="3265AE9C" w14:textId="5C625CC0" w:rsidR="00FA649F" w:rsidRPr="00AF1CF8" w:rsidRDefault="00FA649F" w:rsidP="00634CAD">
      <w:pPr>
        <w:pStyle w:val="Heading1"/>
      </w:pPr>
      <w:r w:rsidRPr="00AF1CF8">
        <w:rPr>
          <w:color w:val="000000"/>
        </w:rPr>
        <w:t xml:space="preserve">P031S190308 </w:t>
      </w:r>
      <w:r w:rsidR="00AE4F10" w:rsidRPr="00AF1CF8">
        <w:rPr>
          <w:color w:val="000000"/>
        </w:rPr>
        <w:br/>
      </w:r>
      <w:r w:rsidRPr="00AF1CF8">
        <w:t>Pima County Community College District - Desert Vista</w:t>
      </w:r>
      <w:r w:rsidRPr="00AF1CF8">
        <w:rPr>
          <w:spacing w:val="-12"/>
        </w:rPr>
        <w:t xml:space="preserve"> Campus, </w:t>
      </w:r>
      <w:r w:rsidRPr="00AF1CF8">
        <w:t>AZ</w:t>
      </w:r>
    </w:p>
    <w:p w14:paraId="6FD544FC" w14:textId="63C47D11" w:rsidR="00FA649F" w:rsidRPr="00AF1CF8" w:rsidRDefault="00FA649F" w:rsidP="00FA649F"/>
    <w:p w14:paraId="19E336D2" w14:textId="12EB39D7" w:rsidR="008C0C95" w:rsidRPr="00AF1CF8" w:rsidRDefault="008C0C95" w:rsidP="008C0C95">
      <w:pPr>
        <w:pStyle w:val="BodyText"/>
        <w:rPr>
          <w:color w:val="010202"/>
          <w:szCs w:val="22"/>
        </w:rPr>
      </w:pPr>
      <w:r w:rsidRPr="00AF1CF8">
        <w:rPr>
          <w:color w:val="010202"/>
          <w:szCs w:val="22"/>
        </w:rPr>
        <w:t>Pima Community College is an open-admissions two-year community college serving 42,000 students at five campuses throughout Tucson, Arizona (pop. 980,000). Hispanics comprise almost half of all PCC students (45.6</w:t>
      </w:r>
      <w:r w:rsidR="00A23357" w:rsidRPr="00AF1CF8">
        <w:rPr>
          <w:color w:val="010202"/>
          <w:szCs w:val="22"/>
        </w:rPr>
        <w:t xml:space="preserve"> percent</w:t>
      </w:r>
      <w:r w:rsidRPr="00AF1CF8">
        <w:rPr>
          <w:color w:val="010202"/>
          <w:szCs w:val="22"/>
        </w:rPr>
        <w:t>) but make up one-third (66</w:t>
      </w:r>
      <w:r w:rsidR="00A23357" w:rsidRPr="00AF1CF8">
        <w:rPr>
          <w:color w:val="010202"/>
          <w:szCs w:val="22"/>
        </w:rPr>
        <w:t xml:space="preserve"> percent</w:t>
      </w:r>
      <w:r w:rsidRPr="00AF1CF8">
        <w:rPr>
          <w:color w:val="010202"/>
          <w:szCs w:val="22"/>
        </w:rPr>
        <w:t>) of the enrollment at the Desert Vista campus. The Desert Vista Campus (PCC-DV) serves 21,200 students in southwest Tucson, home to the city’s most diverse and most impoverished neighborhoods. Residents of southern Tucson are predominantly Hispanic (76.2</w:t>
      </w:r>
      <w:r w:rsidR="00A23357" w:rsidRPr="00AF1CF8">
        <w:rPr>
          <w:color w:val="010202"/>
          <w:szCs w:val="22"/>
        </w:rPr>
        <w:t xml:space="preserve"> percent</w:t>
      </w:r>
      <w:r w:rsidRPr="00AF1CF8">
        <w:rPr>
          <w:color w:val="010202"/>
          <w:szCs w:val="22"/>
        </w:rPr>
        <w:t>), while more than 40</w:t>
      </w:r>
      <w:r w:rsidR="00A23357" w:rsidRPr="00AF1CF8">
        <w:rPr>
          <w:color w:val="010202"/>
          <w:szCs w:val="22"/>
        </w:rPr>
        <w:t xml:space="preserve"> percent</w:t>
      </w:r>
      <w:r w:rsidRPr="00AF1CF8">
        <w:rPr>
          <w:color w:val="010202"/>
          <w:szCs w:val="22"/>
        </w:rPr>
        <w:t xml:space="preserve"> of area families live at or below 150</w:t>
      </w:r>
      <w:r w:rsidR="00A23357" w:rsidRPr="00AF1CF8">
        <w:rPr>
          <w:color w:val="010202"/>
          <w:szCs w:val="22"/>
        </w:rPr>
        <w:t xml:space="preserve"> percent</w:t>
      </w:r>
      <w:r w:rsidRPr="00AF1CF8">
        <w:rPr>
          <w:color w:val="010202"/>
          <w:szCs w:val="22"/>
        </w:rPr>
        <w:t xml:space="preserve"> of the poverty level (U.S. Census).</w:t>
      </w:r>
    </w:p>
    <w:p w14:paraId="3CBAE185" w14:textId="77777777" w:rsidR="008C0C95" w:rsidRPr="00AF1CF8" w:rsidRDefault="008C0C95" w:rsidP="008C0C95">
      <w:pPr>
        <w:pStyle w:val="BodyText"/>
        <w:rPr>
          <w:szCs w:val="22"/>
        </w:rPr>
      </w:pPr>
    </w:p>
    <w:p w14:paraId="686A6CE0" w14:textId="77777777" w:rsidR="008C0C95" w:rsidRPr="00AF1CF8" w:rsidRDefault="008C0C95" w:rsidP="008C0C95">
      <w:pPr>
        <w:pStyle w:val="BodyText"/>
        <w:rPr>
          <w:color w:val="010202"/>
          <w:szCs w:val="22"/>
        </w:rPr>
      </w:pPr>
      <w:r w:rsidRPr="00AF1CF8">
        <w:rPr>
          <w:color w:val="010202"/>
          <w:szCs w:val="22"/>
        </w:rPr>
        <w:t>The proposed Pathways to Hospitality Leadership project meets both purposes of the DHSI program as stated in the funding notice: 1) to expand educational opportunities for, and improve the academic attainment of, Hispanic students, and 2) to expand and enhance academic offerings, program quality, faculty quality and institutional stability of colleges that are educating the majority of Hispanic college students.</w:t>
      </w:r>
    </w:p>
    <w:p w14:paraId="55DFCB1B" w14:textId="77777777" w:rsidR="008C0C95" w:rsidRPr="00AF1CF8" w:rsidRDefault="008C0C95" w:rsidP="008C0C95">
      <w:pPr>
        <w:pStyle w:val="BodyText"/>
        <w:rPr>
          <w:szCs w:val="22"/>
        </w:rPr>
      </w:pPr>
    </w:p>
    <w:p w14:paraId="057F9CB6" w14:textId="77777777" w:rsidR="008C0C95" w:rsidRPr="00AF1CF8" w:rsidRDefault="008C0C95" w:rsidP="008C0C95">
      <w:pPr>
        <w:pStyle w:val="BodyText"/>
        <w:rPr>
          <w:color w:val="010202"/>
          <w:szCs w:val="22"/>
        </w:rPr>
      </w:pPr>
      <w:r w:rsidRPr="00AF1CF8">
        <w:rPr>
          <w:color w:val="010202"/>
          <w:szCs w:val="22"/>
        </w:rPr>
        <w:t>The institution’s overarching weakness stems from years of declining enrollments, which have constrained financial resources so that it is cost-prohibitive to the college to pursue the strategies proposed in the Pathways to Hospitality Leadership project.</w:t>
      </w:r>
    </w:p>
    <w:p w14:paraId="0BAB93B0" w14:textId="77777777" w:rsidR="008C0C95" w:rsidRPr="00AF1CF8" w:rsidRDefault="008C0C95" w:rsidP="008C0C95">
      <w:pPr>
        <w:pStyle w:val="BodyText"/>
        <w:rPr>
          <w:szCs w:val="22"/>
        </w:rPr>
      </w:pPr>
    </w:p>
    <w:p w14:paraId="504D88CC" w14:textId="77777777" w:rsidR="008C0C95" w:rsidRPr="00AF1CF8" w:rsidRDefault="008C0C95" w:rsidP="008C0C95">
      <w:pPr>
        <w:pStyle w:val="BodyText"/>
        <w:rPr>
          <w:szCs w:val="22"/>
        </w:rPr>
      </w:pPr>
      <w:r w:rsidRPr="00AF1CF8">
        <w:rPr>
          <w:color w:val="010202"/>
          <w:szCs w:val="22"/>
        </w:rPr>
        <w:t>Addressing serious deficiencies in both the curriculum and supporting learning labs and equipment identified by PCC’s Hospitality Employer Advisory Committee and external consultants, Pathways to Hospitality Leadership will implement a single, comprehensive Activity: redesign outdated and inefficient separate programs in culinary arts and hospitality management into a single integrated, industry-standard Hospitality Leadership degree program, with stackable certificates and an online option.</w:t>
      </w:r>
    </w:p>
    <w:p w14:paraId="4985ED59" w14:textId="77777777" w:rsidR="008C0C95" w:rsidRPr="00AF1CF8" w:rsidRDefault="008C0C95" w:rsidP="008C0C95">
      <w:pPr>
        <w:pStyle w:val="BodyText"/>
        <w:rPr>
          <w:color w:val="010202"/>
          <w:szCs w:val="22"/>
        </w:rPr>
      </w:pPr>
    </w:p>
    <w:p w14:paraId="31EF571C" w14:textId="34233760" w:rsidR="008C0C95" w:rsidRPr="00AF1CF8" w:rsidRDefault="008C0C95" w:rsidP="008C0C95">
      <w:pPr>
        <w:pStyle w:val="BodyText"/>
        <w:rPr>
          <w:color w:val="010202"/>
          <w:szCs w:val="22"/>
        </w:rPr>
      </w:pPr>
      <w:r w:rsidRPr="00AF1CF8">
        <w:rPr>
          <w:color w:val="010202"/>
          <w:szCs w:val="22"/>
        </w:rPr>
        <w:t>The single Activity has two components, or strands—a curriculum development strand and a strand focused on developing facilities and resources in support of the students and the program. We will 1) redesign the curriculum to introduce a new AAS with stackable certificates, including creating a 100</w:t>
      </w:r>
      <w:r w:rsidR="00A23357" w:rsidRPr="00AF1CF8">
        <w:rPr>
          <w:color w:val="010202"/>
          <w:szCs w:val="22"/>
        </w:rPr>
        <w:t xml:space="preserve"> percent</w:t>
      </w:r>
      <w:r w:rsidRPr="00AF1CF8">
        <w:rPr>
          <w:color w:val="010202"/>
          <w:szCs w:val="22"/>
        </w:rPr>
        <w:t xml:space="preserve"> online option and 2) renovate and equip campus spaces into industry-standard learning labs (kitchens and hotel guest suite/front desk), while also adding student supports such as internships, targeted advising, articulation agreements and awarding credit based on Prior Learning Assessment. The curriculum redesign process will also result in merging the existing hospitality and culinary programs that operate on different PCC campuses into one program via the Center for Excellence in Hospitality and Tourism at the</w:t>
      </w:r>
    </w:p>
    <w:p w14:paraId="45ED969A" w14:textId="77777777" w:rsidR="008C0C95" w:rsidRPr="00AF1CF8" w:rsidRDefault="008C0C95" w:rsidP="008C0C95">
      <w:pPr>
        <w:pStyle w:val="BodyText"/>
        <w:rPr>
          <w:szCs w:val="22"/>
        </w:rPr>
      </w:pPr>
      <w:r w:rsidRPr="00AF1CF8">
        <w:rPr>
          <w:color w:val="010202"/>
          <w:szCs w:val="22"/>
        </w:rPr>
        <w:t>Desert Vista campus.</w:t>
      </w:r>
    </w:p>
    <w:p w14:paraId="46B76C15" w14:textId="77777777" w:rsidR="008C0C95" w:rsidRPr="00AF1CF8" w:rsidRDefault="008C0C95" w:rsidP="008C0C95">
      <w:pPr>
        <w:pStyle w:val="BodyText"/>
        <w:rPr>
          <w:color w:val="010202"/>
          <w:szCs w:val="22"/>
        </w:rPr>
      </w:pPr>
    </w:p>
    <w:p w14:paraId="05BA4F2E" w14:textId="73E63F4D" w:rsidR="008C0C95" w:rsidRPr="00AF1CF8" w:rsidRDefault="008C0C95" w:rsidP="008C0C95">
      <w:pPr>
        <w:pStyle w:val="BodyText"/>
        <w:rPr>
          <w:szCs w:val="22"/>
        </w:rPr>
      </w:pPr>
      <w:r w:rsidRPr="00AF1CF8">
        <w:rPr>
          <w:color w:val="010202"/>
          <w:szCs w:val="22"/>
        </w:rPr>
        <w:t>Of the 151 students enrolled in PCC Hospitality programs in 2018, almost half (49</w:t>
      </w:r>
      <w:r w:rsidR="00A23357" w:rsidRPr="00AF1CF8">
        <w:rPr>
          <w:color w:val="010202"/>
          <w:szCs w:val="22"/>
        </w:rPr>
        <w:t xml:space="preserve"> percent</w:t>
      </w:r>
      <w:r w:rsidRPr="00AF1CF8">
        <w:rPr>
          <w:color w:val="010202"/>
          <w:szCs w:val="22"/>
        </w:rPr>
        <w:t>) are Hispanic. By the end of the project period, the Pathways to Hospitality Leadership project will increase the enrollment of Hispanic and other students in Hospitality programs by 200 students (Fall 2018 baseline 151).</w:t>
      </w:r>
    </w:p>
    <w:p w14:paraId="577C3A40" w14:textId="77777777" w:rsidR="008C0C95" w:rsidRPr="00AF1CF8" w:rsidRDefault="008C0C95" w:rsidP="008C0C95">
      <w:pPr>
        <w:pStyle w:val="BodyText"/>
        <w:rPr>
          <w:b/>
          <w:color w:val="010202"/>
          <w:szCs w:val="22"/>
        </w:rPr>
      </w:pPr>
    </w:p>
    <w:p w14:paraId="53D39F56" w14:textId="77777777" w:rsidR="008C0C95" w:rsidRPr="00AF1CF8" w:rsidRDefault="008C0C95" w:rsidP="008C0C95">
      <w:pPr>
        <w:pStyle w:val="BodyText"/>
        <w:rPr>
          <w:szCs w:val="22"/>
        </w:rPr>
      </w:pPr>
      <w:r w:rsidRPr="00AF1CF8">
        <w:rPr>
          <w:b/>
          <w:color w:val="010202"/>
          <w:szCs w:val="22"/>
        </w:rPr>
        <w:t xml:space="preserve">Competitive Preference Priority #1: </w:t>
      </w:r>
      <w:r w:rsidRPr="00AF1CF8">
        <w:rPr>
          <w:color w:val="010202"/>
          <w:szCs w:val="22"/>
        </w:rPr>
        <w:t>This application addresses Competitive Preference Priority #1 Expanding the number of Hispanic and other underrepresented professional students that the college can serve.</w:t>
      </w:r>
    </w:p>
    <w:p w14:paraId="78948A45" w14:textId="77777777" w:rsidR="008C0C95" w:rsidRPr="00AF1CF8" w:rsidRDefault="008C0C95" w:rsidP="008C0C95">
      <w:pPr>
        <w:rPr>
          <w:b/>
          <w:bCs/>
        </w:rPr>
      </w:pPr>
    </w:p>
    <w:p w14:paraId="758965B6" w14:textId="4D40A671" w:rsidR="008C0C95" w:rsidRPr="00AF1CF8" w:rsidRDefault="008C0C95" w:rsidP="008C0C95">
      <w:pPr>
        <w:rPr>
          <w:b/>
          <w:bCs/>
        </w:rPr>
      </w:pPr>
      <w:r w:rsidRPr="00AF1CF8">
        <w:rPr>
          <w:b/>
          <w:bCs/>
        </w:rPr>
        <w:t>Total Five-Year Budget Request: $2,670,490</w:t>
      </w:r>
    </w:p>
    <w:p w14:paraId="443E0B93" w14:textId="1B4EEE08" w:rsidR="005A4AF1" w:rsidRPr="00AF1CF8" w:rsidRDefault="005A4AF1" w:rsidP="008C0C95">
      <w:pPr>
        <w:rPr>
          <w:b/>
          <w:bCs/>
        </w:rPr>
      </w:pPr>
    </w:p>
    <w:p w14:paraId="492E7F6F" w14:textId="147C50A5" w:rsidR="005A4AF1" w:rsidRPr="00AF1CF8" w:rsidRDefault="005A4AF1" w:rsidP="00634CAD">
      <w:pPr>
        <w:pStyle w:val="Heading1"/>
      </w:pPr>
      <w:r w:rsidRPr="00AF1CF8">
        <w:t xml:space="preserve">P031S190274 </w:t>
      </w:r>
      <w:r w:rsidR="009B15AE" w:rsidRPr="00AF1CF8">
        <w:br/>
      </w:r>
      <w:r w:rsidRPr="00EB748D">
        <w:t>Antelope Valley College</w:t>
      </w:r>
      <w:r w:rsidRPr="00BB223B">
        <w:t>, CA</w:t>
      </w:r>
    </w:p>
    <w:p w14:paraId="3E0E6466" w14:textId="1329857B" w:rsidR="005A4AF1" w:rsidRPr="00AF1CF8" w:rsidRDefault="005A4AF1" w:rsidP="008C0C95"/>
    <w:p w14:paraId="6D5208C0" w14:textId="77777777" w:rsidR="00B04401" w:rsidRPr="00AF1CF8" w:rsidRDefault="00B04401" w:rsidP="00B04401">
      <w:pPr>
        <w:rPr>
          <w:b/>
          <w:bCs/>
        </w:rPr>
      </w:pPr>
      <w:r w:rsidRPr="00AF1CF8">
        <w:rPr>
          <w:b/>
          <w:bCs/>
        </w:rPr>
        <w:t>Project Strategies</w:t>
      </w:r>
    </w:p>
    <w:p w14:paraId="7F26ABC7" w14:textId="77777777" w:rsidR="00B04401" w:rsidRPr="00AF1CF8" w:rsidRDefault="00B04401" w:rsidP="00B04401">
      <w:r w:rsidRPr="00AF1CF8">
        <w:rPr>
          <w:b/>
          <w:bCs/>
        </w:rPr>
        <w:t>Strategy 1:</w:t>
      </w:r>
      <w:r w:rsidRPr="00EB748D">
        <w:t xml:space="preserve"> New Bridge from First-Year Experience to the Second Year – Just as the bridge from high school to college s</w:t>
      </w:r>
      <w:r w:rsidRPr="00BB223B">
        <w:t>hould be viewed fr</w:t>
      </w:r>
      <w:r w:rsidRPr="00AF1CF8">
        <w:t>om both ends, college transition should focus not only on the First-Year Experience, but also the transition from the first to the second year of college, creating a meaningful link between the first and second year experiences.</w:t>
      </w:r>
    </w:p>
    <w:p w14:paraId="0998DF37" w14:textId="77777777" w:rsidR="00B04401" w:rsidRPr="00AF1CF8" w:rsidRDefault="00B04401" w:rsidP="00B04401">
      <w:r w:rsidRPr="00AF1CF8">
        <w:rPr>
          <w:b/>
          <w:bCs/>
        </w:rPr>
        <w:t>Strategy 2:</w:t>
      </w:r>
      <w:r w:rsidRPr="00EB748D">
        <w:t xml:space="preserve"> New Second Year Pathway – To facilitate student persistence to graduation, AVC will establish a new Secon</w:t>
      </w:r>
      <w:r w:rsidRPr="00BB223B">
        <w:t>d Year Pathway (SYP) program that aligns with re-vamped FYE programs and services, integrating policy and practice with nudging and support to provi</w:t>
      </w:r>
      <w:r w:rsidRPr="00AF1CF8">
        <w:t>de a streamlined pathway to graduation.</w:t>
      </w:r>
    </w:p>
    <w:p w14:paraId="48B80670" w14:textId="77777777" w:rsidR="00B04401" w:rsidRPr="00AF1CF8" w:rsidRDefault="00B04401" w:rsidP="00B04401">
      <w:r w:rsidRPr="00AF1CF8">
        <w:rPr>
          <w:b/>
          <w:bCs/>
        </w:rPr>
        <w:t>Strategy 3:</w:t>
      </w:r>
      <w:r w:rsidRPr="00EB748D">
        <w:t xml:space="preserve"> Strengthening Data-Informed Decision-Making – Scaling up</w:t>
      </w:r>
      <w:r w:rsidRPr="00BB223B">
        <w:t xml:space="preserve"> expertise in the ability to utilize data to drive policies and procedures is critical to creating a data-driven culture that drives long-term, syst</w:t>
      </w:r>
      <w:r w:rsidRPr="00AF1CF8">
        <w:t>emic change.</w:t>
      </w:r>
    </w:p>
    <w:p w14:paraId="56DBDF23" w14:textId="77777777" w:rsidR="00B04401" w:rsidRPr="00AF1CF8" w:rsidRDefault="00B04401" w:rsidP="00B04401"/>
    <w:p w14:paraId="4C0C237F" w14:textId="77777777" w:rsidR="00B04401" w:rsidRPr="00AF1CF8" w:rsidRDefault="00B04401" w:rsidP="00B04401">
      <w:pPr>
        <w:rPr>
          <w:b/>
          <w:bCs/>
        </w:rPr>
      </w:pPr>
      <w:r w:rsidRPr="00AF1CF8">
        <w:rPr>
          <w:b/>
          <w:bCs/>
        </w:rPr>
        <w:t>Overall Project Goal</w:t>
      </w:r>
    </w:p>
    <w:p w14:paraId="08BA9A8E" w14:textId="77777777" w:rsidR="00B04401" w:rsidRPr="00AF1CF8" w:rsidRDefault="00B04401" w:rsidP="00B04401">
      <w:r w:rsidRPr="00AF1CF8">
        <w:t>Increased institutional capacity to be responsive to the needs of degree-seeking Hispanic and low-income community college students, leading to increased enrollment, persistence,</w:t>
      </w:r>
    </w:p>
    <w:p w14:paraId="79C7DDC6" w14:textId="77777777" w:rsidR="00B04401" w:rsidRPr="00AF1CF8" w:rsidRDefault="00B04401" w:rsidP="00B04401">
      <w:r w:rsidRPr="00AF1CF8">
        <w:t>graduation, and transfer.</w:t>
      </w:r>
    </w:p>
    <w:p w14:paraId="0393EADF" w14:textId="77777777" w:rsidR="00B04401" w:rsidRPr="00AF1CF8" w:rsidRDefault="00B04401" w:rsidP="00B04401">
      <w:r w:rsidRPr="00AF1CF8">
        <w:t>CDP Goals</w:t>
      </w:r>
    </w:p>
    <w:p w14:paraId="5CA61CE4" w14:textId="77777777" w:rsidR="00B04401" w:rsidRPr="00AF1CF8" w:rsidRDefault="00B04401" w:rsidP="00B04401">
      <w:r w:rsidRPr="00AF1CF8">
        <w:t>Goal #1: Close achievement gaps in targeted measures</w:t>
      </w:r>
    </w:p>
    <w:p w14:paraId="6BAF334A" w14:textId="77777777" w:rsidR="00B04401" w:rsidRPr="00AF1CF8" w:rsidRDefault="00B04401" w:rsidP="00B04401">
      <w:r w:rsidRPr="00AF1CF8">
        <w:t>Goal #2: Support student transition through completion of the associate degree</w:t>
      </w:r>
    </w:p>
    <w:p w14:paraId="3B4F7D44" w14:textId="77777777" w:rsidR="00B04401" w:rsidRPr="00AF1CF8" w:rsidRDefault="00B04401" w:rsidP="00B04401">
      <w:r w:rsidRPr="00AF1CF8">
        <w:t>Goal #3: Strengthen opportunity equity for Hispanic and low-income students</w:t>
      </w:r>
    </w:p>
    <w:p w14:paraId="73857C62" w14:textId="77777777" w:rsidR="00B04401" w:rsidRPr="00AF1CF8" w:rsidRDefault="00B04401" w:rsidP="00B04401"/>
    <w:p w14:paraId="63019DE8" w14:textId="77777777" w:rsidR="00B04401" w:rsidRPr="00AF1CF8" w:rsidRDefault="00B04401" w:rsidP="00B04401">
      <w:pPr>
        <w:rPr>
          <w:b/>
          <w:bCs/>
        </w:rPr>
      </w:pPr>
      <w:r w:rsidRPr="00AF1CF8">
        <w:rPr>
          <w:b/>
          <w:bCs/>
        </w:rPr>
        <w:t>CDP Objectives (Outcomes to be achieved by September 30, 2024)</w:t>
      </w:r>
    </w:p>
    <w:p w14:paraId="5013B31C" w14:textId="12E9DE83" w:rsidR="00B04401" w:rsidRPr="00BB223B" w:rsidRDefault="00B04401" w:rsidP="00B04401">
      <w:r w:rsidRPr="00AF1CF8">
        <w:t>Objective 1: Increase by 20</w:t>
      </w:r>
      <w:r w:rsidR="00A23357" w:rsidRPr="00AF1CF8">
        <w:t xml:space="preserve"> percent</w:t>
      </w:r>
      <w:r w:rsidRPr="00EB748D">
        <w:t xml:space="preserve"> the total number of completed associate degrees</w:t>
      </w:r>
    </w:p>
    <w:p w14:paraId="1ECB0D3E" w14:textId="6761A7CD" w:rsidR="00B04401" w:rsidRPr="00BB223B" w:rsidRDefault="00B04401" w:rsidP="00B04401">
      <w:r w:rsidRPr="00AF1CF8">
        <w:t>Objective 2: Increase by 20</w:t>
      </w:r>
      <w:r w:rsidR="00A23357" w:rsidRPr="00AF1CF8">
        <w:t xml:space="preserve"> percent</w:t>
      </w:r>
      <w:r w:rsidRPr="00EB748D">
        <w:t xml:space="preserve"> the number of completed Associate Degree Transfer degrees</w:t>
      </w:r>
    </w:p>
    <w:p w14:paraId="6EC7D5B8" w14:textId="5327A2D7" w:rsidR="00B04401" w:rsidRPr="00AF1CF8" w:rsidRDefault="00B04401" w:rsidP="00B04401">
      <w:r w:rsidRPr="00AF1CF8">
        <w:t>Objective 3: Increase by 35</w:t>
      </w:r>
      <w:r w:rsidR="00A23357" w:rsidRPr="00AF1CF8">
        <w:t xml:space="preserve"> percent</w:t>
      </w:r>
      <w:r w:rsidRPr="00EB748D">
        <w:t xml:space="preserve"> the number of transfers to Unive</w:t>
      </w:r>
      <w:r w:rsidRPr="00BB223B">
        <w:t>rsity of Californi</w:t>
      </w:r>
      <w:r w:rsidRPr="00AF1CF8">
        <w:t>a or California State University</w:t>
      </w:r>
    </w:p>
    <w:p w14:paraId="035ED7A7" w14:textId="63072A84" w:rsidR="00B04401" w:rsidRPr="00BB223B" w:rsidRDefault="00B04401" w:rsidP="00B04401">
      <w:r w:rsidRPr="00AF1CF8">
        <w:t>Objective 4: Decrease by 15</w:t>
      </w:r>
      <w:r w:rsidR="00A23357" w:rsidRPr="00AF1CF8">
        <w:t xml:space="preserve"> percent</w:t>
      </w:r>
      <w:r w:rsidRPr="00EB748D">
        <w:t xml:space="preserve"> the average units earned per com</w:t>
      </w:r>
      <w:r w:rsidRPr="00BB223B">
        <w:t>pleted associate degree Objective 5: Increase by 20</w:t>
      </w:r>
      <w:r w:rsidR="00A23357" w:rsidRPr="00AF1CF8">
        <w:t xml:space="preserve"> percent</w:t>
      </w:r>
      <w:r w:rsidRPr="00EB748D">
        <w:t xml:space="preserve"> the number of completed CCCCO-approved certificates Objective 6: Increase by </w:t>
      </w:r>
      <w:r w:rsidRPr="00BB223B">
        <w:t>10</w:t>
      </w:r>
      <w:r w:rsidR="00A23357" w:rsidRPr="00AF1CF8">
        <w:t xml:space="preserve"> percent</w:t>
      </w:r>
      <w:r w:rsidRPr="00EB748D">
        <w:t xml:space="preserve"> the Fall-to-Spring persistence rate</w:t>
      </w:r>
    </w:p>
    <w:p w14:paraId="6883D30B" w14:textId="77777777" w:rsidR="00B04401" w:rsidRPr="00AF1CF8" w:rsidRDefault="00B04401" w:rsidP="00B04401">
      <w:r w:rsidRPr="00AF1CF8">
        <w:t>Objective 7: Manage the associate degree completion equity gap experienced by Hispanic students so that overall graduation outcomes proportionately reflect Hispanic student enrollment</w:t>
      </w:r>
    </w:p>
    <w:p w14:paraId="244441BD" w14:textId="77777777" w:rsidR="00B04401" w:rsidRPr="00AF1CF8" w:rsidRDefault="00B04401" w:rsidP="00B04401">
      <w:pPr>
        <w:rPr>
          <w:b/>
          <w:bCs/>
        </w:rPr>
      </w:pPr>
    </w:p>
    <w:p w14:paraId="699AA2FC" w14:textId="17A4D977" w:rsidR="00B04401" w:rsidRPr="00AF1CF8" w:rsidRDefault="00B04401" w:rsidP="00B04401">
      <w:pPr>
        <w:rPr>
          <w:b/>
          <w:bCs/>
        </w:rPr>
      </w:pPr>
      <w:r w:rsidRPr="00AF1CF8">
        <w:rPr>
          <w:b/>
          <w:bCs/>
        </w:rPr>
        <w:t>Project Addresses Competitive Preference Priority (CPP) #2</w:t>
      </w:r>
    </w:p>
    <w:p w14:paraId="087EE818" w14:textId="04E3CAAE" w:rsidR="003C04DB" w:rsidRPr="00AF1CF8" w:rsidRDefault="00B04401" w:rsidP="00FA649F">
      <w:r w:rsidRPr="00AF1CF8">
        <w:t>AVC’s federal loan default rate is currently at 26.9</w:t>
      </w:r>
      <w:r w:rsidR="00A23357" w:rsidRPr="00AF1CF8">
        <w:t xml:space="preserve"> percent</w:t>
      </w:r>
      <w:r w:rsidRPr="00EB748D">
        <w:t xml:space="preserve"> and dangerously close to 30</w:t>
      </w:r>
      <w:r w:rsidR="00A23357" w:rsidRPr="00AF1CF8">
        <w:t xml:space="preserve"> percent</w:t>
      </w:r>
      <w:r w:rsidRPr="00EB748D">
        <w:t xml:space="preserve"> which will tri</w:t>
      </w:r>
      <w:r w:rsidRPr="00BB223B">
        <w:t>gger a federal audit. AVC’s Title V project aims to develop targeted student support services to improve stud</w:t>
      </w:r>
      <w:r w:rsidRPr="00AF1CF8">
        <w:t>ents’ financial literacy, including: 1) Online financial wellness coaching workshops for students; 2) Faculty and staff participation in the annual Higher Education Financial Wellness program; and 3) Increase the rate of students reapplying for FAFSA after their first year using the research-based (WWC approved) and very successful method of text “nudging”.</w:t>
      </w:r>
    </w:p>
    <w:p w14:paraId="7D365600" w14:textId="4DC8DE50" w:rsidR="003C04DB" w:rsidRPr="00AF1CF8" w:rsidRDefault="003C04DB" w:rsidP="00634CAD">
      <w:pPr>
        <w:pStyle w:val="Heading1"/>
      </w:pPr>
      <w:r w:rsidRPr="00AF1CF8">
        <w:t xml:space="preserve">P031S190202 </w:t>
      </w:r>
      <w:r w:rsidR="00CF5660" w:rsidRPr="00AF1CF8">
        <w:br/>
      </w:r>
      <w:r w:rsidRPr="00AF1CF8">
        <w:t>Cabrillo Community College District, CA</w:t>
      </w:r>
    </w:p>
    <w:p w14:paraId="74DCC8FE" w14:textId="77777777" w:rsidR="00BA19FF" w:rsidRDefault="00BA19FF"/>
    <w:p w14:paraId="3A80F825" w14:textId="38ECF0C0" w:rsidR="004F0431" w:rsidRPr="00AF1CF8" w:rsidRDefault="004F0431" w:rsidP="00AF1CF8">
      <w:pPr>
        <w:rPr>
          <w:b/>
          <w:bCs/>
        </w:rPr>
      </w:pPr>
      <w:r w:rsidRPr="00AF1CF8">
        <w:rPr>
          <w:b/>
          <w:bCs/>
        </w:rPr>
        <w:t>Cabrillo / CSFMB’S Partnership to Strengthen Transfer Pathways</w:t>
      </w:r>
    </w:p>
    <w:p w14:paraId="00BC7BA3" w14:textId="77777777" w:rsidR="004F0431" w:rsidRPr="00AF1CF8" w:rsidRDefault="004F0431" w:rsidP="004F0431">
      <w:pPr>
        <w:pStyle w:val="BodyText"/>
        <w:rPr>
          <w:szCs w:val="22"/>
        </w:rPr>
      </w:pPr>
      <w:r w:rsidRPr="00EB748D">
        <w:rPr>
          <w:b/>
          <w:i/>
          <w:color w:val="231F20"/>
          <w:szCs w:val="22"/>
        </w:rPr>
        <w:t xml:space="preserve">Cabrillo College </w:t>
      </w:r>
      <w:r w:rsidRPr="00EB748D">
        <w:rPr>
          <w:color w:val="231F20"/>
          <w:szCs w:val="22"/>
        </w:rPr>
        <w:t>(Apt</w:t>
      </w:r>
      <w:r w:rsidRPr="00BB223B">
        <w:rPr>
          <w:color w:val="231F20"/>
          <w:szCs w:val="22"/>
        </w:rPr>
        <w:t>os, California) is a compre</w:t>
      </w:r>
      <w:r w:rsidRPr="00AF1CF8">
        <w:rPr>
          <w:color w:val="231F20"/>
          <w:szCs w:val="22"/>
        </w:rPr>
        <w:t>hensive, public two-year community college serving Santa Cruz County with the main campus at Aptos and a Center at Watsonville. The Hispanic enrollment (45 percent) has increased in the last five years by nine percentage points. The College serves high-need students from the Pajaro Valley, such as Watsonville where families struggle with persistent poverty and low educational levels.</w:t>
      </w:r>
    </w:p>
    <w:p w14:paraId="59DFC7AC" w14:textId="77777777" w:rsidR="004F0431" w:rsidRPr="00AF1CF8" w:rsidRDefault="004F0431" w:rsidP="004F0431">
      <w:pPr>
        <w:pStyle w:val="BodyText"/>
        <w:rPr>
          <w:color w:val="231F20"/>
          <w:szCs w:val="22"/>
        </w:rPr>
      </w:pPr>
    </w:p>
    <w:p w14:paraId="78FBF8CF" w14:textId="77777777" w:rsidR="004F0431" w:rsidRPr="00AF1CF8" w:rsidRDefault="004F0431" w:rsidP="004F0431">
      <w:pPr>
        <w:pStyle w:val="BodyText"/>
        <w:rPr>
          <w:szCs w:val="22"/>
        </w:rPr>
      </w:pPr>
      <w:r w:rsidRPr="00AF1CF8">
        <w:rPr>
          <w:color w:val="231F20"/>
          <w:szCs w:val="22"/>
        </w:rPr>
        <w:t xml:space="preserve">Cabrillo College in partnership with California State University at Monterey Bay (CSUMB) will implement transfer pathway reform in order to help students to transition more seamlessly from the 2-year college to the 4-year transfer destination, to complete their educational goals, and to close equity gaps in retention and graduation. The proposed project focuses on: 1) creating clear academic &amp; career pathways through faculty collaboration around 2+2 program alignment; 2) expanding inclusive, peer-based student support that helps Latinx and Low-income students develop a sense of belonging on campus. </w:t>
      </w:r>
      <w:r w:rsidRPr="00AF1CF8">
        <w:rPr>
          <w:b/>
          <w:color w:val="231F20"/>
          <w:szCs w:val="22"/>
        </w:rPr>
        <w:t xml:space="preserve">Implementation Strategies: </w:t>
      </w:r>
      <w:r w:rsidRPr="00AF1CF8">
        <w:rPr>
          <w:color w:val="231F20"/>
          <w:szCs w:val="22"/>
        </w:rPr>
        <w:t>The project will: 1) establish ‘Institutes of Learning’ to enable Cabrillo / CSUMB faculty-to-faculty conversations and professional development (PD); 2) establish a governance structure for transfer pathway alignment work; 3) create Cabrillo/CSUMB 2+2 program maps for 20 degree programs; 4) pilot programmatic improvements in five transfer pathways: Computer Science, Business, Accounting, Kinesiology, and Agriculture/Horticulture; 5) pilot a new peer learning support model at Cabrillo in gateway courses in collaboration with CSUMB’s Cooperative Learning Center; 6) pilot a new cohort advising model; 7) expand students connections, outreach, and orientation activities at CSUMB to address Cabrillo transfer student needs; 8) expand joint professional development between Cabrillo and CSUMB faculty and staff; and 9) increase financial aid services to student subpopulations needing further assistance.</w:t>
      </w:r>
    </w:p>
    <w:p w14:paraId="75851502" w14:textId="77777777" w:rsidR="004F0431" w:rsidRPr="00AF1CF8" w:rsidRDefault="004F0431" w:rsidP="004F0431">
      <w:pPr>
        <w:pStyle w:val="BodyText"/>
        <w:rPr>
          <w:szCs w:val="22"/>
        </w:rPr>
      </w:pPr>
    </w:p>
    <w:p w14:paraId="0D83D8A7" w14:textId="77777777" w:rsidR="004F0431" w:rsidRPr="00AF1CF8" w:rsidRDefault="004F0431" w:rsidP="004F0431">
      <w:pPr>
        <w:pStyle w:val="BodyText"/>
        <w:rPr>
          <w:b/>
          <w:bCs/>
          <w:szCs w:val="22"/>
        </w:rPr>
      </w:pPr>
      <w:r w:rsidRPr="00AF1CF8">
        <w:rPr>
          <w:b/>
          <w:bCs/>
          <w:szCs w:val="22"/>
        </w:rPr>
        <w:t>Comprehensive Development Plan (CDP)</w:t>
      </w:r>
    </w:p>
    <w:p w14:paraId="161B39F0" w14:textId="77777777" w:rsidR="004F0431" w:rsidRPr="00AF1CF8" w:rsidRDefault="004F0431" w:rsidP="004F0431">
      <w:pPr>
        <w:pStyle w:val="BodyText"/>
        <w:rPr>
          <w:szCs w:val="22"/>
        </w:rPr>
      </w:pPr>
      <w:r w:rsidRPr="00AF1CF8">
        <w:rPr>
          <w:b/>
          <w:bCs/>
          <w:szCs w:val="22"/>
        </w:rPr>
        <w:t>G1</w:t>
      </w:r>
      <w:r w:rsidRPr="00AF1CF8">
        <w:rPr>
          <w:szCs w:val="22"/>
        </w:rPr>
        <w:t xml:space="preserve">: Increase persistence, transfer, &amp; degree completion by creating clear career &amp; academic pathways. </w:t>
      </w:r>
      <w:r w:rsidRPr="00AF1CF8">
        <w:rPr>
          <w:b/>
          <w:bCs/>
          <w:szCs w:val="22"/>
        </w:rPr>
        <w:t>G2</w:t>
      </w:r>
      <w:r w:rsidRPr="00AF1CF8">
        <w:rPr>
          <w:szCs w:val="22"/>
        </w:rPr>
        <w:t xml:space="preserve">: Develop a high-impact, cost-effective cross-institutional partnership for program alignment, professional development, and student support. </w:t>
      </w:r>
      <w:r w:rsidRPr="00AF1CF8">
        <w:rPr>
          <w:b/>
          <w:bCs/>
          <w:szCs w:val="22"/>
        </w:rPr>
        <w:t>G3</w:t>
      </w:r>
      <w:r w:rsidRPr="00AF1CF8">
        <w:rPr>
          <w:szCs w:val="22"/>
        </w:rPr>
        <w:t xml:space="preserve">: Close achievement gaps in gateway courses through relevant peer-based learning and advising. </w:t>
      </w:r>
      <w:r w:rsidRPr="00AF1CF8">
        <w:rPr>
          <w:b/>
          <w:bCs/>
          <w:szCs w:val="22"/>
        </w:rPr>
        <w:t>G4</w:t>
      </w:r>
      <w:r w:rsidRPr="00AF1CF8">
        <w:rPr>
          <w:szCs w:val="22"/>
        </w:rPr>
        <w:t>: Increase the number of students served by Financial Aid through meaningful, peer-based, inclusive outreach efforts.</w:t>
      </w:r>
    </w:p>
    <w:p w14:paraId="2D8A79AA" w14:textId="77777777" w:rsidR="004F0431" w:rsidRPr="00AF1CF8" w:rsidRDefault="004F0431" w:rsidP="004F0431">
      <w:pPr>
        <w:pStyle w:val="BodyText"/>
        <w:rPr>
          <w:szCs w:val="22"/>
        </w:rPr>
      </w:pPr>
    </w:p>
    <w:p w14:paraId="346A418E" w14:textId="77777777" w:rsidR="004F0431" w:rsidRPr="00AF1CF8" w:rsidRDefault="004F0431" w:rsidP="004F0431">
      <w:pPr>
        <w:pStyle w:val="BodyText"/>
        <w:rPr>
          <w:b/>
          <w:bCs/>
          <w:szCs w:val="22"/>
        </w:rPr>
      </w:pPr>
      <w:r w:rsidRPr="00AF1CF8">
        <w:rPr>
          <w:b/>
          <w:bCs/>
          <w:szCs w:val="22"/>
        </w:rPr>
        <w:t>Objectives</w:t>
      </w:r>
    </w:p>
    <w:p w14:paraId="6B61B368" w14:textId="5A3D09A9" w:rsidR="004F0431" w:rsidRPr="00AF1CF8" w:rsidRDefault="004F0431" w:rsidP="004F0431">
      <w:pPr>
        <w:pStyle w:val="BodyText"/>
        <w:rPr>
          <w:szCs w:val="22"/>
        </w:rPr>
      </w:pPr>
      <w:r w:rsidRPr="00AF1CF8">
        <w:rPr>
          <w:szCs w:val="22"/>
        </w:rPr>
        <w:t xml:space="preserve">By September 2024, 1) the </w:t>
      </w:r>
      <w:r w:rsidR="00945548" w:rsidRPr="00AF1CF8">
        <w:rPr>
          <w:szCs w:val="22"/>
        </w:rPr>
        <w:t>percentage</w:t>
      </w:r>
      <w:r w:rsidRPr="00AF1CF8">
        <w:rPr>
          <w:szCs w:val="22"/>
        </w:rPr>
        <w:t xml:space="preserve"> of Cabrillo’s transfer students who persist will increase by</w:t>
      </w:r>
      <w:r w:rsidR="00A23357" w:rsidRPr="00AF1CF8">
        <w:rPr>
          <w:szCs w:val="22"/>
        </w:rPr>
        <w:t xml:space="preserve"> four percent</w:t>
      </w:r>
      <w:r w:rsidRPr="00AF1CF8">
        <w:rPr>
          <w:szCs w:val="22"/>
        </w:rPr>
        <w:t xml:space="preserve"> points (Obj. 1.1); 2) increase the </w:t>
      </w:r>
      <w:r w:rsidR="00F552D4" w:rsidRPr="00AF1CF8">
        <w:rPr>
          <w:szCs w:val="22"/>
        </w:rPr>
        <w:t>percentage</w:t>
      </w:r>
      <w:r w:rsidRPr="00AF1CF8">
        <w:rPr>
          <w:szCs w:val="22"/>
        </w:rPr>
        <w:t xml:space="preserve"> of Cabrillo’s students who transfer to CSUMB by 20</w:t>
      </w:r>
      <w:r w:rsidR="00A23357" w:rsidRPr="00AF1CF8">
        <w:rPr>
          <w:szCs w:val="22"/>
        </w:rPr>
        <w:t xml:space="preserve"> percent</w:t>
      </w:r>
      <w:r w:rsidRPr="00AF1CF8">
        <w:rPr>
          <w:szCs w:val="22"/>
        </w:rPr>
        <w:t xml:space="preserve"> (Obj 1.2); 3) increase the </w:t>
      </w:r>
      <w:r w:rsidR="00F552D4" w:rsidRPr="00AF1CF8">
        <w:rPr>
          <w:szCs w:val="22"/>
        </w:rPr>
        <w:t>one</w:t>
      </w:r>
      <w:r w:rsidRPr="00AF1CF8">
        <w:rPr>
          <w:szCs w:val="22"/>
        </w:rPr>
        <w:t>-year retention rate from 84</w:t>
      </w:r>
      <w:r w:rsidR="00A23357" w:rsidRPr="00AF1CF8">
        <w:rPr>
          <w:szCs w:val="22"/>
        </w:rPr>
        <w:t xml:space="preserve"> percent</w:t>
      </w:r>
      <w:r w:rsidRPr="00AF1CF8">
        <w:rPr>
          <w:szCs w:val="22"/>
        </w:rPr>
        <w:t xml:space="preserve"> to 89</w:t>
      </w:r>
      <w:r w:rsidR="00A23357" w:rsidRPr="00AF1CF8">
        <w:rPr>
          <w:szCs w:val="22"/>
        </w:rPr>
        <w:t xml:space="preserve"> percent</w:t>
      </w:r>
      <w:r w:rsidRPr="00AF1CF8">
        <w:rPr>
          <w:szCs w:val="22"/>
        </w:rPr>
        <w:t xml:space="preserve"> (Obj. 1.3); 4) increase the </w:t>
      </w:r>
      <w:r w:rsidR="00F552D4" w:rsidRPr="00AF1CF8">
        <w:rPr>
          <w:szCs w:val="22"/>
        </w:rPr>
        <w:t>two</w:t>
      </w:r>
      <w:r w:rsidRPr="00AF1CF8">
        <w:rPr>
          <w:szCs w:val="22"/>
        </w:rPr>
        <w:t>-year cumulative graduation rate of Cabrillo transfer students at CSUMB from 46</w:t>
      </w:r>
      <w:r w:rsidR="00A23357" w:rsidRPr="00AF1CF8">
        <w:rPr>
          <w:szCs w:val="22"/>
        </w:rPr>
        <w:t xml:space="preserve"> percent</w:t>
      </w:r>
      <w:r w:rsidRPr="00AF1CF8">
        <w:rPr>
          <w:szCs w:val="22"/>
        </w:rPr>
        <w:t xml:space="preserve"> to 50</w:t>
      </w:r>
      <w:r w:rsidR="00A23357" w:rsidRPr="00AF1CF8">
        <w:rPr>
          <w:szCs w:val="22"/>
        </w:rPr>
        <w:t xml:space="preserve"> percent</w:t>
      </w:r>
      <w:r w:rsidRPr="00AF1CF8">
        <w:rPr>
          <w:szCs w:val="22"/>
        </w:rPr>
        <w:t xml:space="preserve"> (Obj. 1.4); 5) increase the </w:t>
      </w:r>
      <w:r w:rsidR="00A23357" w:rsidRPr="00AF1CF8">
        <w:rPr>
          <w:szCs w:val="22"/>
        </w:rPr>
        <w:t>number</w:t>
      </w:r>
      <w:r w:rsidRPr="00AF1CF8">
        <w:rPr>
          <w:szCs w:val="22"/>
        </w:rPr>
        <w:t xml:space="preserve"> of degrees awarded (Associate’s, Bachelor’s) for students by 10</w:t>
      </w:r>
      <w:r w:rsidR="00A23357" w:rsidRPr="00AF1CF8">
        <w:rPr>
          <w:szCs w:val="22"/>
        </w:rPr>
        <w:t xml:space="preserve"> percent</w:t>
      </w:r>
      <w:r w:rsidRPr="00AF1CF8">
        <w:rPr>
          <w:szCs w:val="22"/>
        </w:rPr>
        <w:t xml:space="preserve"> (Obj. 1.5); 6) reduce the total </w:t>
      </w:r>
      <w:r w:rsidR="00146215" w:rsidRPr="00AF1CF8">
        <w:rPr>
          <w:szCs w:val="22"/>
        </w:rPr>
        <w:t>number</w:t>
      </w:r>
      <w:r w:rsidRPr="00AF1CF8">
        <w:rPr>
          <w:szCs w:val="22"/>
        </w:rPr>
        <w:t xml:space="preserve"> of units that Cabrillo students take by an average of </w:t>
      </w:r>
      <w:r w:rsidR="00146215" w:rsidRPr="00AF1CF8">
        <w:rPr>
          <w:szCs w:val="22"/>
        </w:rPr>
        <w:t>four</w:t>
      </w:r>
      <w:r w:rsidRPr="00AF1CF8">
        <w:rPr>
          <w:szCs w:val="22"/>
        </w:rPr>
        <w:t xml:space="preserve"> unit</w:t>
      </w:r>
      <w:r w:rsidR="00146215" w:rsidRPr="00AF1CF8">
        <w:rPr>
          <w:szCs w:val="22"/>
        </w:rPr>
        <w:t>s</w:t>
      </w:r>
      <w:r w:rsidRPr="00AF1CF8">
        <w:rPr>
          <w:szCs w:val="22"/>
        </w:rPr>
        <w:t xml:space="preserve"> per program (Obj. 2.1); 7) at least five programs involved in project have established procedures for ongoing collaborative efforts (Obj. 2.2); 8) the success rate for Cabrillo’s Latinx students will increase by 10</w:t>
      </w:r>
      <w:r w:rsidR="00146215" w:rsidRPr="00AF1CF8">
        <w:rPr>
          <w:szCs w:val="22"/>
        </w:rPr>
        <w:t xml:space="preserve"> percentage</w:t>
      </w:r>
      <w:r w:rsidRPr="00AF1CF8">
        <w:rPr>
          <w:szCs w:val="22"/>
        </w:rPr>
        <w:t xml:space="preserve"> points in gateway courses (Obj. 3); 9) reduce the </w:t>
      </w:r>
      <w:r w:rsidR="00F552D4" w:rsidRPr="00AF1CF8">
        <w:rPr>
          <w:szCs w:val="22"/>
        </w:rPr>
        <w:t>number</w:t>
      </w:r>
      <w:r w:rsidRPr="00AF1CF8">
        <w:rPr>
          <w:szCs w:val="22"/>
        </w:rPr>
        <w:t xml:space="preserve"> of rejected financial aid applications at Cabrillo by 20</w:t>
      </w:r>
      <w:r w:rsidR="00A23357" w:rsidRPr="00AF1CF8">
        <w:rPr>
          <w:szCs w:val="22"/>
        </w:rPr>
        <w:t xml:space="preserve"> percentage </w:t>
      </w:r>
      <w:r w:rsidRPr="00AF1CF8">
        <w:rPr>
          <w:szCs w:val="22"/>
        </w:rPr>
        <w:t>points (Obj. 4.1); 10) increase the number of Cabrillo students who receive a Pell grant from 17</w:t>
      </w:r>
      <w:r w:rsidR="00A23357" w:rsidRPr="00AF1CF8">
        <w:rPr>
          <w:szCs w:val="22"/>
        </w:rPr>
        <w:t xml:space="preserve"> percent</w:t>
      </w:r>
      <w:r w:rsidRPr="00AF1CF8">
        <w:rPr>
          <w:szCs w:val="22"/>
        </w:rPr>
        <w:t xml:space="preserve"> to 22</w:t>
      </w:r>
      <w:r w:rsidR="00A23357" w:rsidRPr="00AF1CF8">
        <w:rPr>
          <w:szCs w:val="22"/>
        </w:rPr>
        <w:t xml:space="preserve"> percent</w:t>
      </w:r>
      <w:r w:rsidRPr="00AF1CF8">
        <w:rPr>
          <w:szCs w:val="22"/>
        </w:rPr>
        <w:t xml:space="preserve"> (Obj. 4.2).</w:t>
      </w:r>
    </w:p>
    <w:p w14:paraId="1E2CA048" w14:textId="77777777" w:rsidR="004F0431" w:rsidRPr="00AF1CF8" w:rsidRDefault="004F0431" w:rsidP="004F0431">
      <w:pPr>
        <w:pStyle w:val="BodyText"/>
        <w:rPr>
          <w:szCs w:val="22"/>
        </w:rPr>
      </w:pPr>
    </w:p>
    <w:p w14:paraId="310DBB9B" w14:textId="702651CB" w:rsidR="004F0431" w:rsidRPr="00AF1CF8" w:rsidRDefault="004F0431" w:rsidP="004F0431">
      <w:pPr>
        <w:pStyle w:val="BodyText"/>
        <w:rPr>
          <w:szCs w:val="22"/>
        </w:rPr>
      </w:pPr>
      <w:r w:rsidRPr="00AF1CF8">
        <w:rPr>
          <w:szCs w:val="22"/>
        </w:rPr>
        <w:t xml:space="preserve">The Title V Project addresses the </w:t>
      </w:r>
      <w:r w:rsidRPr="00AF1CF8">
        <w:rPr>
          <w:b/>
          <w:bCs/>
          <w:szCs w:val="22"/>
        </w:rPr>
        <w:t>Competitive Preference Priority 2</w:t>
      </w:r>
      <w:r w:rsidRPr="00AF1CF8">
        <w:rPr>
          <w:szCs w:val="22"/>
        </w:rPr>
        <w:t xml:space="preserve"> (</w:t>
      </w:r>
      <w:r w:rsidRPr="00AF1CF8">
        <w:rPr>
          <w:i/>
          <w:iCs/>
          <w:szCs w:val="22"/>
        </w:rPr>
        <w:t>to instruct in the knowledge of higher education financing and repayment</w:t>
      </w:r>
      <w:r w:rsidRPr="00AF1CF8">
        <w:rPr>
          <w:szCs w:val="22"/>
        </w:rPr>
        <w:t>) by introducing text nudging and technology improvements to remind students of financial aid deadlines and to expand financial aid services. The goal is to increase the number of students served by financial aid.</w:t>
      </w:r>
    </w:p>
    <w:p w14:paraId="46451E78" w14:textId="0ACFDA14" w:rsidR="005F683A" w:rsidRPr="00042F03" w:rsidRDefault="005F683A" w:rsidP="00634CAD">
      <w:pPr>
        <w:pStyle w:val="Heading1"/>
        <w:rPr>
          <w:rStyle w:val="Heading1Char"/>
          <w:b/>
          <w:bCs/>
        </w:rPr>
      </w:pPr>
      <w:r w:rsidRPr="00042F03">
        <w:rPr>
          <w:rStyle w:val="Heading1Char"/>
          <w:b/>
          <w:bCs/>
        </w:rPr>
        <w:t>P031S190275</w:t>
      </w:r>
      <w:r w:rsidR="003B2825" w:rsidRPr="00042F03">
        <w:rPr>
          <w:rStyle w:val="Heading1Char"/>
          <w:b/>
          <w:bCs/>
        </w:rPr>
        <w:t xml:space="preserve"> </w:t>
      </w:r>
      <w:r w:rsidR="005A3852" w:rsidRPr="00042F03">
        <w:rPr>
          <w:rStyle w:val="Heading1Char"/>
          <w:b/>
          <w:bCs/>
        </w:rPr>
        <w:br/>
      </w:r>
      <w:r w:rsidR="003B2825" w:rsidRPr="00042F03">
        <w:rPr>
          <w:rStyle w:val="Heading1Char"/>
          <w:b/>
          <w:bCs/>
        </w:rPr>
        <w:t>Cal Poly Pomona Foundation, Inc., CA</w:t>
      </w:r>
    </w:p>
    <w:p w14:paraId="16BE44DB" w14:textId="1C6453A3" w:rsidR="00903FC9" w:rsidRPr="00BB223B" w:rsidRDefault="00903FC9" w:rsidP="00903FC9"/>
    <w:p w14:paraId="1E2E44F0" w14:textId="77777777" w:rsidR="005F683A" w:rsidRPr="00AF1CF8" w:rsidRDefault="005F683A" w:rsidP="005F683A">
      <w:pPr>
        <w:pStyle w:val="BodyText"/>
        <w:rPr>
          <w:szCs w:val="22"/>
        </w:rPr>
      </w:pPr>
      <w:r w:rsidRPr="00AF1CF8">
        <w:rPr>
          <w:b/>
          <w:color w:val="231F20"/>
          <w:szCs w:val="22"/>
        </w:rPr>
        <w:t>Goals</w:t>
      </w:r>
      <w:r w:rsidRPr="00AF1CF8">
        <w:rPr>
          <w:color w:val="231F20"/>
          <w:szCs w:val="22"/>
        </w:rPr>
        <w:t>: The project seeks to eliminate the equity gap between high school and college Hispanic/Latino students and other under-served students through realizing the following goals:</w:t>
      </w:r>
    </w:p>
    <w:p w14:paraId="701775AA" w14:textId="77777777" w:rsidR="005F683A" w:rsidRPr="00AF1CF8" w:rsidRDefault="005F683A" w:rsidP="005F683A">
      <w:pPr>
        <w:pStyle w:val="BodyText"/>
        <w:rPr>
          <w:i/>
          <w:color w:val="231F20"/>
          <w:szCs w:val="22"/>
        </w:rPr>
      </w:pPr>
    </w:p>
    <w:p w14:paraId="4F09E9BA" w14:textId="77777777" w:rsidR="005F683A" w:rsidRPr="00AF1CF8" w:rsidRDefault="005F683A" w:rsidP="005F683A">
      <w:pPr>
        <w:pStyle w:val="BodyText"/>
        <w:rPr>
          <w:szCs w:val="22"/>
        </w:rPr>
      </w:pPr>
      <w:r w:rsidRPr="00AF1CF8">
        <w:rPr>
          <w:i/>
          <w:color w:val="231F20"/>
          <w:szCs w:val="22"/>
        </w:rPr>
        <w:t>Goal 1</w:t>
      </w:r>
      <w:r w:rsidRPr="00AF1CF8">
        <w:rPr>
          <w:color w:val="231F20"/>
          <w:szCs w:val="22"/>
        </w:rPr>
        <w:t>: Increase access for local area Hispanic/Latino students to California State Polytechnic University at Pomona (Cal Poly Pomona).</w:t>
      </w:r>
    </w:p>
    <w:p w14:paraId="4A585EDC" w14:textId="2C128847" w:rsidR="005F683A" w:rsidRPr="00EB748D" w:rsidRDefault="005F683A" w:rsidP="005F683A">
      <w:pPr>
        <w:pStyle w:val="BodyText"/>
        <w:rPr>
          <w:szCs w:val="22"/>
        </w:rPr>
      </w:pPr>
      <w:r w:rsidRPr="00AF1CF8">
        <w:rPr>
          <w:i/>
          <w:color w:val="231F20"/>
          <w:szCs w:val="22"/>
        </w:rPr>
        <w:t>Goal 2</w:t>
      </w:r>
      <w:r w:rsidRPr="00AF1CF8">
        <w:rPr>
          <w:color w:val="231F20"/>
          <w:szCs w:val="22"/>
        </w:rPr>
        <w:t xml:space="preserve">: Increase persistence and </w:t>
      </w:r>
      <w:r w:rsidR="00BA19FF">
        <w:rPr>
          <w:color w:val="231F20"/>
          <w:szCs w:val="22"/>
        </w:rPr>
        <w:t>four</w:t>
      </w:r>
      <w:r w:rsidRPr="00EB748D">
        <w:rPr>
          <w:color w:val="231F20"/>
          <w:szCs w:val="22"/>
        </w:rPr>
        <w:t xml:space="preserve">-year and </w:t>
      </w:r>
      <w:r w:rsidR="00BA19FF">
        <w:rPr>
          <w:color w:val="231F20"/>
          <w:szCs w:val="22"/>
        </w:rPr>
        <w:t>six</w:t>
      </w:r>
      <w:r w:rsidRPr="00EB748D">
        <w:rPr>
          <w:color w:val="231F20"/>
          <w:szCs w:val="22"/>
        </w:rPr>
        <w:t>-year graduation rates for Cal Poly Pomona Hispanic/Latino students.</w:t>
      </w:r>
    </w:p>
    <w:p w14:paraId="3B3BF30B" w14:textId="77777777" w:rsidR="005F683A" w:rsidRPr="00BB223B" w:rsidRDefault="005F683A" w:rsidP="005F683A">
      <w:pPr>
        <w:pStyle w:val="BodyText"/>
        <w:rPr>
          <w:b/>
          <w:color w:val="231F20"/>
          <w:szCs w:val="22"/>
        </w:rPr>
      </w:pPr>
    </w:p>
    <w:p w14:paraId="05E7ADAA" w14:textId="77777777" w:rsidR="005F683A" w:rsidRPr="00AF1CF8" w:rsidRDefault="005F683A" w:rsidP="005F683A">
      <w:pPr>
        <w:pStyle w:val="BodyText"/>
        <w:rPr>
          <w:color w:val="231F20"/>
          <w:szCs w:val="22"/>
        </w:rPr>
      </w:pPr>
      <w:r w:rsidRPr="00AF1CF8">
        <w:rPr>
          <w:b/>
          <w:color w:val="231F20"/>
          <w:szCs w:val="22"/>
        </w:rPr>
        <w:t>Outcomes/Contributions</w:t>
      </w:r>
      <w:r w:rsidRPr="00AF1CF8">
        <w:rPr>
          <w:color w:val="231F20"/>
          <w:szCs w:val="22"/>
        </w:rPr>
        <w:t>: The project will deploy the following components to achieve</w:t>
      </w:r>
      <w:r w:rsidRPr="00AF1CF8">
        <w:rPr>
          <w:color w:val="231F20"/>
          <w:spacing w:val="-37"/>
          <w:szCs w:val="22"/>
        </w:rPr>
        <w:t xml:space="preserve"> </w:t>
      </w:r>
      <w:r w:rsidRPr="00AF1CF8">
        <w:rPr>
          <w:color w:val="231F20"/>
          <w:szCs w:val="22"/>
        </w:rPr>
        <w:t>notable increases in Hispanic/Latino enrollment, course completion, persistence, and graduation, as well as beneficial change in faculty engagement with students and pedagogy</w:t>
      </w:r>
      <w:r w:rsidRPr="00AF1CF8">
        <w:rPr>
          <w:color w:val="231F20"/>
          <w:spacing w:val="-19"/>
          <w:szCs w:val="22"/>
        </w:rPr>
        <w:t xml:space="preserve"> </w:t>
      </w:r>
      <w:r w:rsidRPr="00AF1CF8">
        <w:rPr>
          <w:color w:val="231F20"/>
          <w:szCs w:val="22"/>
        </w:rPr>
        <w:t>methods:</w:t>
      </w:r>
    </w:p>
    <w:p w14:paraId="23FDFCDF" w14:textId="77777777" w:rsidR="005F683A" w:rsidRPr="00AF1CF8" w:rsidRDefault="005F683A" w:rsidP="005F683A">
      <w:pPr>
        <w:pStyle w:val="BodyText"/>
        <w:rPr>
          <w:szCs w:val="22"/>
        </w:rPr>
      </w:pPr>
    </w:p>
    <w:p w14:paraId="61DAADA2" w14:textId="77777777" w:rsidR="005F683A" w:rsidRPr="00AF1CF8" w:rsidRDefault="005F683A" w:rsidP="005F683A">
      <w:pPr>
        <w:pStyle w:val="ListParagraph"/>
        <w:numPr>
          <w:ilvl w:val="0"/>
          <w:numId w:val="38"/>
        </w:numPr>
        <w:tabs>
          <w:tab w:val="left" w:pos="1185"/>
        </w:tabs>
      </w:pPr>
      <w:r w:rsidRPr="00AF1CF8">
        <w:rPr>
          <w:color w:val="231F20"/>
        </w:rPr>
        <w:t>High school and community college student access/outreach workshops, financial literacy training, campus visits, and</w:t>
      </w:r>
      <w:r w:rsidRPr="00AF1CF8">
        <w:rPr>
          <w:color w:val="231F20"/>
          <w:spacing w:val="10"/>
        </w:rPr>
        <w:t xml:space="preserve"> </w:t>
      </w:r>
      <w:r w:rsidRPr="00AF1CF8">
        <w:rPr>
          <w:color w:val="231F20"/>
        </w:rPr>
        <w:t>counseling;</w:t>
      </w:r>
    </w:p>
    <w:p w14:paraId="1D4409A7" w14:textId="77777777" w:rsidR="005F683A" w:rsidRPr="00AF1CF8" w:rsidRDefault="005F683A" w:rsidP="005F683A">
      <w:pPr>
        <w:pStyle w:val="ListParagraph"/>
        <w:numPr>
          <w:ilvl w:val="0"/>
          <w:numId w:val="38"/>
        </w:numPr>
        <w:tabs>
          <w:tab w:val="left" w:pos="1199"/>
        </w:tabs>
      </w:pPr>
      <w:r w:rsidRPr="00AF1CF8">
        <w:rPr>
          <w:color w:val="231F20"/>
        </w:rPr>
        <w:t xml:space="preserve">System transitions support (from high school to college; </w:t>
      </w:r>
      <w:r w:rsidRPr="00AF1CF8">
        <w:rPr>
          <w:color w:val="231F20"/>
          <w:spacing w:val="-3"/>
        </w:rPr>
        <w:t xml:space="preserve">from </w:t>
      </w:r>
      <w:r w:rsidRPr="00AF1CF8">
        <w:rPr>
          <w:color w:val="231F20"/>
        </w:rPr>
        <w:t>community college to Cal Poly Pomona; from first year to second year at Cal Poly Pomona). Support will include summer math bridge, redesigned coursework, financial literacy education, holistic advising, peer and professional support and mentoring, and a</w:t>
      </w:r>
      <w:r w:rsidRPr="00AF1CF8">
        <w:rPr>
          <w:color w:val="231F20"/>
          <w:spacing w:val="-4"/>
        </w:rPr>
        <w:t xml:space="preserve"> </w:t>
      </w:r>
      <w:r w:rsidRPr="00AF1CF8">
        <w:rPr>
          <w:color w:val="231F20"/>
        </w:rPr>
        <w:t>chatbot;</w:t>
      </w:r>
    </w:p>
    <w:p w14:paraId="5633116D" w14:textId="77777777" w:rsidR="005F683A" w:rsidRPr="00AF1CF8" w:rsidRDefault="005F683A" w:rsidP="005F683A">
      <w:pPr>
        <w:pStyle w:val="ListParagraph"/>
        <w:numPr>
          <w:ilvl w:val="0"/>
          <w:numId w:val="38"/>
        </w:numPr>
        <w:tabs>
          <w:tab w:val="left" w:pos="1186"/>
        </w:tabs>
      </w:pPr>
      <w:r w:rsidRPr="00AF1CF8">
        <w:rPr>
          <w:color w:val="231F20"/>
        </w:rPr>
        <w:t>Faculty engagement (training in effective mathematics education and equity-minded pedagogy methods).</w:t>
      </w:r>
    </w:p>
    <w:p w14:paraId="00306090" w14:textId="77777777" w:rsidR="005F683A" w:rsidRPr="00AF1CF8" w:rsidRDefault="005F683A" w:rsidP="005F683A">
      <w:pPr>
        <w:pStyle w:val="BodyText"/>
        <w:rPr>
          <w:b/>
          <w:color w:val="231F20"/>
          <w:szCs w:val="22"/>
        </w:rPr>
      </w:pPr>
    </w:p>
    <w:p w14:paraId="5AF51F3F" w14:textId="2B64E0BF" w:rsidR="005F683A" w:rsidRPr="00AF1CF8" w:rsidRDefault="005F683A" w:rsidP="005F683A">
      <w:pPr>
        <w:pStyle w:val="BodyText"/>
        <w:rPr>
          <w:szCs w:val="22"/>
        </w:rPr>
      </w:pPr>
      <w:r w:rsidRPr="00AF1CF8">
        <w:rPr>
          <w:b/>
          <w:color w:val="231F20"/>
          <w:szCs w:val="22"/>
        </w:rPr>
        <w:t xml:space="preserve">Population </w:t>
      </w:r>
      <w:r w:rsidR="00BA19FF" w:rsidRPr="00AF1CF8">
        <w:rPr>
          <w:b/>
          <w:color w:val="231F20"/>
          <w:szCs w:val="22"/>
        </w:rPr>
        <w:t>to</w:t>
      </w:r>
      <w:r w:rsidRPr="00AF1CF8">
        <w:rPr>
          <w:b/>
          <w:color w:val="231F20"/>
          <w:szCs w:val="22"/>
        </w:rPr>
        <w:t xml:space="preserve"> Be Served</w:t>
      </w:r>
      <w:r w:rsidRPr="00AF1CF8">
        <w:rPr>
          <w:color w:val="231F20"/>
          <w:szCs w:val="22"/>
        </w:rPr>
        <w:t>: Hispanic/Latino Cal Poly Pomona students and local area high school and community college students (1,500 students) with an emphasis on academically underprepared students; Cal Poly Pomona faculty (75 faculty members).</w:t>
      </w:r>
    </w:p>
    <w:p w14:paraId="08BC90CE" w14:textId="77777777" w:rsidR="005F683A" w:rsidRPr="00AF1CF8" w:rsidRDefault="005F683A" w:rsidP="005F683A">
      <w:pPr>
        <w:pStyle w:val="BodyText"/>
        <w:rPr>
          <w:b/>
          <w:color w:val="231F20"/>
          <w:szCs w:val="22"/>
        </w:rPr>
      </w:pPr>
    </w:p>
    <w:p w14:paraId="450BD353" w14:textId="77777777" w:rsidR="005F683A" w:rsidRPr="00AF1CF8" w:rsidRDefault="005F683A" w:rsidP="005F683A">
      <w:pPr>
        <w:pStyle w:val="BodyText"/>
        <w:rPr>
          <w:szCs w:val="22"/>
        </w:rPr>
      </w:pPr>
      <w:r w:rsidRPr="00AF1CF8">
        <w:rPr>
          <w:b/>
          <w:color w:val="231F20"/>
          <w:szCs w:val="22"/>
        </w:rPr>
        <w:t>Theoretical and Conceptual Background</w:t>
      </w:r>
      <w:r w:rsidRPr="00AF1CF8">
        <w:rPr>
          <w:color w:val="231F20"/>
          <w:szCs w:val="22"/>
        </w:rPr>
        <w:t>: The project interventions are modeled on successful experimental design summer bridge and student engagement initiatives reviewed in What Works Clearinghouse as well as equity-minded pedagogy theory.</w:t>
      </w:r>
    </w:p>
    <w:p w14:paraId="71B70299" w14:textId="77777777" w:rsidR="005F683A" w:rsidRPr="00AF1CF8" w:rsidRDefault="005F683A" w:rsidP="005F683A">
      <w:pPr>
        <w:pStyle w:val="BodyText"/>
        <w:rPr>
          <w:b/>
          <w:color w:val="231F20"/>
          <w:szCs w:val="22"/>
        </w:rPr>
      </w:pPr>
    </w:p>
    <w:p w14:paraId="14EB938F" w14:textId="77777777" w:rsidR="005F683A" w:rsidRPr="00AF1CF8" w:rsidRDefault="005F683A" w:rsidP="005F683A">
      <w:pPr>
        <w:pStyle w:val="BodyText"/>
        <w:rPr>
          <w:szCs w:val="22"/>
        </w:rPr>
      </w:pPr>
      <w:r w:rsidRPr="00AF1CF8">
        <w:rPr>
          <w:b/>
          <w:color w:val="231F20"/>
          <w:szCs w:val="22"/>
        </w:rPr>
        <w:t>Research Questions</w:t>
      </w:r>
      <w:r w:rsidRPr="00AF1CF8">
        <w:rPr>
          <w:color w:val="231F20"/>
          <w:szCs w:val="22"/>
        </w:rPr>
        <w:t>: What is the effect of the program interventions on faculty outcomes? What is the effect of the program interventions on student outcomes?</w:t>
      </w:r>
    </w:p>
    <w:p w14:paraId="2C887EB0" w14:textId="77777777" w:rsidR="005F683A" w:rsidRPr="00AF1CF8" w:rsidRDefault="005F683A" w:rsidP="005F683A">
      <w:pPr>
        <w:pStyle w:val="BodyText"/>
        <w:rPr>
          <w:b/>
          <w:color w:val="231F20"/>
          <w:szCs w:val="22"/>
        </w:rPr>
      </w:pPr>
    </w:p>
    <w:p w14:paraId="0B70E016" w14:textId="77777777" w:rsidR="005F683A" w:rsidRPr="00AF1CF8" w:rsidRDefault="005F683A" w:rsidP="005F683A">
      <w:pPr>
        <w:pStyle w:val="BodyText"/>
        <w:rPr>
          <w:szCs w:val="22"/>
        </w:rPr>
      </w:pPr>
      <w:r w:rsidRPr="00AF1CF8">
        <w:rPr>
          <w:b/>
          <w:color w:val="231F20"/>
          <w:szCs w:val="22"/>
        </w:rPr>
        <w:t>Study Design</w:t>
      </w:r>
      <w:r w:rsidRPr="00AF1CF8">
        <w:rPr>
          <w:color w:val="231F20"/>
          <w:szCs w:val="22"/>
        </w:rPr>
        <w:t>: The project will be evaluated using a sequential explanatory mixed method quasi- experimental design, in which a combination of qualitative and quantitative indicators will be used to answer implementation and outcome evaluation questions. The evaluation has three components: a) an analysis of implementation and outcomes for all program participants; b) a randomized control trial; and c) a quasi-experimental design to assess effects of different faculty professional development approaches.</w:t>
      </w:r>
    </w:p>
    <w:p w14:paraId="5E0022D5" w14:textId="77777777" w:rsidR="005F683A" w:rsidRPr="00AF1CF8" w:rsidRDefault="005F683A" w:rsidP="004F0431">
      <w:pPr>
        <w:pStyle w:val="BodyText"/>
        <w:rPr>
          <w:szCs w:val="22"/>
        </w:rPr>
      </w:pPr>
    </w:p>
    <w:p w14:paraId="381937DD" w14:textId="101E90C8" w:rsidR="004F0431" w:rsidRPr="00AF1CF8" w:rsidRDefault="004F0431" w:rsidP="00383218">
      <w:pPr>
        <w:pStyle w:val="BodyText"/>
        <w:rPr>
          <w:szCs w:val="22"/>
        </w:rPr>
      </w:pPr>
    </w:p>
    <w:p w14:paraId="7FA5014C" w14:textId="782FCD19" w:rsidR="00D36193" w:rsidRPr="00AF1CF8" w:rsidRDefault="00D36193" w:rsidP="00383218">
      <w:pPr>
        <w:pStyle w:val="BodyText"/>
        <w:rPr>
          <w:szCs w:val="22"/>
        </w:rPr>
      </w:pPr>
    </w:p>
    <w:p w14:paraId="04FB3634" w14:textId="56682D1D" w:rsidR="00D36193" w:rsidRPr="00AF1CF8" w:rsidRDefault="00D36193" w:rsidP="00634CAD">
      <w:pPr>
        <w:pStyle w:val="Heading1"/>
      </w:pPr>
      <w:r w:rsidRPr="00AF1CF8">
        <w:t>P031S190253</w:t>
      </w:r>
      <w:r w:rsidR="001224EB" w:rsidRPr="00AF1CF8">
        <w:t xml:space="preserve"> </w:t>
      </w:r>
      <w:r w:rsidR="001224EB" w:rsidRPr="00AF1CF8">
        <w:br/>
        <w:t>California State University, Dominguez Hills Foundation, CA</w:t>
      </w:r>
    </w:p>
    <w:p w14:paraId="27DAAE0D" w14:textId="77777777" w:rsidR="001224EB" w:rsidRPr="00AF1CF8" w:rsidRDefault="001224EB" w:rsidP="00AF1CF8"/>
    <w:p w14:paraId="28811B1F" w14:textId="04456990" w:rsidR="00D36193" w:rsidRPr="00EB748D" w:rsidRDefault="00D36193" w:rsidP="00D36193">
      <w:pPr>
        <w:pStyle w:val="BodyText"/>
        <w:rPr>
          <w:szCs w:val="22"/>
        </w:rPr>
      </w:pPr>
      <w:r w:rsidRPr="00AF1CF8">
        <w:rPr>
          <w:color w:val="231F20"/>
          <w:szCs w:val="22"/>
        </w:rPr>
        <w:t xml:space="preserve">After a comprehensive needs assessment, CSUDH will create </w:t>
      </w:r>
      <w:r w:rsidRPr="00AF1CF8">
        <w:rPr>
          <w:color w:val="231F20"/>
          <w:szCs w:val="22"/>
          <w:u w:val="single" w:color="231F20"/>
        </w:rPr>
        <w:t>Transfer to Success</w:t>
      </w:r>
      <w:r w:rsidRPr="00AF1CF8">
        <w:rPr>
          <w:color w:val="231F20"/>
          <w:szCs w:val="22"/>
        </w:rPr>
        <w:t xml:space="preserve"> (TTS) to provide transfer students, particularly Hispanic and low-income transfer students, with support services that assist them in earning a degree more quickly and moving into graduate school, a teaching credential program or career. In fall 2018, transfer students were 56</w:t>
      </w:r>
      <w:r w:rsidR="00A23357" w:rsidRPr="00AF1CF8">
        <w:rPr>
          <w:color w:val="231F20"/>
          <w:szCs w:val="22"/>
        </w:rPr>
        <w:t xml:space="preserve"> percent</w:t>
      </w:r>
      <w:r w:rsidRPr="00EB748D">
        <w:rPr>
          <w:color w:val="231F20"/>
          <w:szCs w:val="22"/>
        </w:rPr>
        <w:t xml:space="preserve"> of all CSUDH undergraduates and 59</w:t>
      </w:r>
      <w:r w:rsidR="00A23357" w:rsidRPr="00AF1CF8">
        <w:rPr>
          <w:color w:val="231F20"/>
          <w:szCs w:val="22"/>
        </w:rPr>
        <w:t xml:space="preserve"> percent</w:t>
      </w:r>
      <w:r w:rsidRPr="00EB748D">
        <w:rPr>
          <w:color w:val="231F20"/>
          <w:szCs w:val="22"/>
        </w:rPr>
        <w:t xml:space="preserve"> of incoming undergraduates. While CSUDH has greatly enhanced support services for first-time freshmen, assistance for community-college transfer students is not as developed. CSUDH’s student profile is unique in the CSU system for its high perc</w:t>
      </w:r>
      <w:r w:rsidRPr="00BB223B">
        <w:rPr>
          <w:color w:val="231F20"/>
          <w:szCs w:val="22"/>
        </w:rPr>
        <w:t>entages of first-generation (74</w:t>
      </w:r>
      <w:r w:rsidR="00A23357" w:rsidRPr="00AF1CF8">
        <w:rPr>
          <w:color w:val="231F20"/>
          <w:szCs w:val="22"/>
        </w:rPr>
        <w:t xml:space="preserve"> percent</w:t>
      </w:r>
      <w:r w:rsidRPr="00EB748D">
        <w:rPr>
          <w:color w:val="231F20"/>
          <w:szCs w:val="22"/>
        </w:rPr>
        <w:t xml:space="preserve"> would be first in family to earn a degree), low-income (61</w:t>
      </w:r>
      <w:r w:rsidR="00A23357" w:rsidRPr="00AF1CF8">
        <w:rPr>
          <w:color w:val="231F20"/>
          <w:szCs w:val="22"/>
        </w:rPr>
        <w:t xml:space="preserve"> percent</w:t>
      </w:r>
      <w:r w:rsidRPr="00EB748D">
        <w:rPr>
          <w:color w:val="231F20"/>
          <w:szCs w:val="22"/>
        </w:rPr>
        <w:t xml:space="preserve"> Pell) students from underrepresented groups (76</w:t>
      </w:r>
      <w:r w:rsidR="00A23357" w:rsidRPr="00AF1CF8">
        <w:rPr>
          <w:color w:val="231F20"/>
          <w:szCs w:val="22"/>
        </w:rPr>
        <w:t xml:space="preserve"> percent</w:t>
      </w:r>
      <w:r w:rsidRPr="00EB748D">
        <w:rPr>
          <w:color w:val="231F20"/>
          <w:szCs w:val="22"/>
        </w:rPr>
        <w:t>). These risk factors are associated with low college completion rates. Only 36</w:t>
      </w:r>
      <w:r w:rsidR="00A23357" w:rsidRPr="00AF1CF8">
        <w:rPr>
          <w:color w:val="231F20"/>
          <w:szCs w:val="22"/>
        </w:rPr>
        <w:t xml:space="preserve"> percent</w:t>
      </w:r>
      <w:r w:rsidRPr="00EB748D">
        <w:rPr>
          <w:color w:val="231F20"/>
          <w:szCs w:val="22"/>
        </w:rPr>
        <w:t xml:space="preserve"> of CSUDH transfer students graduate in two years, and their two-</w:t>
      </w:r>
      <w:r w:rsidR="00BA19FF">
        <w:rPr>
          <w:color w:val="231F20"/>
          <w:szCs w:val="22"/>
        </w:rPr>
        <w:t>y</w:t>
      </w:r>
      <w:r w:rsidRPr="00EB748D">
        <w:rPr>
          <w:color w:val="231F20"/>
          <w:szCs w:val="22"/>
        </w:rPr>
        <w:t>ear persistence lags the Cal State University system overall.</w:t>
      </w:r>
    </w:p>
    <w:p w14:paraId="7BFA39CB" w14:textId="77777777" w:rsidR="00D36193" w:rsidRPr="00BB223B" w:rsidRDefault="00D36193" w:rsidP="00D36193">
      <w:pPr>
        <w:pStyle w:val="BodyText"/>
        <w:rPr>
          <w:b/>
          <w:color w:val="231F20"/>
          <w:szCs w:val="22"/>
        </w:rPr>
      </w:pPr>
    </w:p>
    <w:p w14:paraId="4988102A" w14:textId="77777777" w:rsidR="00D36193" w:rsidRPr="00AF1CF8" w:rsidRDefault="00D36193" w:rsidP="00D36193">
      <w:pPr>
        <w:pStyle w:val="BodyText"/>
        <w:rPr>
          <w:color w:val="231F20"/>
          <w:szCs w:val="22"/>
          <w:u w:val="single" w:color="231F20"/>
        </w:rPr>
      </w:pPr>
      <w:r w:rsidRPr="00AF1CF8">
        <w:rPr>
          <w:b/>
          <w:color w:val="231F20"/>
          <w:szCs w:val="22"/>
        </w:rPr>
        <w:t>Goal 1</w:t>
      </w:r>
      <w:r w:rsidRPr="00AF1CF8">
        <w:rPr>
          <w:color w:val="231F20"/>
          <w:szCs w:val="22"/>
        </w:rPr>
        <w:t>: Increase the number of Hispanic students attaining bachelor’s degrees.</w:t>
      </w:r>
    </w:p>
    <w:p w14:paraId="03E0F8FF" w14:textId="3AEE6C7B" w:rsidR="00D36193" w:rsidRPr="00AF1CF8" w:rsidRDefault="00D36193" w:rsidP="00D36193">
      <w:pPr>
        <w:pStyle w:val="BodyText"/>
        <w:rPr>
          <w:szCs w:val="22"/>
        </w:rPr>
      </w:pPr>
      <w:r w:rsidRPr="00AF1CF8">
        <w:rPr>
          <w:color w:val="231F20"/>
          <w:szCs w:val="22"/>
          <w:u w:val="single" w:color="231F20"/>
        </w:rPr>
        <w:t>Key Activities</w:t>
      </w:r>
      <w:r w:rsidRPr="00AF1CF8">
        <w:rPr>
          <w:color w:val="231F20"/>
          <w:szCs w:val="22"/>
        </w:rPr>
        <w:t xml:space="preserve">: Increase support services for transfer students at CSUDH so they mirror those for first-time freshmen. Services, e.g., proactive advising, pre-semester bridge, are supported by research and best practices. Training in high-impact practices for faculty who teach high-enrollment, upper-division, bottleneck courses will </w:t>
      </w:r>
      <w:r w:rsidR="00042F03" w:rsidRPr="00AF1CF8">
        <w:rPr>
          <w:color w:val="231F20"/>
          <w:szCs w:val="22"/>
        </w:rPr>
        <w:t>reduce</w:t>
      </w:r>
      <w:r w:rsidRPr="00AF1CF8">
        <w:rPr>
          <w:color w:val="231F20"/>
          <w:szCs w:val="22"/>
        </w:rPr>
        <w:t xml:space="preserve"> the percentage of students who receive Ds, Fs or</w:t>
      </w:r>
      <w:r w:rsidRPr="00AF1CF8">
        <w:rPr>
          <w:color w:val="231F20"/>
          <w:spacing w:val="-5"/>
          <w:szCs w:val="22"/>
        </w:rPr>
        <w:t xml:space="preserve"> </w:t>
      </w:r>
      <w:r w:rsidRPr="00AF1CF8">
        <w:rPr>
          <w:color w:val="231F20"/>
          <w:szCs w:val="22"/>
        </w:rPr>
        <w:t>withdraw.</w:t>
      </w:r>
    </w:p>
    <w:p w14:paraId="68BD0B07" w14:textId="77777777" w:rsidR="00D36193" w:rsidRPr="00AF1CF8" w:rsidRDefault="00D36193" w:rsidP="00D36193">
      <w:pPr>
        <w:rPr>
          <w:b/>
          <w:color w:val="231F20"/>
        </w:rPr>
      </w:pPr>
    </w:p>
    <w:p w14:paraId="375CF4D1" w14:textId="77777777" w:rsidR="00D36193" w:rsidRPr="00AF1CF8" w:rsidRDefault="00D36193" w:rsidP="00D36193">
      <w:pPr>
        <w:rPr>
          <w:u w:color="231F20"/>
        </w:rPr>
      </w:pPr>
      <w:r w:rsidRPr="00AF1CF8">
        <w:rPr>
          <w:b/>
          <w:color w:val="231F20"/>
        </w:rPr>
        <w:t>Goal 2</w:t>
      </w:r>
      <w:r w:rsidRPr="00AF1CF8">
        <w:rPr>
          <w:color w:val="231F20"/>
        </w:rPr>
        <w:t>: Increase the percentage of Hispanic students receiving master’s degrees and postbaccalaureate teacher credentials. (</w:t>
      </w:r>
      <w:r w:rsidRPr="00AF1CF8">
        <w:rPr>
          <w:b/>
          <w:color w:val="231F20"/>
        </w:rPr>
        <w:t>Competitive Preference Priority 1</w:t>
      </w:r>
      <w:r w:rsidRPr="00AF1CF8">
        <w:rPr>
          <w:color w:val="231F20"/>
        </w:rPr>
        <w:t>)</w:t>
      </w:r>
    </w:p>
    <w:p w14:paraId="0428D7A3" w14:textId="77777777" w:rsidR="00D36193" w:rsidRPr="00AF1CF8" w:rsidRDefault="00D36193" w:rsidP="00D36193">
      <w:pPr>
        <w:pStyle w:val="BodyText"/>
        <w:rPr>
          <w:szCs w:val="22"/>
        </w:rPr>
      </w:pPr>
      <w:r w:rsidRPr="00AF1CF8">
        <w:rPr>
          <w:color w:val="231F20"/>
          <w:szCs w:val="22"/>
          <w:u w:val="single" w:color="231F20"/>
        </w:rPr>
        <w:t>Key Activities</w:t>
      </w:r>
      <w:r w:rsidRPr="00AF1CF8">
        <w:rPr>
          <w:color w:val="231F20"/>
          <w:szCs w:val="22"/>
        </w:rPr>
        <w:t>: Improve career and graduate-school advising; increase number of students aware of opportunities in research, internships, careers and graduate school; and recruit students early into CSUDH’s teaching credential program.</w:t>
      </w:r>
    </w:p>
    <w:p w14:paraId="2DE5364C" w14:textId="77777777" w:rsidR="00D36193" w:rsidRPr="00AF1CF8" w:rsidRDefault="00D36193" w:rsidP="00D36193">
      <w:pPr>
        <w:pStyle w:val="BodyText"/>
        <w:rPr>
          <w:b/>
          <w:color w:val="231F20"/>
          <w:szCs w:val="22"/>
        </w:rPr>
      </w:pPr>
    </w:p>
    <w:p w14:paraId="4D60D049" w14:textId="77777777" w:rsidR="00D36193" w:rsidRPr="00AF1CF8" w:rsidRDefault="00D36193" w:rsidP="00D36193">
      <w:pPr>
        <w:pStyle w:val="BodyText"/>
        <w:rPr>
          <w:color w:val="231F20"/>
          <w:szCs w:val="22"/>
          <w:u w:val="single" w:color="231F20"/>
        </w:rPr>
      </w:pPr>
      <w:r w:rsidRPr="00AF1CF8">
        <w:rPr>
          <w:b/>
          <w:color w:val="231F20"/>
          <w:szCs w:val="22"/>
        </w:rPr>
        <w:t>Goal 3</w:t>
      </w:r>
      <w:r w:rsidRPr="00AF1CF8">
        <w:rPr>
          <w:color w:val="231F20"/>
          <w:szCs w:val="22"/>
        </w:rPr>
        <w:t>: Increase collaboration with community colleges to facilitate transfers and prepare students to complete their bachelor’s degrees.</w:t>
      </w:r>
    </w:p>
    <w:p w14:paraId="16234FB9" w14:textId="77777777" w:rsidR="00D36193" w:rsidRPr="00AF1CF8" w:rsidRDefault="00D36193" w:rsidP="00D36193">
      <w:pPr>
        <w:pStyle w:val="BodyText"/>
        <w:rPr>
          <w:color w:val="231F20"/>
          <w:szCs w:val="22"/>
          <w:u w:val="single" w:color="231F20"/>
        </w:rPr>
      </w:pPr>
      <w:r w:rsidRPr="00AF1CF8">
        <w:rPr>
          <w:color w:val="231F20"/>
          <w:szCs w:val="22"/>
          <w:u w:val="single" w:color="231F20"/>
        </w:rPr>
        <w:t>Key Activities</w:t>
      </w:r>
      <w:r w:rsidRPr="00AF1CF8">
        <w:rPr>
          <w:color w:val="231F20"/>
          <w:szCs w:val="22"/>
        </w:rPr>
        <w:t>: Train community college advisors with CSUDH faculty advisors. Include community-college faculty in HIP training with CSUDH faculty. Increase advising resources from CSUDH experts for community college students seeking to transfer to CUSDH.</w:t>
      </w:r>
    </w:p>
    <w:p w14:paraId="63B61F75" w14:textId="77777777" w:rsidR="00D36193" w:rsidRPr="00AF1CF8" w:rsidRDefault="00D36193" w:rsidP="00D36193">
      <w:pPr>
        <w:pStyle w:val="BodyText"/>
        <w:rPr>
          <w:szCs w:val="22"/>
        </w:rPr>
      </w:pPr>
      <w:r w:rsidRPr="00AF1CF8">
        <w:rPr>
          <w:color w:val="231F20"/>
          <w:szCs w:val="22"/>
          <w:u w:val="single" w:color="231F20"/>
        </w:rPr>
        <w:t>Expected Outcomes</w:t>
      </w:r>
      <w:r w:rsidRPr="00AF1CF8">
        <w:rPr>
          <w:color w:val="231F20"/>
          <w:szCs w:val="22"/>
        </w:rPr>
        <w:t>: TTS will improve graduation and persistence for CSUDH’s largely underrepresented transfer students; increase graduate degrees and postbaccalaureate teaching credentials earned by Hispanic students; and increase the number of students who transfer to CSUDH from three community colleges.</w:t>
      </w:r>
    </w:p>
    <w:p w14:paraId="5CDC2819" w14:textId="4E46FD2C" w:rsidR="00D36193" w:rsidRPr="00AF1CF8" w:rsidRDefault="00D36193" w:rsidP="00383218">
      <w:pPr>
        <w:pStyle w:val="BodyText"/>
        <w:rPr>
          <w:szCs w:val="22"/>
        </w:rPr>
      </w:pPr>
    </w:p>
    <w:p w14:paraId="146B5F3F" w14:textId="7631BAB1" w:rsidR="004E5F6A" w:rsidRPr="00AF1CF8" w:rsidRDefault="004E5F6A" w:rsidP="00383218">
      <w:pPr>
        <w:pStyle w:val="BodyText"/>
        <w:rPr>
          <w:szCs w:val="22"/>
        </w:rPr>
      </w:pPr>
    </w:p>
    <w:p w14:paraId="6CD40B17" w14:textId="1DBA55B0" w:rsidR="004E5F6A" w:rsidRPr="00AF1CF8" w:rsidRDefault="004E5F6A" w:rsidP="00383218">
      <w:pPr>
        <w:pStyle w:val="BodyText"/>
        <w:rPr>
          <w:szCs w:val="22"/>
        </w:rPr>
      </w:pPr>
    </w:p>
    <w:p w14:paraId="197049B3" w14:textId="541C471B" w:rsidR="004E5F6A" w:rsidRPr="00AF1CF8" w:rsidRDefault="004E5F6A" w:rsidP="00634CAD">
      <w:pPr>
        <w:pStyle w:val="Heading1"/>
      </w:pPr>
      <w:r w:rsidRPr="00AF1CF8">
        <w:t>P031S190332</w:t>
      </w:r>
      <w:r w:rsidR="007C4948" w:rsidRPr="00AF1CF8">
        <w:t xml:space="preserve"> </w:t>
      </w:r>
      <w:r w:rsidR="007C4948" w:rsidRPr="00AF1CF8">
        <w:br/>
        <w:t>CSU, Chico Research Foundation, CA</w:t>
      </w:r>
    </w:p>
    <w:p w14:paraId="309AABFE" w14:textId="77777777" w:rsidR="00BA19FF" w:rsidRDefault="00BA19FF" w:rsidP="004E5F6A">
      <w:pPr>
        <w:pStyle w:val="BodyText"/>
        <w:rPr>
          <w:color w:val="010202"/>
          <w:szCs w:val="22"/>
        </w:rPr>
      </w:pPr>
    </w:p>
    <w:p w14:paraId="2C2EE862" w14:textId="62718706" w:rsidR="004E5F6A" w:rsidRPr="00AF1CF8" w:rsidRDefault="004E5F6A" w:rsidP="004E5F6A">
      <w:pPr>
        <w:pStyle w:val="BodyText"/>
        <w:rPr>
          <w:szCs w:val="22"/>
        </w:rPr>
      </w:pPr>
      <w:r w:rsidRPr="00EB748D">
        <w:rPr>
          <w:color w:val="010202"/>
          <w:szCs w:val="22"/>
        </w:rPr>
        <w:t>California State University, Chico (CSU, Chico) is a regional comprehensive university with more than 16,400 undergraduate students of which 34</w:t>
      </w:r>
      <w:r w:rsidR="00A23357" w:rsidRPr="00AF1CF8">
        <w:rPr>
          <w:color w:val="010202"/>
          <w:szCs w:val="22"/>
        </w:rPr>
        <w:t xml:space="preserve"> percent</w:t>
      </w:r>
      <w:r w:rsidRPr="00EB748D">
        <w:rPr>
          <w:color w:val="010202"/>
          <w:szCs w:val="22"/>
        </w:rPr>
        <w:t xml:space="preserve"> are Hispanic and 45</w:t>
      </w:r>
      <w:r w:rsidR="00A23357" w:rsidRPr="00AF1CF8">
        <w:rPr>
          <w:color w:val="010202"/>
          <w:szCs w:val="22"/>
        </w:rPr>
        <w:t xml:space="preserve"> percent</w:t>
      </w:r>
      <w:r w:rsidRPr="00EB748D">
        <w:rPr>
          <w:color w:val="010202"/>
          <w:szCs w:val="22"/>
        </w:rPr>
        <w:t xml:space="preserve"> are low-income. The university is also home to almost 1,100 postbaccalaureate students</w:t>
      </w:r>
      <w:r w:rsidR="00042F03">
        <w:rPr>
          <w:color w:val="010202"/>
          <w:szCs w:val="22"/>
        </w:rPr>
        <w:t>,</w:t>
      </w:r>
      <w:r w:rsidRPr="00EB748D">
        <w:rPr>
          <w:color w:val="010202"/>
          <w:szCs w:val="22"/>
        </w:rPr>
        <w:t xml:space="preserve"> of which only 20.6</w:t>
      </w:r>
      <w:r w:rsidR="00A23357" w:rsidRPr="00AF1CF8">
        <w:rPr>
          <w:color w:val="010202"/>
          <w:szCs w:val="22"/>
        </w:rPr>
        <w:t xml:space="preserve"> percent</w:t>
      </w:r>
      <w:r w:rsidRPr="00EB748D">
        <w:rPr>
          <w:color w:val="010202"/>
          <w:szCs w:val="22"/>
        </w:rPr>
        <w:t xml:space="preserve"> are Hispanic</w:t>
      </w:r>
      <w:r w:rsidR="00042F03">
        <w:rPr>
          <w:color w:val="010202"/>
          <w:szCs w:val="22"/>
        </w:rPr>
        <w:t>,</w:t>
      </w:r>
      <w:r w:rsidRPr="00EB748D">
        <w:rPr>
          <w:color w:val="010202"/>
          <w:szCs w:val="22"/>
        </w:rPr>
        <w:t xml:space="preserve"> and 14</w:t>
      </w:r>
      <w:r w:rsidR="00A23357" w:rsidRPr="00AF1CF8">
        <w:rPr>
          <w:color w:val="010202"/>
          <w:szCs w:val="22"/>
        </w:rPr>
        <w:t xml:space="preserve"> percent</w:t>
      </w:r>
      <w:r w:rsidRPr="00EB748D">
        <w:rPr>
          <w:color w:val="010202"/>
          <w:szCs w:val="22"/>
        </w:rPr>
        <w:t xml:space="preserve"> are low-income. The goal of </w:t>
      </w:r>
      <w:r w:rsidRPr="00EB748D">
        <w:rPr>
          <w:i/>
          <w:color w:val="010202"/>
          <w:szCs w:val="22"/>
        </w:rPr>
        <w:t xml:space="preserve">Adelante: A Postbaccalaureate Pipeline Project </w:t>
      </w:r>
      <w:r w:rsidRPr="00BB223B">
        <w:rPr>
          <w:color w:val="010202"/>
          <w:szCs w:val="22"/>
        </w:rPr>
        <w:t xml:space="preserve">is to increase the number of Hispanic and </w:t>
      </w:r>
      <w:r w:rsidRPr="00AF1CF8">
        <w:rPr>
          <w:color w:val="010202"/>
          <w:szCs w:val="22"/>
        </w:rPr>
        <w:t>low-income students pursuing and attaining their graduate degrees and teaching credentials through a well-coordinated network of academic support programs designed to raise GPAs, retention, and graduation rates, and research and writing skills that facilitate students’ aspirations and transitions to graduate school.</w:t>
      </w:r>
    </w:p>
    <w:p w14:paraId="1E95B891" w14:textId="77777777" w:rsidR="004E5F6A" w:rsidRPr="00AF1CF8" w:rsidRDefault="004E5F6A" w:rsidP="004E5F6A">
      <w:pPr>
        <w:pStyle w:val="BodyText"/>
        <w:rPr>
          <w:i/>
          <w:color w:val="010202"/>
          <w:szCs w:val="22"/>
        </w:rPr>
      </w:pPr>
    </w:p>
    <w:p w14:paraId="70D658A8" w14:textId="0D751B22" w:rsidR="004E5F6A" w:rsidRPr="00AF1CF8" w:rsidRDefault="004E5F6A" w:rsidP="004E5F6A">
      <w:pPr>
        <w:pStyle w:val="BodyText"/>
        <w:rPr>
          <w:szCs w:val="22"/>
        </w:rPr>
      </w:pPr>
      <w:r w:rsidRPr="00AF1CF8">
        <w:rPr>
          <w:i/>
          <w:color w:val="010202"/>
          <w:szCs w:val="22"/>
        </w:rPr>
        <w:t xml:space="preserve">Adelante’s </w:t>
      </w:r>
      <w:r w:rsidRPr="00AF1CF8">
        <w:rPr>
          <w:color w:val="010202"/>
          <w:szCs w:val="22"/>
        </w:rPr>
        <w:t xml:space="preserve">multi-initiative program encourages students to </w:t>
      </w:r>
      <w:r w:rsidRPr="00AF1CF8">
        <w:rPr>
          <w:i/>
          <w:color w:val="010202"/>
          <w:szCs w:val="22"/>
        </w:rPr>
        <w:t>dream big but plan accordingly</w:t>
      </w:r>
      <w:r w:rsidRPr="00AF1CF8">
        <w:rPr>
          <w:color w:val="010202"/>
          <w:szCs w:val="22"/>
        </w:rPr>
        <w:t xml:space="preserve">. The first initiative is designed to help students develop a pathway plan and the means to achieve it through enhanced academic support from their sophomore year to the completion of their graduate degree and beyond. This includes a faculty/graduate student mentoring, tutoring, and advising program in hubs of 10 students and individually; courses and workshops to foster personal growth, leadership skills, and financial literacy; a faculty-mentored research program; and dedicated writing and research commons. The second initiative strengthens and diversifies our </w:t>
      </w:r>
      <w:r w:rsidR="00A23357" w:rsidRPr="00AF1CF8">
        <w:rPr>
          <w:color w:val="010202"/>
          <w:szCs w:val="22"/>
        </w:rPr>
        <w:t>postbaccalaureate</w:t>
      </w:r>
      <w:r w:rsidRPr="00EB748D">
        <w:rPr>
          <w:color w:val="010202"/>
          <w:szCs w:val="22"/>
        </w:rPr>
        <w:t xml:space="preserve"> programs through (1) an extensive outreach plan that connects Hispanic and low-income students with faculty and graduate studen</w:t>
      </w:r>
      <w:r w:rsidRPr="00BB223B">
        <w:rPr>
          <w:color w:val="010202"/>
          <w:szCs w:val="22"/>
        </w:rPr>
        <w:t xml:space="preserve">ts from similar backgrounds; (2) revised curriculum </w:t>
      </w:r>
      <w:r w:rsidRPr="00AF1CF8">
        <w:rPr>
          <w:color w:val="010202"/>
          <w:szCs w:val="22"/>
        </w:rPr>
        <w:t>and program options that are more closely aligned with the educational interests of non-feeder majors (i.e., those without corresponding master’s program); and 3) support of faculty in developing inclusive and equity-minded practices in teaching, mentoring, and advising.</w:t>
      </w:r>
    </w:p>
    <w:p w14:paraId="1075FCCF" w14:textId="56E1EE4A" w:rsidR="004E5F6A" w:rsidRPr="00AF1CF8" w:rsidRDefault="004E5F6A" w:rsidP="00383218">
      <w:pPr>
        <w:pStyle w:val="BodyText"/>
        <w:rPr>
          <w:szCs w:val="22"/>
        </w:rPr>
      </w:pPr>
    </w:p>
    <w:p w14:paraId="347F7F86" w14:textId="1A4C0E13" w:rsidR="007C4948" w:rsidRPr="00AF1CF8" w:rsidRDefault="007C4948" w:rsidP="00383218">
      <w:pPr>
        <w:pStyle w:val="BodyText"/>
        <w:rPr>
          <w:szCs w:val="22"/>
        </w:rPr>
      </w:pPr>
    </w:p>
    <w:p w14:paraId="0A672D4C" w14:textId="5F288DD7" w:rsidR="00947C89" w:rsidRPr="00AF1CF8" w:rsidRDefault="00947C89" w:rsidP="00634CAD">
      <w:pPr>
        <w:pStyle w:val="Heading1"/>
      </w:pPr>
      <w:r w:rsidRPr="00AF1CF8">
        <w:t>P031S190320</w:t>
      </w:r>
      <w:r w:rsidR="0074363F" w:rsidRPr="00AF1CF8">
        <w:t xml:space="preserve"> </w:t>
      </w:r>
      <w:r w:rsidR="0074363F" w:rsidRPr="00AF1CF8">
        <w:br/>
        <w:t>Fresno City College, CA</w:t>
      </w:r>
    </w:p>
    <w:p w14:paraId="33417C39" w14:textId="77777777" w:rsidR="00947C89" w:rsidRPr="00AF1CF8" w:rsidRDefault="00947C89" w:rsidP="00947C89">
      <w:pPr>
        <w:pStyle w:val="BodyText"/>
        <w:rPr>
          <w:szCs w:val="22"/>
        </w:rPr>
      </w:pPr>
      <w:bookmarkStart w:id="15" w:name="08-DHSI0320APP"/>
      <w:bookmarkEnd w:id="15"/>
    </w:p>
    <w:p w14:paraId="724778B6" w14:textId="77777777" w:rsidR="00947C89" w:rsidRPr="00AF1CF8" w:rsidRDefault="00947C89" w:rsidP="00947C89">
      <w:pPr>
        <w:rPr>
          <w:i/>
        </w:rPr>
      </w:pPr>
      <w:r w:rsidRPr="00AF1CF8">
        <w:rPr>
          <w:color w:val="231F20"/>
        </w:rPr>
        <w:t xml:space="preserve">Fresno City College (FCC) is a fully accredited California two-year college located in the heart of the state’s Central Valley. As a Hispanic Serving Institution with an enrollment of more than 36,000 students, FCC requests a grant from the U.S. Department of Education to implement its </w:t>
      </w:r>
      <w:r w:rsidRPr="00AF1CF8">
        <w:rPr>
          <w:b/>
          <w:i/>
          <w:color w:val="231F20"/>
        </w:rPr>
        <w:t xml:space="preserve">Redefining Student Ready </w:t>
      </w:r>
      <w:r w:rsidRPr="00AF1CF8">
        <w:rPr>
          <w:color w:val="231F20"/>
        </w:rPr>
        <w:t xml:space="preserve">program. This program is designed to ensure organization-level preparation to be ‘student ready’ in implementation of support and success strategies for students. Via professional development for faculty and staff, coordinated implementation of student services to reach and support targeted student populations, and innovative communication strategies; </w:t>
      </w:r>
      <w:r w:rsidRPr="00AF1CF8">
        <w:rPr>
          <w:i/>
          <w:color w:val="231F20"/>
        </w:rPr>
        <w:t>FCC seeks to turn the tables on a philosophy that says students are solely responsible for their own “readiness” and instead ensure the college engages in updates to be “ready” to support outcomes for Hispanic and low-income students.</w:t>
      </w:r>
    </w:p>
    <w:p w14:paraId="3AEECE6F" w14:textId="77777777" w:rsidR="00947C89" w:rsidRPr="00AF1CF8" w:rsidRDefault="00947C89" w:rsidP="00947C89">
      <w:pPr>
        <w:rPr>
          <w:b/>
          <w:color w:val="231F20"/>
        </w:rPr>
      </w:pPr>
    </w:p>
    <w:p w14:paraId="76725CF3" w14:textId="3F3F1E48" w:rsidR="00947C89" w:rsidRPr="00EB748D" w:rsidRDefault="00947C89" w:rsidP="00947C89">
      <w:pPr>
        <w:rPr>
          <w:i/>
          <w:color w:val="231F20"/>
        </w:rPr>
      </w:pPr>
      <w:r w:rsidRPr="00AF1CF8">
        <w:rPr>
          <w:b/>
          <w:color w:val="231F20"/>
        </w:rPr>
        <w:t xml:space="preserve">ACTIVITY: REDEFINING STUDY READY ($3,000,000 over five years) </w:t>
      </w:r>
      <w:r w:rsidRPr="00AF1CF8">
        <w:rPr>
          <w:color w:val="231F20"/>
        </w:rPr>
        <w:t xml:space="preserve">Strategies will increase the number of Hispanic and low-income students that enroll, complete transfer-level math and English, and succeed to meet the requirements for certificate/degree and/or transfer to a four-year university within two to three years. </w:t>
      </w:r>
      <w:r w:rsidRPr="00AF1CF8">
        <w:rPr>
          <w:i/>
          <w:color w:val="231F20"/>
        </w:rPr>
        <w:t>Project outcomes include a 20</w:t>
      </w:r>
      <w:r w:rsidR="00A23357" w:rsidRPr="00AF1CF8">
        <w:rPr>
          <w:i/>
          <w:color w:val="231F20"/>
        </w:rPr>
        <w:t xml:space="preserve"> percent</w:t>
      </w:r>
      <w:r w:rsidRPr="00EB748D">
        <w:rPr>
          <w:i/>
          <w:color w:val="231F20"/>
        </w:rPr>
        <w:t xml:space="preserve"> increase in the number of students who enroll with a student educational plan, a 30</w:t>
      </w:r>
      <w:r w:rsidR="00A23357" w:rsidRPr="00AF1CF8">
        <w:rPr>
          <w:i/>
          <w:color w:val="231F20"/>
        </w:rPr>
        <w:t xml:space="preserve"> percent</w:t>
      </w:r>
      <w:r w:rsidRPr="00EB748D">
        <w:rPr>
          <w:i/>
          <w:color w:val="231F20"/>
        </w:rPr>
        <w:t xml:space="preserve"> increase in enrollment in transfer level math and English, and a</w:t>
      </w:r>
      <w:r w:rsidRPr="00BB223B">
        <w:rPr>
          <w:i/>
          <w:color w:val="231F20"/>
        </w:rPr>
        <w:t xml:space="preserve"> 40</w:t>
      </w:r>
      <w:r w:rsidR="00A23357" w:rsidRPr="00AF1CF8">
        <w:rPr>
          <w:i/>
          <w:color w:val="231F20"/>
        </w:rPr>
        <w:t xml:space="preserve"> percent</w:t>
      </w:r>
      <w:r w:rsidRPr="00EB748D">
        <w:rPr>
          <w:i/>
          <w:color w:val="231F20"/>
        </w:rPr>
        <w:t xml:space="preserve"> increase in the number of certificates and degrees confirmed.</w:t>
      </w:r>
    </w:p>
    <w:p w14:paraId="1C64D44F" w14:textId="77777777" w:rsidR="00947C89" w:rsidRPr="00BB223B" w:rsidRDefault="00947C89" w:rsidP="00947C89">
      <w:pPr>
        <w:rPr>
          <w:iCs/>
        </w:rPr>
      </w:pPr>
    </w:p>
    <w:p w14:paraId="6331A241" w14:textId="77777777" w:rsidR="00947C89" w:rsidRPr="00AF1CF8" w:rsidRDefault="00947C89" w:rsidP="00947C89">
      <w:pPr>
        <w:pStyle w:val="ListParagraph"/>
        <w:numPr>
          <w:ilvl w:val="0"/>
          <w:numId w:val="39"/>
        </w:numPr>
        <w:tabs>
          <w:tab w:val="left" w:pos="1660"/>
          <w:tab w:val="left" w:pos="1661"/>
        </w:tabs>
      </w:pPr>
      <w:r w:rsidRPr="00AF1CF8">
        <w:rPr>
          <w:b/>
          <w:color w:val="231F20"/>
          <w:u w:val="thick" w:color="231F20"/>
        </w:rPr>
        <w:t>Component One</w:t>
      </w:r>
      <w:r w:rsidRPr="00AF1CF8">
        <w:rPr>
          <w:b/>
          <w:color w:val="231F20"/>
        </w:rPr>
        <w:t xml:space="preserve">: Outreach and Enrollment Strategies </w:t>
      </w:r>
      <w:r w:rsidRPr="00AF1CF8">
        <w:rPr>
          <w:color w:val="231F20"/>
        </w:rPr>
        <w:t>to increase the enrollment, Guided Pathways success, and financial literacy preparation for Hispanic and low-income students through enhanced first year experience</w:t>
      </w:r>
      <w:r w:rsidRPr="00AF1CF8">
        <w:rPr>
          <w:color w:val="231F20"/>
          <w:spacing w:val="-1"/>
        </w:rPr>
        <w:t xml:space="preserve"> </w:t>
      </w:r>
      <w:r w:rsidRPr="00AF1CF8">
        <w:rPr>
          <w:color w:val="231F20"/>
        </w:rPr>
        <w:t>strategies.</w:t>
      </w:r>
    </w:p>
    <w:p w14:paraId="022A835D" w14:textId="77777777" w:rsidR="00947C89" w:rsidRPr="00AF1CF8" w:rsidRDefault="00947C89" w:rsidP="00947C89">
      <w:pPr>
        <w:pStyle w:val="ListParagraph"/>
        <w:numPr>
          <w:ilvl w:val="0"/>
          <w:numId w:val="39"/>
        </w:numPr>
        <w:tabs>
          <w:tab w:val="left" w:pos="1660"/>
          <w:tab w:val="left" w:pos="1661"/>
        </w:tabs>
      </w:pPr>
      <w:r w:rsidRPr="00AF1CF8">
        <w:rPr>
          <w:b/>
          <w:color w:val="231F20"/>
          <w:u w:val="thick" w:color="231F20"/>
        </w:rPr>
        <w:t>Component Two</w:t>
      </w:r>
      <w:r w:rsidRPr="00AF1CF8">
        <w:rPr>
          <w:color w:val="231F20"/>
        </w:rPr>
        <w:t xml:space="preserve">: </w:t>
      </w:r>
      <w:r w:rsidRPr="00AF1CF8">
        <w:rPr>
          <w:b/>
          <w:color w:val="231F20"/>
        </w:rPr>
        <w:t xml:space="preserve">Completion and Retention Strategies </w:t>
      </w:r>
      <w:r w:rsidRPr="00AF1CF8">
        <w:rPr>
          <w:color w:val="231F20"/>
        </w:rPr>
        <w:t>to increase course success</w:t>
      </w:r>
      <w:r w:rsidRPr="00AF1CF8">
        <w:rPr>
          <w:color w:val="231F20"/>
          <w:spacing w:val="-33"/>
        </w:rPr>
        <w:t xml:space="preserve"> </w:t>
      </w:r>
      <w:r w:rsidRPr="00AF1CF8">
        <w:rPr>
          <w:color w:val="231F20"/>
        </w:rPr>
        <w:t>and progression in transfer level math and English, and to improve the time to completion for Degree/Certificate and Transfer through intrusive coaching and mentoring, financial literacy and professional</w:t>
      </w:r>
      <w:r w:rsidRPr="00AF1CF8">
        <w:rPr>
          <w:color w:val="231F20"/>
          <w:spacing w:val="-5"/>
        </w:rPr>
        <w:t xml:space="preserve"> </w:t>
      </w:r>
      <w:r w:rsidRPr="00AF1CF8">
        <w:rPr>
          <w:color w:val="231F20"/>
        </w:rPr>
        <w:t>development.</w:t>
      </w:r>
    </w:p>
    <w:p w14:paraId="33FE41E8" w14:textId="77777777" w:rsidR="00947C89" w:rsidRPr="00AF1CF8" w:rsidRDefault="00947C89" w:rsidP="00947C89">
      <w:pPr>
        <w:pStyle w:val="BodyText"/>
        <w:numPr>
          <w:ilvl w:val="0"/>
          <w:numId w:val="39"/>
        </w:numPr>
        <w:rPr>
          <w:szCs w:val="22"/>
        </w:rPr>
      </w:pPr>
      <w:r w:rsidRPr="00AF1CF8">
        <w:rPr>
          <w:b/>
          <w:color w:val="231F20"/>
          <w:szCs w:val="22"/>
          <w:u w:val="thick" w:color="231F20"/>
        </w:rPr>
        <w:t>Component Three</w:t>
      </w:r>
      <w:r w:rsidRPr="00AF1CF8">
        <w:rPr>
          <w:b/>
          <w:color w:val="231F20"/>
          <w:szCs w:val="22"/>
        </w:rPr>
        <w:t xml:space="preserve">: Sustainability and Engagement </w:t>
      </w:r>
      <w:r w:rsidRPr="00AF1CF8">
        <w:rPr>
          <w:color w:val="231F20"/>
          <w:szCs w:val="22"/>
        </w:rPr>
        <w:t>to improve cultural pedagogy, course alignment to Guided Pathways and Vision for Success goals and sustain financial responsibility for underrepresented and low-income students through enhanced and supported Professional Development activities and Instructional Design support.</w:t>
      </w:r>
    </w:p>
    <w:p w14:paraId="72C4B2EF" w14:textId="35EC6745" w:rsidR="007C4948" w:rsidRPr="00AF1CF8" w:rsidRDefault="007C4948" w:rsidP="00383218">
      <w:pPr>
        <w:pStyle w:val="BodyText"/>
        <w:rPr>
          <w:szCs w:val="22"/>
        </w:rPr>
      </w:pPr>
    </w:p>
    <w:p w14:paraId="494299F5" w14:textId="58BF61DC" w:rsidR="002043CE" w:rsidRPr="00AF1CF8" w:rsidRDefault="002043CE" w:rsidP="00383218">
      <w:pPr>
        <w:pStyle w:val="BodyText"/>
        <w:rPr>
          <w:szCs w:val="22"/>
        </w:rPr>
      </w:pPr>
    </w:p>
    <w:p w14:paraId="411A0F83" w14:textId="56F8E4BD" w:rsidR="002043CE" w:rsidRPr="00AF1CF8" w:rsidRDefault="00CE273F" w:rsidP="00634CAD">
      <w:pPr>
        <w:pStyle w:val="Heading1"/>
      </w:pPr>
      <w:r w:rsidRPr="00AF1CF8">
        <w:t>P031S190114</w:t>
      </w:r>
      <w:r w:rsidR="002F33B3" w:rsidRPr="00AF1CF8">
        <w:t xml:space="preserve"> </w:t>
      </w:r>
      <w:r w:rsidR="002F33B3" w:rsidRPr="00AF1CF8">
        <w:br/>
        <w:t>La Sierra University, CA</w:t>
      </w:r>
    </w:p>
    <w:p w14:paraId="1B986CB0" w14:textId="418E6BF6" w:rsidR="002F33B3" w:rsidRPr="00AF1CF8" w:rsidRDefault="002F33B3" w:rsidP="00383218">
      <w:pPr>
        <w:pStyle w:val="BodyText"/>
        <w:rPr>
          <w:szCs w:val="22"/>
        </w:rPr>
      </w:pPr>
    </w:p>
    <w:p w14:paraId="5DA11A82" w14:textId="77777777" w:rsidR="007A6746" w:rsidRPr="00BB223B" w:rsidRDefault="007A6746" w:rsidP="007A6746">
      <w:r w:rsidRPr="00AF1CF8">
        <w:rPr>
          <w:b/>
          <w:bCs/>
        </w:rPr>
        <w:t>Project Title</w:t>
      </w:r>
      <w:r w:rsidRPr="00EB748D">
        <w:t>: GPS for G2G: Guided Pathways to Success (GPS) for Hispanic and Low-</w:t>
      </w:r>
    </w:p>
    <w:p w14:paraId="4BC8486C" w14:textId="32CFF2E4" w:rsidR="002F33B3" w:rsidRPr="00AF1CF8" w:rsidRDefault="007A6746" w:rsidP="007A6746">
      <w:r w:rsidRPr="00AF1CF8">
        <w:t>Income Students, from Gateway to Graduation(G2G)</w:t>
      </w:r>
    </w:p>
    <w:p w14:paraId="3B8AFC92" w14:textId="77777777" w:rsidR="006766CA" w:rsidRPr="00AF1CF8" w:rsidRDefault="006766CA" w:rsidP="001B0620">
      <w:pPr>
        <w:rPr>
          <w:b/>
          <w:bCs/>
        </w:rPr>
      </w:pPr>
    </w:p>
    <w:p w14:paraId="138C4A92" w14:textId="6D178D0C" w:rsidR="001B0620" w:rsidRPr="00AF1CF8" w:rsidRDefault="001B0620" w:rsidP="001B0620">
      <w:r w:rsidRPr="00AF1CF8">
        <w:rPr>
          <w:b/>
          <w:bCs/>
        </w:rPr>
        <w:t>Target Area</w:t>
      </w:r>
      <w:r w:rsidRPr="00EB748D">
        <w:t>: Increase the number of Hispanic and low-income students who have access to and complete articulated STEM degree and career opportunities in the Inland Empire</w:t>
      </w:r>
      <w:r w:rsidRPr="00BB223B">
        <w:t xml:space="preserve"> of southern California that is one of the most diverse in the nation, </w:t>
      </w:r>
      <w:r w:rsidRPr="00AF1CF8">
        <w:t>where poverty is high, and</w:t>
      </w:r>
    </w:p>
    <w:p w14:paraId="6EA5E5C0" w14:textId="34D74D75" w:rsidR="001B0620" w:rsidRPr="00AF1CF8" w:rsidRDefault="001B0620" w:rsidP="001B0620">
      <w:r w:rsidRPr="00AF1CF8">
        <w:t>educational attainment is low.</w:t>
      </w:r>
    </w:p>
    <w:p w14:paraId="7E8877ED" w14:textId="77777777" w:rsidR="006766CA" w:rsidRPr="00AF1CF8" w:rsidRDefault="006766CA" w:rsidP="006B5F0D">
      <w:pPr>
        <w:rPr>
          <w:b/>
          <w:bCs/>
        </w:rPr>
      </w:pPr>
    </w:p>
    <w:p w14:paraId="616AE919" w14:textId="5E084694" w:rsidR="006B5F0D" w:rsidRPr="00EB748D" w:rsidRDefault="006B5F0D" w:rsidP="006B5F0D">
      <w:r w:rsidRPr="00AF1CF8">
        <w:rPr>
          <w:b/>
          <w:bCs/>
        </w:rPr>
        <w:t>Goals: G1</w:t>
      </w:r>
      <w:r w:rsidRPr="00EB748D">
        <w:t xml:space="preserve">: Close academic achievement gaps; </w:t>
      </w:r>
      <w:r w:rsidRPr="00AF1CF8">
        <w:rPr>
          <w:b/>
          <w:bCs/>
        </w:rPr>
        <w:t>G2</w:t>
      </w:r>
      <w:r w:rsidRPr="00EB748D">
        <w:t>: Expand focus on persistence to include the development or redesign of instruct</w:t>
      </w:r>
      <w:r w:rsidRPr="00BB223B">
        <w:t xml:space="preserve">ional programs and support strategies; </w:t>
      </w:r>
      <w:r w:rsidRPr="00AF1CF8">
        <w:rPr>
          <w:b/>
          <w:bCs/>
        </w:rPr>
        <w:t>G3</w:t>
      </w:r>
      <w:r w:rsidRPr="00EB748D">
        <w:t>: Strengthen college capacity for improved equity outcomes.</w:t>
      </w:r>
    </w:p>
    <w:p w14:paraId="0DF82543" w14:textId="77777777" w:rsidR="006766CA" w:rsidRPr="00BB223B" w:rsidRDefault="006766CA" w:rsidP="006B5F0D">
      <w:pPr>
        <w:rPr>
          <w:b/>
          <w:bCs/>
        </w:rPr>
      </w:pPr>
    </w:p>
    <w:p w14:paraId="5D7D48B6" w14:textId="17B2D8B1" w:rsidR="006B5F0D" w:rsidRPr="00BB223B" w:rsidRDefault="006B5F0D" w:rsidP="006B5F0D">
      <w:r w:rsidRPr="00AF1CF8">
        <w:rPr>
          <w:b/>
          <w:bCs/>
        </w:rPr>
        <w:t>Objectives</w:t>
      </w:r>
      <w:r w:rsidRPr="00EB748D">
        <w:t xml:space="preserve">: </w:t>
      </w:r>
      <w:r w:rsidRPr="00AF1CF8">
        <w:rPr>
          <w:b/>
          <w:bCs/>
        </w:rPr>
        <w:t>O1</w:t>
      </w:r>
      <w:r w:rsidRPr="00EB748D">
        <w:t>: Increase by 15</w:t>
      </w:r>
      <w:r w:rsidR="00A23357" w:rsidRPr="00EB748D">
        <w:t xml:space="preserve"> percent</w:t>
      </w:r>
      <w:r w:rsidRPr="00BB223B">
        <w:t xml:space="preserve"> the number of Hispanic and low-income full-time S</w:t>
      </w:r>
      <w:r w:rsidRPr="00AF1CF8">
        <w:t xml:space="preserve">TEM degree-seeking undergraduate students enrolled; </w:t>
      </w:r>
      <w:r w:rsidRPr="00AF1CF8">
        <w:rPr>
          <w:b/>
          <w:bCs/>
        </w:rPr>
        <w:t>O2</w:t>
      </w:r>
      <w:r w:rsidRPr="00EB748D">
        <w:t>: Increase by 10 points the percentage of Hispanic and low-income first-time, full-time STEM field degree-seeking undergraduate students who were in their first year of postsecondary enrollment in the p</w:t>
      </w:r>
      <w:r w:rsidRPr="00BB223B">
        <w:t xml:space="preserve">revious year and are enrolled in the current year who remain in a </w:t>
      </w:r>
      <w:r w:rsidRPr="00AF1CF8">
        <w:t xml:space="preserve">STEM degree/ credential program; </w:t>
      </w:r>
      <w:r w:rsidRPr="00AF1CF8">
        <w:rPr>
          <w:b/>
          <w:bCs/>
        </w:rPr>
        <w:t>O3</w:t>
      </w:r>
      <w:r w:rsidRPr="00EB748D">
        <w:t xml:space="preserve">: Increase by 15 points the percentage of Hispanic and low-income first-time, full-time degree-seeking undergraduate students graduating within six years of enrollment with a STEM degree; </w:t>
      </w:r>
      <w:r w:rsidRPr="00AF1CF8">
        <w:rPr>
          <w:b/>
          <w:bCs/>
        </w:rPr>
        <w:t>O4</w:t>
      </w:r>
      <w:r w:rsidRPr="00EB748D">
        <w:t>: Increase by 15 points the number of STEM transfers from local co</w:t>
      </w:r>
      <w:r w:rsidRPr="00BB223B">
        <w:t>mmunity colleges (w/equitable repres</w:t>
      </w:r>
      <w:r w:rsidRPr="00AF1CF8">
        <w:t xml:space="preserve">entation of Hispanics); </w:t>
      </w:r>
      <w:r w:rsidRPr="00AF1CF8">
        <w:rPr>
          <w:b/>
          <w:bCs/>
        </w:rPr>
        <w:t>O5</w:t>
      </w:r>
      <w:r w:rsidRPr="00EB748D">
        <w:t xml:space="preserve">: Increase by 15 points the percentage of Hispanic and low-income STEM major transfer students from Riverside Community College District (RCCD) and other community colleges on track to complete </w:t>
      </w:r>
      <w:r w:rsidRPr="00BB223B">
        <w:t>a STEM degree within three years fro</w:t>
      </w:r>
      <w:r w:rsidRPr="00AF1CF8">
        <w:t xml:space="preserve">m their transfer date; </w:t>
      </w:r>
      <w:r w:rsidRPr="00AF1CF8">
        <w:rPr>
          <w:b/>
          <w:bCs/>
        </w:rPr>
        <w:t>O6</w:t>
      </w:r>
      <w:r w:rsidRPr="00EB748D">
        <w:t>: Increase by 20 points the percentage of Hispanic and low-income students who participated in grant-supported services or programs and completed a degree or credential.</w:t>
      </w:r>
    </w:p>
    <w:p w14:paraId="19AE2D93" w14:textId="77777777" w:rsidR="006766CA" w:rsidRPr="00AF1CF8" w:rsidRDefault="006766CA" w:rsidP="006B5F0D">
      <w:pPr>
        <w:rPr>
          <w:b/>
          <w:bCs/>
        </w:rPr>
      </w:pPr>
    </w:p>
    <w:p w14:paraId="42C350DA" w14:textId="4A1713CE" w:rsidR="006B5F0D" w:rsidRPr="00AF1CF8" w:rsidRDefault="006B5F0D" w:rsidP="006B5F0D">
      <w:r w:rsidRPr="00AF1CF8">
        <w:rPr>
          <w:b/>
          <w:bCs/>
        </w:rPr>
        <w:t>Strategies/Outputs</w:t>
      </w:r>
      <w:r w:rsidRPr="00EB748D">
        <w:t>: Strengthened articulation program with RCCD and local high schools; Summer Bridge program for incoming freshmen and transfer students; Curriculum reform and learning space renovation in all STEM areas; High Impact Practices for improved</w:t>
      </w:r>
      <w:r w:rsidRPr="00BB223B">
        <w:t xml:space="preserve"> learning; Integrated student support services.</w:t>
      </w:r>
    </w:p>
    <w:p w14:paraId="42DA5566" w14:textId="77777777" w:rsidR="006766CA" w:rsidRPr="00AF1CF8" w:rsidRDefault="006766CA" w:rsidP="002574BE">
      <w:pPr>
        <w:rPr>
          <w:b/>
          <w:bCs/>
        </w:rPr>
      </w:pPr>
    </w:p>
    <w:p w14:paraId="4382C090" w14:textId="543B8CE3" w:rsidR="002574BE" w:rsidRPr="00AF1CF8" w:rsidRDefault="002574BE" w:rsidP="002574BE">
      <w:r w:rsidRPr="00AF1CF8">
        <w:rPr>
          <w:b/>
          <w:bCs/>
        </w:rPr>
        <w:t>Services to be Provided/Activities to be Conducted</w:t>
      </w:r>
      <w:r w:rsidRPr="00EB748D">
        <w:t>: LSU’s Guided Pathways to Success- From Gateway to Graduation program will be designed according to the recommendations of Complete College America’s GPS pr</w:t>
      </w:r>
      <w:r w:rsidRPr="00BB223B">
        <w:t>ogram and will serve as LSU’s first model guided pathway. De</w:t>
      </w:r>
      <w:r w:rsidRPr="00AF1CF8">
        <w:t>velopment of the pathway services will be linked to instructional improvements in gateway STEM courses including supplemental instruction, learning assistants, incorporation</w:t>
      </w:r>
      <w:r w:rsidR="001E4D1B">
        <w:t xml:space="preserve"> </w:t>
      </w:r>
      <w:r w:rsidRPr="00AF1CF8">
        <w:t>of High Impact Practices, personalized student coaching, summer bridge, effective early alert, and financial literacy workshops.</w:t>
      </w:r>
    </w:p>
    <w:p w14:paraId="3B6790F1" w14:textId="77777777" w:rsidR="006766CA" w:rsidRPr="00AF1CF8" w:rsidRDefault="006766CA" w:rsidP="006766CA">
      <w:pPr>
        <w:rPr>
          <w:b/>
          <w:bCs/>
        </w:rPr>
      </w:pPr>
    </w:p>
    <w:p w14:paraId="1263BB52" w14:textId="0767B4D7" w:rsidR="006766CA" w:rsidRPr="00AF1CF8" w:rsidRDefault="006766CA" w:rsidP="006766CA">
      <w:r w:rsidRPr="00AF1CF8">
        <w:rPr>
          <w:b/>
          <w:bCs/>
        </w:rPr>
        <w:t>Competitive Preference Priority 2</w:t>
      </w:r>
      <w:r w:rsidRPr="00EB748D">
        <w:t>: A well designed correlational study will be one of the activities of this project following the encouraging resul</w:t>
      </w:r>
      <w:r w:rsidRPr="00BB223B">
        <w:t>ts observed by Castleman and Page (2014). The “nudging” inte</w:t>
      </w:r>
      <w:r w:rsidRPr="00AF1CF8">
        <w:t>rvention uses a widely adopted texting app to encourage students to</w:t>
      </w:r>
      <w:r w:rsidR="00BA19FF">
        <w:t xml:space="preserve"> </w:t>
      </w:r>
      <w:r w:rsidRPr="00EB748D">
        <w:t>refile their FAFSA application at the end of their first year. This study is contained in the What Works Clearinghouse as one of</w:t>
      </w:r>
      <w:r w:rsidRPr="00BB223B">
        <w:t xml:space="preserve"> the studies that meet the moderate evidence standards.</w:t>
      </w:r>
    </w:p>
    <w:p w14:paraId="47BFD510" w14:textId="255DAC1E" w:rsidR="006766CA" w:rsidRPr="00AF1CF8" w:rsidRDefault="006766CA" w:rsidP="006766CA"/>
    <w:p w14:paraId="016A50A5" w14:textId="4CC65858" w:rsidR="002A52D8" w:rsidRPr="00AF1CF8" w:rsidRDefault="002A52D8" w:rsidP="00634CAD">
      <w:pPr>
        <w:pStyle w:val="Heading1"/>
      </w:pPr>
      <w:r w:rsidRPr="00AF1CF8">
        <w:t>P031S190163</w:t>
      </w:r>
      <w:r w:rsidR="00424B42" w:rsidRPr="00AF1CF8">
        <w:t xml:space="preserve"> </w:t>
      </w:r>
      <w:r w:rsidR="00424B42" w:rsidRPr="00AF1CF8">
        <w:br/>
        <w:t>Long Beach Community College District, CA</w:t>
      </w:r>
    </w:p>
    <w:p w14:paraId="66A46C68" w14:textId="15EBD56A" w:rsidR="002A52D8" w:rsidRPr="00AF1CF8" w:rsidRDefault="002A52D8" w:rsidP="002A52D8">
      <w:pPr>
        <w:pStyle w:val="BodyText"/>
        <w:rPr>
          <w:b/>
          <w:szCs w:val="22"/>
        </w:rPr>
      </w:pPr>
    </w:p>
    <w:p w14:paraId="4CDFC0E7" w14:textId="33FB9AB8" w:rsidR="002A52D8" w:rsidRPr="00EB748D" w:rsidRDefault="002A52D8" w:rsidP="002A52D8">
      <w:pPr>
        <w:pStyle w:val="BodyText"/>
        <w:rPr>
          <w:szCs w:val="22"/>
        </w:rPr>
      </w:pPr>
      <w:r w:rsidRPr="00AF1CF8">
        <w:rPr>
          <w:color w:val="231F20"/>
          <w:szCs w:val="22"/>
        </w:rPr>
        <w:t>Long Beach City College (LBCC) is one of the largest single-college districts (two campuses) within California’s 114 community colleges, with an average enrollment exceeding serving 34,738 students in 2017-2018. More than 85</w:t>
      </w:r>
      <w:r w:rsidR="00A23357" w:rsidRPr="00AF1CF8">
        <w:rPr>
          <w:color w:val="231F20"/>
          <w:szCs w:val="22"/>
        </w:rPr>
        <w:t xml:space="preserve"> percent</w:t>
      </w:r>
      <w:r w:rsidRPr="00EB748D">
        <w:rPr>
          <w:color w:val="231F20"/>
          <w:szCs w:val="22"/>
        </w:rPr>
        <w:t xml:space="preserve"> of students are from minority ethnic groups and Hispanic students are consistently the largest group of students served by the college, currently r</w:t>
      </w:r>
      <w:r w:rsidRPr="00BB223B">
        <w:rPr>
          <w:color w:val="231F20"/>
          <w:szCs w:val="22"/>
        </w:rPr>
        <w:t>epresenting 59</w:t>
      </w:r>
      <w:r w:rsidR="00A23357" w:rsidRPr="00AF1CF8">
        <w:rPr>
          <w:color w:val="231F20"/>
          <w:szCs w:val="22"/>
        </w:rPr>
        <w:t xml:space="preserve"> percent</w:t>
      </w:r>
      <w:r w:rsidRPr="00EB748D">
        <w:rPr>
          <w:color w:val="231F20"/>
          <w:szCs w:val="22"/>
        </w:rPr>
        <w:t xml:space="preserve"> of LBCC’s student body.</w:t>
      </w:r>
    </w:p>
    <w:p w14:paraId="3EF82B2B" w14:textId="77777777" w:rsidR="002A52D8" w:rsidRPr="00BB223B" w:rsidRDefault="002A52D8" w:rsidP="002A52D8">
      <w:pPr>
        <w:pStyle w:val="BodyText"/>
        <w:rPr>
          <w:color w:val="231F20"/>
          <w:szCs w:val="22"/>
        </w:rPr>
      </w:pPr>
    </w:p>
    <w:p w14:paraId="519CF4E0" w14:textId="77777777" w:rsidR="002A52D8" w:rsidRPr="00AF1CF8" w:rsidRDefault="002A52D8" w:rsidP="002A52D8">
      <w:pPr>
        <w:pStyle w:val="BodyText"/>
        <w:rPr>
          <w:szCs w:val="22"/>
        </w:rPr>
      </w:pPr>
      <w:r w:rsidRPr="00AF1CF8">
        <w:rPr>
          <w:color w:val="231F20"/>
          <w:szCs w:val="22"/>
        </w:rPr>
        <w:t>The proposed DESTINO program will provide integrated support structures, collaboration between and across departments, improved STEM achievement for students traditionally underrepresented in STEM fields, and increased student outcomes measures including course success rates, retention, graduation, and transfer. The DESTINO program will support all students in STEM fields, but the strategies and implementation are designed to be focused on and supportive of our Hispanic student population.</w:t>
      </w:r>
    </w:p>
    <w:p w14:paraId="0D6B1091" w14:textId="77777777" w:rsidR="002A52D8" w:rsidRPr="00AF1CF8" w:rsidRDefault="002A52D8" w:rsidP="002A52D8">
      <w:pPr>
        <w:pStyle w:val="BodyText"/>
        <w:rPr>
          <w:color w:val="231F20"/>
          <w:szCs w:val="22"/>
        </w:rPr>
      </w:pPr>
    </w:p>
    <w:p w14:paraId="5F674053" w14:textId="77777777" w:rsidR="002A52D8" w:rsidRPr="00AF1CF8" w:rsidRDefault="002A52D8" w:rsidP="002A52D8">
      <w:pPr>
        <w:pStyle w:val="BodyText"/>
        <w:rPr>
          <w:szCs w:val="22"/>
        </w:rPr>
      </w:pPr>
      <w:r w:rsidRPr="00AF1CF8">
        <w:rPr>
          <w:color w:val="231F20"/>
          <w:szCs w:val="22"/>
        </w:rPr>
        <w:t>The DESTINO project goals are to 1) innovate STEM teaching strategies to support historically underrepresented student groups; 2) ensure students are equitably welcomed into and supported in opportunities in STEM education; 3) provide focused and integrated academic and student services support throughout the educational life cycle for STEM students; and 4) invest in people and support structures needed for STEM transformation. Related project activities have been designed to lend towards institutionalization of high impact practices.</w:t>
      </w:r>
    </w:p>
    <w:p w14:paraId="171B8C18" w14:textId="77777777" w:rsidR="002A52D8" w:rsidRPr="00AF1CF8" w:rsidRDefault="002A52D8" w:rsidP="002A52D8">
      <w:pPr>
        <w:pStyle w:val="BodyText"/>
        <w:rPr>
          <w:color w:val="231F20"/>
          <w:szCs w:val="22"/>
        </w:rPr>
      </w:pPr>
    </w:p>
    <w:p w14:paraId="16DA2354" w14:textId="2A111A6F" w:rsidR="002A52D8" w:rsidRPr="00EB748D" w:rsidRDefault="002A52D8" w:rsidP="002A52D8">
      <w:pPr>
        <w:pStyle w:val="BodyText"/>
        <w:rPr>
          <w:szCs w:val="22"/>
        </w:rPr>
      </w:pPr>
      <w:r w:rsidRPr="00AF1CF8">
        <w:rPr>
          <w:color w:val="231F20"/>
          <w:szCs w:val="22"/>
        </w:rPr>
        <w:t>Expected five year program objectives are to increase declared STEM majors by 25</w:t>
      </w:r>
      <w:r w:rsidR="00A23357" w:rsidRPr="00AF1CF8">
        <w:rPr>
          <w:color w:val="231F20"/>
          <w:szCs w:val="22"/>
        </w:rPr>
        <w:t xml:space="preserve"> percent</w:t>
      </w:r>
      <w:r w:rsidRPr="00EB748D">
        <w:rPr>
          <w:color w:val="231F20"/>
          <w:szCs w:val="22"/>
        </w:rPr>
        <w:t xml:space="preserve"> (including increases in Hispanic STEM majors); increase course success rates in entry and advanced level STEM courses t</w:t>
      </w:r>
      <w:r w:rsidRPr="00BB223B">
        <w:rPr>
          <w:color w:val="231F20"/>
          <w:szCs w:val="22"/>
        </w:rPr>
        <w:t>hat serve as barriers for students in achieving their educa</w:t>
      </w:r>
      <w:r w:rsidRPr="00AF1CF8">
        <w:rPr>
          <w:color w:val="231F20"/>
          <w:szCs w:val="22"/>
        </w:rPr>
        <w:t>tional goals by 14</w:t>
      </w:r>
      <w:r w:rsidR="00A23357" w:rsidRPr="00AF1CF8">
        <w:rPr>
          <w:color w:val="231F20"/>
          <w:szCs w:val="22"/>
        </w:rPr>
        <w:t xml:space="preserve"> percent</w:t>
      </w:r>
      <w:r w:rsidRPr="00EB748D">
        <w:rPr>
          <w:color w:val="231F20"/>
          <w:szCs w:val="22"/>
        </w:rPr>
        <w:t xml:space="preserve"> and to close equity gaps between Hispanic and White students by 100</w:t>
      </w:r>
      <w:r w:rsidR="00A23357" w:rsidRPr="00AF1CF8">
        <w:rPr>
          <w:color w:val="231F20"/>
          <w:szCs w:val="22"/>
        </w:rPr>
        <w:t xml:space="preserve"> percent</w:t>
      </w:r>
      <w:r w:rsidRPr="00EB748D">
        <w:rPr>
          <w:color w:val="231F20"/>
          <w:szCs w:val="22"/>
        </w:rPr>
        <w:t>; increase completions in STEM programs by 25</w:t>
      </w:r>
      <w:r w:rsidR="00A23357" w:rsidRPr="00AF1CF8">
        <w:rPr>
          <w:color w:val="231F20"/>
          <w:szCs w:val="22"/>
        </w:rPr>
        <w:t xml:space="preserve"> percent</w:t>
      </w:r>
      <w:r w:rsidRPr="00EB748D">
        <w:rPr>
          <w:color w:val="231F20"/>
          <w:szCs w:val="22"/>
        </w:rPr>
        <w:t>; increase transfers in STEM programs by 40</w:t>
      </w:r>
      <w:r w:rsidR="00A23357" w:rsidRPr="00AF1CF8">
        <w:rPr>
          <w:color w:val="231F20"/>
          <w:szCs w:val="22"/>
        </w:rPr>
        <w:t xml:space="preserve"> percent</w:t>
      </w:r>
      <w:r w:rsidRPr="00EB748D">
        <w:rPr>
          <w:color w:val="231F20"/>
          <w:szCs w:val="22"/>
        </w:rPr>
        <w:t xml:space="preserve">; and to close equity gaps between Hispanic and White students in the </w:t>
      </w:r>
      <w:r w:rsidR="00A23357" w:rsidRPr="00AF1CF8">
        <w:rPr>
          <w:color w:val="231F20"/>
          <w:szCs w:val="22"/>
        </w:rPr>
        <w:t>three</w:t>
      </w:r>
      <w:r w:rsidRPr="00EB748D">
        <w:rPr>
          <w:color w:val="231F20"/>
          <w:szCs w:val="22"/>
        </w:rPr>
        <w:t>-year completion and transfer rates for students in STEM programs by 100</w:t>
      </w:r>
      <w:r w:rsidR="00A23357" w:rsidRPr="00AF1CF8">
        <w:rPr>
          <w:color w:val="231F20"/>
          <w:szCs w:val="22"/>
        </w:rPr>
        <w:t xml:space="preserve"> percent</w:t>
      </w:r>
      <w:r w:rsidRPr="00EB748D">
        <w:rPr>
          <w:color w:val="231F20"/>
          <w:szCs w:val="22"/>
        </w:rPr>
        <w:t>.</w:t>
      </w:r>
    </w:p>
    <w:p w14:paraId="498A003E" w14:textId="77777777" w:rsidR="002A52D8" w:rsidRPr="00BB223B" w:rsidRDefault="002A52D8" w:rsidP="002A52D8">
      <w:pPr>
        <w:rPr>
          <w:color w:val="231F20"/>
        </w:rPr>
      </w:pPr>
    </w:p>
    <w:p w14:paraId="4E38233D" w14:textId="77777777" w:rsidR="002A52D8" w:rsidRPr="00AF1CF8" w:rsidRDefault="002A52D8" w:rsidP="002A52D8">
      <w:r w:rsidRPr="00AF1CF8">
        <w:rPr>
          <w:color w:val="231F20"/>
        </w:rPr>
        <w:t xml:space="preserve">This proposal addresses Competitive Preference Priority 2, by developing a project </w:t>
      </w:r>
      <w:r w:rsidRPr="00AF1CF8">
        <w:rPr>
          <w:i/>
          <w:color w:val="231F20"/>
        </w:rPr>
        <w:t xml:space="preserve">that supports instruction in personal financial literacy, knowledge of markets and economics, knowledge of higher education financing and repayment (e.g., college savings and student loans), or other skills aimed at building personal financial understanding and responsibility. </w:t>
      </w:r>
      <w:r w:rsidRPr="00AF1CF8">
        <w:rPr>
          <w:color w:val="231F20"/>
        </w:rPr>
        <w:t>The DESTINO program will expand offerings of financial literacy workshops that cover debt (and debt elimination), credit, taxes, savings, and budgeting. In the second year of the grant, LBCC will offer the workshop series as a non-credit course that will allow for institutionalization of the content and expand access to family members of participants as well as members of the broader Long Beach Community to attend.</w:t>
      </w:r>
    </w:p>
    <w:p w14:paraId="15A0C48E" w14:textId="7A7F07C8" w:rsidR="006766CA" w:rsidRPr="00AF1CF8" w:rsidRDefault="006766CA" w:rsidP="006766CA"/>
    <w:p w14:paraId="765A7E50" w14:textId="08ACAA3E" w:rsidR="009D1B83" w:rsidRPr="00AF1CF8" w:rsidRDefault="009D1B83" w:rsidP="006766CA"/>
    <w:p w14:paraId="6E65B63E" w14:textId="703810B7" w:rsidR="002C6C9C" w:rsidRPr="00AF1CF8" w:rsidRDefault="002C6C9C" w:rsidP="00634CAD">
      <w:pPr>
        <w:pStyle w:val="Heading1"/>
      </w:pPr>
      <w:r w:rsidRPr="00AF1CF8">
        <w:t>P031S190289</w:t>
      </w:r>
      <w:r w:rsidR="008F12B7" w:rsidRPr="00AF1CF8">
        <w:t xml:space="preserve"> </w:t>
      </w:r>
      <w:r w:rsidR="008F12B7" w:rsidRPr="00AF1CF8">
        <w:br/>
        <w:t>Los Angeles Valley College, CA</w:t>
      </w:r>
    </w:p>
    <w:p w14:paraId="6364ECE6" w14:textId="77777777" w:rsidR="008F12B7" w:rsidRPr="00AF1CF8" w:rsidRDefault="008F12B7" w:rsidP="00AF1CF8"/>
    <w:p w14:paraId="4E5B11A1" w14:textId="06989C4E" w:rsidR="002C6C9C" w:rsidRPr="00EB748D" w:rsidRDefault="002C6C9C" w:rsidP="002C6C9C">
      <w:pPr>
        <w:pStyle w:val="BodyText"/>
        <w:rPr>
          <w:szCs w:val="22"/>
        </w:rPr>
      </w:pPr>
      <w:r w:rsidRPr="00AF1CF8">
        <w:rPr>
          <w:b/>
          <w:color w:val="231F20"/>
          <w:szCs w:val="22"/>
        </w:rPr>
        <w:t xml:space="preserve">Los Angeles Valley College (LAVC), </w:t>
      </w:r>
      <w:r w:rsidRPr="00AF1CF8">
        <w:rPr>
          <w:color w:val="231F20"/>
          <w:szCs w:val="22"/>
        </w:rPr>
        <w:t xml:space="preserve">is a Hispanic Serving Institution (HSI) </w:t>
      </w:r>
      <w:r w:rsidR="00BA19FF">
        <w:rPr>
          <w:color w:val="231F20"/>
          <w:szCs w:val="22"/>
        </w:rPr>
        <w:t>two</w:t>
      </w:r>
      <w:r w:rsidRPr="00EB748D">
        <w:rPr>
          <w:color w:val="231F20"/>
          <w:szCs w:val="22"/>
        </w:rPr>
        <w:t>-year public college. LAVC students come from some of the most disenfranchised and underserved communities in the greater San Fernando Valley. LAVC serves 17,567 students, 76</w:t>
      </w:r>
      <w:r w:rsidR="00A23357" w:rsidRPr="00AF1CF8">
        <w:rPr>
          <w:color w:val="231F20"/>
          <w:szCs w:val="22"/>
        </w:rPr>
        <w:t xml:space="preserve"> percent</w:t>
      </w:r>
      <w:r w:rsidRPr="00EB748D">
        <w:rPr>
          <w:color w:val="231F20"/>
          <w:szCs w:val="22"/>
        </w:rPr>
        <w:t xml:space="preserve"> attend part-time, 58</w:t>
      </w:r>
      <w:r w:rsidR="00A23357" w:rsidRPr="00AF1CF8">
        <w:rPr>
          <w:color w:val="231F20"/>
          <w:szCs w:val="22"/>
        </w:rPr>
        <w:t xml:space="preserve"> percent</w:t>
      </w:r>
      <w:r w:rsidRPr="00EB748D">
        <w:rPr>
          <w:color w:val="231F20"/>
          <w:szCs w:val="22"/>
        </w:rPr>
        <w:t xml:space="preserve"> are 24 or younger, 58</w:t>
      </w:r>
      <w:r w:rsidR="00A23357" w:rsidRPr="00AF1CF8">
        <w:rPr>
          <w:color w:val="231F20"/>
          <w:szCs w:val="22"/>
        </w:rPr>
        <w:t xml:space="preserve"> percent</w:t>
      </w:r>
      <w:r w:rsidRPr="00EB748D">
        <w:rPr>
          <w:color w:val="231F20"/>
          <w:szCs w:val="22"/>
        </w:rPr>
        <w:t xml:space="preserve"> identify as female and 42</w:t>
      </w:r>
      <w:r w:rsidR="00A23357" w:rsidRPr="00AF1CF8">
        <w:rPr>
          <w:color w:val="231F20"/>
          <w:szCs w:val="22"/>
        </w:rPr>
        <w:t xml:space="preserve"> percent</w:t>
      </w:r>
      <w:r w:rsidRPr="00EB748D">
        <w:rPr>
          <w:color w:val="231F20"/>
          <w:szCs w:val="22"/>
        </w:rPr>
        <w:t xml:space="preserve"> as male; 40.7</w:t>
      </w:r>
      <w:r w:rsidR="00A23357" w:rsidRPr="00AF1CF8">
        <w:rPr>
          <w:color w:val="231F20"/>
          <w:szCs w:val="22"/>
        </w:rPr>
        <w:t xml:space="preserve"> percent</w:t>
      </w:r>
      <w:r w:rsidRPr="00EB748D">
        <w:rPr>
          <w:color w:val="231F20"/>
          <w:szCs w:val="22"/>
        </w:rPr>
        <w:t xml:space="preserve"> identify as Hispanic; 54.2</w:t>
      </w:r>
      <w:r w:rsidR="00A23357" w:rsidRPr="00AF1CF8">
        <w:rPr>
          <w:color w:val="231F20"/>
          <w:szCs w:val="22"/>
        </w:rPr>
        <w:t xml:space="preserve"> percent</w:t>
      </w:r>
      <w:r w:rsidRPr="00EB748D">
        <w:rPr>
          <w:color w:val="231F20"/>
          <w:szCs w:val="22"/>
        </w:rPr>
        <w:t xml:space="preserve"> receive Bog or Pell grants (Fall 2018 OIE).</w:t>
      </w:r>
    </w:p>
    <w:p w14:paraId="16C03557" w14:textId="77777777" w:rsidR="002C6C9C" w:rsidRPr="00BB223B" w:rsidRDefault="002C6C9C" w:rsidP="002C6C9C">
      <w:pPr>
        <w:pStyle w:val="BodyText"/>
        <w:rPr>
          <w:color w:val="231F20"/>
          <w:szCs w:val="22"/>
        </w:rPr>
      </w:pPr>
    </w:p>
    <w:p w14:paraId="66CB1B00" w14:textId="77777777" w:rsidR="002C6C9C" w:rsidRPr="00AF1CF8" w:rsidRDefault="002C6C9C" w:rsidP="002C6C9C">
      <w:pPr>
        <w:pStyle w:val="BodyText"/>
        <w:rPr>
          <w:szCs w:val="22"/>
        </w:rPr>
      </w:pPr>
      <w:r w:rsidRPr="00AF1CF8">
        <w:rPr>
          <w:color w:val="231F20"/>
          <w:szCs w:val="22"/>
        </w:rPr>
        <w:t>LAVC’s mission is to serve as a leader in student success, with pathways for certificates, degrees, transfer and continuing education. Our goals are to foster student completion by supporting learning-centered environment, increase equity by identifying gaps in achieving outcomes and to maximize institutional effectiveness.</w:t>
      </w:r>
    </w:p>
    <w:p w14:paraId="18D7CB62" w14:textId="77777777" w:rsidR="002C6C9C" w:rsidRPr="00AF1CF8" w:rsidRDefault="002C6C9C" w:rsidP="002C6C9C">
      <w:pPr>
        <w:rPr>
          <w:b/>
          <w:i/>
          <w:color w:val="231F20"/>
        </w:rPr>
      </w:pPr>
    </w:p>
    <w:p w14:paraId="29A23629" w14:textId="77777777" w:rsidR="002C6C9C" w:rsidRPr="00AF1CF8" w:rsidRDefault="002C6C9C" w:rsidP="002C6C9C">
      <w:r w:rsidRPr="00AF1CF8">
        <w:rPr>
          <w:b/>
          <w:i/>
          <w:color w:val="231F20"/>
        </w:rPr>
        <w:t xml:space="preserve">Proyecto Adelante: Connect, Continue, Complete </w:t>
      </w:r>
      <w:r w:rsidRPr="00AF1CF8">
        <w:rPr>
          <w:color w:val="231F20"/>
        </w:rPr>
        <w:t>(</w:t>
      </w:r>
      <w:r w:rsidRPr="00AF1CF8">
        <w:rPr>
          <w:b/>
          <w:i/>
          <w:color w:val="231F20"/>
        </w:rPr>
        <w:t>PAC3</w:t>
      </w:r>
      <w:r w:rsidRPr="00AF1CF8">
        <w:rPr>
          <w:color w:val="231F20"/>
        </w:rPr>
        <w:t>) is designed to make the most meaningful impact for LAVC to move forward/ahead (</w:t>
      </w:r>
      <w:r w:rsidRPr="00AF1CF8">
        <w:rPr>
          <w:b/>
          <w:color w:val="231F20"/>
        </w:rPr>
        <w:t xml:space="preserve">adelante </w:t>
      </w:r>
      <w:r w:rsidRPr="00AF1CF8">
        <w:rPr>
          <w:color w:val="231F20"/>
        </w:rPr>
        <w:t xml:space="preserve">in Spanish) by bringing about a transformation that </w:t>
      </w:r>
      <w:r w:rsidRPr="00AF1CF8">
        <w:rPr>
          <w:b/>
          <w:color w:val="231F20"/>
        </w:rPr>
        <w:t xml:space="preserve">connects </w:t>
      </w:r>
      <w:r w:rsidRPr="00AF1CF8">
        <w:rPr>
          <w:color w:val="231F20"/>
        </w:rPr>
        <w:t xml:space="preserve">students to the college, so they can </w:t>
      </w:r>
      <w:r w:rsidRPr="00AF1CF8">
        <w:rPr>
          <w:b/>
          <w:color w:val="231F20"/>
        </w:rPr>
        <w:t xml:space="preserve">continue </w:t>
      </w:r>
      <w:r w:rsidRPr="00AF1CF8">
        <w:rPr>
          <w:color w:val="231F20"/>
        </w:rPr>
        <w:t xml:space="preserve">their educational endeavors, and </w:t>
      </w:r>
      <w:r w:rsidRPr="00AF1CF8">
        <w:rPr>
          <w:b/>
          <w:color w:val="231F20"/>
        </w:rPr>
        <w:t xml:space="preserve">complete </w:t>
      </w:r>
      <w:r w:rsidRPr="00AF1CF8">
        <w:rPr>
          <w:color w:val="231F20"/>
        </w:rPr>
        <w:t>their education.</w:t>
      </w:r>
    </w:p>
    <w:p w14:paraId="4F048847" w14:textId="77777777" w:rsidR="002C6C9C" w:rsidRPr="00AF1CF8" w:rsidRDefault="002C6C9C" w:rsidP="002C6C9C">
      <w:pPr>
        <w:pStyle w:val="BodyText"/>
        <w:rPr>
          <w:color w:val="231F20"/>
          <w:szCs w:val="22"/>
        </w:rPr>
      </w:pPr>
    </w:p>
    <w:p w14:paraId="7BECED45" w14:textId="77777777" w:rsidR="002C6C9C" w:rsidRPr="00AF1CF8" w:rsidRDefault="002C6C9C" w:rsidP="002C6C9C">
      <w:pPr>
        <w:pStyle w:val="BodyText"/>
        <w:rPr>
          <w:szCs w:val="22"/>
        </w:rPr>
      </w:pPr>
      <w:r w:rsidRPr="00AF1CF8">
        <w:rPr>
          <w:color w:val="231F20"/>
          <w:szCs w:val="22"/>
        </w:rPr>
        <w:t xml:space="preserve">The following </w:t>
      </w:r>
      <w:r w:rsidRPr="00AF1CF8">
        <w:rPr>
          <w:b/>
          <w:i/>
          <w:color w:val="231F20"/>
          <w:szCs w:val="22"/>
        </w:rPr>
        <w:t xml:space="preserve">PAC3 </w:t>
      </w:r>
      <w:r w:rsidRPr="00AF1CF8">
        <w:rPr>
          <w:color w:val="231F20"/>
          <w:szCs w:val="22"/>
        </w:rPr>
        <w:t>goals provide the necessary framework for increasing student success: (1) Improve the rate of Hispanic and/or low-income student enrollment; (2) Improve Hispanic and/or low-income student retention, persistence, and completion rates; (3) Transform the College’s instructional environment and support services by offering all college personnel a year-round calendar of culturally inclusive and equity-minded professional development activities; and (4) Provide students ongoing guidance and training beyond transfer to increase their personal literacy and their knowledge of higher education financing and repayment, and their skills to aim building personal financial understanding and</w:t>
      </w:r>
      <w:r w:rsidRPr="00AF1CF8">
        <w:rPr>
          <w:color w:val="231F20"/>
          <w:spacing w:val="-11"/>
          <w:szCs w:val="22"/>
        </w:rPr>
        <w:t xml:space="preserve"> </w:t>
      </w:r>
      <w:r w:rsidRPr="00AF1CF8">
        <w:rPr>
          <w:color w:val="231F20"/>
          <w:szCs w:val="22"/>
        </w:rPr>
        <w:t>responsibility.</w:t>
      </w:r>
    </w:p>
    <w:p w14:paraId="4B577C55" w14:textId="77777777" w:rsidR="002C6C9C" w:rsidRPr="00AF1CF8" w:rsidRDefault="002C6C9C" w:rsidP="002C6C9C">
      <w:pPr>
        <w:pStyle w:val="BodyText"/>
        <w:rPr>
          <w:b/>
          <w:i/>
          <w:color w:val="231F20"/>
          <w:szCs w:val="22"/>
        </w:rPr>
      </w:pPr>
    </w:p>
    <w:p w14:paraId="7649A3EA" w14:textId="77777777" w:rsidR="002C6C9C" w:rsidRPr="00AF1CF8" w:rsidRDefault="002C6C9C" w:rsidP="002C6C9C">
      <w:pPr>
        <w:pStyle w:val="BodyText"/>
        <w:rPr>
          <w:szCs w:val="22"/>
        </w:rPr>
      </w:pPr>
      <w:r w:rsidRPr="00AF1CF8">
        <w:rPr>
          <w:b/>
          <w:i/>
          <w:color w:val="231F20"/>
          <w:szCs w:val="22"/>
        </w:rPr>
        <w:t xml:space="preserve">PAC3 </w:t>
      </w:r>
      <w:r w:rsidRPr="00AF1CF8">
        <w:rPr>
          <w:color w:val="231F20"/>
          <w:szCs w:val="22"/>
        </w:rPr>
        <w:t>will implement the following components, which are supported by “promising evidence” as cited in the narrative and evidence form, to accomplish its goals:</w:t>
      </w:r>
    </w:p>
    <w:p w14:paraId="02223C73" w14:textId="77777777" w:rsidR="002C6C9C" w:rsidRPr="00AF1CF8" w:rsidRDefault="002C6C9C" w:rsidP="002C6C9C">
      <w:pPr>
        <w:pStyle w:val="BodyText"/>
        <w:rPr>
          <w:szCs w:val="22"/>
        </w:rPr>
      </w:pPr>
    </w:p>
    <w:p w14:paraId="7675C5BD" w14:textId="77777777" w:rsidR="002C6C9C" w:rsidRPr="00AF1CF8" w:rsidRDefault="002C6C9C" w:rsidP="002C6C9C">
      <w:pPr>
        <w:pStyle w:val="BodyText"/>
        <w:rPr>
          <w:color w:val="231F20"/>
          <w:szCs w:val="22"/>
        </w:rPr>
      </w:pPr>
      <w:r w:rsidRPr="00AF1CF8">
        <w:rPr>
          <w:color w:val="231F20"/>
          <w:szCs w:val="22"/>
        </w:rPr>
        <w:t>1: CONNECT - Redesign onboarding practices to connect students to the college community with one-stop shop Monarch Welcome Center for onboarding, multi-language modular online orientation, strategic financial health information, and early connection with faculty and staff.</w:t>
      </w:r>
    </w:p>
    <w:p w14:paraId="1F2FEC2F" w14:textId="77777777" w:rsidR="002C6C9C" w:rsidRPr="00AF1CF8" w:rsidRDefault="002C6C9C" w:rsidP="002C6C9C">
      <w:pPr>
        <w:pStyle w:val="BodyText"/>
        <w:rPr>
          <w:color w:val="231F20"/>
          <w:szCs w:val="22"/>
        </w:rPr>
      </w:pPr>
      <w:r w:rsidRPr="00AF1CF8">
        <w:rPr>
          <w:color w:val="231F20"/>
          <w:szCs w:val="22"/>
        </w:rPr>
        <w:t>2: CONTINUE - Develop an integrated student support system using success milestones and student engagement encouraging students to continue and persist in their educational endeavors.</w:t>
      </w:r>
    </w:p>
    <w:p w14:paraId="0C848FAF" w14:textId="77777777" w:rsidR="002C6C9C" w:rsidRPr="00AF1CF8" w:rsidRDefault="002C6C9C" w:rsidP="002C6C9C">
      <w:pPr>
        <w:pStyle w:val="BodyText"/>
        <w:rPr>
          <w:color w:val="231F20"/>
          <w:szCs w:val="22"/>
        </w:rPr>
      </w:pPr>
      <w:r w:rsidRPr="00AF1CF8">
        <w:rPr>
          <w:color w:val="231F20"/>
          <w:szCs w:val="22"/>
        </w:rPr>
        <w:t>3: COMPLETE - Provide professional development activities to all college personnel and promote best practices in equity-minded and culturally inclusive pedagogy inspiring students to complete their</w:t>
      </w:r>
      <w:r w:rsidRPr="00AF1CF8">
        <w:rPr>
          <w:color w:val="231F20"/>
          <w:spacing w:val="-3"/>
          <w:szCs w:val="22"/>
        </w:rPr>
        <w:t xml:space="preserve"> </w:t>
      </w:r>
      <w:r w:rsidRPr="00AF1CF8">
        <w:rPr>
          <w:color w:val="231F20"/>
          <w:szCs w:val="22"/>
        </w:rPr>
        <w:t>education.</w:t>
      </w:r>
    </w:p>
    <w:p w14:paraId="5488E06C" w14:textId="77777777" w:rsidR="002C6C9C" w:rsidRPr="00AF1CF8" w:rsidRDefault="002C6C9C" w:rsidP="002C6C9C">
      <w:pPr>
        <w:pStyle w:val="BodyText"/>
        <w:rPr>
          <w:szCs w:val="22"/>
        </w:rPr>
      </w:pPr>
    </w:p>
    <w:p w14:paraId="221683C0" w14:textId="77777777" w:rsidR="002C6C9C" w:rsidRPr="00AF1CF8" w:rsidRDefault="002C6C9C" w:rsidP="002C6C9C">
      <w:r w:rsidRPr="00AF1CF8">
        <w:rPr>
          <w:b/>
          <w:color w:val="231F20"/>
        </w:rPr>
        <w:t xml:space="preserve">This project directly addresses the competitive priority for Financial Literacy </w:t>
      </w:r>
      <w:r w:rsidRPr="00AF1CF8">
        <w:rPr>
          <w:color w:val="231F20"/>
        </w:rPr>
        <w:t>by supporting instruction in personal financial literacy, knowledge of higher education financing, and skills aimed at building an understanding of personal finance and responsibility.</w:t>
      </w:r>
    </w:p>
    <w:p w14:paraId="54C92189" w14:textId="77777777" w:rsidR="002C6C9C" w:rsidRPr="00AF1CF8" w:rsidRDefault="002C6C9C" w:rsidP="002C6C9C">
      <w:pPr>
        <w:pStyle w:val="BodyText"/>
        <w:rPr>
          <w:b/>
          <w:color w:val="231F20"/>
          <w:szCs w:val="22"/>
        </w:rPr>
      </w:pPr>
    </w:p>
    <w:p w14:paraId="630BC4A5" w14:textId="35277D1B" w:rsidR="009D1B83" w:rsidRPr="00AF1CF8" w:rsidRDefault="002C6C9C" w:rsidP="00AF1CF8">
      <w:pPr>
        <w:pStyle w:val="BodyText"/>
        <w:rPr>
          <w:szCs w:val="22"/>
        </w:rPr>
      </w:pPr>
      <w:r w:rsidRPr="00AF1CF8">
        <w:rPr>
          <w:b/>
          <w:color w:val="231F20"/>
          <w:szCs w:val="22"/>
        </w:rPr>
        <w:t>Proposed Budget</w:t>
      </w:r>
      <w:r w:rsidRPr="00AF1CF8">
        <w:rPr>
          <w:color w:val="231F20"/>
          <w:szCs w:val="22"/>
        </w:rPr>
        <w:t>: LAVC is requesting a five-year total of $3,000,000 in Title V funding.</w:t>
      </w:r>
    </w:p>
    <w:p w14:paraId="6C9AB8A1" w14:textId="68511BB7" w:rsidR="00D143E8" w:rsidRPr="00AF1CF8" w:rsidRDefault="00D143E8" w:rsidP="00634CAD">
      <w:pPr>
        <w:pStyle w:val="Heading1"/>
      </w:pPr>
      <w:r w:rsidRPr="00AF1CF8">
        <w:t xml:space="preserve">P031S190126 </w:t>
      </w:r>
      <w:r w:rsidR="0026218A" w:rsidRPr="00AF1CF8">
        <w:br/>
        <w:t>Mt. San Antonio College, CA</w:t>
      </w:r>
    </w:p>
    <w:p w14:paraId="7B499179" w14:textId="505EC112" w:rsidR="0026218A" w:rsidRPr="00AF1CF8" w:rsidRDefault="0026218A" w:rsidP="0026218A"/>
    <w:p w14:paraId="3DA2FEEB" w14:textId="1FC95B11" w:rsidR="00D143E8" w:rsidRPr="00BB223B" w:rsidRDefault="00D143E8" w:rsidP="00D143E8">
      <w:pPr>
        <w:pStyle w:val="BodyText"/>
        <w:rPr>
          <w:szCs w:val="22"/>
        </w:rPr>
      </w:pPr>
      <w:r w:rsidRPr="00AF1CF8">
        <w:rPr>
          <w:color w:val="231F20"/>
          <w:szCs w:val="22"/>
        </w:rPr>
        <w:t>Mt. San Antonio College (Mt. SAC) is the largest of California’s 115 community colleges, with a total student enrollment of 37,359 in fall 2018. More than half (56</w:t>
      </w:r>
      <w:r w:rsidR="00A23357" w:rsidRPr="00AF1CF8">
        <w:rPr>
          <w:color w:val="231F20"/>
          <w:szCs w:val="22"/>
        </w:rPr>
        <w:t xml:space="preserve"> percent</w:t>
      </w:r>
      <w:r w:rsidRPr="00EB748D">
        <w:rPr>
          <w:color w:val="231F20"/>
          <w:szCs w:val="22"/>
        </w:rPr>
        <w:t>) of its students are Hispanic, and approximately 51</w:t>
      </w:r>
      <w:r w:rsidR="00A23357" w:rsidRPr="00AF1CF8">
        <w:rPr>
          <w:color w:val="231F20"/>
          <w:szCs w:val="22"/>
        </w:rPr>
        <w:t xml:space="preserve"> percent</w:t>
      </w:r>
      <w:r w:rsidRPr="00EB748D">
        <w:rPr>
          <w:color w:val="231F20"/>
          <w:szCs w:val="22"/>
        </w:rPr>
        <w:t xml:space="preserve"> are first-generation college students.</w:t>
      </w:r>
    </w:p>
    <w:p w14:paraId="311A5689" w14:textId="77777777" w:rsidR="00D143E8" w:rsidRPr="00AF1CF8" w:rsidRDefault="00D143E8" w:rsidP="00D143E8">
      <w:pPr>
        <w:pStyle w:val="BodyText"/>
        <w:rPr>
          <w:color w:val="231F20"/>
          <w:szCs w:val="22"/>
        </w:rPr>
      </w:pPr>
    </w:p>
    <w:p w14:paraId="5A76A574" w14:textId="77777777" w:rsidR="00D143E8" w:rsidRPr="00AF1CF8" w:rsidRDefault="00D143E8" w:rsidP="00D143E8">
      <w:pPr>
        <w:pStyle w:val="BodyText"/>
        <w:rPr>
          <w:szCs w:val="22"/>
        </w:rPr>
      </w:pPr>
      <w:r w:rsidRPr="00AF1CF8">
        <w:rPr>
          <w:color w:val="231F20"/>
          <w:szCs w:val="22"/>
        </w:rPr>
        <w:t xml:space="preserve">Mt. SAC proposes a project titled: </w:t>
      </w:r>
      <w:r w:rsidRPr="00AF1CF8">
        <w:rPr>
          <w:b/>
          <w:color w:val="231F20"/>
          <w:szCs w:val="22"/>
        </w:rPr>
        <w:t>Creating an Equity-minded Campus Culture to Improve Student Outcomes</w:t>
      </w:r>
      <w:r w:rsidRPr="00AF1CF8">
        <w:rPr>
          <w:color w:val="231F20"/>
          <w:szCs w:val="22"/>
        </w:rPr>
        <w:t>. Its major components include: (1) support faculty in exploration of new research and teaching models that enhance student learning and improve educational outcomes for students from diverse backgrounds; (2) improve practices that integrate technology with academic excellence to create an enhanced learning environment for a diverse student</w:t>
      </w:r>
      <w:r w:rsidRPr="00AF1CF8">
        <w:rPr>
          <w:color w:val="231F20"/>
          <w:spacing w:val="-37"/>
          <w:szCs w:val="22"/>
        </w:rPr>
        <w:t xml:space="preserve"> </w:t>
      </w:r>
      <w:r w:rsidRPr="00AF1CF8">
        <w:rPr>
          <w:color w:val="231F20"/>
          <w:szCs w:val="22"/>
        </w:rPr>
        <w:t xml:space="preserve">body; (3) </w:t>
      </w:r>
      <w:r w:rsidRPr="00AF1CF8">
        <w:rPr>
          <w:szCs w:val="22"/>
        </w:rPr>
        <w:t>build the capacity of faculty to access, understand, and use data to measure the impact of pedagogies on student outcomes; (4) provide staff with the knowledge and skills required for effectively engaging students in meaningful and culturally responsive ways; (5) enhance students’ cultural awareness, personal development, and leadership skills; (6) increase</w:t>
      </w:r>
      <w:r w:rsidRPr="00AF1CF8">
        <w:rPr>
          <w:spacing w:val="-16"/>
          <w:szCs w:val="22"/>
        </w:rPr>
        <w:t xml:space="preserve"> </w:t>
      </w:r>
      <w:r w:rsidRPr="00AF1CF8">
        <w:rPr>
          <w:szCs w:val="22"/>
        </w:rPr>
        <w:t>students’ financial literacy, including awareness of financial aid options, financial planning, and debt management; and (7) improve campus-wide cultural competence and cross-cultural</w:t>
      </w:r>
      <w:r w:rsidRPr="00AF1CF8">
        <w:rPr>
          <w:spacing w:val="-10"/>
          <w:szCs w:val="22"/>
        </w:rPr>
        <w:t xml:space="preserve"> </w:t>
      </w:r>
      <w:r w:rsidRPr="00AF1CF8">
        <w:rPr>
          <w:szCs w:val="22"/>
        </w:rPr>
        <w:t>dialogue.</w:t>
      </w:r>
    </w:p>
    <w:p w14:paraId="14B62B42" w14:textId="77777777" w:rsidR="00D143E8" w:rsidRPr="00AF1CF8" w:rsidRDefault="00D143E8" w:rsidP="00D143E8">
      <w:pPr>
        <w:pStyle w:val="BodyText"/>
        <w:rPr>
          <w:color w:val="231F20"/>
          <w:szCs w:val="22"/>
        </w:rPr>
      </w:pPr>
    </w:p>
    <w:p w14:paraId="2BA64DD5" w14:textId="77777777" w:rsidR="00D143E8" w:rsidRPr="00AF1CF8" w:rsidRDefault="00D143E8" w:rsidP="00D143E8">
      <w:pPr>
        <w:pStyle w:val="BodyText"/>
        <w:rPr>
          <w:szCs w:val="22"/>
        </w:rPr>
      </w:pPr>
      <w:r w:rsidRPr="00AF1CF8">
        <w:rPr>
          <w:color w:val="231F20"/>
          <w:szCs w:val="22"/>
        </w:rPr>
        <w:t xml:space="preserve">This project will provide a comprehensive set of activities to improve the academic achievement and personal development of Hispanic students, low-income students, and other students underrepresented in higher education. Specific activities include: an Equity Certification for faculty, a community of practice for equity, professional development in brain-based teaching and learning, universal design in syllabus creation, an instructional designer for professional learning, podcasts, an annual campus summit on equity, use of open educational resources, professional development for distance education faculty and staff, integration of technology tools to connect students with support services, data coaching, an onboarding process for student workers, equity workshops for student workers, infusing equity components into new employee onboarding, personal and leadership development workshops for students, online modules for student professional development and financial literacy, the creation of a Consumer Resource Center, financial literacy workshops for students and educators, an annual Consumer Resource Fair, a student-led conference focused on issues of equity, and various events (e.g., annual expert speaker, </w:t>
      </w:r>
      <w:r w:rsidRPr="00AF1CF8">
        <w:rPr>
          <w:i/>
          <w:color w:val="231F20"/>
          <w:szCs w:val="22"/>
        </w:rPr>
        <w:t>One Book, One Campus</w:t>
      </w:r>
      <w:r w:rsidRPr="00AF1CF8">
        <w:rPr>
          <w:color w:val="231F20"/>
          <w:szCs w:val="22"/>
        </w:rPr>
        <w:t>) that promote greater campus-wide cultural competence.</w:t>
      </w:r>
    </w:p>
    <w:p w14:paraId="342955D4" w14:textId="0B8A7E84" w:rsidR="00DE2962" w:rsidRPr="00AF1CF8" w:rsidRDefault="00DE2962" w:rsidP="006766CA"/>
    <w:p w14:paraId="5B244B51" w14:textId="1A6A5990" w:rsidR="00FC774A" w:rsidRPr="00AF1CF8" w:rsidRDefault="00FC774A" w:rsidP="006766CA"/>
    <w:p w14:paraId="3A03CD84" w14:textId="6575E603" w:rsidR="00FC774A" w:rsidRPr="00042F03" w:rsidRDefault="00FC774A" w:rsidP="00634CAD">
      <w:pPr>
        <w:pStyle w:val="Heading1"/>
      </w:pPr>
      <w:r w:rsidRPr="00042F03">
        <w:rPr>
          <w:rStyle w:val="Heading1Char"/>
          <w:b/>
          <w:bCs/>
        </w:rPr>
        <w:t>P031S190140</w:t>
      </w:r>
      <w:r w:rsidR="000E2D37" w:rsidRPr="00042F03">
        <w:rPr>
          <w:rStyle w:val="Heading1Char"/>
          <w:b/>
          <w:bCs/>
        </w:rPr>
        <w:t xml:space="preserve"> </w:t>
      </w:r>
      <w:r w:rsidR="000E2D37" w:rsidRPr="00042F03">
        <w:rPr>
          <w:rStyle w:val="Heading1Char"/>
          <w:b/>
          <w:bCs/>
        </w:rPr>
        <w:br/>
      </w:r>
      <w:r w:rsidR="006327E6" w:rsidRPr="00042F03">
        <w:rPr>
          <w:rStyle w:val="Heading1Char"/>
          <w:b/>
          <w:bCs/>
        </w:rPr>
        <w:t>North Orange County Community College District - Cypress CC</w:t>
      </w:r>
    </w:p>
    <w:p w14:paraId="3EF00836" w14:textId="51C536BD" w:rsidR="00FC774A" w:rsidRPr="00BB223B" w:rsidRDefault="00FC774A" w:rsidP="00FC774A"/>
    <w:p w14:paraId="1977CF7E" w14:textId="2617883D" w:rsidR="00FC774A" w:rsidRPr="00BB223B" w:rsidRDefault="00FC774A" w:rsidP="00FC774A">
      <w:pPr>
        <w:pStyle w:val="BodyText"/>
        <w:rPr>
          <w:szCs w:val="22"/>
        </w:rPr>
      </w:pPr>
      <w:r w:rsidRPr="00AF1CF8">
        <w:rPr>
          <w:color w:val="231F20"/>
          <w:szCs w:val="22"/>
        </w:rPr>
        <w:t xml:space="preserve">Cypress College, a public two-year community college located in North Orange County California, proposes to implement a project titled </w:t>
      </w:r>
      <w:r w:rsidRPr="00AF1CF8">
        <w:rPr>
          <w:b/>
          <w:color w:val="231F20"/>
          <w:szCs w:val="22"/>
        </w:rPr>
        <w:t xml:space="preserve">Enhancing the Student Experience through Guided Pathways. </w:t>
      </w:r>
      <w:r w:rsidRPr="00AF1CF8">
        <w:rPr>
          <w:color w:val="231F20"/>
          <w:szCs w:val="22"/>
        </w:rPr>
        <w:t>Cypress College students mirror the diversity of race/ethnicity, culture, language, national origin, and socioeconomic status of the surrounding communities it serves. In fall 2018, 49</w:t>
      </w:r>
      <w:r w:rsidR="00A23357" w:rsidRPr="00AF1CF8">
        <w:rPr>
          <w:color w:val="231F20"/>
          <w:szCs w:val="22"/>
        </w:rPr>
        <w:t xml:space="preserve"> percent</w:t>
      </w:r>
      <w:r w:rsidRPr="00EB748D">
        <w:rPr>
          <w:color w:val="231F20"/>
          <w:szCs w:val="22"/>
        </w:rPr>
        <w:t xml:space="preserve"> out of its 16,042 Cypress College students were Hispanic, and 65.5</w:t>
      </w:r>
      <w:r w:rsidR="00A23357" w:rsidRPr="00AF1CF8">
        <w:rPr>
          <w:color w:val="231F20"/>
          <w:szCs w:val="22"/>
        </w:rPr>
        <w:t xml:space="preserve"> percent</w:t>
      </w:r>
      <w:r w:rsidRPr="00EB748D">
        <w:rPr>
          <w:color w:val="231F20"/>
          <w:szCs w:val="22"/>
        </w:rPr>
        <w:t xml:space="preserve"> of these students received financial aid; nearly half of all students are first generation college students.</w:t>
      </w:r>
    </w:p>
    <w:p w14:paraId="245FE061" w14:textId="77777777" w:rsidR="00FC774A" w:rsidRPr="00AF1CF8" w:rsidRDefault="00FC774A" w:rsidP="00FC774A">
      <w:pPr>
        <w:pStyle w:val="BodyText"/>
        <w:rPr>
          <w:color w:val="231F20"/>
          <w:szCs w:val="22"/>
        </w:rPr>
      </w:pPr>
    </w:p>
    <w:p w14:paraId="0D2FA748" w14:textId="77777777" w:rsidR="00FC774A" w:rsidRPr="00AF1CF8" w:rsidRDefault="00FC774A" w:rsidP="00FC774A">
      <w:pPr>
        <w:pStyle w:val="BodyText"/>
        <w:rPr>
          <w:szCs w:val="22"/>
        </w:rPr>
      </w:pPr>
      <w:r w:rsidRPr="00AF1CF8">
        <w:rPr>
          <w:color w:val="231F20"/>
          <w:szCs w:val="22"/>
        </w:rPr>
        <w:t>The proposed project aims to address two significant problems identified via the college- wide planning and evidence-based analysis process: 1) A low number of students enter and remain on the path to completion; and 2) Hispanic students demonstrate lower academic achievement than their counterparts. The overarching goal for this Title V grant is for Cypress College to transform its operations and model of serving students by fully implementing an updated Completion by Design through Guided Pathways model which based on early evidence, shows great promise in improving students’ graduation and transfer outcomes. The project’s three components -- with five distinct strategies -- were selected to address the current weaknesses that contribute to the identified problems. These strategies are organized around the Guided Pathways pillars to follow best practices established by leading community colleges.</w:t>
      </w:r>
    </w:p>
    <w:p w14:paraId="783137EA" w14:textId="77777777" w:rsidR="00FC774A" w:rsidRPr="00AF1CF8" w:rsidRDefault="00FC774A" w:rsidP="00FC774A">
      <w:pPr>
        <w:pStyle w:val="BodyText"/>
        <w:rPr>
          <w:color w:val="231F20"/>
          <w:szCs w:val="22"/>
        </w:rPr>
      </w:pPr>
    </w:p>
    <w:p w14:paraId="133B0625" w14:textId="77777777" w:rsidR="00FC774A" w:rsidRPr="00AF1CF8" w:rsidRDefault="00FC774A" w:rsidP="00FC774A">
      <w:pPr>
        <w:pStyle w:val="BodyText"/>
        <w:rPr>
          <w:szCs w:val="22"/>
        </w:rPr>
      </w:pPr>
      <w:r w:rsidRPr="00AF1CF8">
        <w:rPr>
          <w:color w:val="231F20"/>
          <w:szCs w:val="22"/>
        </w:rPr>
        <w:t xml:space="preserve">Component One refers to Pillars 1 </w:t>
      </w:r>
      <w:r w:rsidRPr="00AF1CF8">
        <w:rPr>
          <w:i/>
          <w:color w:val="231F20"/>
          <w:szCs w:val="22"/>
        </w:rPr>
        <w:t xml:space="preserve">Clarify the Path </w:t>
      </w:r>
      <w:r w:rsidRPr="00AF1CF8">
        <w:rPr>
          <w:color w:val="231F20"/>
          <w:szCs w:val="22"/>
        </w:rPr>
        <w:t xml:space="preserve">and 2 </w:t>
      </w:r>
      <w:r w:rsidRPr="00AF1CF8">
        <w:rPr>
          <w:i/>
          <w:color w:val="231F20"/>
          <w:szCs w:val="22"/>
        </w:rPr>
        <w:t xml:space="preserve">Enter the Path </w:t>
      </w:r>
      <w:r w:rsidRPr="00AF1CF8">
        <w:rPr>
          <w:color w:val="231F20"/>
          <w:szCs w:val="22"/>
        </w:rPr>
        <w:t xml:space="preserve">and includes strategies to expand pre-college services, educational and financial planning, and career counseling for students undecided or undeclared during their first year of college. Component Two refers to Pillars 1 </w:t>
      </w:r>
      <w:r w:rsidRPr="00AF1CF8">
        <w:rPr>
          <w:i/>
          <w:color w:val="231F20"/>
          <w:szCs w:val="22"/>
        </w:rPr>
        <w:t xml:space="preserve">Clarify the Path </w:t>
      </w:r>
      <w:r w:rsidRPr="00AF1CF8">
        <w:rPr>
          <w:color w:val="231F20"/>
          <w:szCs w:val="22"/>
        </w:rPr>
        <w:t xml:space="preserve">and 3 </w:t>
      </w:r>
      <w:r w:rsidRPr="00AF1CF8">
        <w:rPr>
          <w:i/>
          <w:color w:val="231F20"/>
          <w:szCs w:val="22"/>
        </w:rPr>
        <w:t>Stay on the Path</w:t>
      </w:r>
      <w:r w:rsidRPr="00AF1CF8">
        <w:rPr>
          <w:color w:val="231F20"/>
          <w:szCs w:val="22"/>
        </w:rPr>
        <w:t xml:space="preserve">, which Cypress College will tackle through academic mapping and building completion teams to help students achieve milestones such as 15 semester or 30 annual units, and to complete transfer-level math and English within their first year. Component Three refers to Pillars 3 </w:t>
      </w:r>
      <w:r w:rsidRPr="00AF1CF8">
        <w:rPr>
          <w:i/>
          <w:color w:val="231F20"/>
          <w:szCs w:val="22"/>
        </w:rPr>
        <w:t xml:space="preserve">Stay on the Path </w:t>
      </w:r>
      <w:r w:rsidRPr="00AF1CF8">
        <w:rPr>
          <w:color w:val="231F20"/>
          <w:szCs w:val="22"/>
        </w:rPr>
        <w:t xml:space="preserve">and 4 </w:t>
      </w:r>
      <w:r w:rsidRPr="00AF1CF8">
        <w:rPr>
          <w:i/>
          <w:color w:val="231F20"/>
          <w:szCs w:val="22"/>
        </w:rPr>
        <w:t>Ensure Students are Learning</w:t>
      </w:r>
      <w:r w:rsidRPr="00AF1CF8">
        <w:rPr>
          <w:color w:val="231F20"/>
          <w:szCs w:val="22"/>
        </w:rPr>
        <w:t>. The component will integrate professional development into each academic community by utilizing faculty data coaches and faculty peer coaches to help full and part-time faculty address, develop, and implement strategies to reduce achievement gaps for minority and low-income</w:t>
      </w:r>
      <w:r w:rsidRPr="00AF1CF8">
        <w:rPr>
          <w:color w:val="231F20"/>
          <w:spacing w:val="-1"/>
          <w:szCs w:val="22"/>
        </w:rPr>
        <w:t xml:space="preserve"> </w:t>
      </w:r>
      <w:r w:rsidRPr="00AF1CF8">
        <w:rPr>
          <w:color w:val="231F20"/>
          <w:szCs w:val="22"/>
        </w:rPr>
        <w:t>students.</w:t>
      </w:r>
    </w:p>
    <w:p w14:paraId="5A676FEA" w14:textId="77777777" w:rsidR="00FC774A" w:rsidRPr="00AF1CF8" w:rsidRDefault="00FC774A" w:rsidP="00FC774A">
      <w:pPr>
        <w:pStyle w:val="BodyText"/>
        <w:rPr>
          <w:color w:val="231F20"/>
          <w:szCs w:val="22"/>
        </w:rPr>
      </w:pPr>
    </w:p>
    <w:p w14:paraId="4D3D3FDF" w14:textId="358C8C36" w:rsidR="00FC774A" w:rsidRPr="00BB223B" w:rsidRDefault="00FC774A" w:rsidP="00FC774A">
      <w:pPr>
        <w:pStyle w:val="BodyText"/>
        <w:rPr>
          <w:szCs w:val="22"/>
        </w:rPr>
      </w:pPr>
      <w:r w:rsidRPr="00AF1CF8">
        <w:rPr>
          <w:color w:val="231F20"/>
          <w:szCs w:val="22"/>
        </w:rPr>
        <w:t xml:space="preserve">The proposed project benefits Cypress College’s Hispanic students, our current 16,000 students, and the thousands of students who will follow. Every student who attends Cypress College will have an improved institutional structure that facilitates achieving completion, in a shorter amount of time, and without spending their resources on courses and materials that do not get them closer to their goals. As the </w:t>
      </w:r>
      <w:r w:rsidR="00BA19FF">
        <w:rPr>
          <w:color w:val="231F20"/>
          <w:szCs w:val="22"/>
        </w:rPr>
        <w:t>m</w:t>
      </w:r>
      <w:r w:rsidRPr="00EB748D">
        <w:rPr>
          <w:color w:val="231F20"/>
          <w:szCs w:val="22"/>
        </w:rPr>
        <w:t>ajority of Cypress College students are low-income, Hispanic</w:t>
      </w:r>
      <w:r w:rsidR="00042F03">
        <w:rPr>
          <w:color w:val="231F20"/>
          <w:szCs w:val="22"/>
        </w:rPr>
        <w:t>,</w:t>
      </w:r>
      <w:r w:rsidRPr="00EB748D">
        <w:rPr>
          <w:color w:val="231F20"/>
          <w:szCs w:val="22"/>
        </w:rPr>
        <w:t xml:space="preserve"> or the first in their family to attend college, the long-term results are likely to positively impact the most vulnerable communities in the college’s service area.</w:t>
      </w:r>
    </w:p>
    <w:p w14:paraId="7CFABBCE" w14:textId="7C9DFDD1" w:rsidR="00FC774A" w:rsidRPr="00AF1CF8" w:rsidRDefault="00FC774A" w:rsidP="006766CA"/>
    <w:p w14:paraId="541F338F" w14:textId="4C09DFDF" w:rsidR="000E2D37" w:rsidRPr="00AF1CF8" w:rsidRDefault="000E2D37" w:rsidP="006766CA"/>
    <w:p w14:paraId="165C507E" w14:textId="3B109B91" w:rsidR="00B859EC" w:rsidRPr="00AF1CF8" w:rsidRDefault="00B859EC" w:rsidP="00634CAD">
      <w:pPr>
        <w:pStyle w:val="Heading1"/>
      </w:pPr>
      <w:r w:rsidRPr="00AF1CF8">
        <w:t>P031S190273</w:t>
      </w:r>
      <w:r w:rsidR="004D5462" w:rsidRPr="00AF1CF8">
        <w:t xml:space="preserve"> </w:t>
      </w:r>
      <w:r w:rsidR="004D5462" w:rsidRPr="00AF1CF8">
        <w:br/>
        <w:t>Pasadena City College, CA</w:t>
      </w:r>
    </w:p>
    <w:p w14:paraId="412D7D5F" w14:textId="092F8426" w:rsidR="004D5462" w:rsidRPr="00AF1CF8" w:rsidRDefault="004D5462" w:rsidP="004D5462"/>
    <w:p w14:paraId="72EC2A5E" w14:textId="7141B1FA" w:rsidR="006B0308" w:rsidRPr="00AF1CF8" w:rsidRDefault="006B0308" w:rsidP="006B0308">
      <w:pPr>
        <w:pStyle w:val="BodyText"/>
        <w:rPr>
          <w:szCs w:val="22"/>
        </w:rPr>
      </w:pPr>
      <w:r w:rsidRPr="00AF1CF8">
        <w:rPr>
          <w:color w:val="231F20"/>
          <w:szCs w:val="22"/>
        </w:rPr>
        <w:t>Pasadena City College (PCC), located in Pasadena, California, serves the greater Los Angeles area, which has the largest, fastest growing Hispanic population in America. The College enrolls approximately 30,000 students; 51</w:t>
      </w:r>
      <w:r w:rsidR="00A23357" w:rsidRPr="00AF1CF8">
        <w:rPr>
          <w:color w:val="231F20"/>
          <w:szCs w:val="22"/>
        </w:rPr>
        <w:t xml:space="preserve"> percent</w:t>
      </w:r>
      <w:r w:rsidRPr="00AF1CF8">
        <w:rPr>
          <w:color w:val="231F20"/>
          <w:szCs w:val="22"/>
        </w:rPr>
        <w:t xml:space="preserve"> are Hispanic. PCC’s proposed Title V project aims to improve the degree completion of Hispanic students through strategies that (a) purposefully center Hispanic students’ experiences, strengths, and needs in their design, and (b) are likewise well-supported by extensive national and institutional research.</w:t>
      </w:r>
    </w:p>
    <w:p w14:paraId="692244DF" w14:textId="77777777" w:rsidR="006B0308" w:rsidRPr="00AF1CF8" w:rsidRDefault="006B0308" w:rsidP="006B0308">
      <w:pPr>
        <w:pStyle w:val="BodyText"/>
        <w:rPr>
          <w:color w:val="231F20"/>
          <w:szCs w:val="22"/>
        </w:rPr>
      </w:pPr>
    </w:p>
    <w:p w14:paraId="62B8FEFE" w14:textId="77777777" w:rsidR="006B0308" w:rsidRPr="00AF1CF8" w:rsidRDefault="006B0308" w:rsidP="006B0308">
      <w:pPr>
        <w:pStyle w:val="BodyText"/>
        <w:rPr>
          <w:szCs w:val="22"/>
        </w:rPr>
      </w:pPr>
      <w:r w:rsidRPr="00AF1CF8">
        <w:rPr>
          <w:color w:val="231F20"/>
          <w:szCs w:val="22"/>
        </w:rPr>
        <w:t xml:space="preserve">The project, </w:t>
      </w:r>
      <w:r w:rsidRPr="00AF1CF8">
        <w:rPr>
          <w:b/>
          <w:i/>
          <w:color w:val="231F20"/>
          <w:szCs w:val="22"/>
        </w:rPr>
        <w:t xml:space="preserve">Abriendo Caminos </w:t>
      </w:r>
      <w:r w:rsidRPr="00AF1CF8">
        <w:rPr>
          <w:b/>
          <w:color w:val="231F20"/>
          <w:szCs w:val="22"/>
        </w:rPr>
        <w:t>– Opening Pathways to Institutionalize Equity</w:t>
      </w:r>
      <w:r w:rsidRPr="00AF1CF8">
        <w:rPr>
          <w:color w:val="231F20"/>
          <w:szCs w:val="22"/>
        </w:rPr>
        <w:t>, includes four main Activity strategies. They represent essential next steps to close the equity gap in the completion rate of Hispanic and other underserved students, which in turn will significantly improve the completion rate for all PCC students.</w:t>
      </w:r>
    </w:p>
    <w:p w14:paraId="7EED6916" w14:textId="28541890" w:rsidR="004D5462" w:rsidRPr="00AF1CF8" w:rsidRDefault="004D5462" w:rsidP="004D5462"/>
    <w:p w14:paraId="3D3F0ACE" w14:textId="29B82F1E" w:rsidR="006B0308" w:rsidRPr="00AF1CF8" w:rsidRDefault="00EC6D22" w:rsidP="004D5462">
      <w:pPr>
        <w:rPr>
          <w:b/>
          <w:color w:val="231F20"/>
        </w:rPr>
      </w:pPr>
      <w:r w:rsidRPr="00AF1CF8">
        <w:rPr>
          <w:b/>
          <w:color w:val="231F20"/>
        </w:rPr>
        <w:t>Project Goals</w:t>
      </w:r>
    </w:p>
    <w:p w14:paraId="6A409353" w14:textId="6607C87E" w:rsidR="00BB071A" w:rsidRPr="00AF1CF8" w:rsidRDefault="00BB071A" w:rsidP="00BB071A">
      <w:r w:rsidRPr="00AF1CF8">
        <w:rPr>
          <w:b/>
          <w:bCs/>
          <w:i/>
          <w:iCs/>
        </w:rPr>
        <w:t>Academic Programs</w:t>
      </w:r>
      <w:r w:rsidRPr="00EB748D">
        <w:t>: Develop and implement a coordinated campus-wide initiative that reflects an institutional priority and commitment to equitable degree completion through a learner- centered and integrated model of instruction and su</w:t>
      </w:r>
      <w:r w:rsidRPr="00BB223B">
        <w:t>pport.</w:t>
      </w:r>
    </w:p>
    <w:p w14:paraId="4A60C2F9" w14:textId="5CD00927" w:rsidR="00BB071A" w:rsidRPr="00BB223B" w:rsidRDefault="00BB071A" w:rsidP="00BB071A">
      <w:r w:rsidRPr="00AF1CF8">
        <w:rPr>
          <w:b/>
          <w:bCs/>
          <w:i/>
          <w:iCs/>
        </w:rPr>
        <w:t>Institutional Management</w:t>
      </w:r>
      <w:r w:rsidRPr="00EB748D">
        <w:t>: Build and foster an educational ecosystem focused on realizing a new equity-minded vision of institutional operations through a coordinated care approach to student support that eliminates barriers to success.</w:t>
      </w:r>
    </w:p>
    <w:p w14:paraId="19F464FF" w14:textId="4E388401" w:rsidR="00BB071A" w:rsidRPr="00BB223B" w:rsidRDefault="00BB071A" w:rsidP="00BB071A">
      <w:r w:rsidRPr="00AF1CF8">
        <w:rPr>
          <w:b/>
          <w:bCs/>
          <w:i/>
          <w:iCs/>
        </w:rPr>
        <w:t>Fiscal Stability</w:t>
      </w:r>
      <w:r w:rsidRPr="00EB748D">
        <w:t>: Increase student outcomes and close equity gaps to ensure alignment with state-mandated performance-based funding focused on student equity and student success.</w:t>
      </w:r>
    </w:p>
    <w:p w14:paraId="692CF3AD" w14:textId="7C8D2177" w:rsidR="00BB071A" w:rsidRPr="00AF1CF8" w:rsidRDefault="00BB071A" w:rsidP="00BB071A"/>
    <w:p w14:paraId="4D49C878" w14:textId="7003A608" w:rsidR="00BB071A" w:rsidRPr="00EB748D" w:rsidRDefault="00BA19FF" w:rsidP="00BB071A">
      <w:pPr>
        <w:rPr>
          <w:b/>
          <w:color w:val="231F20"/>
        </w:rPr>
      </w:pPr>
      <w:r>
        <w:rPr>
          <w:b/>
          <w:color w:val="231F20"/>
        </w:rPr>
        <w:t xml:space="preserve">Five </w:t>
      </w:r>
      <w:r w:rsidR="00527528" w:rsidRPr="00EB748D">
        <w:rPr>
          <w:b/>
          <w:color w:val="231F20"/>
        </w:rPr>
        <w:t>Year Measurable Project Objectives</w:t>
      </w:r>
    </w:p>
    <w:p w14:paraId="6C15C930" w14:textId="77777777" w:rsidR="00962F31" w:rsidRPr="00EB748D" w:rsidRDefault="00962F31" w:rsidP="00962F31">
      <w:r w:rsidRPr="00AF1CF8">
        <w:rPr>
          <w:b/>
          <w:bCs/>
        </w:rPr>
        <w:t>By Sept. 30, 2024, PCC will increase</w:t>
      </w:r>
      <w:r w:rsidRPr="00EB748D">
        <w:t>:</w:t>
      </w:r>
    </w:p>
    <w:p w14:paraId="1AD41F7D" w14:textId="7FBF5C34" w:rsidR="00962F31" w:rsidRPr="00EB748D" w:rsidRDefault="00962F31" w:rsidP="00962F31">
      <w:r w:rsidRPr="00AF1CF8">
        <w:rPr>
          <w:u w:val="single"/>
        </w:rPr>
        <w:t>Access</w:t>
      </w:r>
      <w:r w:rsidRPr="00EB748D">
        <w:t xml:space="preserve">. Increase proportion of students completing the following critical onboarding steps: Financial Aid Application, </w:t>
      </w:r>
      <w:r w:rsidRPr="00BB223B">
        <w:t>Orientation</w:t>
      </w:r>
      <w:r w:rsidRPr="00AF1CF8">
        <w:t>, Student Educational Plan (</w:t>
      </w:r>
      <w:r w:rsidRPr="00AF1CF8">
        <w:rPr>
          <w:i/>
          <w:iCs/>
        </w:rPr>
        <w:t>supports GPRA e</w:t>
      </w:r>
      <w:r w:rsidRPr="00EB748D">
        <w:t>)</w:t>
      </w:r>
    </w:p>
    <w:p w14:paraId="56C8CB5C" w14:textId="0519AB72" w:rsidR="00962F31" w:rsidRPr="00EB748D" w:rsidRDefault="00BA19FF" w:rsidP="00962F31">
      <w:r>
        <w:rPr>
          <w:u w:val="single"/>
        </w:rPr>
        <w:t>One</w:t>
      </w:r>
      <w:r w:rsidR="00962F31" w:rsidRPr="00AF1CF8">
        <w:rPr>
          <w:u w:val="single"/>
        </w:rPr>
        <w:t>-Year Transfer-Level Math &amp; English Completion</w:t>
      </w:r>
      <w:r w:rsidR="00962F31" w:rsidRPr="00EB748D">
        <w:t>. Increase the proportion of students completing transfer-level math and English in their first year, and close the equity gap (</w:t>
      </w:r>
      <w:r w:rsidR="00962F31" w:rsidRPr="00AF1CF8">
        <w:rPr>
          <w:i/>
          <w:iCs/>
        </w:rPr>
        <w:t>supports State performance funding formula</w:t>
      </w:r>
      <w:r w:rsidR="00962F31" w:rsidRPr="00EB748D">
        <w:t>)</w:t>
      </w:r>
    </w:p>
    <w:p w14:paraId="702E772A" w14:textId="37E739F7" w:rsidR="00962F31" w:rsidRPr="00EB748D" w:rsidRDefault="00962F31" w:rsidP="00962F31">
      <w:r w:rsidRPr="00AF1CF8">
        <w:rPr>
          <w:u w:val="single"/>
        </w:rPr>
        <w:t>Persistence</w:t>
      </w:r>
      <w:r w:rsidRPr="00EB748D">
        <w:t>. Increase the fall-to-spring persistence rate (</w:t>
      </w:r>
      <w:r w:rsidRPr="00AF1CF8">
        <w:rPr>
          <w:i/>
          <w:iCs/>
        </w:rPr>
        <w:t>supports GPRA b</w:t>
      </w:r>
      <w:r w:rsidRPr="00EB748D">
        <w:t>)</w:t>
      </w:r>
    </w:p>
    <w:p w14:paraId="419E71EE" w14:textId="7B1DCC15" w:rsidR="00962F31" w:rsidRPr="00EB748D" w:rsidRDefault="00962F31" w:rsidP="00962F31">
      <w:r w:rsidRPr="00AF1CF8">
        <w:rPr>
          <w:u w:val="single"/>
        </w:rPr>
        <w:t>Excess Units</w:t>
      </w:r>
      <w:r w:rsidRPr="00EB748D">
        <w:t>. Decrease the average number of excess units at degree completion among degree earners (</w:t>
      </w:r>
      <w:r w:rsidRPr="00AF1CF8">
        <w:rPr>
          <w:i/>
          <w:iCs/>
        </w:rPr>
        <w:t>supports GPRA f</w:t>
      </w:r>
      <w:r w:rsidRPr="00EB748D">
        <w:t>)</w:t>
      </w:r>
    </w:p>
    <w:p w14:paraId="4371E403" w14:textId="57ABD343" w:rsidR="00962F31" w:rsidRPr="00EB748D" w:rsidRDefault="00962F31" w:rsidP="00962F31">
      <w:r w:rsidRPr="00AF1CF8">
        <w:rPr>
          <w:u w:val="single"/>
        </w:rPr>
        <w:t>Completion</w:t>
      </w:r>
      <w:r w:rsidRPr="00EB748D">
        <w:t>. Increase the State-defined Scorecard completion rate and close the completion equity gap (</w:t>
      </w:r>
      <w:r w:rsidRPr="00AF1CF8">
        <w:rPr>
          <w:i/>
          <w:iCs/>
        </w:rPr>
        <w:t>supports GPRA a</w:t>
      </w:r>
      <w:r w:rsidRPr="00EB748D">
        <w:t>)</w:t>
      </w:r>
    </w:p>
    <w:p w14:paraId="75D49764" w14:textId="77C0C04D" w:rsidR="000659F2" w:rsidRPr="00BB223B" w:rsidRDefault="000659F2" w:rsidP="00962F31"/>
    <w:p w14:paraId="5A828E82" w14:textId="77777777" w:rsidR="0011499F" w:rsidRPr="00AF1CF8" w:rsidRDefault="0011499F" w:rsidP="0011499F">
      <w:r w:rsidRPr="00AF1CF8">
        <w:rPr>
          <w:b/>
          <w:bCs/>
        </w:rPr>
        <w:t>Strategy 1</w:t>
      </w:r>
      <w:r w:rsidRPr="00EB748D">
        <w:t xml:space="preserve">: Develop a next-generation guided-entry mechanism that supports Hispanic and other underserved students in developing the tools for success in a way that is </w:t>
      </w:r>
      <w:r w:rsidRPr="00BB223B">
        <w:t xml:space="preserve">responsive to their </w:t>
      </w:r>
      <w:r w:rsidRPr="00AF1CF8">
        <w:t>strengths and needs, placing them on a clear and seamless trajectory toward achieving their goals.</w:t>
      </w:r>
    </w:p>
    <w:p w14:paraId="5DA1EA17" w14:textId="77777777" w:rsidR="0011499F" w:rsidRPr="00AF1CF8" w:rsidRDefault="0011499F" w:rsidP="0011499F">
      <w:r w:rsidRPr="00AF1CF8">
        <w:rPr>
          <w:b/>
          <w:bCs/>
        </w:rPr>
        <w:t>Strategy 2</w:t>
      </w:r>
      <w:r w:rsidRPr="00EB748D">
        <w:t>: Develop and foster a career community experience that empowers students to make meaningful connections between life goals and</w:t>
      </w:r>
      <w:r w:rsidRPr="00BB223B">
        <w:t xml:space="preserve"> academic pathways.</w:t>
      </w:r>
    </w:p>
    <w:p w14:paraId="279E5E88" w14:textId="77777777" w:rsidR="0011499F" w:rsidRPr="00AF1CF8" w:rsidRDefault="0011499F" w:rsidP="0011499F">
      <w:r w:rsidRPr="00AF1CF8">
        <w:rPr>
          <w:b/>
          <w:bCs/>
        </w:rPr>
        <w:t>Strategy 3</w:t>
      </w:r>
      <w:r w:rsidRPr="00EB748D">
        <w:t>: Develop a refreshed student experience in key gateway courses driven by support and academic programs that work in concert with on</w:t>
      </w:r>
      <w:r w:rsidRPr="00BB223B">
        <w:t>e another and are strategically positioned within the student path for maximal impact.</w:t>
      </w:r>
    </w:p>
    <w:p w14:paraId="389E363F" w14:textId="0A1F084D" w:rsidR="000659F2" w:rsidRPr="00EB748D" w:rsidRDefault="0011499F" w:rsidP="0011499F">
      <w:r w:rsidRPr="00AF1CF8">
        <w:rPr>
          <w:b/>
          <w:bCs/>
        </w:rPr>
        <w:t>Strategy 4</w:t>
      </w:r>
      <w:r w:rsidRPr="00EB748D">
        <w:t>: Leverage technology to improve communication, coordination and data integration.</w:t>
      </w:r>
    </w:p>
    <w:p w14:paraId="638E1EC7" w14:textId="5E3FB576" w:rsidR="0011499F" w:rsidRPr="00BB223B" w:rsidRDefault="0011499F" w:rsidP="0011499F"/>
    <w:p w14:paraId="4F9B6F37" w14:textId="77777777" w:rsidR="002A169B" w:rsidRPr="00BB223B" w:rsidRDefault="002A169B" w:rsidP="002A169B">
      <w:r w:rsidRPr="00AF1CF8">
        <w:rPr>
          <w:b/>
          <w:bCs/>
        </w:rPr>
        <w:t>Competitive Preference Priority 2</w:t>
      </w:r>
      <w:r w:rsidRPr="00EB748D">
        <w:t>: This project will support students’ personal financial</w:t>
      </w:r>
    </w:p>
    <w:p w14:paraId="4D214715" w14:textId="270BC2A7" w:rsidR="0011499F" w:rsidRPr="00AF1CF8" w:rsidRDefault="002A169B" w:rsidP="002A169B">
      <w:r w:rsidRPr="00AF1CF8">
        <w:t>literacy through an evidence-based holistic approach addressing the entire student experience.</w:t>
      </w:r>
    </w:p>
    <w:p w14:paraId="23A306FB" w14:textId="600FD166" w:rsidR="00493F5D" w:rsidRPr="00AF1CF8" w:rsidRDefault="00493F5D" w:rsidP="00634CAD">
      <w:pPr>
        <w:pStyle w:val="Heading1"/>
      </w:pPr>
      <w:r w:rsidRPr="00AF1CF8">
        <w:t xml:space="preserve">P031S190125 </w:t>
      </w:r>
      <w:r w:rsidRPr="00AF1CF8">
        <w:br/>
        <w:t>Peralta Community College District, CA</w:t>
      </w:r>
    </w:p>
    <w:p w14:paraId="1C1B9303" w14:textId="77777777" w:rsidR="00493F5D" w:rsidRPr="00AF1CF8" w:rsidRDefault="00493F5D" w:rsidP="00AF1CF8"/>
    <w:p w14:paraId="47220F64" w14:textId="1E57E262" w:rsidR="00493F5D" w:rsidRPr="00EB748D" w:rsidRDefault="00493F5D" w:rsidP="00493F5D">
      <w:pPr>
        <w:pStyle w:val="BodyText"/>
        <w:rPr>
          <w:szCs w:val="22"/>
        </w:rPr>
      </w:pPr>
      <w:r w:rsidRPr="00AF1CF8">
        <w:rPr>
          <w:color w:val="231F20"/>
          <w:szCs w:val="22"/>
        </w:rPr>
        <w:t>College of Alameda (CoA), located in the City of Alameda in the San Francisco Bay Area of California, enrolls 10,000 students annually and offers over 60 associate degrees and certificate programs. The CoA student body is 25</w:t>
      </w:r>
      <w:r w:rsidR="00A23357" w:rsidRPr="00AF1CF8">
        <w:rPr>
          <w:color w:val="231F20"/>
          <w:szCs w:val="22"/>
        </w:rPr>
        <w:t xml:space="preserve"> percent</w:t>
      </w:r>
      <w:r w:rsidRPr="00EB748D">
        <w:rPr>
          <w:color w:val="231F20"/>
          <w:szCs w:val="22"/>
        </w:rPr>
        <w:t xml:space="preserve"> Latinx, 30</w:t>
      </w:r>
      <w:r w:rsidR="00A23357" w:rsidRPr="00AF1CF8">
        <w:rPr>
          <w:color w:val="231F20"/>
          <w:szCs w:val="22"/>
        </w:rPr>
        <w:t xml:space="preserve"> percent</w:t>
      </w:r>
      <w:r w:rsidRPr="00EB748D">
        <w:rPr>
          <w:color w:val="231F20"/>
          <w:szCs w:val="22"/>
        </w:rPr>
        <w:t xml:space="preserve"> Asian, 17</w:t>
      </w:r>
      <w:r w:rsidR="00A23357" w:rsidRPr="00AF1CF8">
        <w:rPr>
          <w:color w:val="231F20"/>
          <w:szCs w:val="22"/>
        </w:rPr>
        <w:t xml:space="preserve"> percent</w:t>
      </w:r>
      <w:r w:rsidRPr="00EB748D">
        <w:rPr>
          <w:color w:val="231F20"/>
          <w:szCs w:val="22"/>
        </w:rPr>
        <w:t xml:space="preserve"> </w:t>
      </w:r>
      <w:r w:rsidR="00BC51D8" w:rsidRPr="00EB748D">
        <w:rPr>
          <w:color w:val="231F20"/>
          <w:szCs w:val="22"/>
        </w:rPr>
        <w:t>African</w:t>
      </w:r>
      <w:r w:rsidR="00BC51D8" w:rsidRPr="00BB223B">
        <w:rPr>
          <w:color w:val="231F20"/>
          <w:szCs w:val="22"/>
        </w:rPr>
        <w:t xml:space="preserve"> American</w:t>
      </w:r>
      <w:r w:rsidRPr="00AF1CF8">
        <w:rPr>
          <w:color w:val="231F20"/>
          <w:szCs w:val="22"/>
        </w:rPr>
        <w:t>, and 15</w:t>
      </w:r>
      <w:r w:rsidR="00A23357" w:rsidRPr="00AF1CF8">
        <w:rPr>
          <w:color w:val="231F20"/>
          <w:szCs w:val="22"/>
        </w:rPr>
        <w:t xml:space="preserve"> percent</w:t>
      </w:r>
      <w:r w:rsidRPr="00EB748D">
        <w:rPr>
          <w:color w:val="231F20"/>
          <w:szCs w:val="22"/>
        </w:rPr>
        <w:t xml:space="preserve"> white, representing more than 50 countries of origin. CoA’s growing Latinx student population and recent designation as an Hispanic-Serving Institution (HSI) led the College to embark this year on a nine-month planning process aimed at r</w:t>
      </w:r>
      <w:r w:rsidRPr="00BB223B">
        <w:rPr>
          <w:color w:val="231F20"/>
          <w:szCs w:val="22"/>
        </w:rPr>
        <w:t>e-designing opportunities for Latinx students to</w:t>
      </w:r>
      <w:r w:rsidRPr="00AF1CF8">
        <w:rPr>
          <w:color w:val="231F20"/>
          <w:szCs w:val="22"/>
        </w:rPr>
        <w:t xml:space="preserve"> achieve their academic and career goals, and preparing CoA to deliver and consistently improve upon evidence-based programs and services responsive to the needs of these students. The </w:t>
      </w:r>
      <w:r w:rsidRPr="00AF1CF8">
        <w:rPr>
          <w:color w:val="231F20"/>
          <w:spacing w:val="-1"/>
          <w:szCs w:val="22"/>
        </w:rPr>
        <w:t>propose</w:t>
      </w:r>
      <w:r w:rsidRPr="00AF1CF8">
        <w:rPr>
          <w:color w:val="231F20"/>
          <w:szCs w:val="22"/>
        </w:rPr>
        <w:t xml:space="preserve">d </w:t>
      </w:r>
      <w:r w:rsidRPr="00AF1CF8">
        <w:rPr>
          <w:color w:val="231F20"/>
          <w:spacing w:val="-1"/>
          <w:szCs w:val="22"/>
        </w:rPr>
        <w:t>projec</w:t>
      </w:r>
      <w:r w:rsidRPr="00AF1CF8">
        <w:rPr>
          <w:color w:val="231F20"/>
          <w:szCs w:val="22"/>
        </w:rPr>
        <w:t xml:space="preserve">t – </w:t>
      </w:r>
      <w:r w:rsidRPr="00AF1CF8">
        <w:rPr>
          <w:i/>
          <w:color w:val="231F20"/>
          <w:spacing w:val="-1"/>
          <w:szCs w:val="22"/>
        </w:rPr>
        <w:t>Adelant</w:t>
      </w:r>
      <w:r w:rsidRPr="00AF1CF8">
        <w:rPr>
          <w:i/>
          <w:color w:val="231F20"/>
          <w:szCs w:val="22"/>
        </w:rPr>
        <w:t xml:space="preserve">e con </w:t>
      </w:r>
      <w:r w:rsidRPr="00AF1CF8">
        <w:rPr>
          <w:i/>
          <w:color w:val="231F20"/>
          <w:spacing w:val="-1"/>
          <w:szCs w:val="22"/>
        </w:rPr>
        <w:t>Comunidad</w:t>
      </w:r>
      <w:r w:rsidRPr="00AF1CF8">
        <w:rPr>
          <w:i/>
          <w:color w:val="231F20"/>
          <w:szCs w:val="22"/>
        </w:rPr>
        <w:t xml:space="preserve">, </w:t>
      </w:r>
      <w:r w:rsidRPr="00AF1CF8">
        <w:rPr>
          <w:i/>
          <w:color w:val="231F20"/>
          <w:spacing w:val="-1"/>
          <w:szCs w:val="22"/>
        </w:rPr>
        <w:t>Excelencia</w:t>
      </w:r>
      <w:r w:rsidRPr="00AF1CF8">
        <w:rPr>
          <w:i/>
          <w:color w:val="231F20"/>
          <w:szCs w:val="22"/>
        </w:rPr>
        <w:t xml:space="preserve">, </w:t>
      </w:r>
      <w:r w:rsidRPr="00AF1CF8">
        <w:rPr>
          <w:i/>
          <w:color w:val="231F20"/>
          <w:spacing w:val="-1"/>
          <w:szCs w:val="22"/>
        </w:rPr>
        <w:t>Sabidurí</w:t>
      </w:r>
      <w:r w:rsidRPr="00AF1CF8">
        <w:rPr>
          <w:i/>
          <w:color w:val="231F20"/>
          <w:szCs w:val="22"/>
        </w:rPr>
        <w:t xml:space="preserve">a y </w:t>
      </w:r>
      <w:r w:rsidRPr="00AF1CF8">
        <w:rPr>
          <w:i/>
          <w:color w:val="231F20"/>
          <w:w w:val="99"/>
          <w:szCs w:val="22"/>
        </w:rPr>
        <w:t xml:space="preserve">Opportunidad, </w:t>
      </w:r>
      <w:r w:rsidRPr="00AF1CF8">
        <w:rPr>
          <w:iCs/>
          <w:color w:val="231F20"/>
          <w:w w:val="99"/>
          <w:szCs w:val="22"/>
        </w:rPr>
        <w:t xml:space="preserve">or, </w:t>
      </w:r>
      <w:r w:rsidRPr="00AF1CF8">
        <w:rPr>
          <w:i/>
          <w:color w:val="231F20"/>
          <w:w w:val="99"/>
          <w:szCs w:val="22"/>
        </w:rPr>
        <w:t>ACCESO</w:t>
      </w:r>
      <w:r w:rsidRPr="00AF1CF8">
        <w:rPr>
          <w:color w:val="231F20"/>
          <w:szCs w:val="22"/>
        </w:rPr>
        <w:t>– is expected to demonstrate impact on student success (persistence, completion of 30 units in year one, and attainment of a certificate, degree or transfer within three years) and institutional capacity to deliver and consistently improve evidence-based programs responsive to the needs of Latinx and low-income</w:t>
      </w:r>
      <w:r w:rsidR="00BA19FF" w:rsidRPr="00AF1CF8">
        <w:rPr>
          <w:color w:val="231F20"/>
          <w:szCs w:val="22"/>
        </w:rPr>
        <w:t xml:space="preserve"> </w:t>
      </w:r>
      <w:r w:rsidRPr="00EB748D">
        <w:rPr>
          <w:color w:val="231F20"/>
          <w:szCs w:val="22"/>
        </w:rPr>
        <w:t>students.</w:t>
      </w:r>
    </w:p>
    <w:p w14:paraId="00B5492C" w14:textId="77777777" w:rsidR="00493F5D" w:rsidRPr="00BB223B" w:rsidRDefault="00493F5D" w:rsidP="00493F5D">
      <w:pPr>
        <w:pStyle w:val="BodyText"/>
        <w:rPr>
          <w:szCs w:val="22"/>
        </w:rPr>
      </w:pPr>
    </w:p>
    <w:p w14:paraId="45C4C84B" w14:textId="77777777" w:rsidR="00493F5D" w:rsidRPr="00AF1CF8" w:rsidRDefault="00493F5D" w:rsidP="00493F5D">
      <w:pPr>
        <w:pStyle w:val="BodyText"/>
        <w:rPr>
          <w:szCs w:val="22"/>
        </w:rPr>
      </w:pPr>
      <w:r w:rsidRPr="00AF1CF8">
        <w:rPr>
          <w:color w:val="231F20"/>
          <w:szCs w:val="22"/>
        </w:rPr>
        <w:t>Informed by the What Works Clearinghouse Practice Guide, “Strategies for Postsecondary Students in Developmental Education - A Practice Guide for College and University Administrators, Advisors, and Faculty” (2017) and responding to HSI Competitive Preference Priority #2, CoA will implement a comprehensive, integrated, and long-lasting support program with the following three activity components:</w:t>
      </w:r>
    </w:p>
    <w:p w14:paraId="2944BEA3" w14:textId="77777777" w:rsidR="00493F5D" w:rsidRPr="00AF1CF8" w:rsidRDefault="00493F5D" w:rsidP="00493F5D">
      <w:pPr>
        <w:pStyle w:val="ListParagraph"/>
        <w:numPr>
          <w:ilvl w:val="0"/>
          <w:numId w:val="40"/>
        </w:numPr>
        <w:tabs>
          <w:tab w:val="left" w:pos="1660"/>
          <w:tab w:val="left" w:pos="2406"/>
          <w:tab w:val="left" w:pos="9407"/>
        </w:tabs>
      </w:pPr>
      <w:r w:rsidRPr="00AF1CF8">
        <w:rPr>
          <w:color w:val="231F20"/>
        </w:rPr>
        <w:t>Support Latinx students to plan for and attain a certificate, degree, or transfer within three years. CoA will conduct dedicated internal and external outreach to prospective Latinx students, including students in dual enrollment classes and in community-based courses.  All Latinx CoA students will receive initial counseling and orientation to ACCESO and long-term, direct support from a counselor throughout their CoA</w:t>
      </w:r>
      <w:r w:rsidRPr="00AF1CF8">
        <w:rPr>
          <w:color w:val="231F20"/>
          <w:spacing w:val="40"/>
        </w:rPr>
        <w:t xml:space="preserve"> </w:t>
      </w:r>
      <w:r w:rsidRPr="00AF1CF8">
        <w:rPr>
          <w:color w:val="231F20"/>
        </w:rPr>
        <w:t>journey. The new ACCESO Center and Club will shape an embracing campus</w:t>
      </w:r>
      <w:r w:rsidRPr="00AF1CF8">
        <w:rPr>
          <w:color w:val="231F20"/>
          <w:spacing w:val="-19"/>
        </w:rPr>
        <w:t xml:space="preserve"> </w:t>
      </w:r>
      <w:r w:rsidRPr="00AF1CF8">
        <w:rPr>
          <w:color w:val="231F20"/>
        </w:rPr>
        <w:t>community.</w:t>
      </w:r>
    </w:p>
    <w:p w14:paraId="4D524CE7" w14:textId="00FD8DFB" w:rsidR="00493F5D" w:rsidRPr="00AF1CF8" w:rsidRDefault="00493F5D" w:rsidP="00493F5D">
      <w:pPr>
        <w:pStyle w:val="ListParagraph"/>
        <w:numPr>
          <w:ilvl w:val="0"/>
          <w:numId w:val="40"/>
        </w:numPr>
        <w:tabs>
          <w:tab w:val="left" w:pos="1660"/>
          <w:tab w:val="left" w:pos="10472"/>
        </w:tabs>
      </w:pPr>
      <w:r w:rsidRPr="00AF1CF8">
        <w:rPr>
          <w:color w:val="231F20"/>
        </w:rPr>
        <w:t xml:space="preserve">Deliver high-quality </w:t>
      </w:r>
      <w:r w:rsidR="00BC51D8" w:rsidRPr="00AF1CF8">
        <w:rPr>
          <w:color w:val="231F20"/>
        </w:rPr>
        <w:t>instructional models</w:t>
      </w:r>
      <w:r w:rsidRPr="00AF1CF8">
        <w:rPr>
          <w:color w:val="231F20"/>
        </w:rPr>
        <w:t xml:space="preserve"> to ensure Latinx students’</w:t>
      </w:r>
      <w:r w:rsidRPr="00AF1CF8">
        <w:rPr>
          <w:color w:val="231F20"/>
          <w:spacing w:val="53"/>
        </w:rPr>
        <w:t xml:space="preserve"> </w:t>
      </w:r>
      <w:r w:rsidRPr="00AF1CF8">
        <w:rPr>
          <w:color w:val="231F20"/>
        </w:rPr>
        <w:t>academic</w:t>
      </w:r>
      <w:r w:rsidRPr="00AF1CF8">
        <w:rPr>
          <w:color w:val="231F20"/>
          <w:spacing w:val="24"/>
        </w:rPr>
        <w:t xml:space="preserve"> </w:t>
      </w:r>
      <w:r w:rsidRPr="00AF1CF8">
        <w:rPr>
          <w:color w:val="231F20"/>
        </w:rPr>
        <w:t>success. CoA will partner with the Puente Project to institute a cohort-based Latinx learning community, offering English and counseling courses, embedded tutoring, and mentoring, and supporting students’ attainment of at least 30 transferable units in their first year. “Smartshops” - free and flexible micro-lessons on academic preparation topics - will be offered and promoted through ACCESO. Professional development for faculty and staff will support Latinx student success campus wide.</w:t>
      </w:r>
    </w:p>
    <w:p w14:paraId="695D2404" w14:textId="77777777" w:rsidR="00493F5D" w:rsidRPr="00AF1CF8" w:rsidRDefault="00493F5D" w:rsidP="00493F5D">
      <w:pPr>
        <w:pStyle w:val="ListParagraph"/>
        <w:numPr>
          <w:ilvl w:val="0"/>
          <w:numId w:val="40"/>
        </w:numPr>
        <w:tabs>
          <w:tab w:val="left" w:pos="1660"/>
          <w:tab w:val="left" w:pos="6308"/>
        </w:tabs>
      </w:pPr>
      <w:r w:rsidRPr="00AF1CF8">
        <w:rPr>
          <w:color w:val="231F20"/>
        </w:rPr>
        <w:t>Equip Latinx students with the knowledge and financial assistance they need to remain financially stable through college</w:t>
      </w:r>
      <w:r w:rsidRPr="00AF1CF8">
        <w:rPr>
          <w:color w:val="231F20"/>
          <w:spacing w:val="8"/>
        </w:rPr>
        <w:t xml:space="preserve"> </w:t>
      </w:r>
      <w:r w:rsidRPr="00AF1CF8">
        <w:rPr>
          <w:color w:val="231F20"/>
        </w:rPr>
        <w:t>and</w:t>
      </w:r>
      <w:r w:rsidRPr="00AF1CF8">
        <w:rPr>
          <w:color w:val="231F20"/>
          <w:spacing w:val="-4"/>
        </w:rPr>
        <w:t xml:space="preserve"> </w:t>
      </w:r>
      <w:r w:rsidRPr="00AF1CF8">
        <w:rPr>
          <w:color w:val="231F20"/>
        </w:rPr>
        <w:t>beyond. In response to focus group findings on the high levels of stress and financial difficulty faced by CoA students during their college years, ACCESO will deliver smartshops and integrated instruction on financial planning, budgeting, and college financing; offer career coaching and employment assistance; and market resources to improve college</w:t>
      </w:r>
      <w:r w:rsidRPr="00AF1CF8">
        <w:rPr>
          <w:color w:val="231F20"/>
          <w:spacing w:val="-8"/>
        </w:rPr>
        <w:t xml:space="preserve"> </w:t>
      </w:r>
      <w:r w:rsidRPr="00AF1CF8">
        <w:rPr>
          <w:color w:val="231F20"/>
        </w:rPr>
        <w:t>affordability.</w:t>
      </w:r>
    </w:p>
    <w:p w14:paraId="740894B5" w14:textId="7CC04BD5" w:rsidR="002A169B" w:rsidRPr="00AF1CF8" w:rsidRDefault="002A169B" w:rsidP="002A169B"/>
    <w:p w14:paraId="782A2363" w14:textId="039C744C" w:rsidR="00BC51D8" w:rsidRPr="00AF1CF8" w:rsidRDefault="00BC51D8" w:rsidP="002A169B"/>
    <w:p w14:paraId="2C998FAA" w14:textId="59E1282B" w:rsidR="00A516D5" w:rsidRPr="00AF1CF8" w:rsidRDefault="00A516D5" w:rsidP="00634CAD">
      <w:pPr>
        <w:pStyle w:val="Heading1"/>
      </w:pPr>
      <w:r w:rsidRPr="00AF1CF8">
        <w:t>P031S190326</w:t>
      </w:r>
      <w:bookmarkStart w:id="16" w:name="16-DHSI0326APP"/>
      <w:bookmarkEnd w:id="16"/>
      <w:r w:rsidRPr="00AF1CF8">
        <w:t xml:space="preserve"> </w:t>
      </w:r>
      <w:r w:rsidRPr="00AF1CF8">
        <w:br/>
        <w:t>Reedley College, CA</w:t>
      </w:r>
    </w:p>
    <w:p w14:paraId="1A293C09" w14:textId="4A857E8F" w:rsidR="00A516D5" w:rsidRPr="00EB748D" w:rsidRDefault="00A516D5" w:rsidP="00A516D5">
      <w:pPr>
        <w:pStyle w:val="BodyText"/>
        <w:rPr>
          <w:szCs w:val="22"/>
        </w:rPr>
      </w:pPr>
    </w:p>
    <w:p w14:paraId="3AF0DF7D" w14:textId="7B3370BB" w:rsidR="00A516D5" w:rsidRPr="00AF1CF8" w:rsidRDefault="00A516D5" w:rsidP="00A516D5">
      <w:pPr>
        <w:pStyle w:val="BodyText"/>
        <w:rPr>
          <w:szCs w:val="22"/>
        </w:rPr>
      </w:pPr>
      <w:r w:rsidRPr="00BB223B">
        <w:rPr>
          <w:color w:val="010202"/>
          <w:szCs w:val="22"/>
        </w:rPr>
        <w:t>Reedley College (RC) is a fully accredited California two-year college located</w:t>
      </w:r>
      <w:r w:rsidRPr="00AF1CF8">
        <w:rPr>
          <w:color w:val="010202"/>
          <w:szCs w:val="22"/>
        </w:rPr>
        <w:t xml:space="preserve"> in the heart of California’s Central Valley serving Fresno and Tulare counties. As a Hispanic Serving Institution with an enrollment of 16,000 students and 65</w:t>
      </w:r>
      <w:r w:rsidR="00A23357" w:rsidRPr="00AF1CF8">
        <w:rPr>
          <w:color w:val="010202"/>
          <w:szCs w:val="22"/>
        </w:rPr>
        <w:t xml:space="preserve"> percent</w:t>
      </w:r>
      <w:r w:rsidRPr="00EB748D">
        <w:rPr>
          <w:color w:val="010202"/>
          <w:szCs w:val="22"/>
        </w:rPr>
        <w:t xml:space="preserve"> of its students designated as low- income, the service area faces challenges of unemployment, endemic poverty, and low levels of educational attainment. RC is the pathway to better lives for its students and w</w:t>
      </w:r>
      <w:r w:rsidRPr="00BB223B">
        <w:rPr>
          <w:color w:val="010202"/>
          <w:szCs w:val="22"/>
        </w:rPr>
        <w:t>ith this responsibility, requests a grant from the U.S. Departme</w:t>
      </w:r>
      <w:r w:rsidRPr="00AF1CF8">
        <w:rPr>
          <w:color w:val="010202"/>
          <w:szCs w:val="22"/>
        </w:rPr>
        <w:t xml:space="preserve">nt of Education to implement its </w:t>
      </w:r>
      <w:r w:rsidRPr="00AF1CF8">
        <w:rPr>
          <w:b/>
          <w:i/>
          <w:color w:val="010202"/>
          <w:szCs w:val="22"/>
        </w:rPr>
        <w:t xml:space="preserve">Scaling Applied Learning to Guided Pathways </w:t>
      </w:r>
      <w:r w:rsidRPr="00AF1CF8">
        <w:rPr>
          <w:color w:val="010202"/>
          <w:szCs w:val="22"/>
        </w:rPr>
        <w:t>program.</w:t>
      </w:r>
    </w:p>
    <w:p w14:paraId="45BA9D6B" w14:textId="77777777" w:rsidR="00A516D5" w:rsidRPr="00AF1CF8" w:rsidRDefault="00A516D5" w:rsidP="00A516D5">
      <w:pPr>
        <w:pStyle w:val="BodyText"/>
        <w:rPr>
          <w:color w:val="010202"/>
          <w:szCs w:val="22"/>
        </w:rPr>
      </w:pPr>
    </w:p>
    <w:p w14:paraId="2335F800" w14:textId="77777777" w:rsidR="00A516D5" w:rsidRPr="00AF1CF8" w:rsidRDefault="00A516D5" w:rsidP="00A516D5">
      <w:pPr>
        <w:pStyle w:val="BodyText"/>
        <w:rPr>
          <w:i/>
          <w:szCs w:val="22"/>
        </w:rPr>
      </w:pPr>
      <w:r w:rsidRPr="00AF1CF8">
        <w:rPr>
          <w:color w:val="010202"/>
          <w:szCs w:val="22"/>
        </w:rPr>
        <w:t xml:space="preserve">Reedley College proposes an innovative and integrated approach to outreach, alignment, and student support structures by scaling existing Dual Enrollment (DuE) efforts and aligning them with the Central Valley Promise (CVP) and Guided Pathways (GP) programs. The RC Title V project has One Activity and three (3) supporting components that guide the implementation of the proposed strategies: </w:t>
      </w:r>
      <w:r w:rsidRPr="00AF1CF8">
        <w:rPr>
          <w:i/>
          <w:color w:val="010202"/>
          <w:szCs w:val="22"/>
        </w:rPr>
        <w:t>Career Exploration, Applied Learning, and Student Engagement.</w:t>
      </w:r>
    </w:p>
    <w:p w14:paraId="6877E194" w14:textId="77777777" w:rsidR="00A516D5" w:rsidRPr="00AF1CF8" w:rsidRDefault="00A516D5" w:rsidP="00A516D5">
      <w:pPr>
        <w:rPr>
          <w:b/>
          <w:color w:val="010202"/>
        </w:rPr>
      </w:pPr>
    </w:p>
    <w:p w14:paraId="5A15D2D7" w14:textId="77777777" w:rsidR="00A516D5" w:rsidRPr="00AF1CF8" w:rsidRDefault="00A516D5" w:rsidP="00A516D5">
      <w:pPr>
        <w:rPr>
          <w:b/>
        </w:rPr>
      </w:pPr>
      <w:r w:rsidRPr="00AF1CF8">
        <w:rPr>
          <w:b/>
          <w:color w:val="010202"/>
        </w:rPr>
        <w:t xml:space="preserve">ACTIVITY: </w:t>
      </w:r>
      <w:r w:rsidRPr="00AF1CF8">
        <w:rPr>
          <w:b/>
          <w:i/>
          <w:color w:val="010202"/>
        </w:rPr>
        <w:t xml:space="preserve">SCALING APPLIED LEARNING TO GUIDED PATHWAYS </w:t>
      </w:r>
      <w:r w:rsidRPr="00AF1CF8">
        <w:rPr>
          <w:b/>
          <w:color w:val="010202"/>
        </w:rPr>
        <w:t>($2,750,000 over</w:t>
      </w:r>
    </w:p>
    <w:p w14:paraId="12466769" w14:textId="657D9DA5" w:rsidR="00A516D5" w:rsidRPr="00BB223B" w:rsidRDefault="00A516D5" w:rsidP="00A516D5">
      <w:pPr>
        <w:rPr>
          <w:i/>
        </w:rPr>
      </w:pPr>
      <w:r w:rsidRPr="00AF1CF8">
        <w:rPr>
          <w:b/>
          <w:color w:val="010202"/>
        </w:rPr>
        <w:t xml:space="preserve">five years) </w:t>
      </w:r>
      <w:r w:rsidRPr="00AF1CF8">
        <w:rPr>
          <w:color w:val="010202"/>
        </w:rPr>
        <w:t xml:space="preserve">Strategies will increase the number of Hispanic and low-income students that enroll, complete transfer-level math and English, and succeed to meet the requirements for certificate/degree and/or transfer to a four-year university within two to three years. </w:t>
      </w:r>
      <w:r w:rsidRPr="00AF1CF8">
        <w:rPr>
          <w:i/>
          <w:color w:val="010202"/>
        </w:rPr>
        <w:t xml:space="preserve">Project outcomes include a </w:t>
      </w:r>
      <w:r w:rsidR="00A23357" w:rsidRPr="00AF1CF8">
        <w:rPr>
          <w:i/>
          <w:color w:val="010202"/>
        </w:rPr>
        <w:t>five percent</w:t>
      </w:r>
      <w:r w:rsidRPr="00EB748D">
        <w:rPr>
          <w:i/>
          <w:color w:val="010202"/>
        </w:rPr>
        <w:t xml:space="preserve"> increase in the number of students with a student education plan, a 20</w:t>
      </w:r>
      <w:r w:rsidR="00A23357" w:rsidRPr="00AF1CF8">
        <w:rPr>
          <w:i/>
          <w:color w:val="010202"/>
        </w:rPr>
        <w:t xml:space="preserve"> percent</w:t>
      </w:r>
      <w:r w:rsidRPr="00EB748D">
        <w:rPr>
          <w:i/>
          <w:color w:val="010202"/>
        </w:rPr>
        <w:t xml:space="preserve"> increase in the completion of transfer-level math and English, a 10</w:t>
      </w:r>
      <w:r w:rsidR="00A23357" w:rsidRPr="00AF1CF8">
        <w:rPr>
          <w:i/>
          <w:color w:val="010202"/>
        </w:rPr>
        <w:t xml:space="preserve"> percent</w:t>
      </w:r>
      <w:r w:rsidRPr="00EB748D">
        <w:rPr>
          <w:i/>
          <w:color w:val="010202"/>
        </w:rPr>
        <w:t xml:space="preserve"> decrease in the number of units completed toward an associate’s degree, and a 35</w:t>
      </w:r>
      <w:r w:rsidR="00A23357" w:rsidRPr="00AF1CF8">
        <w:rPr>
          <w:i/>
          <w:color w:val="010202"/>
        </w:rPr>
        <w:t xml:space="preserve"> percent</w:t>
      </w:r>
      <w:r w:rsidRPr="00EB748D">
        <w:rPr>
          <w:i/>
          <w:color w:val="010202"/>
        </w:rPr>
        <w:t xml:space="preserve"> increase in the number of students who transfer to a four-year university.</w:t>
      </w:r>
    </w:p>
    <w:p w14:paraId="31F9F0CD" w14:textId="77777777" w:rsidR="00A516D5" w:rsidRPr="00AF1CF8" w:rsidRDefault="00A516D5" w:rsidP="00A516D5">
      <w:pPr>
        <w:tabs>
          <w:tab w:val="left" w:pos="1299"/>
          <w:tab w:val="left" w:pos="1301"/>
        </w:tabs>
      </w:pPr>
    </w:p>
    <w:p w14:paraId="5C97B127" w14:textId="77777777" w:rsidR="00A516D5" w:rsidRPr="00AF1CF8" w:rsidRDefault="00A516D5" w:rsidP="00A516D5">
      <w:pPr>
        <w:pStyle w:val="ListParagraph"/>
        <w:numPr>
          <w:ilvl w:val="0"/>
          <w:numId w:val="41"/>
        </w:numPr>
        <w:tabs>
          <w:tab w:val="left" w:pos="1299"/>
          <w:tab w:val="left" w:pos="1301"/>
        </w:tabs>
      </w:pPr>
      <w:r w:rsidRPr="00AF1CF8">
        <w:rPr>
          <w:b/>
          <w:color w:val="010202"/>
          <w:u w:val="thick" w:color="010202"/>
        </w:rPr>
        <w:t>Component One</w:t>
      </w:r>
      <w:r w:rsidRPr="00AF1CF8">
        <w:rPr>
          <w:b/>
          <w:color w:val="010202"/>
        </w:rPr>
        <w:t xml:space="preserve">: Career Exploration </w:t>
      </w:r>
      <w:r w:rsidRPr="00AF1CF8">
        <w:rPr>
          <w:color w:val="010202"/>
        </w:rPr>
        <w:t>to increase access and enrollment of Hispanic and low-income students through career-focused onboarding and expansion of College Promise and Dual Enrollment</w:t>
      </w:r>
      <w:r w:rsidRPr="00AF1CF8">
        <w:rPr>
          <w:color w:val="010202"/>
          <w:spacing w:val="-1"/>
        </w:rPr>
        <w:t xml:space="preserve"> </w:t>
      </w:r>
      <w:r w:rsidRPr="00AF1CF8">
        <w:rPr>
          <w:color w:val="010202"/>
        </w:rPr>
        <w:t>opportunities.</w:t>
      </w:r>
    </w:p>
    <w:p w14:paraId="4274065A" w14:textId="77777777" w:rsidR="00A516D5" w:rsidRPr="00AF1CF8" w:rsidRDefault="00A516D5" w:rsidP="00A516D5">
      <w:pPr>
        <w:pStyle w:val="ListParagraph"/>
        <w:tabs>
          <w:tab w:val="left" w:pos="1299"/>
          <w:tab w:val="left" w:pos="1300"/>
        </w:tabs>
        <w:ind w:left="360"/>
      </w:pPr>
    </w:p>
    <w:p w14:paraId="782474B9" w14:textId="77777777" w:rsidR="00A516D5" w:rsidRPr="00AF1CF8" w:rsidRDefault="00A516D5" w:rsidP="00A516D5">
      <w:pPr>
        <w:pStyle w:val="ListParagraph"/>
        <w:numPr>
          <w:ilvl w:val="0"/>
          <w:numId w:val="41"/>
        </w:numPr>
        <w:tabs>
          <w:tab w:val="left" w:pos="1299"/>
          <w:tab w:val="left" w:pos="1300"/>
        </w:tabs>
      </w:pPr>
      <w:r w:rsidRPr="00AF1CF8">
        <w:rPr>
          <w:b/>
          <w:color w:val="010202"/>
          <w:u w:val="thick" w:color="010202"/>
        </w:rPr>
        <w:t>Component Two</w:t>
      </w:r>
      <w:r w:rsidRPr="00AF1CF8">
        <w:rPr>
          <w:color w:val="010202"/>
        </w:rPr>
        <w:t xml:space="preserve">: </w:t>
      </w:r>
      <w:r w:rsidRPr="00AF1CF8">
        <w:rPr>
          <w:b/>
          <w:color w:val="010202"/>
        </w:rPr>
        <w:t xml:space="preserve">Applied Learning </w:t>
      </w:r>
      <w:r w:rsidRPr="00AF1CF8">
        <w:rPr>
          <w:color w:val="010202"/>
        </w:rPr>
        <w:t>to increase success in transfer-level math and English sequence, and to improve time to completion for Degree/Certificate and Transfer through First-Year Experience engagement programs, embedded Financial Literacy curriculum and contextualized learning opportunities in non-CTE Guided Pathway</w:t>
      </w:r>
      <w:r w:rsidRPr="00AF1CF8">
        <w:rPr>
          <w:color w:val="010202"/>
          <w:spacing w:val="-21"/>
        </w:rPr>
        <w:t xml:space="preserve"> </w:t>
      </w:r>
      <w:r w:rsidRPr="00AF1CF8">
        <w:rPr>
          <w:color w:val="010202"/>
        </w:rPr>
        <w:t>majors.</w:t>
      </w:r>
    </w:p>
    <w:p w14:paraId="299EC8BB" w14:textId="77777777" w:rsidR="00A516D5" w:rsidRPr="00AF1CF8" w:rsidRDefault="00A516D5" w:rsidP="00A516D5">
      <w:pPr>
        <w:pStyle w:val="ListParagraph"/>
        <w:tabs>
          <w:tab w:val="left" w:pos="1299"/>
          <w:tab w:val="left" w:pos="1300"/>
        </w:tabs>
        <w:ind w:left="360"/>
      </w:pPr>
    </w:p>
    <w:p w14:paraId="4B877A96" w14:textId="77777777" w:rsidR="00A516D5" w:rsidRPr="00AF1CF8" w:rsidRDefault="00A516D5" w:rsidP="00A516D5">
      <w:pPr>
        <w:pStyle w:val="ListParagraph"/>
        <w:numPr>
          <w:ilvl w:val="0"/>
          <w:numId w:val="41"/>
        </w:numPr>
        <w:tabs>
          <w:tab w:val="left" w:pos="1299"/>
          <w:tab w:val="left" w:pos="1300"/>
        </w:tabs>
      </w:pPr>
      <w:r w:rsidRPr="00AF1CF8">
        <w:rPr>
          <w:b/>
          <w:color w:val="010202"/>
          <w:u w:val="thick" w:color="010202"/>
        </w:rPr>
        <w:t>Component Three</w:t>
      </w:r>
      <w:r w:rsidRPr="00AF1CF8">
        <w:rPr>
          <w:b/>
          <w:color w:val="010202"/>
        </w:rPr>
        <w:t xml:space="preserve">: Student Engagement </w:t>
      </w:r>
      <w:r w:rsidRPr="00AF1CF8">
        <w:rPr>
          <w:color w:val="010202"/>
        </w:rPr>
        <w:t>to improve classroom success for underrepresented</w:t>
      </w:r>
      <w:r w:rsidRPr="00AF1CF8">
        <w:rPr>
          <w:color w:val="010202"/>
          <w:spacing w:val="-6"/>
        </w:rPr>
        <w:t xml:space="preserve"> </w:t>
      </w:r>
      <w:r w:rsidRPr="00AF1CF8">
        <w:rPr>
          <w:color w:val="010202"/>
        </w:rPr>
        <w:t>populations</w:t>
      </w:r>
      <w:r w:rsidRPr="00AF1CF8">
        <w:rPr>
          <w:color w:val="010202"/>
          <w:spacing w:val="-6"/>
        </w:rPr>
        <w:t xml:space="preserve"> </w:t>
      </w:r>
      <w:r w:rsidRPr="00AF1CF8">
        <w:rPr>
          <w:color w:val="010202"/>
        </w:rPr>
        <w:t>and</w:t>
      </w:r>
      <w:r w:rsidRPr="00AF1CF8">
        <w:rPr>
          <w:color w:val="010202"/>
          <w:spacing w:val="-6"/>
        </w:rPr>
        <w:t xml:space="preserve"> </w:t>
      </w:r>
      <w:r w:rsidRPr="00AF1CF8">
        <w:rPr>
          <w:color w:val="010202"/>
        </w:rPr>
        <w:t>mitigate</w:t>
      </w:r>
      <w:r w:rsidRPr="00AF1CF8">
        <w:rPr>
          <w:color w:val="010202"/>
          <w:spacing w:val="-6"/>
        </w:rPr>
        <w:t xml:space="preserve"> </w:t>
      </w:r>
      <w:r w:rsidRPr="00AF1CF8">
        <w:rPr>
          <w:color w:val="010202"/>
        </w:rPr>
        <w:t>financial</w:t>
      </w:r>
      <w:r w:rsidRPr="00AF1CF8">
        <w:rPr>
          <w:color w:val="010202"/>
          <w:spacing w:val="-5"/>
        </w:rPr>
        <w:t xml:space="preserve"> </w:t>
      </w:r>
      <w:r w:rsidRPr="00AF1CF8">
        <w:rPr>
          <w:color w:val="010202"/>
        </w:rPr>
        <w:t>and</w:t>
      </w:r>
      <w:r w:rsidRPr="00AF1CF8">
        <w:rPr>
          <w:color w:val="010202"/>
          <w:spacing w:val="-6"/>
        </w:rPr>
        <w:t xml:space="preserve"> </w:t>
      </w:r>
      <w:r w:rsidRPr="00AF1CF8">
        <w:rPr>
          <w:color w:val="010202"/>
        </w:rPr>
        <w:t>academic</w:t>
      </w:r>
      <w:r w:rsidRPr="00AF1CF8">
        <w:rPr>
          <w:color w:val="010202"/>
          <w:spacing w:val="-6"/>
        </w:rPr>
        <w:t xml:space="preserve"> </w:t>
      </w:r>
      <w:r w:rsidRPr="00AF1CF8">
        <w:rPr>
          <w:color w:val="010202"/>
        </w:rPr>
        <w:t>barriers</w:t>
      </w:r>
      <w:r w:rsidRPr="00AF1CF8">
        <w:rPr>
          <w:color w:val="010202"/>
          <w:spacing w:val="-6"/>
        </w:rPr>
        <w:t xml:space="preserve"> </w:t>
      </w:r>
      <w:r w:rsidRPr="00AF1CF8">
        <w:rPr>
          <w:color w:val="010202"/>
        </w:rPr>
        <w:t>to</w:t>
      </w:r>
      <w:r w:rsidRPr="00AF1CF8">
        <w:rPr>
          <w:color w:val="010202"/>
          <w:spacing w:val="-5"/>
        </w:rPr>
        <w:t xml:space="preserve"> </w:t>
      </w:r>
      <w:r w:rsidRPr="00AF1CF8">
        <w:rPr>
          <w:color w:val="010202"/>
        </w:rPr>
        <w:t>success</w:t>
      </w:r>
      <w:r w:rsidRPr="00AF1CF8">
        <w:rPr>
          <w:color w:val="010202"/>
          <w:spacing w:val="-6"/>
        </w:rPr>
        <w:t xml:space="preserve"> </w:t>
      </w:r>
      <w:r w:rsidRPr="00AF1CF8">
        <w:rPr>
          <w:color w:val="010202"/>
        </w:rPr>
        <w:t>through enhanced and supported Professional Development activities, undergraduate research opportunities, and service learning for two-year college</w:t>
      </w:r>
      <w:r w:rsidRPr="00AF1CF8">
        <w:rPr>
          <w:color w:val="010202"/>
          <w:spacing w:val="-14"/>
        </w:rPr>
        <w:t xml:space="preserve"> </w:t>
      </w:r>
      <w:r w:rsidRPr="00AF1CF8">
        <w:rPr>
          <w:color w:val="010202"/>
        </w:rPr>
        <w:t>students.</w:t>
      </w:r>
    </w:p>
    <w:p w14:paraId="2426274E" w14:textId="15DD64A9" w:rsidR="00BC51D8" w:rsidRPr="00AF1CF8" w:rsidRDefault="00BC51D8" w:rsidP="002A169B"/>
    <w:p w14:paraId="696B57B9" w14:textId="5611341D" w:rsidR="005B0A16" w:rsidRPr="00AF1CF8" w:rsidRDefault="005B0A16" w:rsidP="002A169B"/>
    <w:p w14:paraId="57118A14" w14:textId="2DCEEBF7" w:rsidR="0087428D" w:rsidRPr="00AF1CF8" w:rsidRDefault="0087428D" w:rsidP="00634CAD">
      <w:pPr>
        <w:pStyle w:val="Heading1"/>
      </w:pPr>
      <w:r w:rsidRPr="00AF1CF8">
        <w:t>P031S190318</w:t>
      </w:r>
      <w:r w:rsidR="005E73A6" w:rsidRPr="00AF1CF8">
        <w:t xml:space="preserve"> </w:t>
      </w:r>
      <w:r w:rsidR="00367417" w:rsidRPr="00AF1CF8">
        <w:br/>
      </w:r>
      <w:r w:rsidR="005E73A6" w:rsidRPr="00AF1CF8">
        <w:t>Riverside Community College District/Norco College, CA</w:t>
      </w:r>
    </w:p>
    <w:p w14:paraId="56EAF389" w14:textId="589A20DC" w:rsidR="0087428D" w:rsidRPr="00AF1CF8" w:rsidRDefault="0087428D" w:rsidP="0087428D"/>
    <w:p w14:paraId="0E8DB98C" w14:textId="6B2B71B3" w:rsidR="0087428D" w:rsidRPr="00EB748D" w:rsidRDefault="0087428D" w:rsidP="0087428D">
      <w:pPr>
        <w:pStyle w:val="BodyText"/>
        <w:rPr>
          <w:szCs w:val="22"/>
        </w:rPr>
      </w:pPr>
      <w:r w:rsidRPr="00AF1CF8">
        <w:rPr>
          <w:szCs w:val="22"/>
        </w:rPr>
        <w:t xml:space="preserve">This Title V Project, </w:t>
      </w:r>
      <w:r w:rsidRPr="00AF1CF8">
        <w:rPr>
          <w:b/>
          <w:i/>
          <w:szCs w:val="22"/>
        </w:rPr>
        <w:t xml:space="preserve">Project PACES: Pathways to Access, Completion, Equity and Success </w:t>
      </w:r>
      <w:r w:rsidRPr="00AF1CF8">
        <w:rPr>
          <w:szCs w:val="22"/>
        </w:rPr>
        <w:t>will greatly enable Norco College to expand and enhance the support it provides to its underprepared, socio-economically disadvantaged and rurally marginalized Hispanic and low-income students. The Project enables us to implement best practices services and mechanisms to address the challenges Norco is facing as it expands into a comprehensive associate-granting, regional post- secondary institution. Norco College meets the designation requirements for Hispanic-, and Minority-Serving Institutions. The college’s largely first-time college student population is academically</w:t>
      </w:r>
      <w:r w:rsidRPr="00AF1CF8">
        <w:rPr>
          <w:spacing w:val="-10"/>
          <w:szCs w:val="22"/>
        </w:rPr>
        <w:t xml:space="preserve"> </w:t>
      </w:r>
      <w:r w:rsidRPr="00AF1CF8">
        <w:rPr>
          <w:szCs w:val="22"/>
        </w:rPr>
        <w:t>underprepared</w:t>
      </w:r>
      <w:r w:rsidRPr="00AF1CF8">
        <w:rPr>
          <w:spacing w:val="-4"/>
          <w:szCs w:val="22"/>
        </w:rPr>
        <w:t xml:space="preserve"> </w:t>
      </w:r>
      <w:r w:rsidRPr="00AF1CF8">
        <w:rPr>
          <w:szCs w:val="22"/>
        </w:rPr>
        <w:t>(over</w:t>
      </w:r>
      <w:r w:rsidRPr="00AF1CF8">
        <w:rPr>
          <w:spacing w:val="-7"/>
          <w:szCs w:val="22"/>
        </w:rPr>
        <w:t xml:space="preserve"> </w:t>
      </w:r>
      <w:r w:rsidRPr="00AF1CF8">
        <w:rPr>
          <w:szCs w:val="22"/>
        </w:rPr>
        <w:t>90</w:t>
      </w:r>
      <w:r w:rsidR="00A23357" w:rsidRPr="00AF1CF8">
        <w:rPr>
          <w:szCs w:val="22"/>
        </w:rPr>
        <w:t xml:space="preserve"> percent</w:t>
      </w:r>
      <w:r w:rsidRPr="00AF1CF8">
        <w:rPr>
          <w:spacing w:val="-7"/>
          <w:szCs w:val="22"/>
        </w:rPr>
        <w:t xml:space="preserve"> </w:t>
      </w:r>
      <w:r w:rsidRPr="00AF1CF8">
        <w:rPr>
          <w:szCs w:val="22"/>
        </w:rPr>
        <w:t>of</w:t>
      </w:r>
      <w:r w:rsidRPr="00AF1CF8">
        <w:rPr>
          <w:spacing w:val="-4"/>
          <w:szCs w:val="22"/>
        </w:rPr>
        <w:t xml:space="preserve"> </w:t>
      </w:r>
      <w:r w:rsidRPr="00AF1CF8">
        <w:rPr>
          <w:szCs w:val="22"/>
        </w:rPr>
        <w:t>Hispanic</w:t>
      </w:r>
      <w:r w:rsidRPr="00AF1CF8">
        <w:rPr>
          <w:spacing w:val="-6"/>
          <w:szCs w:val="22"/>
        </w:rPr>
        <w:t xml:space="preserve"> </w:t>
      </w:r>
      <w:r w:rsidRPr="00AF1CF8">
        <w:rPr>
          <w:szCs w:val="22"/>
        </w:rPr>
        <w:t>students</w:t>
      </w:r>
      <w:r w:rsidRPr="00AF1CF8">
        <w:rPr>
          <w:spacing w:val="-7"/>
          <w:szCs w:val="22"/>
        </w:rPr>
        <w:t xml:space="preserve"> </w:t>
      </w:r>
      <w:r w:rsidRPr="00AF1CF8">
        <w:rPr>
          <w:szCs w:val="22"/>
        </w:rPr>
        <w:t>test</w:t>
      </w:r>
      <w:r w:rsidRPr="00AF1CF8">
        <w:rPr>
          <w:spacing w:val="-6"/>
          <w:szCs w:val="22"/>
        </w:rPr>
        <w:t xml:space="preserve"> </w:t>
      </w:r>
      <w:r w:rsidRPr="00AF1CF8">
        <w:rPr>
          <w:szCs w:val="22"/>
        </w:rPr>
        <w:t>into</w:t>
      </w:r>
      <w:r w:rsidRPr="00AF1CF8">
        <w:rPr>
          <w:spacing w:val="-6"/>
          <w:szCs w:val="22"/>
        </w:rPr>
        <w:t xml:space="preserve"> </w:t>
      </w:r>
      <w:r w:rsidRPr="00AF1CF8">
        <w:rPr>
          <w:szCs w:val="22"/>
        </w:rPr>
        <w:t>remedial</w:t>
      </w:r>
      <w:r w:rsidRPr="00AF1CF8">
        <w:rPr>
          <w:spacing w:val="-7"/>
          <w:szCs w:val="22"/>
        </w:rPr>
        <w:t xml:space="preserve"> </w:t>
      </w:r>
      <w:r w:rsidRPr="00AF1CF8">
        <w:rPr>
          <w:szCs w:val="22"/>
        </w:rPr>
        <w:t>classes)</w:t>
      </w:r>
      <w:r w:rsidRPr="00AF1CF8">
        <w:rPr>
          <w:spacing w:val="-6"/>
          <w:szCs w:val="22"/>
        </w:rPr>
        <w:t xml:space="preserve"> </w:t>
      </w:r>
      <w:r w:rsidRPr="00AF1CF8">
        <w:rPr>
          <w:szCs w:val="22"/>
        </w:rPr>
        <w:t>and</w:t>
      </w:r>
      <w:r w:rsidRPr="00AF1CF8">
        <w:rPr>
          <w:spacing w:val="-6"/>
          <w:szCs w:val="22"/>
        </w:rPr>
        <w:t xml:space="preserve"> </w:t>
      </w:r>
      <w:r w:rsidRPr="00AF1CF8">
        <w:rPr>
          <w:szCs w:val="22"/>
        </w:rPr>
        <w:t>only</w:t>
      </w:r>
      <w:r w:rsidRPr="00AF1CF8">
        <w:rPr>
          <w:spacing w:val="-9"/>
          <w:szCs w:val="22"/>
        </w:rPr>
        <w:t xml:space="preserve"> </w:t>
      </w:r>
      <w:r w:rsidRPr="00AF1CF8">
        <w:rPr>
          <w:szCs w:val="22"/>
        </w:rPr>
        <w:t>a small minority graduate within a six-year period</w:t>
      </w:r>
      <w:r w:rsidRPr="00AF1CF8">
        <w:rPr>
          <w:spacing w:val="-14"/>
          <w:szCs w:val="22"/>
        </w:rPr>
        <w:t xml:space="preserve"> </w:t>
      </w:r>
      <w:r w:rsidRPr="00AF1CF8">
        <w:rPr>
          <w:szCs w:val="22"/>
        </w:rPr>
        <w:t>(18</w:t>
      </w:r>
      <w:r w:rsidR="00A23357" w:rsidRPr="00AF1CF8">
        <w:rPr>
          <w:szCs w:val="22"/>
        </w:rPr>
        <w:t xml:space="preserve"> percent</w:t>
      </w:r>
      <w:r w:rsidRPr="00AF1CF8">
        <w:rPr>
          <w:szCs w:val="22"/>
        </w:rPr>
        <w:t>).</w:t>
      </w:r>
    </w:p>
    <w:p w14:paraId="6E13DD1D" w14:textId="77777777" w:rsidR="0087428D" w:rsidRPr="00AF1CF8" w:rsidRDefault="0087428D" w:rsidP="0087428D">
      <w:pPr>
        <w:pStyle w:val="BodyText"/>
        <w:rPr>
          <w:szCs w:val="22"/>
        </w:rPr>
      </w:pPr>
    </w:p>
    <w:p w14:paraId="0B1696A7" w14:textId="77777777" w:rsidR="0087428D" w:rsidRPr="00EB748D" w:rsidRDefault="0087428D" w:rsidP="0087428D">
      <w:pPr>
        <w:pStyle w:val="BodyText"/>
        <w:rPr>
          <w:szCs w:val="22"/>
        </w:rPr>
      </w:pPr>
      <w:r w:rsidRPr="00AF1CF8">
        <w:rPr>
          <w:szCs w:val="22"/>
        </w:rPr>
        <w:t xml:space="preserve">Norco – an intentional HSI and MSI - has adopted three goals for </w:t>
      </w:r>
      <w:r w:rsidRPr="00AF1CF8">
        <w:rPr>
          <w:b/>
          <w:i/>
          <w:szCs w:val="22"/>
        </w:rPr>
        <w:t>PACES</w:t>
      </w:r>
      <w:r w:rsidRPr="00AF1CF8">
        <w:rPr>
          <w:szCs w:val="22"/>
        </w:rPr>
        <w:t>: 1) Increase Hispanic and low-income retention and graduation by implementing Guided Pathways that includes the establishment of meta-majors, restructured student success teams, and clear pathways to careers and further education.; 2) Increase Hispanic and low-income enrollment and access through college-wide coordination of equity-related programs; and 3) Implement professional development around Guided Pathways and an Equity framework to foster a culture of ongoing improvement.</w:t>
      </w:r>
    </w:p>
    <w:p w14:paraId="7C9E348B" w14:textId="77777777" w:rsidR="0087428D" w:rsidRPr="00AF1CF8" w:rsidRDefault="0087428D" w:rsidP="0087428D">
      <w:pPr>
        <w:pStyle w:val="BodyText"/>
        <w:rPr>
          <w:szCs w:val="22"/>
        </w:rPr>
      </w:pPr>
    </w:p>
    <w:p w14:paraId="6CE91852" w14:textId="14938BB9" w:rsidR="0087428D" w:rsidRPr="00EB748D" w:rsidRDefault="0087428D" w:rsidP="0087428D">
      <w:pPr>
        <w:pStyle w:val="BodyText"/>
        <w:rPr>
          <w:szCs w:val="22"/>
        </w:rPr>
      </w:pPr>
      <w:r w:rsidRPr="00AF1CF8">
        <w:rPr>
          <w:szCs w:val="22"/>
        </w:rPr>
        <w:t xml:space="preserve">The fundamental elements of reform proposed by </w:t>
      </w:r>
      <w:r w:rsidRPr="00AF1CF8">
        <w:rPr>
          <w:b/>
          <w:i/>
          <w:szCs w:val="22"/>
        </w:rPr>
        <w:t xml:space="preserve">PACES </w:t>
      </w:r>
      <w:r w:rsidRPr="00AF1CF8">
        <w:rPr>
          <w:szCs w:val="22"/>
        </w:rPr>
        <w:t xml:space="preserve">require </w:t>
      </w:r>
      <w:r w:rsidRPr="00AF1CF8">
        <w:rPr>
          <w:b/>
          <w:szCs w:val="22"/>
        </w:rPr>
        <w:t xml:space="preserve">$2,754,383 </w:t>
      </w:r>
      <w:r w:rsidRPr="00AF1CF8">
        <w:rPr>
          <w:szCs w:val="22"/>
        </w:rPr>
        <w:t>in Title V funding over the next five years. This investment puts in place key mechanisms for greater student success: 1) Career-aligned guided pathways; 2) Meta Majors; 3) Co-requisite course structures;</w:t>
      </w:r>
      <w:r w:rsidR="00EB748D">
        <w:rPr>
          <w:szCs w:val="22"/>
        </w:rPr>
        <w:t xml:space="preserve"> </w:t>
      </w:r>
      <w:r w:rsidRPr="00AF1CF8">
        <w:rPr>
          <w:szCs w:val="22"/>
        </w:rPr>
        <w:t>4) Case Management advising; 5) Expanded professional development in equity and pedagogy; and 6); Financial Literacy.</w:t>
      </w:r>
    </w:p>
    <w:p w14:paraId="4556F255" w14:textId="77777777" w:rsidR="0087428D" w:rsidRPr="00AF1CF8" w:rsidRDefault="0087428D" w:rsidP="0087428D">
      <w:pPr>
        <w:pStyle w:val="BodyText"/>
        <w:rPr>
          <w:szCs w:val="22"/>
        </w:rPr>
      </w:pPr>
    </w:p>
    <w:p w14:paraId="339B7A20" w14:textId="77777777" w:rsidR="0087428D" w:rsidRPr="00EB748D" w:rsidRDefault="0087428D" w:rsidP="0087428D">
      <w:pPr>
        <w:pStyle w:val="BodyText"/>
        <w:rPr>
          <w:szCs w:val="22"/>
        </w:rPr>
      </w:pPr>
      <w:r w:rsidRPr="00AF1CF8">
        <w:rPr>
          <w:szCs w:val="22"/>
        </w:rPr>
        <w:t>Major Project outcomes include:</w:t>
      </w:r>
    </w:p>
    <w:p w14:paraId="6EA8EFE5" w14:textId="64C4B314" w:rsidR="0087428D" w:rsidRPr="00EB748D" w:rsidRDefault="0087428D" w:rsidP="0087428D">
      <w:pPr>
        <w:pStyle w:val="ListParagraph"/>
        <w:numPr>
          <w:ilvl w:val="0"/>
          <w:numId w:val="42"/>
        </w:numPr>
        <w:tabs>
          <w:tab w:val="left" w:pos="1085"/>
        </w:tabs>
      </w:pPr>
      <w:r w:rsidRPr="00AF1CF8">
        <w:t>61</w:t>
      </w:r>
      <w:r w:rsidR="00A23357" w:rsidRPr="00AF1CF8">
        <w:t xml:space="preserve"> percent</w:t>
      </w:r>
      <w:r w:rsidRPr="00AF1CF8">
        <w:t xml:space="preserve"> increase in number of FTFT students</w:t>
      </w:r>
      <w:r w:rsidRPr="00AF1CF8">
        <w:rPr>
          <w:spacing w:val="-10"/>
        </w:rPr>
        <w:t xml:space="preserve"> </w:t>
      </w:r>
      <w:r w:rsidRPr="00AF1CF8">
        <w:t>enrolled</w:t>
      </w:r>
    </w:p>
    <w:p w14:paraId="62080EF6" w14:textId="333D7CD2" w:rsidR="0087428D" w:rsidRPr="00EB748D" w:rsidRDefault="0087428D" w:rsidP="0087428D">
      <w:pPr>
        <w:pStyle w:val="ListParagraph"/>
        <w:numPr>
          <w:ilvl w:val="0"/>
          <w:numId w:val="42"/>
        </w:numPr>
        <w:tabs>
          <w:tab w:val="left" w:pos="1085"/>
        </w:tabs>
      </w:pPr>
      <w:r w:rsidRPr="00AF1CF8">
        <w:t>10</w:t>
      </w:r>
      <w:r w:rsidR="00A23357" w:rsidRPr="00AF1CF8">
        <w:t xml:space="preserve"> percent</w:t>
      </w:r>
      <w:r w:rsidRPr="00AF1CF8">
        <w:t xml:space="preserve"> decrease in average credits taken to degree</w:t>
      </w:r>
      <w:r w:rsidRPr="00AF1CF8">
        <w:rPr>
          <w:spacing w:val="-7"/>
        </w:rPr>
        <w:t xml:space="preserve"> </w:t>
      </w:r>
      <w:r w:rsidRPr="00AF1CF8">
        <w:t>completion</w:t>
      </w:r>
    </w:p>
    <w:p w14:paraId="6A32ED6C" w14:textId="2E025983" w:rsidR="0087428D" w:rsidRPr="00EB748D" w:rsidRDefault="0087428D" w:rsidP="0087428D">
      <w:pPr>
        <w:pStyle w:val="ListParagraph"/>
        <w:numPr>
          <w:ilvl w:val="0"/>
          <w:numId w:val="42"/>
        </w:numPr>
        <w:tabs>
          <w:tab w:val="left" w:pos="1085"/>
        </w:tabs>
      </w:pPr>
      <w:r w:rsidRPr="00AF1CF8">
        <w:t>11</w:t>
      </w:r>
      <w:r w:rsidR="00A23357" w:rsidRPr="00AF1CF8">
        <w:t xml:space="preserve"> percent</w:t>
      </w:r>
      <w:r w:rsidRPr="00AF1CF8">
        <w:t xml:space="preserve"> increase in percent of students receiving financial</w:t>
      </w:r>
      <w:r w:rsidRPr="00AF1CF8">
        <w:rPr>
          <w:spacing w:val="-12"/>
        </w:rPr>
        <w:t xml:space="preserve"> </w:t>
      </w:r>
      <w:r w:rsidRPr="00AF1CF8">
        <w:t>aid</w:t>
      </w:r>
    </w:p>
    <w:p w14:paraId="3ECB4451" w14:textId="0931EF3A" w:rsidR="0087428D" w:rsidRPr="00EB748D" w:rsidRDefault="0087428D" w:rsidP="0087428D">
      <w:pPr>
        <w:pStyle w:val="ListParagraph"/>
        <w:numPr>
          <w:ilvl w:val="0"/>
          <w:numId w:val="42"/>
        </w:numPr>
        <w:tabs>
          <w:tab w:val="left" w:pos="1085"/>
        </w:tabs>
      </w:pPr>
      <w:r w:rsidRPr="00AF1CF8">
        <w:t>5</w:t>
      </w:r>
      <w:r w:rsidR="00A23357" w:rsidRPr="00AF1CF8">
        <w:t xml:space="preserve"> percent</w:t>
      </w:r>
      <w:r w:rsidRPr="00AF1CF8">
        <w:t xml:space="preserve"> increase in the first- to second-year persistence rate of Hispanic</w:t>
      </w:r>
      <w:r w:rsidRPr="00AF1CF8">
        <w:rPr>
          <w:spacing w:val="-20"/>
        </w:rPr>
        <w:t xml:space="preserve"> </w:t>
      </w:r>
      <w:r w:rsidRPr="00AF1CF8">
        <w:t>students</w:t>
      </w:r>
    </w:p>
    <w:p w14:paraId="1708A97A" w14:textId="763F1D3F" w:rsidR="0087428D" w:rsidRPr="00EB748D" w:rsidRDefault="0087428D" w:rsidP="0087428D">
      <w:pPr>
        <w:pStyle w:val="ListParagraph"/>
        <w:numPr>
          <w:ilvl w:val="0"/>
          <w:numId w:val="42"/>
        </w:numPr>
        <w:tabs>
          <w:tab w:val="left" w:pos="1085"/>
        </w:tabs>
      </w:pPr>
      <w:r w:rsidRPr="00AF1CF8">
        <w:t>12</w:t>
      </w:r>
      <w:r w:rsidR="00A23357" w:rsidRPr="00AF1CF8">
        <w:t xml:space="preserve"> percent</w:t>
      </w:r>
      <w:r w:rsidRPr="00AF1CF8">
        <w:t xml:space="preserve"> increase in the annual</w:t>
      </w:r>
      <w:r w:rsidR="003B1EAA">
        <w:t xml:space="preserve"> number </w:t>
      </w:r>
      <w:r w:rsidRPr="00AF1CF8">
        <w:t>of Hispanic students earning an associate degree or</w:t>
      </w:r>
      <w:r w:rsidRPr="00AF1CF8">
        <w:rPr>
          <w:spacing w:val="-35"/>
        </w:rPr>
        <w:t xml:space="preserve"> </w:t>
      </w:r>
      <w:r w:rsidRPr="00AF1CF8">
        <w:t>certificate</w:t>
      </w:r>
    </w:p>
    <w:p w14:paraId="425A5CD3" w14:textId="0316A22D" w:rsidR="0087428D" w:rsidRPr="00EB748D" w:rsidRDefault="0087428D" w:rsidP="0087428D">
      <w:pPr>
        <w:pStyle w:val="ListParagraph"/>
        <w:numPr>
          <w:ilvl w:val="0"/>
          <w:numId w:val="42"/>
        </w:numPr>
        <w:tabs>
          <w:tab w:val="left" w:pos="1085"/>
        </w:tabs>
      </w:pPr>
      <w:r w:rsidRPr="00AF1CF8">
        <w:t>85</w:t>
      </w:r>
      <w:r w:rsidR="00A23357" w:rsidRPr="00AF1CF8">
        <w:t xml:space="preserve"> percent</w:t>
      </w:r>
      <w:r w:rsidRPr="00AF1CF8">
        <w:t xml:space="preserve"> increase in the four-year graduation rates of Hispanic</w:t>
      </w:r>
      <w:r w:rsidRPr="00AF1CF8">
        <w:rPr>
          <w:spacing w:val="-6"/>
        </w:rPr>
        <w:t xml:space="preserve"> </w:t>
      </w:r>
      <w:r w:rsidRPr="00AF1CF8">
        <w:t>students</w:t>
      </w:r>
    </w:p>
    <w:p w14:paraId="1FA7EAA3" w14:textId="77777777" w:rsidR="0087428D" w:rsidRPr="00EB748D" w:rsidRDefault="0087428D" w:rsidP="0087428D">
      <w:pPr>
        <w:pStyle w:val="ListParagraph"/>
        <w:numPr>
          <w:ilvl w:val="0"/>
          <w:numId w:val="42"/>
        </w:numPr>
        <w:tabs>
          <w:tab w:val="left" w:pos="1085"/>
        </w:tabs>
      </w:pPr>
      <w:r w:rsidRPr="00AF1CF8">
        <w:t>150</w:t>
      </w:r>
      <w:r w:rsidRPr="00AF1CF8">
        <w:rPr>
          <w:spacing w:val="-5"/>
        </w:rPr>
        <w:t xml:space="preserve"> </w:t>
      </w:r>
      <w:r w:rsidRPr="00AF1CF8">
        <w:t>faculty</w:t>
      </w:r>
      <w:r w:rsidRPr="00AF1CF8">
        <w:rPr>
          <w:spacing w:val="-8"/>
        </w:rPr>
        <w:t xml:space="preserve"> </w:t>
      </w:r>
      <w:r w:rsidRPr="00AF1CF8">
        <w:t>will</w:t>
      </w:r>
      <w:r w:rsidRPr="00AF1CF8">
        <w:rPr>
          <w:spacing w:val="-4"/>
        </w:rPr>
        <w:t xml:space="preserve"> </w:t>
      </w:r>
      <w:r w:rsidRPr="00AF1CF8">
        <w:t>be</w:t>
      </w:r>
      <w:r w:rsidRPr="00AF1CF8">
        <w:rPr>
          <w:spacing w:val="-4"/>
        </w:rPr>
        <w:t xml:space="preserve"> </w:t>
      </w:r>
      <w:r w:rsidRPr="00AF1CF8">
        <w:t>trained</w:t>
      </w:r>
      <w:r w:rsidRPr="00AF1CF8">
        <w:rPr>
          <w:spacing w:val="-4"/>
        </w:rPr>
        <w:t xml:space="preserve"> </w:t>
      </w:r>
      <w:r w:rsidRPr="00AF1CF8">
        <w:t>in</w:t>
      </w:r>
      <w:r w:rsidRPr="00AF1CF8">
        <w:rPr>
          <w:spacing w:val="-4"/>
        </w:rPr>
        <w:t xml:space="preserve"> </w:t>
      </w:r>
      <w:r w:rsidRPr="00AF1CF8">
        <w:t>equitable</w:t>
      </w:r>
      <w:r w:rsidRPr="00AF1CF8">
        <w:rPr>
          <w:spacing w:val="-4"/>
        </w:rPr>
        <w:t xml:space="preserve"> </w:t>
      </w:r>
      <w:r w:rsidRPr="00AF1CF8">
        <w:t>advisement</w:t>
      </w:r>
      <w:r w:rsidRPr="00AF1CF8">
        <w:rPr>
          <w:spacing w:val="-4"/>
        </w:rPr>
        <w:t xml:space="preserve"> </w:t>
      </w:r>
      <w:r w:rsidRPr="00AF1CF8">
        <w:t>approaches</w:t>
      </w:r>
      <w:r w:rsidRPr="00AF1CF8">
        <w:rPr>
          <w:spacing w:val="-5"/>
        </w:rPr>
        <w:t xml:space="preserve"> </w:t>
      </w:r>
      <w:r w:rsidRPr="00AF1CF8">
        <w:t>and</w:t>
      </w:r>
      <w:r w:rsidRPr="00AF1CF8">
        <w:rPr>
          <w:spacing w:val="-4"/>
        </w:rPr>
        <w:t xml:space="preserve"> </w:t>
      </w:r>
      <w:r w:rsidRPr="00AF1CF8">
        <w:t>teaching</w:t>
      </w:r>
      <w:r w:rsidRPr="00AF1CF8">
        <w:rPr>
          <w:spacing w:val="-6"/>
        </w:rPr>
        <w:t xml:space="preserve"> </w:t>
      </w:r>
      <w:r w:rsidRPr="00AF1CF8">
        <w:t>practices</w:t>
      </w:r>
      <w:r w:rsidRPr="00AF1CF8">
        <w:rPr>
          <w:spacing w:val="-4"/>
        </w:rPr>
        <w:t xml:space="preserve"> </w:t>
      </w:r>
      <w:r w:rsidRPr="00AF1CF8">
        <w:t>to address the needs of Hispanic and low-income</w:t>
      </w:r>
      <w:r w:rsidRPr="00AF1CF8">
        <w:rPr>
          <w:spacing w:val="-11"/>
        </w:rPr>
        <w:t xml:space="preserve"> </w:t>
      </w:r>
      <w:r w:rsidRPr="00AF1CF8">
        <w:t>students</w:t>
      </w:r>
    </w:p>
    <w:p w14:paraId="07E13CD8" w14:textId="550E2791" w:rsidR="0087428D" w:rsidRPr="00EB748D" w:rsidRDefault="0087428D" w:rsidP="0087428D">
      <w:pPr>
        <w:pStyle w:val="ListParagraph"/>
        <w:numPr>
          <w:ilvl w:val="0"/>
          <w:numId w:val="42"/>
        </w:numPr>
        <w:tabs>
          <w:tab w:val="left" w:pos="1085"/>
        </w:tabs>
      </w:pPr>
      <w:r w:rsidRPr="00AF1CF8">
        <w:t>165</w:t>
      </w:r>
      <w:r w:rsidR="00A23357" w:rsidRPr="00AF1CF8">
        <w:t xml:space="preserve"> percent</w:t>
      </w:r>
      <w:r w:rsidRPr="00AF1CF8">
        <w:t xml:space="preserve"> increase in the four-year transfer rate of Hispanic</w:t>
      </w:r>
      <w:r w:rsidRPr="00AF1CF8">
        <w:rPr>
          <w:spacing w:val="-14"/>
        </w:rPr>
        <w:t xml:space="preserve"> </w:t>
      </w:r>
      <w:r w:rsidRPr="00AF1CF8">
        <w:t>students</w:t>
      </w:r>
    </w:p>
    <w:p w14:paraId="66E7E4D6" w14:textId="77777777" w:rsidR="0087428D" w:rsidRPr="00AF1CF8" w:rsidRDefault="0087428D" w:rsidP="0087428D">
      <w:pPr>
        <w:rPr>
          <w:i/>
        </w:rPr>
      </w:pPr>
    </w:p>
    <w:p w14:paraId="6942D2B0" w14:textId="77777777" w:rsidR="0087428D" w:rsidRPr="00EB748D" w:rsidRDefault="0087428D" w:rsidP="0087428D">
      <w:pPr>
        <w:rPr>
          <w:i/>
        </w:rPr>
      </w:pPr>
      <w:r w:rsidRPr="00AF1CF8">
        <w:rPr>
          <w:i/>
        </w:rPr>
        <w:t xml:space="preserve">The </w:t>
      </w:r>
      <w:r w:rsidRPr="00AF1CF8">
        <w:rPr>
          <w:b/>
          <w:i/>
        </w:rPr>
        <w:t xml:space="preserve">PACES </w:t>
      </w:r>
      <w:r w:rsidRPr="00AF1CF8">
        <w:rPr>
          <w:i/>
        </w:rPr>
        <w:t>Project directly addresses Competitive Preference Priority 2, Financial Literacy.</w:t>
      </w:r>
    </w:p>
    <w:p w14:paraId="6D09298E" w14:textId="007404ED" w:rsidR="005B0A16" w:rsidRPr="00EB748D" w:rsidRDefault="005B0A16" w:rsidP="002A169B"/>
    <w:p w14:paraId="7DED96E4" w14:textId="1EC29BC6" w:rsidR="00345805" w:rsidRPr="00BB223B" w:rsidRDefault="00345805" w:rsidP="002A169B"/>
    <w:p w14:paraId="3B79A198" w14:textId="5927FF35" w:rsidR="00345805" w:rsidRPr="00AF1CF8" w:rsidRDefault="00345805" w:rsidP="00634CAD">
      <w:pPr>
        <w:pStyle w:val="Heading1"/>
      </w:pPr>
      <w:r w:rsidRPr="00AF1CF8">
        <w:t xml:space="preserve">P031S190342 </w:t>
      </w:r>
      <w:r w:rsidR="00BA1842" w:rsidRPr="00AF1CF8">
        <w:br/>
      </w:r>
      <w:r w:rsidRPr="00AF1CF8">
        <w:t>Santa Monica College, CA</w:t>
      </w:r>
    </w:p>
    <w:p w14:paraId="44390807" w14:textId="7790B792" w:rsidR="00345805" w:rsidRPr="00AF1CF8" w:rsidRDefault="00345805" w:rsidP="00345805">
      <w:pPr>
        <w:rPr>
          <w:b/>
        </w:rPr>
      </w:pPr>
    </w:p>
    <w:p w14:paraId="5AF5DD24" w14:textId="15B179C7" w:rsidR="00345805" w:rsidRPr="00AF1CF8" w:rsidRDefault="00345805" w:rsidP="00345805">
      <w:pPr>
        <w:pStyle w:val="BodyText"/>
        <w:rPr>
          <w:szCs w:val="22"/>
        </w:rPr>
      </w:pPr>
      <w:r w:rsidRPr="00AF1CF8">
        <w:rPr>
          <w:color w:val="010202"/>
          <w:szCs w:val="22"/>
        </w:rPr>
        <w:t>The Title V-funded Navigating the Pathway to Success project will develop a peer coaching/pathway navigator program at Santa Monica College. The Pathway Navigator Program will utilize a combination of college staff and peer coaches to help ensure that first year students have the information and support they need to complete the first year of study, persist to the second year, and ultimately complete their educational and career goals. Included in the What Works Clearinghouse, Coaching is nationally recognized as a best practice for improving first year student outcomes at the postsecondary level. SMC will utilize existing research on effective coaching programs to develop its program, which will complement and strengthen SMC’s efforts to redesign the student experience around the guided pathways model. The peer coaches will serve as a critical resource not currently in practice at SMC to improve student success. In doing so, this project will address several institutional weaknesses, including:</w:t>
      </w:r>
    </w:p>
    <w:p w14:paraId="25319DCC" w14:textId="77777777" w:rsidR="00345805" w:rsidRPr="00AF1CF8" w:rsidRDefault="00345805" w:rsidP="00345805">
      <w:pPr>
        <w:pStyle w:val="ListParagraph"/>
        <w:tabs>
          <w:tab w:val="left" w:pos="1299"/>
          <w:tab w:val="left" w:pos="1300"/>
        </w:tabs>
      </w:pPr>
    </w:p>
    <w:p w14:paraId="7B7F6E47" w14:textId="46512E2D" w:rsidR="00345805" w:rsidRPr="00AF1CF8" w:rsidRDefault="00345805" w:rsidP="00345805">
      <w:pPr>
        <w:pStyle w:val="ListParagraph"/>
        <w:numPr>
          <w:ilvl w:val="0"/>
          <w:numId w:val="43"/>
        </w:numPr>
        <w:tabs>
          <w:tab w:val="left" w:pos="1299"/>
          <w:tab w:val="left" w:pos="1300"/>
        </w:tabs>
      </w:pPr>
      <w:r w:rsidRPr="00AF1CF8">
        <w:rPr>
          <w:color w:val="010202"/>
        </w:rPr>
        <w:t>Unclear educational and career pathways and the resources available to assist: While SMC is working to clarify its educational pathways, there remains a great deal of uncertainty among students,</w:t>
      </w:r>
      <w:r w:rsidRPr="00AF1CF8">
        <w:rPr>
          <w:color w:val="010202"/>
          <w:spacing w:val="-5"/>
        </w:rPr>
        <w:t xml:space="preserve"> </w:t>
      </w:r>
      <w:r w:rsidRPr="00AF1CF8">
        <w:rPr>
          <w:color w:val="010202"/>
        </w:rPr>
        <w:t>as</w:t>
      </w:r>
      <w:r w:rsidRPr="00AF1CF8">
        <w:rPr>
          <w:color w:val="010202"/>
          <w:spacing w:val="-4"/>
        </w:rPr>
        <w:t xml:space="preserve"> </w:t>
      </w:r>
      <w:r w:rsidRPr="00AF1CF8">
        <w:rPr>
          <w:color w:val="010202"/>
        </w:rPr>
        <w:t>well</w:t>
      </w:r>
      <w:r w:rsidRPr="00AF1CF8">
        <w:rPr>
          <w:color w:val="010202"/>
          <w:spacing w:val="-4"/>
        </w:rPr>
        <w:t xml:space="preserve"> </w:t>
      </w:r>
      <w:r w:rsidRPr="00AF1CF8">
        <w:rPr>
          <w:color w:val="010202"/>
        </w:rPr>
        <w:t>as</w:t>
      </w:r>
      <w:r w:rsidRPr="00AF1CF8">
        <w:rPr>
          <w:color w:val="010202"/>
          <w:spacing w:val="-4"/>
        </w:rPr>
        <w:t xml:space="preserve"> </w:t>
      </w:r>
      <w:r w:rsidRPr="00AF1CF8">
        <w:rPr>
          <w:color w:val="010202"/>
        </w:rPr>
        <w:t>faculty</w:t>
      </w:r>
      <w:r w:rsidRPr="00AF1CF8">
        <w:rPr>
          <w:color w:val="010202"/>
          <w:spacing w:val="-6"/>
        </w:rPr>
        <w:t xml:space="preserve"> </w:t>
      </w:r>
      <w:r w:rsidRPr="00AF1CF8">
        <w:rPr>
          <w:color w:val="010202"/>
        </w:rPr>
        <w:t>and</w:t>
      </w:r>
      <w:r w:rsidRPr="00AF1CF8">
        <w:rPr>
          <w:color w:val="010202"/>
          <w:spacing w:val="-4"/>
        </w:rPr>
        <w:t xml:space="preserve"> </w:t>
      </w:r>
      <w:r w:rsidRPr="00AF1CF8">
        <w:rPr>
          <w:color w:val="010202"/>
        </w:rPr>
        <w:t>staff.</w:t>
      </w:r>
      <w:r w:rsidRPr="00AF1CF8">
        <w:rPr>
          <w:color w:val="010202"/>
          <w:spacing w:val="-4"/>
        </w:rPr>
        <w:t xml:space="preserve"> </w:t>
      </w:r>
      <w:r w:rsidRPr="00AF1CF8">
        <w:rPr>
          <w:color w:val="010202"/>
        </w:rPr>
        <w:t>As</w:t>
      </w:r>
      <w:r w:rsidRPr="00AF1CF8">
        <w:rPr>
          <w:color w:val="010202"/>
          <w:spacing w:val="-4"/>
        </w:rPr>
        <w:t xml:space="preserve"> </w:t>
      </w:r>
      <w:r w:rsidRPr="00AF1CF8">
        <w:rPr>
          <w:color w:val="010202"/>
        </w:rPr>
        <w:t>second</w:t>
      </w:r>
      <w:r w:rsidRPr="00AF1CF8">
        <w:rPr>
          <w:color w:val="010202"/>
          <w:spacing w:val="-4"/>
        </w:rPr>
        <w:t xml:space="preserve">- and third-year </w:t>
      </w:r>
      <w:r w:rsidRPr="00AF1CF8">
        <w:rPr>
          <w:color w:val="010202"/>
        </w:rPr>
        <w:t>students</w:t>
      </w:r>
      <w:r w:rsidRPr="00AF1CF8">
        <w:rPr>
          <w:color w:val="010202"/>
          <w:spacing w:val="-4"/>
        </w:rPr>
        <w:t xml:space="preserve"> </w:t>
      </w:r>
      <w:r w:rsidRPr="00AF1CF8">
        <w:rPr>
          <w:color w:val="010202"/>
        </w:rPr>
        <w:t>enrolled</w:t>
      </w:r>
      <w:r w:rsidRPr="00AF1CF8">
        <w:rPr>
          <w:color w:val="010202"/>
          <w:spacing w:val="-4"/>
        </w:rPr>
        <w:t xml:space="preserve"> </w:t>
      </w:r>
      <w:r w:rsidRPr="00AF1CF8">
        <w:rPr>
          <w:color w:val="010202"/>
        </w:rPr>
        <w:t>at</w:t>
      </w:r>
      <w:r w:rsidRPr="00AF1CF8">
        <w:rPr>
          <w:color w:val="010202"/>
          <w:spacing w:val="-4"/>
        </w:rPr>
        <w:t xml:space="preserve"> </w:t>
      </w:r>
      <w:r w:rsidRPr="00AF1CF8">
        <w:rPr>
          <w:color w:val="010202"/>
        </w:rPr>
        <w:t>SMC,</w:t>
      </w:r>
      <w:r w:rsidRPr="00AF1CF8">
        <w:rPr>
          <w:color w:val="010202"/>
          <w:spacing w:val="-4"/>
        </w:rPr>
        <w:t xml:space="preserve"> </w:t>
      </w:r>
      <w:r w:rsidRPr="00AF1CF8">
        <w:rPr>
          <w:color w:val="010202"/>
        </w:rPr>
        <w:t xml:space="preserve">peer coaches have already navigated many of the </w:t>
      </w:r>
      <w:r w:rsidR="00822AEB" w:rsidRPr="00AF1CF8">
        <w:rPr>
          <w:color w:val="010202"/>
        </w:rPr>
        <w:t>first-year</w:t>
      </w:r>
      <w:r w:rsidRPr="00AF1CF8">
        <w:rPr>
          <w:color w:val="010202"/>
        </w:rPr>
        <w:t xml:space="preserve"> obstacles and are ideally situated to help guide first year students through those obstacles;</w:t>
      </w:r>
      <w:r w:rsidRPr="00AF1CF8">
        <w:rPr>
          <w:color w:val="010202"/>
          <w:spacing w:val="-7"/>
        </w:rPr>
        <w:t xml:space="preserve"> </w:t>
      </w:r>
      <w:r w:rsidRPr="00AF1CF8">
        <w:rPr>
          <w:color w:val="010202"/>
        </w:rPr>
        <w:t>and</w:t>
      </w:r>
    </w:p>
    <w:p w14:paraId="62B68B75" w14:textId="77777777" w:rsidR="00345805" w:rsidRPr="00AF1CF8" w:rsidRDefault="00345805" w:rsidP="00345805">
      <w:pPr>
        <w:pStyle w:val="ListParagraph"/>
        <w:numPr>
          <w:ilvl w:val="0"/>
          <w:numId w:val="43"/>
        </w:numPr>
        <w:tabs>
          <w:tab w:val="left" w:pos="1299"/>
          <w:tab w:val="left" w:pos="1300"/>
        </w:tabs>
      </w:pPr>
      <w:r w:rsidRPr="00AF1CF8">
        <w:rPr>
          <w:color w:val="010202"/>
        </w:rPr>
        <w:t>Lack of diversity among SMC faculty and staff: The use of peer coaches that reflect the racial/ethnic backgrounds and experiences of SMC’s students will help connect students to SMC and create a sense of belonging that students may not find in the</w:t>
      </w:r>
      <w:r w:rsidRPr="00AF1CF8">
        <w:rPr>
          <w:color w:val="010202"/>
          <w:spacing w:val="-31"/>
        </w:rPr>
        <w:t xml:space="preserve"> </w:t>
      </w:r>
      <w:r w:rsidRPr="00AF1CF8">
        <w:rPr>
          <w:color w:val="010202"/>
        </w:rPr>
        <w:t>classroom.</w:t>
      </w:r>
    </w:p>
    <w:p w14:paraId="1010F67A" w14:textId="53103B1B" w:rsidR="00345805" w:rsidRPr="00AF1CF8" w:rsidRDefault="00822AEB" w:rsidP="00345805">
      <w:pPr>
        <w:pStyle w:val="ListParagraph"/>
        <w:numPr>
          <w:ilvl w:val="0"/>
          <w:numId w:val="43"/>
        </w:numPr>
        <w:tabs>
          <w:tab w:val="left" w:pos="1299"/>
          <w:tab w:val="left" w:pos="1300"/>
        </w:tabs>
      </w:pPr>
      <w:r w:rsidRPr="00AF1CF8">
        <w:rPr>
          <w:color w:val="010202"/>
        </w:rPr>
        <w:t>Underutilization</w:t>
      </w:r>
      <w:r w:rsidR="00345805" w:rsidRPr="00AF1CF8">
        <w:rPr>
          <w:color w:val="010202"/>
        </w:rPr>
        <w:t xml:space="preserve"> of available financial resources: Peer coaches will encourage students to access available financial resources, including financial literacy</w:t>
      </w:r>
      <w:r w:rsidR="00345805" w:rsidRPr="00AF1CF8">
        <w:rPr>
          <w:color w:val="010202"/>
          <w:spacing w:val="-3"/>
        </w:rPr>
        <w:t xml:space="preserve"> </w:t>
      </w:r>
      <w:r w:rsidR="00345805" w:rsidRPr="00AF1CF8">
        <w:rPr>
          <w:color w:val="010202"/>
        </w:rPr>
        <w:t>coursework.</w:t>
      </w:r>
    </w:p>
    <w:p w14:paraId="75CC5A2B" w14:textId="77777777" w:rsidR="00345805" w:rsidRPr="00AF1CF8" w:rsidRDefault="00345805" w:rsidP="00345805">
      <w:pPr>
        <w:pStyle w:val="BodyText"/>
        <w:rPr>
          <w:color w:val="010202"/>
          <w:szCs w:val="22"/>
        </w:rPr>
      </w:pPr>
    </w:p>
    <w:p w14:paraId="3BAC1823" w14:textId="6BE1586C" w:rsidR="00345805" w:rsidRPr="00AF1CF8" w:rsidRDefault="00345805" w:rsidP="00345805">
      <w:pPr>
        <w:pStyle w:val="BodyText"/>
        <w:rPr>
          <w:szCs w:val="22"/>
        </w:rPr>
      </w:pPr>
      <w:r w:rsidRPr="00AF1CF8">
        <w:rPr>
          <w:color w:val="010202"/>
          <w:szCs w:val="22"/>
        </w:rPr>
        <w:t xml:space="preserve">In addressing this third latter weakness, </w:t>
      </w:r>
      <w:r w:rsidRPr="00AF1CF8">
        <w:rPr>
          <w:b/>
          <w:i/>
          <w:color w:val="010202"/>
          <w:szCs w:val="22"/>
        </w:rPr>
        <w:t xml:space="preserve">SMC will address Competitive Preference Priority 2 – </w:t>
      </w:r>
      <w:r w:rsidR="00EB748D">
        <w:rPr>
          <w:b/>
          <w:i/>
          <w:color w:val="010202"/>
          <w:szCs w:val="22"/>
        </w:rPr>
        <w:t>I</w:t>
      </w:r>
      <w:r w:rsidRPr="00EB748D">
        <w:rPr>
          <w:b/>
          <w:i/>
          <w:color w:val="010202"/>
          <w:szCs w:val="22"/>
        </w:rPr>
        <w:t>nstruction in Financial Literacy</w:t>
      </w:r>
      <w:r w:rsidRPr="00EB748D">
        <w:rPr>
          <w:color w:val="010202"/>
          <w:szCs w:val="22"/>
        </w:rPr>
        <w:t>. SMC currently offers for-credit cours</w:t>
      </w:r>
      <w:r w:rsidRPr="00BB223B">
        <w:rPr>
          <w:color w:val="010202"/>
          <w:szCs w:val="22"/>
        </w:rPr>
        <w:t>ework in financial literacy, but it reaches on average only 2.5</w:t>
      </w:r>
      <w:r w:rsidR="00A23357" w:rsidRPr="00AF1CF8">
        <w:rPr>
          <w:color w:val="010202"/>
          <w:szCs w:val="22"/>
        </w:rPr>
        <w:t xml:space="preserve"> percent</w:t>
      </w:r>
      <w:r w:rsidRPr="00EB748D">
        <w:rPr>
          <w:color w:val="010202"/>
          <w:szCs w:val="22"/>
        </w:rPr>
        <w:t xml:space="preserve"> of first year students. Through high touch outreach using tools and technologies familiar to students, the peer coaches will help first year students to access supportive resources, in</w:t>
      </w:r>
      <w:r w:rsidRPr="00BB223B">
        <w:rPr>
          <w:color w:val="010202"/>
          <w:szCs w:val="22"/>
        </w:rPr>
        <w:t>cluding both new and existing financial literacy instruction, develop positive attitudes and behaviors that promote academic success, and feel connected to</w:t>
      </w:r>
      <w:r w:rsidRPr="00AF1CF8">
        <w:rPr>
          <w:color w:val="010202"/>
          <w:szCs w:val="22"/>
        </w:rPr>
        <w:t xml:space="preserve"> the college community. In doing so, they will help improve first year success rates, strengthen student persistence, and reduce the time to completion by helping students avoid roadblocks that may deter progress.</w:t>
      </w:r>
    </w:p>
    <w:p w14:paraId="5426BB93" w14:textId="77777777" w:rsidR="00345805" w:rsidRPr="00AF1CF8" w:rsidRDefault="00345805" w:rsidP="00345805">
      <w:pPr>
        <w:pStyle w:val="BodyText"/>
        <w:rPr>
          <w:color w:val="010202"/>
          <w:szCs w:val="22"/>
        </w:rPr>
      </w:pPr>
    </w:p>
    <w:p w14:paraId="40AE3BB4" w14:textId="49FE40DA" w:rsidR="004218D4" w:rsidRPr="00AF1CF8" w:rsidRDefault="00345805" w:rsidP="00345805">
      <w:pPr>
        <w:pStyle w:val="BodyText"/>
        <w:rPr>
          <w:color w:val="010202"/>
          <w:szCs w:val="22"/>
        </w:rPr>
      </w:pPr>
      <w:r w:rsidRPr="00AF1CF8">
        <w:rPr>
          <w:color w:val="010202"/>
          <w:szCs w:val="22"/>
        </w:rPr>
        <w:t xml:space="preserve">Through this project, SMC will address its institutional goals to 1) increase the number of Latinx and low-income students who complete their educational goals; while 2) reducing both the time to completion and cost of education for Latinx and low-income students. </w:t>
      </w:r>
      <w:r w:rsidRPr="00AF1CF8">
        <w:rPr>
          <w:color w:val="010202"/>
          <w:spacing w:val="-3"/>
          <w:szCs w:val="22"/>
        </w:rPr>
        <w:t xml:space="preserve">In </w:t>
      </w:r>
      <w:r w:rsidRPr="00AF1CF8">
        <w:rPr>
          <w:color w:val="010202"/>
          <w:szCs w:val="22"/>
        </w:rPr>
        <w:t>addition, this project will help reduce, if not eliminate student success and equity gaps for Latinx and other racially minoritized students, thereby achieving SMC’s Five-Year goals for Latinx</w:t>
      </w:r>
      <w:r w:rsidRPr="00AF1CF8">
        <w:rPr>
          <w:color w:val="010202"/>
          <w:spacing w:val="-11"/>
          <w:szCs w:val="22"/>
        </w:rPr>
        <w:t xml:space="preserve"> </w:t>
      </w:r>
      <w:r w:rsidRPr="00AF1CF8">
        <w:rPr>
          <w:color w:val="010202"/>
          <w:szCs w:val="22"/>
        </w:rPr>
        <w:t xml:space="preserve">students. SMC will offer peer coaching to all </w:t>
      </w:r>
      <w:r w:rsidR="00A23357" w:rsidRPr="00AF1CF8">
        <w:rPr>
          <w:color w:val="010202"/>
          <w:szCs w:val="22"/>
        </w:rPr>
        <w:t>first-year</w:t>
      </w:r>
      <w:r w:rsidRPr="00EB748D">
        <w:rPr>
          <w:color w:val="010202"/>
          <w:szCs w:val="22"/>
        </w:rPr>
        <w:t xml:space="preserve"> students regardless of program of study during the award period (an estimated 20,000 students over </w:t>
      </w:r>
      <w:r w:rsidR="00A23357" w:rsidRPr="00AF1CF8">
        <w:rPr>
          <w:color w:val="010202"/>
          <w:szCs w:val="22"/>
        </w:rPr>
        <w:t>five</w:t>
      </w:r>
      <w:r w:rsidRPr="00EB748D">
        <w:rPr>
          <w:color w:val="010202"/>
          <w:szCs w:val="22"/>
        </w:rPr>
        <w:t xml:space="preserve"> years) and has outlined a comprehensive plan to </w:t>
      </w:r>
      <w:r w:rsidR="004218D4" w:rsidRPr="00BB223B">
        <w:rPr>
          <w:color w:val="010202"/>
          <w:szCs w:val="22"/>
        </w:rPr>
        <w:t>institutionalize the program in each pathway by the end of the grant award period.</w:t>
      </w:r>
    </w:p>
    <w:p w14:paraId="5CD83897" w14:textId="53F6B786" w:rsidR="00E40210" w:rsidRPr="00AF1CF8" w:rsidRDefault="00E40210" w:rsidP="00634CAD">
      <w:pPr>
        <w:pStyle w:val="Heading1"/>
      </w:pPr>
      <w:r w:rsidRPr="00AF1CF8">
        <w:t>P031S190113</w:t>
      </w:r>
      <w:r w:rsidR="003D1D8C" w:rsidRPr="00AF1CF8">
        <w:t xml:space="preserve"> </w:t>
      </w:r>
      <w:r w:rsidR="003D1D8C" w:rsidRPr="00AF1CF8">
        <w:br/>
        <w:t>Ventura County Community College District - Oxnard College, CA</w:t>
      </w:r>
    </w:p>
    <w:p w14:paraId="6DFFEC52" w14:textId="7786BB87" w:rsidR="00E40210" w:rsidRPr="00AF1CF8" w:rsidRDefault="00E40210" w:rsidP="00E40210"/>
    <w:p w14:paraId="0E19F31D" w14:textId="3DB3BE34" w:rsidR="00E40210" w:rsidRPr="00AF1CF8" w:rsidRDefault="00E40210" w:rsidP="00E40210">
      <w:pPr>
        <w:rPr>
          <w:b/>
          <w:i/>
        </w:rPr>
      </w:pPr>
      <w:r w:rsidRPr="00AF1CF8">
        <w:rPr>
          <w:b/>
          <w:i/>
          <w:color w:val="231F20"/>
        </w:rPr>
        <w:t>Project Acceso y Progreso</w:t>
      </w:r>
    </w:p>
    <w:p w14:paraId="1490539D" w14:textId="01925317" w:rsidR="00E40210" w:rsidRPr="00AF1CF8" w:rsidRDefault="00E40210" w:rsidP="00E40210">
      <w:r w:rsidRPr="00AF1CF8">
        <w:rPr>
          <w:i/>
          <w:color w:val="231F20"/>
        </w:rPr>
        <w:t xml:space="preserve">Project Acceso y Progreso </w:t>
      </w:r>
      <w:r w:rsidRPr="00AF1CF8">
        <w:rPr>
          <w:color w:val="231F20"/>
        </w:rPr>
        <w:t>will increase Oxnard College’s institutional capacity and impact three key areas: 1) Student Access 2) Student Retention 3) Student Completion which includes transfer to</w:t>
      </w:r>
      <w:r w:rsidRPr="00AF1CF8">
        <w:rPr>
          <w:color w:val="231F20"/>
          <w:spacing w:val="-24"/>
        </w:rPr>
        <w:t xml:space="preserve"> </w:t>
      </w:r>
      <w:r w:rsidRPr="00AF1CF8">
        <w:rPr>
          <w:color w:val="231F20"/>
        </w:rPr>
        <w:t xml:space="preserve">a </w:t>
      </w:r>
      <w:r w:rsidR="00EB748D">
        <w:rPr>
          <w:color w:val="231F20"/>
        </w:rPr>
        <w:t>four</w:t>
      </w:r>
      <w:r w:rsidRPr="00EB748D">
        <w:rPr>
          <w:color w:val="231F20"/>
        </w:rPr>
        <w:t xml:space="preserve">-year institution and/or job placement as identified by the student’s educational goal. A strong integration of Financial Literacy Education is woven into all of </w:t>
      </w:r>
      <w:r w:rsidRPr="00BB223B">
        <w:rPr>
          <w:i/>
          <w:color w:val="231F20"/>
        </w:rPr>
        <w:t xml:space="preserve">Project Acceso y Progreso’s </w:t>
      </w:r>
      <w:r w:rsidRPr="00AF1CF8">
        <w:rPr>
          <w:color w:val="231F20"/>
        </w:rPr>
        <w:t>activities for students and</w:t>
      </w:r>
      <w:r w:rsidRPr="00AF1CF8">
        <w:rPr>
          <w:color w:val="231F20"/>
          <w:spacing w:val="-5"/>
        </w:rPr>
        <w:t xml:space="preserve"> </w:t>
      </w:r>
      <w:r w:rsidRPr="00AF1CF8">
        <w:rPr>
          <w:color w:val="231F20"/>
        </w:rPr>
        <w:t>parents.</w:t>
      </w:r>
    </w:p>
    <w:p w14:paraId="7FE46AB9" w14:textId="77777777" w:rsidR="00E40210" w:rsidRPr="00AF1CF8" w:rsidRDefault="00E40210" w:rsidP="00E40210">
      <w:pPr>
        <w:rPr>
          <w:color w:val="231F20"/>
        </w:rPr>
      </w:pPr>
    </w:p>
    <w:p w14:paraId="78DF405A" w14:textId="77777777" w:rsidR="00E40210" w:rsidRPr="00AF1CF8" w:rsidRDefault="00E40210" w:rsidP="00E40210">
      <w:r w:rsidRPr="00AF1CF8">
        <w:rPr>
          <w:color w:val="231F20"/>
        </w:rPr>
        <w:t>More specifically, this project includes the creation of a strong outreach plan that includes year- round K-12 activities to increase college-preparedness; expansion of Oxnard College’s First-Year Experience and the integration of a First STEP (</w:t>
      </w:r>
      <w:r w:rsidRPr="00AF1CF8">
        <w:rPr>
          <w:b/>
          <w:color w:val="231F20"/>
        </w:rPr>
        <w:t>S</w:t>
      </w:r>
      <w:r w:rsidRPr="00AF1CF8">
        <w:rPr>
          <w:color w:val="231F20"/>
        </w:rPr>
        <w:t xml:space="preserve">uccess </w:t>
      </w:r>
      <w:r w:rsidRPr="00AF1CF8">
        <w:rPr>
          <w:b/>
          <w:color w:val="231F20"/>
        </w:rPr>
        <w:t>T</w:t>
      </w:r>
      <w:r w:rsidRPr="00AF1CF8">
        <w:rPr>
          <w:color w:val="231F20"/>
        </w:rPr>
        <w:t xml:space="preserve">hrough </w:t>
      </w:r>
      <w:r w:rsidRPr="00AF1CF8">
        <w:rPr>
          <w:b/>
          <w:color w:val="231F20"/>
        </w:rPr>
        <w:t>E</w:t>
      </w:r>
      <w:r w:rsidRPr="00AF1CF8">
        <w:rPr>
          <w:color w:val="231F20"/>
        </w:rPr>
        <w:t xml:space="preserve">ntry </w:t>
      </w:r>
      <w:r w:rsidRPr="00AF1CF8">
        <w:rPr>
          <w:b/>
          <w:color w:val="231F20"/>
        </w:rPr>
        <w:t>P</w:t>
      </w:r>
      <w:r w:rsidRPr="00AF1CF8">
        <w:rPr>
          <w:color w:val="231F20"/>
        </w:rPr>
        <w:t>athways) Center to increase student’ retention and success.</w:t>
      </w:r>
    </w:p>
    <w:p w14:paraId="27B4B45C" w14:textId="77777777" w:rsidR="00E40210" w:rsidRPr="00AF1CF8" w:rsidRDefault="00E40210" w:rsidP="00E40210">
      <w:pPr>
        <w:rPr>
          <w:color w:val="231F20"/>
        </w:rPr>
      </w:pPr>
    </w:p>
    <w:p w14:paraId="447463CB" w14:textId="4C9D6361" w:rsidR="00E40210" w:rsidRDefault="00E40210" w:rsidP="00E40210">
      <w:pPr>
        <w:rPr>
          <w:color w:val="231F20"/>
        </w:rPr>
      </w:pPr>
      <w:r w:rsidRPr="00AF1CF8">
        <w:rPr>
          <w:color w:val="231F20"/>
        </w:rPr>
        <w:t xml:space="preserve">Oxnard College will also engage in enhancing and expanding peer mentoring throughout the college and will structure this activity to meet the </w:t>
      </w:r>
      <w:r w:rsidRPr="00AF1CF8">
        <w:rPr>
          <w:i/>
          <w:color w:val="231F20"/>
        </w:rPr>
        <w:t>“Moderate Evidence of Effectiveness” What Works Clearinghouse Evidence Standards with and without reservations</w:t>
      </w:r>
      <w:r w:rsidRPr="00AF1CF8">
        <w:rPr>
          <w:color w:val="231F20"/>
        </w:rPr>
        <w:t>; utilizing “The Effects of Student Coaching in College: An Evaluation of a Randomized Experiment in Student Mentoring” Eric Bettinger &amp; Rachel Baker 2011</w:t>
      </w:r>
      <w:r w:rsidR="001E4D1B">
        <w:rPr>
          <w:color w:val="231F20"/>
        </w:rPr>
        <w:t>.</w:t>
      </w:r>
    </w:p>
    <w:p w14:paraId="4CFA6085" w14:textId="77777777" w:rsidR="001E4D1B" w:rsidRPr="00BB223B" w:rsidRDefault="001E4D1B" w:rsidP="00E40210">
      <w:pPr>
        <w:rPr>
          <w:color w:val="231F20"/>
        </w:rPr>
      </w:pPr>
    </w:p>
    <w:p w14:paraId="40254EDE" w14:textId="658A561F" w:rsidR="00E40210" w:rsidRPr="00AF1CF8" w:rsidRDefault="00E40210" w:rsidP="00E40210">
      <w:r w:rsidRPr="00AF1CF8">
        <w:rPr>
          <w:color w:val="231F20"/>
        </w:rPr>
        <w:t xml:space="preserve">To assure achievement of </w:t>
      </w:r>
      <w:r w:rsidRPr="00AF1CF8">
        <w:rPr>
          <w:i/>
          <w:color w:val="231F20"/>
        </w:rPr>
        <w:t xml:space="preserve">Project Acceso y Progreso’s </w:t>
      </w:r>
      <w:r w:rsidRPr="00AF1CF8">
        <w:rPr>
          <w:color w:val="231F20"/>
        </w:rPr>
        <w:t xml:space="preserve">CDP goals and objectives, as well as maintain continuous quality improvement (CQI), a full-time researcher has been incorporated into this grant to develop an evaluation plan for each activity. This includes an activity-specific logic model, creation of evaluation tools, evaluation implementation using a timeline, reporting and providing recommendations for continuous quality improvement and/or institutionalization of high-impact practices created under </w:t>
      </w:r>
      <w:r w:rsidRPr="00AF1CF8">
        <w:rPr>
          <w:i/>
          <w:color w:val="231F20"/>
        </w:rPr>
        <w:t>Project Acceso y Progreso</w:t>
      </w:r>
      <w:r w:rsidRPr="00AF1CF8">
        <w:rPr>
          <w:color w:val="231F20"/>
        </w:rPr>
        <w:t>.</w:t>
      </w:r>
    </w:p>
    <w:p w14:paraId="724F789B" w14:textId="77777777" w:rsidR="00E40210" w:rsidRPr="00AF1CF8" w:rsidRDefault="00E40210" w:rsidP="00E40210">
      <w:pPr>
        <w:rPr>
          <w:color w:val="231F20"/>
        </w:rPr>
      </w:pPr>
    </w:p>
    <w:p w14:paraId="6DD2C9F7" w14:textId="77777777" w:rsidR="00E40210" w:rsidRPr="00AF1CF8" w:rsidRDefault="00E40210" w:rsidP="00E40210">
      <w:r w:rsidRPr="00AF1CF8">
        <w:rPr>
          <w:color w:val="231F20"/>
        </w:rPr>
        <w:t>An Endowment has been included in Project Acceso y Progresso which will be matched by Oxnard Colleges’ Foundation, to fund and sustain high-impact practices upon completion of this grant in 2024 and beyond.</w:t>
      </w:r>
    </w:p>
    <w:p w14:paraId="4A9B0C14" w14:textId="77777777" w:rsidR="00E40210" w:rsidRPr="00AF1CF8" w:rsidRDefault="00E40210" w:rsidP="00E40210">
      <w:pPr>
        <w:pStyle w:val="BodyText"/>
        <w:rPr>
          <w:szCs w:val="22"/>
        </w:rPr>
      </w:pPr>
    </w:p>
    <w:p w14:paraId="5BED7BD4" w14:textId="3AEB6B51" w:rsidR="00BB6336" w:rsidRPr="00AF1CF8" w:rsidRDefault="00BB6336" w:rsidP="00634CAD">
      <w:pPr>
        <w:pStyle w:val="Heading1"/>
      </w:pPr>
      <w:r w:rsidRPr="00AF1CF8">
        <w:t>P031S190217</w:t>
      </w:r>
      <w:r w:rsidR="007C7CEE" w:rsidRPr="00AF1CF8">
        <w:t xml:space="preserve"> </w:t>
      </w:r>
      <w:r w:rsidR="007C7CEE" w:rsidRPr="00AF1CF8">
        <w:br/>
        <w:t>Woodbury University, CA</w:t>
      </w:r>
    </w:p>
    <w:p w14:paraId="0A21EA7D" w14:textId="77777777" w:rsidR="002A11FC" w:rsidRPr="00AF1CF8" w:rsidRDefault="002A11FC" w:rsidP="002A11FC"/>
    <w:tbl>
      <w:tblPr>
        <w:tblStyle w:val="TableGrid"/>
        <w:tblpPr w:leftFromText="180" w:rightFromText="180" w:vertAnchor="text" w:horzAnchor="margin" w:tblpY="1077"/>
        <w:tblOverlap w:val="never"/>
        <w:tblW w:w="0" w:type="auto"/>
        <w:tblLook w:val="04A0" w:firstRow="1" w:lastRow="0" w:firstColumn="1" w:lastColumn="0" w:noHBand="0" w:noVBand="1"/>
      </w:tblPr>
      <w:tblGrid>
        <w:gridCol w:w="2448"/>
        <w:gridCol w:w="1268"/>
      </w:tblGrid>
      <w:tr w:rsidR="00DE11F4" w:rsidRPr="00AF1CF8" w14:paraId="0F3149A8" w14:textId="77777777" w:rsidTr="00AF1CF8">
        <w:tc>
          <w:tcPr>
            <w:tcW w:w="3716" w:type="dxa"/>
            <w:gridSpan w:val="2"/>
            <w:shd w:val="clear" w:color="auto" w:fill="BFBFBF" w:themeFill="background1" w:themeFillShade="BF"/>
          </w:tcPr>
          <w:p w14:paraId="2AF835B6" w14:textId="77777777" w:rsidR="00DE11F4" w:rsidRPr="00AF1CF8" w:rsidRDefault="00DE11F4" w:rsidP="00DE11F4">
            <w:pPr>
              <w:jc w:val="center"/>
              <w:rPr>
                <w:b/>
                <w:bCs/>
                <w:color w:val="231F20"/>
              </w:rPr>
            </w:pPr>
            <w:r w:rsidRPr="00AF1CF8">
              <w:rPr>
                <w:b/>
                <w:bCs/>
                <w:color w:val="231F20"/>
              </w:rPr>
              <w:t>Woodbury’s Students, 2019</w:t>
            </w:r>
          </w:p>
        </w:tc>
      </w:tr>
      <w:tr w:rsidR="00DE11F4" w:rsidRPr="00AF1CF8" w14:paraId="1A1D197A" w14:textId="77777777" w:rsidTr="00AF1CF8">
        <w:tc>
          <w:tcPr>
            <w:tcW w:w="2448" w:type="dxa"/>
          </w:tcPr>
          <w:p w14:paraId="70E370E5" w14:textId="0DE3BA39" w:rsidR="00DE11F4" w:rsidRPr="00AF1CF8" w:rsidRDefault="00DE11F4" w:rsidP="00DE11F4">
            <w:pPr>
              <w:rPr>
                <w:color w:val="231F20"/>
              </w:rPr>
            </w:pPr>
            <w:r w:rsidRPr="00AF1CF8">
              <w:rPr>
                <w:color w:val="231F20"/>
              </w:rPr>
              <w:t xml:space="preserve">Total / </w:t>
            </w:r>
            <w:r w:rsidR="00042F03" w:rsidRPr="00AF1CF8">
              <w:rPr>
                <w:color w:val="231F20"/>
              </w:rPr>
              <w:t>Undergraduate</w:t>
            </w:r>
          </w:p>
        </w:tc>
        <w:tc>
          <w:tcPr>
            <w:tcW w:w="1268" w:type="dxa"/>
          </w:tcPr>
          <w:p w14:paraId="606EEA3D" w14:textId="77777777" w:rsidR="00DE11F4" w:rsidRPr="00AF1CF8" w:rsidRDefault="00DE11F4" w:rsidP="00DE11F4">
            <w:pPr>
              <w:rPr>
                <w:color w:val="231F20"/>
              </w:rPr>
            </w:pPr>
            <w:r w:rsidRPr="00AF1CF8">
              <w:rPr>
                <w:color w:val="231F20"/>
              </w:rPr>
              <w:t>1,165/1,118</w:t>
            </w:r>
          </w:p>
        </w:tc>
      </w:tr>
      <w:tr w:rsidR="00DE11F4" w:rsidRPr="00AF1CF8" w14:paraId="6218C08A" w14:textId="77777777" w:rsidTr="00AF1CF8">
        <w:tc>
          <w:tcPr>
            <w:tcW w:w="2448" w:type="dxa"/>
          </w:tcPr>
          <w:p w14:paraId="696725B3" w14:textId="77777777" w:rsidR="00DE11F4" w:rsidRPr="00AF1CF8" w:rsidRDefault="00DE11F4" w:rsidP="00DE11F4">
            <w:pPr>
              <w:rPr>
                <w:color w:val="231F20"/>
              </w:rPr>
            </w:pPr>
            <w:r w:rsidRPr="00AF1CF8">
              <w:rPr>
                <w:color w:val="231F20"/>
              </w:rPr>
              <w:t>Full-time</w:t>
            </w:r>
          </w:p>
        </w:tc>
        <w:tc>
          <w:tcPr>
            <w:tcW w:w="1268" w:type="dxa"/>
          </w:tcPr>
          <w:p w14:paraId="351E2FB3" w14:textId="27B9CCFD" w:rsidR="00DE11F4" w:rsidRPr="00EB748D" w:rsidRDefault="00DE11F4" w:rsidP="00AF1CF8">
            <w:pPr>
              <w:jc w:val="center"/>
              <w:rPr>
                <w:color w:val="231F20"/>
              </w:rPr>
            </w:pPr>
            <w:r w:rsidRPr="00AF1CF8">
              <w:rPr>
                <w:color w:val="231F20"/>
              </w:rPr>
              <w:t>90</w:t>
            </w:r>
            <w:r w:rsidR="00A23357" w:rsidRPr="00AF1CF8">
              <w:rPr>
                <w:color w:val="231F20"/>
              </w:rPr>
              <w:t xml:space="preserve"> </w:t>
            </w:r>
            <w:r w:rsidR="00E750CB" w:rsidRPr="00AF1CF8">
              <w:rPr>
                <w:color w:val="231F20"/>
              </w:rPr>
              <w:t>%</w:t>
            </w:r>
          </w:p>
        </w:tc>
      </w:tr>
      <w:tr w:rsidR="00DE11F4" w:rsidRPr="00AF1CF8" w14:paraId="40373CC3" w14:textId="77777777" w:rsidTr="00AF1CF8">
        <w:tc>
          <w:tcPr>
            <w:tcW w:w="2448" w:type="dxa"/>
          </w:tcPr>
          <w:p w14:paraId="6A9F5827" w14:textId="77777777" w:rsidR="00DE11F4" w:rsidRPr="00AF1CF8" w:rsidRDefault="00DE11F4" w:rsidP="00DE11F4">
            <w:pPr>
              <w:rPr>
                <w:color w:val="231F20"/>
              </w:rPr>
            </w:pPr>
            <w:r w:rsidRPr="00AF1CF8">
              <w:rPr>
                <w:color w:val="231F20"/>
              </w:rPr>
              <w:t>Female/male</w:t>
            </w:r>
          </w:p>
        </w:tc>
        <w:tc>
          <w:tcPr>
            <w:tcW w:w="1268" w:type="dxa"/>
          </w:tcPr>
          <w:p w14:paraId="7E05D131" w14:textId="23E792E9" w:rsidR="00DE11F4" w:rsidRPr="00EB748D" w:rsidRDefault="00DE11F4" w:rsidP="00AF1CF8">
            <w:pPr>
              <w:jc w:val="center"/>
              <w:rPr>
                <w:color w:val="231F20"/>
              </w:rPr>
            </w:pPr>
            <w:r w:rsidRPr="00AF1CF8">
              <w:rPr>
                <w:color w:val="231F20"/>
              </w:rPr>
              <w:t>52</w:t>
            </w:r>
            <w:r w:rsidR="00A23357" w:rsidRPr="00AF1CF8">
              <w:rPr>
                <w:color w:val="231F20"/>
              </w:rPr>
              <w:t xml:space="preserve"> </w:t>
            </w:r>
            <w:r w:rsidR="00E750CB" w:rsidRPr="00AF1CF8">
              <w:rPr>
                <w:color w:val="231F20"/>
              </w:rPr>
              <w:t>%</w:t>
            </w:r>
            <w:r w:rsidRPr="00EB748D">
              <w:rPr>
                <w:color w:val="231F20"/>
              </w:rPr>
              <w:t>/48</w:t>
            </w:r>
            <w:r w:rsidR="00A23357" w:rsidRPr="00AF1CF8">
              <w:rPr>
                <w:color w:val="231F20"/>
              </w:rPr>
              <w:t xml:space="preserve"> </w:t>
            </w:r>
            <w:r w:rsidR="00E750CB" w:rsidRPr="00AF1CF8">
              <w:rPr>
                <w:color w:val="231F20"/>
              </w:rPr>
              <w:t>%</w:t>
            </w:r>
          </w:p>
        </w:tc>
      </w:tr>
      <w:tr w:rsidR="00DE11F4" w:rsidRPr="00AF1CF8" w14:paraId="34795035" w14:textId="77777777" w:rsidTr="00AF1CF8">
        <w:tc>
          <w:tcPr>
            <w:tcW w:w="2448" w:type="dxa"/>
          </w:tcPr>
          <w:p w14:paraId="2222D757" w14:textId="77777777" w:rsidR="00DE11F4" w:rsidRPr="00AF1CF8" w:rsidRDefault="00DE11F4" w:rsidP="00DE11F4">
            <w:pPr>
              <w:rPr>
                <w:color w:val="231F20"/>
              </w:rPr>
            </w:pPr>
            <w:r w:rsidRPr="00AF1CF8">
              <w:rPr>
                <w:color w:val="231F20"/>
              </w:rPr>
              <w:t>Minority</w:t>
            </w:r>
          </w:p>
        </w:tc>
        <w:tc>
          <w:tcPr>
            <w:tcW w:w="1268" w:type="dxa"/>
          </w:tcPr>
          <w:p w14:paraId="2DABD78F" w14:textId="2680EFFD" w:rsidR="00DE11F4" w:rsidRPr="00EB748D" w:rsidRDefault="00DE11F4" w:rsidP="00AF1CF8">
            <w:pPr>
              <w:jc w:val="center"/>
              <w:rPr>
                <w:color w:val="231F20"/>
              </w:rPr>
            </w:pPr>
            <w:r w:rsidRPr="00AF1CF8">
              <w:rPr>
                <w:color w:val="231F20"/>
              </w:rPr>
              <w:t>66</w:t>
            </w:r>
            <w:r w:rsidR="00A23357" w:rsidRPr="00AF1CF8">
              <w:rPr>
                <w:color w:val="231F20"/>
              </w:rPr>
              <w:t xml:space="preserve"> </w:t>
            </w:r>
            <w:r w:rsidR="00E750CB" w:rsidRPr="00AF1CF8">
              <w:rPr>
                <w:color w:val="231F20"/>
              </w:rPr>
              <w:t>%</w:t>
            </w:r>
          </w:p>
        </w:tc>
      </w:tr>
      <w:tr w:rsidR="00DE11F4" w:rsidRPr="00AF1CF8" w14:paraId="644A4742" w14:textId="77777777" w:rsidTr="00AF1CF8">
        <w:tc>
          <w:tcPr>
            <w:tcW w:w="2448" w:type="dxa"/>
          </w:tcPr>
          <w:p w14:paraId="2D06D121" w14:textId="77777777" w:rsidR="00DE11F4" w:rsidRPr="00AF1CF8" w:rsidRDefault="00DE11F4" w:rsidP="00DE11F4">
            <w:pPr>
              <w:rPr>
                <w:color w:val="231F20"/>
              </w:rPr>
            </w:pPr>
            <w:r w:rsidRPr="00AF1CF8">
              <w:rPr>
                <w:color w:val="231F20"/>
              </w:rPr>
              <w:t>Hispanic</w:t>
            </w:r>
          </w:p>
        </w:tc>
        <w:tc>
          <w:tcPr>
            <w:tcW w:w="1268" w:type="dxa"/>
          </w:tcPr>
          <w:p w14:paraId="7991AA96" w14:textId="423275CF" w:rsidR="00DE11F4" w:rsidRPr="00EB748D" w:rsidRDefault="00DE11F4" w:rsidP="00AF1CF8">
            <w:pPr>
              <w:jc w:val="center"/>
              <w:rPr>
                <w:color w:val="231F20"/>
              </w:rPr>
            </w:pPr>
            <w:r w:rsidRPr="00AF1CF8">
              <w:rPr>
                <w:color w:val="231F20"/>
              </w:rPr>
              <w:t>35</w:t>
            </w:r>
            <w:r w:rsidR="00A23357" w:rsidRPr="00AF1CF8">
              <w:rPr>
                <w:color w:val="231F20"/>
              </w:rPr>
              <w:t xml:space="preserve"> </w:t>
            </w:r>
            <w:r w:rsidR="00E750CB" w:rsidRPr="00AF1CF8">
              <w:rPr>
                <w:color w:val="231F20"/>
              </w:rPr>
              <w:t>%</w:t>
            </w:r>
          </w:p>
        </w:tc>
      </w:tr>
      <w:tr w:rsidR="00DE11F4" w:rsidRPr="00AF1CF8" w14:paraId="7AC9A7AA" w14:textId="77777777" w:rsidTr="00AF1CF8">
        <w:tc>
          <w:tcPr>
            <w:tcW w:w="2448" w:type="dxa"/>
          </w:tcPr>
          <w:p w14:paraId="109C981B" w14:textId="77777777" w:rsidR="00DE11F4" w:rsidRPr="00AF1CF8" w:rsidRDefault="00DE11F4" w:rsidP="00DE11F4">
            <w:pPr>
              <w:rPr>
                <w:color w:val="231F20"/>
              </w:rPr>
            </w:pPr>
            <w:r w:rsidRPr="00AF1CF8">
              <w:rPr>
                <w:color w:val="231F20"/>
              </w:rPr>
              <w:t>Pell Recipients</w:t>
            </w:r>
          </w:p>
        </w:tc>
        <w:tc>
          <w:tcPr>
            <w:tcW w:w="1268" w:type="dxa"/>
          </w:tcPr>
          <w:p w14:paraId="6283F137" w14:textId="03E03CBF" w:rsidR="00DE11F4" w:rsidRPr="00EB748D" w:rsidRDefault="00DE11F4" w:rsidP="00AF1CF8">
            <w:pPr>
              <w:jc w:val="center"/>
              <w:rPr>
                <w:color w:val="231F20"/>
              </w:rPr>
            </w:pPr>
            <w:r w:rsidRPr="00AF1CF8">
              <w:rPr>
                <w:color w:val="231F20"/>
              </w:rPr>
              <w:t>46</w:t>
            </w:r>
            <w:r w:rsidR="00A23357" w:rsidRPr="00AF1CF8">
              <w:rPr>
                <w:color w:val="231F20"/>
              </w:rPr>
              <w:t xml:space="preserve"> </w:t>
            </w:r>
            <w:r w:rsidR="00E750CB" w:rsidRPr="00AF1CF8">
              <w:rPr>
                <w:color w:val="231F20"/>
              </w:rPr>
              <w:t>%</w:t>
            </w:r>
          </w:p>
        </w:tc>
      </w:tr>
      <w:tr w:rsidR="00DE11F4" w:rsidRPr="00AF1CF8" w14:paraId="734B6B67" w14:textId="77777777" w:rsidTr="00AF1CF8">
        <w:tc>
          <w:tcPr>
            <w:tcW w:w="2448" w:type="dxa"/>
          </w:tcPr>
          <w:p w14:paraId="2532190C" w14:textId="77777777" w:rsidR="00DE11F4" w:rsidRPr="00AF1CF8" w:rsidRDefault="00DE11F4" w:rsidP="00DE11F4">
            <w:pPr>
              <w:rPr>
                <w:color w:val="231F20"/>
              </w:rPr>
            </w:pPr>
            <w:r w:rsidRPr="00AF1CF8">
              <w:rPr>
                <w:color w:val="231F20"/>
              </w:rPr>
              <w:t>With financial aid</w:t>
            </w:r>
          </w:p>
        </w:tc>
        <w:tc>
          <w:tcPr>
            <w:tcW w:w="1268" w:type="dxa"/>
          </w:tcPr>
          <w:p w14:paraId="0DF7B79B" w14:textId="7630BC08" w:rsidR="00DE11F4" w:rsidRPr="00EB748D" w:rsidRDefault="00DE11F4" w:rsidP="00AF1CF8">
            <w:pPr>
              <w:jc w:val="center"/>
              <w:rPr>
                <w:color w:val="231F20"/>
              </w:rPr>
            </w:pPr>
            <w:r w:rsidRPr="00AF1CF8">
              <w:rPr>
                <w:color w:val="231F20"/>
              </w:rPr>
              <w:t>83</w:t>
            </w:r>
            <w:r w:rsidR="00A23357" w:rsidRPr="00AF1CF8">
              <w:rPr>
                <w:color w:val="231F20"/>
              </w:rPr>
              <w:t xml:space="preserve"> </w:t>
            </w:r>
            <w:r w:rsidR="00E750CB" w:rsidRPr="00AF1CF8">
              <w:rPr>
                <w:color w:val="231F20"/>
              </w:rPr>
              <w:t>%</w:t>
            </w:r>
          </w:p>
        </w:tc>
      </w:tr>
      <w:tr w:rsidR="00DE11F4" w:rsidRPr="00AF1CF8" w14:paraId="3DA0267E" w14:textId="77777777" w:rsidTr="00AF1CF8">
        <w:tc>
          <w:tcPr>
            <w:tcW w:w="2448" w:type="dxa"/>
          </w:tcPr>
          <w:p w14:paraId="2F64542B" w14:textId="77777777" w:rsidR="00DE11F4" w:rsidRPr="00AF1CF8" w:rsidRDefault="00DE11F4" w:rsidP="00DE11F4">
            <w:pPr>
              <w:rPr>
                <w:color w:val="231F20"/>
              </w:rPr>
            </w:pPr>
            <w:r w:rsidRPr="00AF1CF8">
              <w:rPr>
                <w:color w:val="231F20"/>
              </w:rPr>
              <w:t>First-generation</w:t>
            </w:r>
          </w:p>
        </w:tc>
        <w:tc>
          <w:tcPr>
            <w:tcW w:w="1268" w:type="dxa"/>
          </w:tcPr>
          <w:p w14:paraId="36FDB1F0" w14:textId="1611C48A" w:rsidR="00DE11F4" w:rsidRPr="00EB748D" w:rsidRDefault="00DE11F4" w:rsidP="00AF1CF8">
            <w:pPr>
              <w:jc w:val="center"/>
              <w:rPr>
                <w:color w:val="231F20"/>
              </w:rPr>
            </w:pPr>
            <w:r w:rsidRPr="00AF1CF8">
              <w:rPr>
                <w:color w:val="231F20"/>
              </w:rPr>
              <w:t>75</w:t>
            </w:r>
            <w:r w:rsidR="00A23357" w:rsidRPr="00AF1CF8">
              <w:rPr>
                <w:color w:val="231F20"/>
              </w:rPr>
              <w:t xml:space="preserve"> </w:t>
            </w:r>
            <w:r w:rsidR="00E750CB" w:rsidRPr="00AF1CF8">
              <w:rPr>
                <w:color w:val="231F20"/>
              </w:rPr>
              <w:t>%</w:t>
            </w:r>
          </w:p>
        </w:tc>
      </w:tr>
      <w:tr w:rsidR="00DE11F4" w:rsidRPr="00AF1CF8" w14:paraId="2A37B0A7" w14:textId="77777777" w:rsidTr="00AF1CF8">
        <w:tc>
          <w:tcPr>
            <w:tcW w:w="2448" w:type="dxa"/>
          </w:tcPr>
          <w:p w14:paraId="43F1959A" w14:textId="77777777" w:rsidR="00DE11F4" w:rsidRPr="00AF1CF8" w:rsidRDefault="00DE11F4" w:rsidP="00DE11F4">
            <w:pPr>
              <w:rPr>
                <w:color w:val="231F20"/>
              </w:rPr>
            </w:pPr>
            <w:r w:rsidRPr="00AF1CF8">
              <w:rPr>
                <w:color w:val="231F20"/>
              </w:rPr>
              <w:t>Fall 2017-2018 retention</w:t>
            </w:r>
          </w:p>
        </w:tc>
        <w:tc>
          <w:tcPr>
            <w:tcW w:w="1268" w:type="dxa"/>
          </w:tcPr>
          <w:p w14:paraId="26050904" w14:textId="1A1A5EC9" w:rsidR="00DE11F4" w:rsidRPr="00EB748D" w:rsidRDefault="00DE11F4" w:rsidP="00AF1CF8">
            <w:pPr>
              <w:jc w:val="center"/>
              <w:rPr>
                <w:color w:val="231F20"/>
              </w:rPr>
            </w:pPr>
            <w:r w:rsidRPr="00AF1CF8">
              <w:rPr>
                <w:color w:val="231F20"/>
              </w:rPr>
              <w:t>77</w:t>
            </w:r>
            <w:r w:rsidR="00A23357" w:rsidRPr="00AF1CF8">
              <w:rPr>
                <w:color w:val="231F20"/>
              </w:rPr>
              <w:t xml:space="preserve"> </w:t>
            </w:r>
            <w:r w:rsidR="00E750CB" w:rsidRPr="00AF1CF8">
              <w:rPr>
                <w:color w:val="231F20"/>
              </w:rPr>
              <w:t>%</w:t>
            </w:r>
          </w:p>
        </w:tc>
      </w:tr>
      <w:tr w:rsidR="00DE11F4" w:rsidRPr="00AF1CF8" w14:paraId="4AA77862" w14:textId="77777777" w:rsidTr="00AF1CF8">
        <w:tc>
          <w:tcPr>
            <w:tcW w:w="2448" w:type="dxa"/>
          </w:tcPr>
          <w:p w14:paraId="3580B41C" w14:textId="77777777" w:rsidR="00DE11F4" w:rsidRPr="00AF1CF8" w:rsidRDefault="00DE11F4" w:rsidP="00DE11F4">
            <w:pPr>
              <w:rPr>
                <w:color w:val="231F20"/>
              </w:rPr>
            </w:pPr>
            <w:r w:rsidRPr="00AF1CF8">
              <w:rPr>
                <w:color w:val="231F20"/>
              </w:rPr>
              <w:t>Bach. In 6 yrs. or less</w:t>
            </w:r>
          </w:p>
        </w:tc>
        <w:tc>
          <w:tcPr>
            <w:tcW w:w="1268" w:type="dxa"/>
          </w:tcPr>
          <w:p w14:paraId="258A6DEA" w14:textId="6C6CD7E2" w:rsidR="00DE11F4" w:rsidRPr="00EB748D" w:rsidRDefault="00DE11F4" w:rsidP="00AF1CF8">
            <w:pPr>
              <w:jc w:val="center"/>
              <w:rPr>
                <w:color w:val="231F20"/>
              </w:rPr>
            </w:pPr>
            <w:r w:rsidRPr="00AF1CF8">
              <w:rPr>
                <w:color w:val="231F20"/>
              </w:rPr>
              <w:t>52</w:t>
            </w:r>
            <w:r w:rsidR="00A23357" w:rsidRPr="00AF1CF8">
              <w:rPr>
                <w:color w:val="231F20"/>
              </w:rPr>
              <w:t xml:space="preserve"> </w:t>
            </w:r>
            <w:r w:rsidR="00E750CB" w:rsidRPr="00AF1CF8">
              <w:rPr>
                <w:color w:val="231F20"/>
              </w:rPr>
              <w:t>%</w:t>
            </w:r>
          </w:p>
        </w:tc>
      </w:tr>
      <w:tr w:rsidR="00DE11F4" w:rsidRPr="00AF1CF8" w14:paraId="5383FDFB" w14:textId="77777777" w:rsidTr="00AF1CF8">
        <w:tc>
          <w:tcPr>
            <w:tcW w:w="3716" w:type="dxa"/>
            <w:gridSpan w:val="2"/>
            <w:shd w:val="clear" w:color="auto" w:fill="BFBFBF" w:themeFill="background1" w:themeFillShade="BF"/>
          </w:tcPr>
          <w:p w14:paraId="15C2214B" w14:textId="77777777" w:rsidR="00DE11F4" w:rsidRPr="00AF1CF8" w:rsidRDefault="00DE11F4" w:rsidP="00DE11F4">
            <w:pPr>
              <w:jc w:val="center"/>
              <w:rPr>
                <w:color w:val="231F20"/>
              </w:rPr>
            </w:pPr>
            <w:r w:rsidRPr="00AF1CF8">
              <w:rPr>
                <w:rFonts w:eastAsiaTheme="minorHAnsi"/>
                <w:b/>
                <w:bCs/>
              </w:rPr>
              <w:t>Woodbury’s Faculty, 2019</w:t>
            </w:r>
          </w:p>
        </w:tc>
      </w:tr>
      <w:tr w:rsidR="00DE11F4" w:rsidRPr="00AF1CF8" w14:paraId="70A46436" w14:textId="77777777" w:rsidTr="00AF1CF8">
        <w:tc>
          <w:tcPr>
            <w:tcW w:w="2448" w:type="dxa"/>
          </w:tcPr>
          <w:p w14:paraId="09B367D2" w14:textId="77777777" w:rsidR="00DE11F4" w:rsidRPr="00AF1CF8" w:rsidRDefault="00DE11F4" w:rsidP="00DE11F4">
            <w:pPr>
              <w:rPr>
                <w:color w:val="231F20"/>
              </w:rPr>
            </w:pPr>
            <w:r w:rsidRPr="00AF1CF8">
              <w:rPr>
                <w:color w:val="231F20"/>
              </w:rPr>
              <w:t>Full-time/Adjunct</w:t>
            </w:r>
          </w:p>
        </w:tc>
        <w:tc>
          <w:tcPr>
            <w:tcW w:w="1268" w:type="dxa"/>
          </w:tcPr>
          <w:p w14:paraId="42A28A67" w14:textId="77777777" w:rsidR="00DE11F4" w:rsidRPr="00AF1CF8" w:rsidRDefault="00DE11F4" w:rsidP="00AF1CF8">
            <w:pPr>
              <w:jc w:val="center"/>
              <w:rPr>
                <w:color w:val="231F20"/>
              </w:rPr>
            </w:pPr>
            <w:r w:rsidRPr="00AF1CF8">
              <w:rPr>
                <w:color w:val="231F20"/>
              </w:rPr>
              <w:t>65/167</w:t>
            </w:r>
          </w:p>
        </w:tc>
      </w:tr>
      <w:tr w:rsidR="00DE11F4" w:rsidRPr="00AF1CF8" w14:paraId="468F70E7" w14:textId="77777777" w:rsidTr="00AF1CF8">
        <w:tc>
          <w:tcPr>
            <w:tcW w:w="2448" w:type="dxa"/>
          </w:tcPr>
          <w:p w14:paraId="6DA560CD" w14:textId="77777777" w:rsidR="00DE11F4" w:rsidRPr="00AF1CF8" w:rsidRDefault="00DE11F4" w:rsidP="00DE11F4">
            <w:pPr>
              <w:rPr>
                <w:color w:val="231F20"/>
              </w:rPr>
            </w:pPr>
            <w:r w:rsidRPr="00AF1CF8">
              <w:rPr>
                <w:color w:val="231F20"/>
              </w:rPr>
              <w:t>Minority</w:t>
            </w:r>
          </w:p>
        </w:tc>
        <w:tc>
          <w:tcPr>
            <w:tcW w:w="1268" w:type="dxa"/>
          </w:tcPr>
          <w:p w14:paraId="7C7F9BF8" w14:textId="5579A017" w:rsidR="00DE11F4" w:rsidRPr="00EB748D" w:rsidRDefault="00DE11F4" w:rsidP="00AF1CF8">
            <w:pPr>
              <w:jc w:val="center"/>
              <w:rPr>
                <w:color w:val="231F20"/>
              </w:rPr>
            </w:pPr>
            <w:r w:rsidRPr="00AF1CF8">
              <w:rPr>
                <w:color w:val="231F20"/>
              </w:rPr>
              <w:t>19</w:t>
            </w:r>
            <w:r w:rsidR="00A23357" w:rsidRPr="00AF1CF8">
              <w:rPr>
                <w:color w:val="231F20"/>
              </w:rPr>
              <w:t xml:space="preserve"> </w:t>
            </w:r>
            <w:r w:rsidR="00E750CB" w:rsidRPr="00AF1CF8">
              <w:rPr>
                <w:color w:val="231F20"/>
              </w:rPr>
              <w:t>%</w:t>
            </w:r>
          </w:p>
        </w:tc>
      </w:tr>
      <w:tr w:rsidR="00DE11F4" w:rsidRPr="00AF1CF8" w14:paraId="54454D44" w14:textId="77777777" w:rsidTr="00AF1CF8">
        <w:tc>
          <w:tcPr>
            <w:tcW w:w="2448" w:type="dxa"/>
          </w:tcPr>
          <w:p w14:paraId="07EB38D8" w14:textId="77777777" w:rsidR="00DE11F4" w:rsidRPr="00AF1CF8" w:rsidRDefault="00DE11F4" w:rsidP="00DE11F4">
            <w:pPr>
              <w:rPr>
                <w:color w:val="231F20"/>
              </w:rPr>
            </w:pPr>
            <w:r w:rsidRPr="00AF1CF8">
              <w:rPr>
                <w:color w:val="231F20"/>
              </w:rPr>
              <w:t>Master’s + (all)</w:t>
            </w:r>
          </w:p>
        </w:tc>
        <w:tc>
          <w:tcPr>
            <w:tcW w:w="1268" w:type="dxa"/>
          </w:tcPr>
          <w:p w14:paraId="65F071A9" w14:textId="2270B124" w:rsidR="00DE11F4" w:rsidRPr="00EB748D" w:rsidRDefault="00DE11F4" w:rsidP="00AF1CF8">
            <w:pPr>
              <w:jc w:val="center"/>
              <w:rPr>
                <w:color w:val="231F20"/>
              </w:rPr>
            </w:pPr>
            <w:r w:rsidRPr="00AF1CF8">
              <w:rPr>
                <w:color w:val="231F20"/>
              </w:rPr>
              <w:t>67</w:t>
            </w:r>
            <w:r w:rsidR="00A23357" w:rsidRPr="00AF1CF8">
              <w:rPr>
                <w:color w:val="231F20"/>
              </w:rPr>
              <w:t xml:space="preserve"> </w:t>
            </w:r>
            <w:r w:rsidR="00E750CB" w:rsidRPr="00AF1CF8">
              <w:rPr>
                <w:color w:val="231F20"/>
              </w:rPr>
              <w:t>%</w:t>
            </w:r>
          </w:p>
        </w:tc>
      </w:tr>
      <w:tr w:rsidR="00DE11F4" w:rsidRPr="00AF1CF8" w14:paraId="2631D247" w14:textId="77777777" w:rsidTr="00AF1CF8">
        <w:tc>
          <w:tcPr>
            <w:tcW w:w="2448" w:type="dxa"/>
          </w:tcPr>
          <w:p w14:paraId="01B200A0" w14:textId="77777777" w:rsidR="00DE11F4" w:rsidRPr="00AF1CF8" w:rsidRDefault="00DE11F4" w:rsidP="00DE11F4">
            <w:pPr>
              <w:rPr>
                <w:color w:val="231F20"/>
              </w:rPr>
            </w:pPr>
            <w:r w:rsidRPr="00AF1CF8">
              <w:rPr>
                <w:color w:val="231F20"/>
              </w:rPr>
              <w:t>Faculty : Students</w:t>
            </w:r>
          </w:p>
        </w:tc>
        <w:tc>
          <w:tcPr>
            <w:tcW w:w="1268" w:type="dxa"/>
          </w:tcPr>
          <w:p w14:paraId="24CEA237" w14:textId="77777777" w:rsidR="00DE11F4" w:rsidRPr="00EB748D" w:rsidRDefault="00DE11F4" w:rsidP="00AF1CF8">
            <w:pPr>
              <w:jc w:val="center"/>
              <w:rPr>
                <w:color w:val="231F20"/>
              </w:rPr>
            </w:pPr>
            <w:r w:rsidRPr="00AF1CF8">
              <w:rPr>
                <w:color w:val="231F20"/>
              </w:rPr>
              <w:t>1:12</w:t>
            </w:r>
          </w:p>
        </w:tc>
      </w:tr>
    </w:tbl>
    <w:p w14:paraId="29933DA1" w14:textId="2F9863A8" w:rsidR="00BB6336" w:rsidRPr="00AF1CF8" w:rsidRDefault="00BB6336" w:rsidP="00BB6336">
      <w:pPr>
        <w:rPr>
          <w:color w:val="231F20"/>
        </w:rPr>
      </w:pPr>
      <w:r w:rsidRPr="00AF1CF8">
        <w:rPr>
          <w:b/>
          <w:bCs/>
          <w:color w:val="231F20"/>
        </w:rPr>
        <w:t xml:space="preserve">Woodbury University </w:t>
      </w:r>
      <w:r w:rsidRPr="00AF1CF8">
        <w:rPr>
          <w:color w:val="231F20"/>
        </w:rPr>
        <w:t>is a private, four-year, nonprofit Hispanic-Serving Institution in</w:t>
      </w:r>
      <w:r w:rsidR="000327A5" w:rsidRPr="00AF1CF8">
        <w:rPr>
          <w:color w:val="231F20"/>
        </w:rPr>
        <w:t xml:space="preserve"> </w:t>
      </w:r>
      <w:r w:rsidRPr="00AF1CF8">
        <w:rPr>
          <w:color w:val="231F20"/>
        </w:rPr>
        <w:t xml:space="preserve">southern California founded in 1884 to prepare its students to </w:t>
      </w:r>
      <w:r w:rsidRPr="00AF1CF8">
        <w:rPr>
          <w:b/>
          <w:bCs/>
          <w:color w:val="231F20"/>
        </w:rPr>
        <w:t>participate in the area business</w:t>
      </w:r>
      <w:r w:rsidR="000327A5" w:rsidRPr="00AF1CF8">
        <w:rPr>
          <w:b/>
          <w:bCs/>
          <w:color w:val="231F20"/>
        </w:rPr>
        <w:t xml:space="preserve"> </w:t>
      </w:r>
      <w:r w:rsidRPr="00AF1CF8">
        <w:rPr>
          <w:b/>
          <w:bCs/>
          <w:color w:val="231F20"/>
        </w:rPr>
        <w:t>community</w:t>
      </w:r>
      <w:r w:rsidRPr="00AF1CF8">
        <w:rPr>
          <w:color w:val="231F20"/>
        </w:rPr>
        <w:t>, an historic link that has lasted through the years. While many regard the area as</w:t>
      </w:r>
      <w:r w:rsidR="000327A5" w:rsidRPr="00AF1CF8">
        <w:rPr>
          <w:color w:val="231F20"/>
        </w:rPr>
        <w:t xml:space="preserve"> </w:t>
      </w:r>
      <w:r w:rsidRPr="00AF1CF8">
        <w:rPr>
          <w:color w:val="231F20"/>
        </w:rPr>
        <w:t>glamorous and affluent, Los Angeles is the second largest city in the country, and the metro is</w:t>
      </w:r>
      <w:r w:rsidR="000327A5" w:rsidRPr="00AF1CF8">
        <w:rPr>
          <w:color w:val="231F20"/>
        </w:rPr>
        <w:t xml:space="preserve"> </w:t>
      </w:r>
      <w:r w:rsidRPr="00AF1CF8">
        <w:rPr>
          <w:color w:val="231F20"/>
        </w:rPr>
        <w:t>the ninth most diverse of the largest 150 in the U.S., and disadvantage is both widespread and concentrated among people of color. Only 26</w:t>
      </w:r>
      <w:r w:rsidR="00A23357" w:rsidRPr="00AF1CF8">
        <w:rPr>
          <w:color w:val="231F20"/>
        </w:rPr>
        <w:t xml:space="preserve"> percent</w:t>
      </w:r>
      <w:r w:rsidRPr="00EB748D">
        <w:rPr>
          <w:color w:val="231F20"/>
        </w:rPr>
        <w:t xml:space="preserve"> of residents are white, and Latinos, </w:t>
      </w:r>
      <w:r w:rsidRPr="00EB748D">
        <w:rPr>
          <w:b/>
          <w:bCs/>
          <w:color w:val="231F20"/>
        </w:rPr>
        <w:t>48</w:t>
      </w:r>
      <w:r w:rsidR="00A23357" w:rsidRPr="00AF1CF8">
        <w:rPr>
          <w:b/>
          <w:bCs/>
          <w:color w:val="231F20"/>
        </w:rPr>
        <w:t xml:space="preserve"> percent</w:t>
      </w:r>
      <w:r w:rsidRPr="00EB748D">
        <w:rPr>
          <w:b/>
          <w:bCs/>
          <w:color w:val="231F20"/>
        </w:rPr>
        <w:t xml:space="preserve"> </w:t>
      </w:r>
      <w:r w:rsidRPr="00EB748D">
        <w:rPr>
          <w:color w:val="231F20"/>
        </w:rPr>
        <w:t xml:space="preserve">of the </w:t>
      </w:r>
      <w:r w:rsidR="00EB748D">
        <w:rPr>
          <w:color w:val="231F20"/>
        </w:rPr>
        <w:t>p</w:t>
      </w:r>
      <w:r w:rsidRPr="00BB223B">
        <w:rPr>
          <w:color w:val="231F20"/>
        </w:rPr>
        <w:t>opulation, are</w:t>
      </w:r>
      <w:r w:rsidRPr="00AF1CF8">
        <w:rPr>
          <w:color w:val="231F20"/>
        </w:rPr>
        <w:t xml:space="preserve"> projected to become the demographic majority next year </w:t>
      </w:r>
      <w:r w:rsidRPr="00AF1CF8">
        <w:rPr>
          <w:i/>
          <w:iCs/>
          <w:color w:val="231F20"/>
        </w:rPr>
        <w:t>(USC 2017)</w:t>
      </w:r>
      <w:r w:rsidRPr="00AF1CF8">
        <w:rPr>
          <w:color w:val="231F20"/>
        </w:rPr>
        <w:t>. Nearly a quarter (21</w:t>
      </w:r>
      <w:r w:rsidR="00A23357" w:rsidRPr="00AF1CF8">
        <w:rPr>
          <w:color w:val="231F20"/>
        </w:rPr>
        <w:t xml:space="preserve"> percent</w:t>
      </w:r>
      <w:r w:rsidRPr="00EB748D">
        <w:rPr>
          <w:color w:val="231F20"/>
        </w:rPr>
        <w:t>) of LA County Hispanics live in poverty compared to 10</w:t>
      </w:r>
      <w:r w:rsidR="00A23357" w:rsidRPr="00AF1CF8">
        <w:rPr>
          <w:color w:val="231F20"/>
        </w:rPr>
        <w:t xml:space="preserve"> percent</w:t>
      </w:r>
      <w:r w:rsidRPr="00EB748D">
        <w:rPr>
          <w:color w:val="231F20"/>
        </w:rPr>
        <w:t xml:space="preserve"> of non-Hispanic whites, and Hispanics’ per capita </w:t>
      </w:r>
      <w:r w:rsidRPr="00BB223B">
        <w:rPr>
          <w:color w:val="231F20"/>
        </w:rPr>
        <w:t>incomes average just a third o</w:t>
      </w:r>
      <w:r w:rsidRPr="00AF1CF8">
        <w:rPr>
          <w:color w:val="231F20"/>
        </w:rPr>
        <w:t xml:space="preserve">f non-Hispanic </w:t>
      </w:r>
      <w:r w:rsidR="00A050CF" w:rsidRPr="00AF1CF8">
        <w:rPr>
          <w:color w:val="231F20"/>
        </w:rPr>
        <w:t>whites</w:t>
      </w:r>
      <w:r w:rsidRPr="00AF1CF8">
        <w:rPr>
          <w:color w:val="231F20"/>
        </w:rPr>
        <w:t xml:space="preserve">. Income disparity has been growing for the past 40 years: from 1979 to 2014, real income </w:t>
      </w:r>
      <w:r w:rsidRPr="00AF1CF8">
        <w:rPr>
          <w:b/>
          <w:bCs/>
          <w:color w:val="231F20"/>
        </w:rPr>
        <w:t xml:space="preserve">grew only </w:t>
      </w:r>
      <w:r w:rsidRPr="00AF1CF8">
        <w:rPr>
          <w:color w:val="231F20"/>
        </w:rPr>
        <w:t>for high-wage workers (e.g. +13</w:t>
      </w:r>
      <w:r w:rsidR="00A23357" w:rsidRPr="00AF1CF8">
        <w:rPr>
          <w:color w:val="231F20"/>
        </w:rPr>
        <w:t xml:space="preserve"> percent</w:t>
      </w:r>
      <w:r w:rsidRPr="00EB748D">
        <w:rPr>
          <w:color w:val="231F20"/>
        </w:rPr>
        <w:t xml:space="preserve"> for the top 10</w:t>
      </w:r>
      <w:r w:rsidR="00A23357" w:rsidRPr="00AF1CF8">
        <w:rPr>
          <w:color w:val="231F20"/>
        </w:rPr>
        <w:t xml:space="preserve"> percent</w:t>
      </w:r>
      <w:r w:rsidRPr="00EB748D">
        <w:rPr>
          <w:color w:val="231F20"/>
        </w:rPr>
        <w:t xml:space="preserve">) while it </w:t>
      </w:r>
      <w:r w:rsidRPr="00EB748D">
        <w:rPr>
          <w:b/>
          <w:bCs/>
          <w:color w:val="231F20"/>
        </w:rPr>
        <w:t>fell 25</w:t>
      </w:r>
      <w:r w:rsidR="00A23357" w:rsidRPr="00AF1CF8">
        <w:rPr>
          <w:b/>
          <w:bCs/>
          <w:color w:val="231F20"/>
        </w:rPr>
        <w:t xml:space="preserve"> percent</w:t>
      </w:r>
      <w:r w:rsidRPr="00EB748D">
        <w:rPr>
          <w:b/>
          <w:bCs/>
          <w:color w:val="231F20"/>
        </w:rPr>
        <w:t xml:space="preserve"> </w:t>
      </w:r>
      <w:r w:rsidRPr="00EB748D">
        <w:rPr>
          <w:color w:val="231F20"/>
        </w:rPr>
        <w:t>for those in the bottom 10</w:t>
      </w:r>
      <w:r w:rsidR="00A23357" w:rsidRPr="00AF1CF8">
        <w:rPr>
          <w:color w:val="231F20"/>
        </w:rPr>
        <w:t xml:space="preserve"> percent</w:t>
      </w:r>
      <w:r w:rsidRPr="00EB748D">
        <w:rPr>
          <w:color w:val="231F20"/>
        </w:rPr>
        <w:t xml:space="preserve">. While Woodbury students are very successful (e.g. </w:t>
      </w:r>
      <w:r w:rsidRPr="00EB748D">
        <w:rPr>
          <w:b/>
          <w:bCs/>
          <w:color w:val="231F20"/>
        </w:rPr>
        <w:t>77</w:t>
      </w:r>
      <w:r w:rsidR="00A23357" w:rsidRPr="00AF1CF8">
        <w:rPr>
          <w:b/>
          <w:bCs/>
          <w:color w:val="231F20"/>
        </w:rPr>
        <w:t xml:space="preserve"> percent</w:t>
      </w:r>
      <w:r w:rsidRPr="00EB748D">
        <w:rPr>
          <w:b/>
          <w:bCs/>
          <w:color w:val="231F20"/>
        </w:rPr>
        <w:t xml:space="preserve"> </w:t>
      </w:r>
      <w:r w:rsidRPr="00EB748D">
        <w:rPr>
          <w:color w:val="231F20"/>
        </w:rPr>
        <w:t xml:space="preserve">retention, </w:t>
      </w:r>
      <w:r w:rsidRPr="00EB748D">
        <w:rPr>
          <w:b/>
          <w:bCs/>
          <w:color w:val="231F20"/>
        </w:rPr>
        <w:t>52</w:t>
      </w:r>
      <w:r w:rsidR="00A23357" w:rsidRPr="00AF1CF8">
        <w:rPr>
          <w:b/>
          <w:bCs/>
          <w:color w:val="231F20"/>
        </w:rPr>
        <w:t xml:space="preserve"> percent</w:t>
      </w:r>
      <w:r w:rsidRPr="00EB748D">
        <w:rPr>
          <w:b/>
          <w:bCs/>
          <w:color w:val="231F20"/>
        </w:rPr>
        <w:t xml:space="preserve"> </w:t>
      </w:r>
      <w:r w:rsidRPr="00EB748D">
        <w:rPr>
          <w:color w:val="231F20"/>
        </w:rPr>
        <w:t xml:space="preserve">six-year graduation), many reflect this disadvantage; </w:t>
      </w:r>
      <w:r w:rsidRPr="00EB748D">
        <w:rPr>
          <w:b/>
          <w:bCs/>
          <w:color w:val="231F20"/>
        </w:rPr>
        <w:t>83</w:t>
      </w:r>
      <w:r w:rsidR="00A23357" w:rsidRPr="00AF1CF8">
        <w:rPr>
          <w:b/>
          <w:bCs/>
          <w:color w:val="231F20"/>
        </w:rPr>
        <w:t xml:space="preserve"> percent</w:t>
      </w:r>
      <w:r w:rsidRPr="00EB748D">
        <w:rPr>
          <w:b/>
          <w:bCs/>
          <w:color w:val="231F20"/>
        </w:rPr>
        <w:t xml:space="preserve"> </w:t>
      </w:r>
      <w:r w:rsidRPr="00EB748D">
        <w:rPr>
          <w:color w:val="231F20"/>
        </w:rPr>
        <w:t xml:space="preserve">receive financial aid and </w:t>
      </w:r>
      <w:r w:rsidRPr="00EB748D">
        <w:rPr>
          <w:b/>
          <w:bCs/>
          <w:color w:val="231F20"/>
        </w:rPr>
        <w:t xml:space="preserve">almost half </w:t>
      </w:r>
      <w:r w:rsidRPr="00EB748D">
        <w:rPr>
          <w:color w:val="231F20"/>
        </w:rPr>
        <w:t xml:space="preserve">receive Pell Grants. </w:t>
      </w:r>
      <w:r w:rsidRPr="00EB748D">
        <w:rPr>
          <w:b/>
          <w:bCs/>
          <w:color w:val="231F20"/>
        </w:rPr>
        <w:t xml:space="preserve">Two-thirds </w:t>
      </w:r>
      <w:r w:rsidRPr="00EB748D">
        <w:rPr>
          <w:color w:val="231F20"/>
        </w:rPr>
        <w:t>are minority</w:t>
      </w:r>
      <w:r w:rsidRPr="00BB223B">
        <w:rPr>
          <w:color w:val="231F20"/>
        </w:rPr>
        <w:t xml:space="preserve"> </w:t>
      </w:r>
      <w:r w:rsidRPr="00AF1CF8">
        <w:rPr>
          <w:color w:val="231F20"/>
        </w:rPr>
        <w:t xml:space="preserve">members, </w:t>
      </w:r>
      <w:r w:rsidRPr="00AF1CF8">
        <w:rPr>
          <w:b/>
          <w:bCs/>
          <w:color w:val="231F20"/>
        </w:rPr>
        <w:t>52</w:t>
      </w:r>
      <w:r w:rsidR="00A23357" w:rsidRPr="00AF1CF8">
        <w:rPr>
          <w:b/>
          <w:bCs/>
          <w:color w:val="231F20"/>
        </w:rPr>
        <w:t xml:space="preserve"> percent</w:t>
      </w:r>
      <w:r w:rsidRPr="00EB748D">
        <w:rPr>
          <w:b/>
          <w:bCs/>
          <w:color w:val="231F20"/>
        </w:rPr>
        <w:t xml:space="preserve"> </w:t>
      </w:r>
      <w:r w:rsidRPr="00EB748D">
        <w:rPr>
          <w:color w:val="231F20"/>
        </w:rPr>
        <w:t xml:space="preserve">are female, and </w:t>
      </w:r>
      <w:r w:rsidRPr="00EB748D">
        <w:rPr>
          <w:b/>
          <w:bCs/>
          <w:color w:val="231F20"/>
        </w:rPr>
        <w:t>75</w:t>
      </w:r>
      <w:r w:rsidR="00A23357" w:rsidRPr="00AF1CF8">
        <w:rPr>
          <w:b/>
          <w:bCs/>
          <w:color w:val="231F20"/>
        </w:rPr>
        <w:t xml:space="preserve"> percent</w:t>
      </w:r>
      <w:r w:rsidRPr="00EB748D">
        <w:rPr>
          <w:b/>
          <w:bCs/>
          <w:color w:val="231F20"/>
        </w:rPr>
        <w:t xml:space="preserve"> </w:t>
      </w:r>
      <w:r w:rsidRPr="00EB748D">
        <w:rPr>
          <w:color w:val="231F20"/>
        </w:rPr>
        <w:t>are first-generation college students, all groups underrepresente</w:t>
      </w:r>
      <w:r w:rsidRPr="00BB223B">
        <w:rPr>
          <w:color w:val="231F20"/>
        </w:rPr>
        <w:t>d in many high-opportunity fields.</w:t>
      </w:r>
    </w:p>
    <w:p w14:paraId="10B01AB7" w14:textId="77777777" w:rsidR="00BB6336" w:rsidRPr="00AF1CF8" w:rsidRDefault="00BB6336" w:rsidP="00BB6336">
      <w:pPr>
        <w:rPr>
          <w:color w:val="231F20"/>
        </w:rPr>
      </w:pPr>
    </w:p>
    <w:p w14:paraId="4EA058AE" w14:textId="00655FBF" w:rsidR="00BB6336" w:rsidRPr="00AF1CF8" w:rsidRDefault="00BB6336" w:rsidP="00BB6336">
      <w:pPr>
        <w:rPr>
          <w:color w:val="231F20"/>
        </w:rPr>
      </w:pPr>
      <w:r w:rsidRPr="00AF1CF8">
        <w:rPr>
          <w:color w:val="231F20"/>
        </w:rPr>
        <w:t xml:space="preserve">Among such fields are </w:t>
      </w:r>
      <w:r w:rsidRPr="00AF1CF8">
        <w:rPr>
          <w:b/>
          <w:bCs/>
          <w:color w:val="231F20"/>
        </w:rPr>
        <w:t>applications of computer science/information technology</w:t>
      </w:r>
      <w:r w:rsidRPr="00AF1CF8">
        <w:rPr>
          <w:color w:val="231F20"/>
        </w:rPr>
        <w:t>, currently</w:t>
      </w:r>
      <w:r w:rsidR="00EB748D">
        <w:rPr>
          <w:color w:val="231F20"/>
        </w:rPr>
        <w:t xml:space="preserve"> </w:t>
      </w:r>
      <w:r w:rsidRPr="00BB223B">
        <w:rPr>
          <w:color w:val="231F20"/>
        </w:rPr>
        <w:t>addressed at Woodbury only in some courses and a singl</w:t>
      </w:r>
      <w:r w:rsidRPr="00AF1CF8">
        <w:rPr>
          <w:color w:val="231F20"/>
        </w:rPr>
        <w:t>e degree program in Media Arts. The</w:t>
      </w:r>
      <w:r w:rsidR="00EB748D">
        <w:rPr>
          <w:color w:val="231F20"/>
        </w:rPr>
        <w:t xml:space="preserve"> </w:t>
      </w:r>
      <w:r w:rsidRPr="00BB223B">
        <w:rPr>
          <w:color w:val="231F20"/>
        </w:rPr>
        <w:t xml:space="preserve">proposed Title V project, </w:t>
      </w:r>
      <w:r w:rsidRPr="00AF1CF8">
        <w:rPr>
          <w:b/>
          <w:bCs/>
          <w:i/>
          <w:iCs/>
          <w:color w:val="231F20"/>
        </w:rPr>
        <w:t>Computer Science Programs for Liberal Arts, Business, and</w:t>
      </w:r>
      <w:r w:rsidR="00EB748D">
        <w:rPr>
          <w:b/>
          <w:bCs/>
          <w:i/>
          <w:iCs/>
          <w:color w:val="231F20"/>
        </w:rPr>
        <w:t xml:space="preserve"> </w:t>
      </w:r>
      <w:r w:rsidRPr="00BB223B">
        <w:rPr>
          <w:b/>
          <w:bCs/>
          <w:i/>
          <w:iCs/>
          <w:color w:val="231F20"/>
        </w:rPr>
        <w:t xml:space="preserve">Architecture, </w:t>
      </w:r>
      <w:r w:rsidRPr="00AF1CF8">
        <w:rPr>
          <w:color w:val="231F20"/>
        </w:rPr>
        <w:t xml:space="preserve">will develop </w:t>
      </w:r>
      <w:r w:rsidRPr="00AF1CF8">
        <w:rPr>
          <w:b/>
          <w:bCs/>
          <w:color w:val="231F20"/>
        </w:rPr>
        <w:t xml:space="preserve">three new </w:t>
      </w:r>
      <w:r w:rsidR="00A050CF" w:rsidRPr="00AF1CF8">
        <w:rPr>
          <w:b/>
          <w:bCs/>
          <w:color w:val="231F20"/>
        </w:rPr>
        <w:t>bachelor’s</w:t>
      </w:r>
      <w:r w:rsidRPr="00AF1CF8">
        <w:rPr>
          <w:b/>
          <w:bCs/>
          <w:color w:val="231F20"/>
        </w:rPr>
        <w:t xml:space="preserve"> programs </w:t>
      </w:r>
      <w:r w:rsidRPr="00AF1CF8">
        <w:rPr>
          <w:color w:val="231F20"/>
        </w:rPr>
        <w:t>in the College of Liberal Arts and</w:t>
      </w:r>
      <w:r w:rsidR="00EB748D">
        <w:rPr>
          <w:color w:val="231F20"/>
        </w:rPr>
        <w:t xml:space="preserve"> </w:t>
      </w:r>
      <w:r w:rsidRPr="00BB223B">
        <w:rPr>
          <w:color w:val="231F20"/>
        </w:rPr>
        <w:t>Schools of Business and Architecture. The ne</w:t>
      </w:r>
      <w:r w:rsidRPr="00AF1CF8">
        <w:rPr>
          <w:color w:val="231F20"/>
        </w:rPr>
        <w:t>w programs will share five Core Courses—two</w:t>
      </w:r>
      <w:r w:rsidR="00EB748D">
        <w:rPr>
          <w:color w:val="231F20"/>
        </w:rPr>
        <w:t xml:space="preserve"> </w:t>
      </w:r>
      <w:r w:rsidRPr="00BB223B">
        <w:rPr>
          <w:color w:val="231F20"/>
        </w:rPr>
        <w:t xml:space="preserve">incorporating interventions with </w:t>
      </w:r>
      <w:r w:rsidRPr="00AF1CF8">
        <w:rPr>
          <w:b/>
          <w:bCs/>
          <w:color w:val="231F20"/>
        </w:rPr>
        <w:t xml:space="preserve">promising evidence </w:t>
      </w:r>
      <w:r w:rsidRPr="00AF1CF8">
        <w:rPr>
          <w:color w:val="231F20"/>
        </w:rPr>
        <w:t xml:space="preserve">of support for </w:t>
      </w:r>
      <w:r w:rsidRPr="00AF1CF8">
        <w:rPr>
          <w:b/>
          <w:bCs/>
          <w:color w:val="231F20"/>
        </w:rPr>
        <w:t>underrepresented</w:t>
      </w:r>
      <w:r w:rsidR="00EB748D">
        <w:rPr>
          <w:b/>
          <w:bCs/>
          <w:color w:val="231F20"/>
        </w:rPr>
        <w:t xml:space="preserve"> </w:t>
      </w:r>
      <w:r w:rsidRPr="00BB223B">
        <w:rPr>
          <w:b/>
          <w:bCs/>
          <w:color w:val="231F20"/>
        </w:rPr>
        <w:t>students’ performance and retention</w:t>
      </w:r>
      <w:r w:rsidRPr="00AF1CF8">
        <w:rPr>
          <w:color w:val="231F20"/>
        </w:rPr>
        <w:t>—and apply computer science within arts and sciences,</w:t>
      </w:r>
      <w:r w:rsidR="00EB748D">
        <w:rPr>
          <w:color w:val="231F20"/>
        </w:rPr>
        <w:t xml:space="preserve"> </w:t>
      </w:r>
      <w:r w:rsidRPr="00BB223B">
        <w:rPr>
          <w:color w:val="231F20"/>
        </w:rPr>
        <w:t>business, and architecture to prepare g</w:t>
      </w:r>
      <w:r w:rsidRPr="00AF1CF8">
        <w:rPr>
          <w:color w:val="231F20"/>
        </w:rPr>
        <w:t>raduates for technology-oriented careers in their chosen</w:t>
      </w:r>
      <w:r w:rsidR="00EB748D">
        <w:rPr>
          <w:color w:val="231F20"/>
        </w:rPr>
        <w:t xml:space="preserve"> </w:t>
      </w:r>
      <w:r w:rsidRPr="00BB223B">
        <w:rPr>
          <w:color w:val="231F20"/>
        </w:rPr>
        <w:t xml:space="preserve">fields. In response to the 2019 </w:t>
      </w:r>
      <w:r w:rsidRPr="00AF1CF8">
        <w:rPr>
          <w:b/>
          <w:bCs/>
          <w:color w:val="231F20"/>
        </w:rPr>
        <w:t>Competitive Preference Priority 1</w:t>
      </w:r>
      <w:r w:rsidRPr="00AF1CF8">
        <w:rPr>
          <w:color w:val="231F20"/>
        </w:rPr>
        <w:t>, the project will also embed</w:t>
      </w:r>
      <w:r w:rsidR="00EB748D">
        <w:rPr>
          <w:color w:val="231F20"/>
        </w:rPr>
        <w:t xml:space="preserve"> </w:t>
      </w:r>
      <w:r w:rsidRPr="00BB223B">
        <w:rPr>
          <w:color w:val="231F20"/>
        </w:rPr>
        <w:t>discipline-specific support for enrolling in Woodbury’s graduate and professional programs. This</w:t>
      </w:r>
    </w:p>
    <w:p w14:paraId="4C64DFF2" w14:textId="0D4984D0" w:rsidR="00BB6336" w:rsidRPr="00AF1CF8" w:rsidRDefault="00BB6336" w:rsidP="00BB6336">
      <w:pPr>
        <w:rPr>
          <w:color w:val="231F20"/>
        </w:rPr>
      </w:pPr>
      <w:r w:rsidRPr="00AF1CF8">
        <w:rPr>
          <w:color w:val="231F20"/>
        </w:rPr>
        <w:t>proposal includes robust staffing (e.g. Specialists in common aspects of instruction such as best</w:t>
      </w:r>
      <w:r w:rsidR="003B17FA" w:rsidRPr="00AF1CF8">
        <w:rPr>
          <w:color w:val="231F20"/>
        </w:rPr>
        <w:t xml:space="preserve"> </w:t>
      </w:r>
      <w:r w:rsidRPr="00AF1CF8">
        <w:rPr>
          <w:color w:val="231F20"/>
        </w:rPr>
        <w:t>practice</w:t>
      </w:r>
      <w:r w:rsidR="009B15AE" w:rsidRPr="00AF1CF8">
        <w:rPr>
          <w:color w:val="231F20"/>
        </w:rPr>
        <w:t xml:space="preserve"> </w:t>
      </w:r>
      <w:r w:rsidRPr="00EB748D">
        <w:rPr>
          <w:color w:val="231F20"/>
        </w:rPr>
        <w:t>and evidence-based pedagogy and research/reference support) and renovation of three</w:t>
      </w:r>
      <w:r w:rsidR="00EB748D">
        <w:rPr>
          <w:color w:val="231F20"/>
        </w:rPr>
        <w:t xml:space="preserve"> </w:t>
      </w:r>
      <w:r w:rsidRPr="00EB748D">
        <w:rPr>
          <w:color w:val="231F20"/>
        </w:rPr>
        <w:t>shared facilities to provide flexible spaces that meet a range of needs. Outcomes include 80</w:t>
      </w:r>
      <w:r w:rsidR="00A23357" w:rsidRPr="00AF1CF8">
        <w:rPr>
          <w:color w:val="231F20"/>
        </w:rPr>
        <w:t xml:space="preserve"> percent</w:t>
      </w:r>
      <w:r w:rsidR="00EB748D">
        <w:rPr>
          <w:color w:val="231F20"/>
        </w:rPr>
        <w:t xml:space="preserve"> </w:t>
      </w:r>
      <w:r w:rsidRPr="00BB223B">
        <w:rPr>
          <w:color w:val="231F20"/>
        </w:rPr>
        <w:t xml:space="preserve">pilot </w:t>
      </w:r>
      <w:r w:rsidRPr="00AF1CF8">
        <w:rPr>
          <w:color w:val="231F20"/>
        </w:rPr>
        <w:t>participant success (grades of C/+) and retention with new enrollment growth to sustain the</w:t>
      </w:r>
      <w:r w:rsidR="00EB748D">
        <w:rPr>
          <w:color w:val="231F20"/>
        </w:rPr>
        <w:t xml:space="preserve"> </w:t>
      </w:r>
      <w:r w:rsidRPr="00BB223B">
        <w:rPr>
          <w:color w:val="231F20"/>
        </w:rPr>
        <w:t>programs’ operation and build Woodbury’s institutional strength.</w:t>
      </w:r>
    </w:p>
    <w:p w14:paraId="54F02446" w14:textId="77777777" w:rsidR="00BB6336" w:rsidRPr="00AF1CF8" w:rsidRDefault="00BB6336" w:rsidP="00BB6336">
      <w:pPr>
        <w:rPr>
          <w:color w:val="231F20"/>
        </w:rPr>
      </w:pPr>
    </w:p>
    <w:p w14:paraId="7AF75259" w14:textId="0F500306" w:rsidR="00BB6336" w:rsidRPr="00AF1CF8" w:rsidRDefault="00BB6336" w:rsidP="00AF1CF8">
      <w:r w:rsidRPr="00AF1CF8">
        <w:rPr>
          <w:color w:val="231F20"/>
        </w:rPr>
        <w:t>We will conduct ongoing evaluation of the project to support its achievement of Activity and</w:t>
      </w:r>
      <w:r w:rsidR="00EB748D">
        <w:rPr>
          <w:color w:val="231F20"/>
        </w:rPr>
        <w:t xml:space="preserve"> </w:t>
      </w:r>
      <w:r w:rsidRPr="00BB223B">
        <w:rPr>
          <w:color w:val="231F20"/>
        </w:rPr>
        <w:t>Insti</w:t>
      </w:r>
      <w:r w:rsidRPr="00AF1CF8">
        <w:rPr>
          <w:color w:val="231F20"/>
        </w:rPr>
        <w:t xml:space="preserve">tutional Objectives, Institutional Goals, and the </w:t>
      </w:r>
      <w:r w:rsidRPr="00AF1CF8">
        <w:rPr>
          <w:b/>
          <w:bCs/>
          <w:color w:val="231F20"/>
        </w:rPr>
        <w:t>purpose of Title V</w:t>
      </w:r>
      <w:r w:rsidRPr="00AF1CF8">
        <w:rPr>
          <w:color w:val="231F20"/>
        </w:rPr>
        <w:t xml:space="preserve">, “to expand </w:t>
      </w:r>
      <w:r w:rsidRPr="00AF1CF8">
        <w:rPr>
          <w:b/>
          <w:bCs/>
          <w:color w:val="231F20"/>
        </w:rPr>
        <w:t>educational</w:t>
      </w:r>
      <w:r w:rsidR="00EB748D">
        <w:rPr>
          <w:b/>
          <w:bCs/>
          <w:color w:val="231F20"/>
        </w:rPr>
        <w:t xml:space="preserve"> </w:t>
      </w:r>
      <w:r w:rsidRPr="00BB223B">
        <w:rPr>
          <w:b/>
          <w:bCs/>
          <w:color w:val="231F20"/>
        </w:rPr>
        <w:t xml:space="preserve">opportunities </w:t>
      </w:r>
      <w:r w:rsidRPr="00AF1CF8">
        <w:rPr>
          <w:color w:val="231F20"/>
        </w:rPr>
        <w:t>for, and improve the academic attainment of Hispanic students, and to expand and</w:t>
      </w:r>
      <w:r w:rsidR="00EB748D">
        <w:rPr>
          <w:color w:val="231F20"/>
        </w:rPr>
        <w:t xml:space="preserve"> </w:t>
      </w:r>
      <w:r w:rsidRPr="00BB223B">
        <w:rPr>
          <w:color w:val="231F20"/>
        </w:rPr>
        <w:t xml:space="preserve">enhance the </w:t>
      </w:r>
      <w:r w:rsidRPr="00AF1CF8">
        <w:rPr>
          <w:b/>
          <w:bCs/>
          <w:color w:val="231F20"/>
        </w:rPr>
        <w:t>academic offerings</w:t>
      </w:r>
      <w:r w:rsidRPr="00AF1CF8">
        <w:rPr>
          <w:color w:val="231F20"/>
        </w:rPr>
        <w:t xml:space="preserve">, program quality, and </w:t>
      </w:r>
      <w:r w:rsidRPr="00AF1CF8">
        <w:rPr>
          <w:b/>
          <w:bCs/>
          <w:color w:val="231F20"/>
        </w:rPr>
        <w:t xml:space="preserve">institutional stability </w:t>
      </w:r>
      <w:r w:rsidRPr="00AF1CF8">
        <w:rPr>
          <w:color w:val="231F20"/>
        </w:rPr>
        <w:t>of . . . universities</w:t>
      </w:r>
      <w:r w:rsidR="00EB748D">
        <w:rPr>
          <w:color w:val="231F20"/>
        </w:rPr>
        <w:t xml:space="preserve"> </w:t>
      </w:r>
      <w:r w:rsidRPr="00BB223B">
        <w:rPr>
          <w:color w:val="231F20"/>
        </w:rPr>
        <w:t xml:space="preserve">that educate the majority of Hispanic students.” Requested Title V funds total </w:t>
      </w:r>
      <w:r w:rsidRPr="00AF1CF8">
        <w:rPr>
          <w:b/>
          <w:bCs/>
          <w:color w:val="231F20"/>
        </w:rPr>
        <w:t xml:space="preserve">$2,998,681 </w:t>
      </w:r>
      <w:r w:rsidRPr="00AF1CF8">
        <w:rPr>
          <w:color w:val="231F20"/>
        </w:rPr>
        <w:t>for</w:t>
      </w:r>
      <w:r w:rsidR="00EB748D">
        <w:rPr>
          <w:color w:val="231F20"/>
        </w:rPr>
        <w:t xml:space="preserve"> </w:t>
      </w:r>
      <w:r w:rsidRPr="00BB223B">
        <w:rPr>
          <w:color w:val="231F20"/>
        </w:rPr>
        <w:t>five years.</w:t>
      </w:r>
    </w:p>
    <w:p w14:paraId="4A444629" w14:textId="3679982D" w:rsidR="0079615F" w:rsidRPr="00AF1CF8" w:rsidRDefault="0079615F" w:rsidP="00634CAD">
      <w:pPr>
        <w:pStyle w:val="Heading1"/>
      </w:pPr>
      <w:r w:rsidRPr="00AF1CF8">
        <w:t>P031S190138</w:t>
      </w:r>
      <w:r w:rsidR="006A7F0D" w:rsidRPr="00AF1CF8">
        <w:t xml:space="preserve"> </w:t>
      </w:r>
      <w:r w:rsidR="005C5952" w:rsidRPr="00AF1CF8">
        <w:br/>
      </w:r>
      <w:r w:rsidR="006A7F0D" w:rsidRPr="00AF1CF8">
        <w:t>Community College of Aurora, CO</w:t>
      </w:r>
    </w:p>
    <w:p w14:paraId="38447520" w14:textId="148FBF71" w:rsidR="0079615F" w:rsidRPr="00AF1CF8" w:rsidRDefault="0079615F" w:rsidP="0079615F"/>
    <w:p w14:paraId="44CD51FB" w14:textId="5947BF64" w:rsidR="0079615F" w:rsidRPr="00EB748D" w:rsidRDefault="0079615F" w:rsidP="0079615F">
      <w:pPr>
        <w:pStyle w:val="BodyText"/>
        <w:rPr>
          <w:szCs w:val="22"/>
        </w:rPr>
      </w:pPr>
      <w:r w:rsidRPr="00AF1CF8">
        <w:rPr>
          <w:b/>
          <w:color w:val="231F20"/>
          <w:szCs w:val="22"/>
        </w:rPr>
        <w:t>Overview</w:t>
      </w:r>
      <w:r w:rsidRPr="00AF1CF8">
        <w:rPr>
          <w:color w:val="231F20"/>
          <w:szCs w:val="22"/>
        </w:rPr>
        <w:t>: The Community College of Aurora (CCA) is a public, two-year community college serving Aurora and east metro Denver in Colorado. CCA enrolls 11,000 students annually, over 62</w:t>
      </w:r>
      <w:r w:rsidR="00A23357" w:rsidRPr="00AF1CF8">
        <w:rPr>
          <w:color w:val="231F20"/>
          <w:szCs w:val="22"/>
        </w:rPr>
        <w:t xml:space="preserve"> percent</w:t>
      </w:r>
      <w:r w:rsidRPr="00EB748D">
        <w:rPr>
          <w:color w:val="231F20"/>
          <w:spacing w:val="-19"/>
          <w:szCs w:val="22"/>
        </w:rPr>
        <w:t xml:space="preserve"> </w:t>
      </w:r>
      <w:r w:rsidRPr="00EB748D">
        <w:rPr>
          <w:color w:val="231F20"/>
          <w:szCs w:val="22"/>
        </w:rPr>
        <w:t>of</w:t>
      </w:r>
      <w:r w:rsidRPr="00EB748D">
        <w:rPr>
          <w:color w:val="231F20"/>
          <w:spacing w:val="-18"/>
          <w:szCs w:val="22"/>
        </w:rPr>
        <w:t xml:space="preserve"> </w:t>
      </w:r>
      <w:r w:rsidRPr="00EB748D">
        <w:rPr>
          <w:color w:val="231F20"/>
          <w:szCs w:val="22"/>
        </w:rPr>
        <w:t>whom</w:t>
      </w:r>
      <w:r w:rsidRPr="00BB223B">
        <w:rPr>
          <w:color w:val="231F20"/>
          <w:spacing w:val="-19"/>
          <w:szCs w:val="22"/>
        </w:rPr>
        <w:t xml:space="preserve"> </w:t>
      </w:r>
      <w:r w:rsidRPr="00AF1CF8">
        <w:rPr>
          <w:color w:val="231F20"/>
          <w:szCs w:val="22"/>
        </w:rPr>
        <w:t>are</w:t>
      </w:r>
      <w:r w:rsidRPr="00AF1CF8">
        <w:rPr>
          <w:color w:val="231F20"/>
          <w:spacing w:val="-20"/>
          <w:szCs w:val="22"/>
        </w:rPr>
        <w:t xml:space="preserve"> </w:t>
      </w:r>
      <w:r w:rsidRPr="00AF1CF8">
        <w:rPr>
          <w:color w:val="231F20"/>
          <w:szCs w:val="22"/>
        </w:rPr>
        <w:t>students</w:t>
      </w:r>
      <w:r w:rsidRPr="00AF1CF8">
        <w:rPr>
          <w:color w:val="231F20"/>
          <w:spacing w:val="-18"/>
          <w:szCs w:val="22"/>
        </w:rPr>
        <w:t xml:space="preserve"> </w:t>
      </w:r>
      <w:r w:rsidRPr="00AF1CF8">
        <w:rPr>
          <w:color w:val="231F20"/>
          <w:szCs w:val="22"/>
        </w:rPr>
        <w:t>of</w:t>
      </w:r>
      <w:r w:rsidRPr="00AF1CF8">
        <w:rPr>
          <w:color w:val="231F20"/>
          <w:spacing w:val="-18"/>
          <w:szCs w:val="22"/>
        </w:rPr>
        <w:t xml:space="preserve"> </w:t>
      </w:r>
      <w:r w:rsidRPr="00AF1CF8">
        <w:rPr>
          <w:color w:val="231F20"/>
          <w:szCs w:val="22"/>
        </w:rPr>
        <w:t>color,</w:t>
      </w:r>
      <w:r w:rsidRPr="00AF1CF8">
        <w:rPr>
          <w:color w:val="231F20"/>
          <w:spacing w:val="-19"/>
          <w:szCs w:val="22"/>
        </w:rPr>
        <w:t xml:space="preserve"> </w:t>
      </w:r>
      <w:r w:rsidRPr="00AF1CF8">
        <w:rPr>
          <w:color w:val="231F20"/>
          <w:szCs w:val="22"/>
        </w:rPr>
        <w:t>including</w:t>
      </w:r>
      <w:r w:rsidRPr="00AF1CF8">
        <w:rPr>
          <w:color w:val="231F20"/>
          <w:spacing w:val="-20"/>
          <w:szCs w:val="22"/>
        </w:rPr>
        <w:t xml:space="preserve"> </w:t>
      </w:r>
      <w:r w:rsidRPr="00AF1CF8">
        <w:rPr>
          <w:color w:val="231F20"/>
          <w:szCs w:val="22"/>
        </w:rPr>
        <w:t>nearly</w:t>
      </w:r>
      <w:r w:rsidRPr="00AF1CF8">
        <w:rPr>
          <w:color w:val="231F20"/>
          <w:spacing w:val="-20"/>
          <w:szCs w:val="22"/>
        </w:rPr>
        <w:t xml:space="preserve"> </w:t>
      </w:r>
      <w:r w:rsidRPr="00AF1CF8">
        <w:rPr>
          <w:color w:val="231F20"/>
          <w:szCs w:val="22"/>
        </w:rPr>
        <w:t>32</w:t>
      </w:r>
      <w:r w:rsidR="00A23357" w:rsidRPr="00AF1CF8">
        <w:rPr>
          <w:color w:val="231F20"/>
          <w:szCs w:val="22"/>
        </w:rPr>
        <w:t xml:space="preserve"> percent</w:t>
      </w:r>
      <w:r w:rsidRPr="00EB748D">
        <w:rPr>
          <w:color w:val="231F20"/>
          <w:spacing w:val="-19"/>
          <w:szCs w:val="22"/>
        </w:rPr>
        <w:t xml:space="preserve"> </w:t>
      </w:r>
      <w:r w:rsidRPr="00EB748D">
        <w:rPr>
          <w:color w:val="231F20"/>
          <w:szCs w:val="22"/>
        </w:rPr>
        <w:t>Hispanic</w:t>
      </w:r>
      <w:r w:rsidRPr="00EB748D">
        <w:rPr>
          <w:color w:val="231F20"/>
          <w:spacing w:val="-18"/>
          <w:szCs w:val="22"/>
        </w:rPr>
        <w:t xml:space="preserve"> </w:t>
      </w:r>
      <w:r w:rsidRPr="00EB748D">
        <w:rPr>
          <w:color w:val="231F20"/>
          <w:szCs w:val="22"/>
        </w:rPr>
        <w:t>students.</w:t>
      </w:r>
      <w:r w:rsidRPr="00BB223B">
        <w:rPr>
          <w:color w:val="231F20"/>
          <w:spacing w:val="26"/>
          <w:szCs w:val="22"/>
        </w:rPr>
        <w:t xml:space="preserve"> </w:t>
      </w:r>
      <w:r w:rsidRPr="00AF1CF8">
        <w:rPr>
          <w:color w:val="231F20"/>
          <w:szCs w:val="22"/>
        </w:rPr>
        <w:t>65</w:t>
      </w:r>
      <w:r w:rsidR="00A23357" w:rsidRPr="00AF1CF8">
        <w:rPr>
          <w:color w:val="231F20"/>
          <w:szCs w:val="22"/>
        </w:rPr>
        <w:t xml:space="preserve"> percent</w:t>
      </w:r>
      <w:r w:rsidRPr="00EB748D">
        <w:rPr>
          <w:color w:val="231F20"/>
          <w:spacing w:val="-18"/>
          <w:szCs w:val="22"/>
        </w:rPr>
        <w:t xml:space="preserve"> </w:t>
      </w:r>
      <w:r w:rsidRPr="00EB748D">
        <w:rPr>
          <w:color w:val="231F20"/>
          <w:szCs w:val="22"/>
        </w:rPr>
        <w:t>of</w:t>
      </w:r>
      <w:r w:rsidRPr="00EB748D">
        <w:rPr>
          <w:color w:val="231F20"/>
          <w:spacing w:val="-19"/>
          <w:szCs w:val="22"/>
        </w:rPr>
        <w:t xml:space="preserve"> </w:t>
      </w:r>
      <w:r w:rsidRPr="00EB748D">
        <w:rPr>
          <w:color w:val="231F20"/>
          <w:szCs w:val="22"/>
        </w:rPr>
        <w:t>CCA</w:t>
      </w:r>
      <w:r w:rsidRPr="00BB223B">
        <w:rPr>
          <w:color w:val="231F20"/>
          <w:spacing w:val="-18"/>
          <w:szCs w:val="22"/>
        </w:rPr>
        <w:t xml:space="preserve"> </w:t>
      </w:r>
      <w:r w:rsidRPr="00AF1CF8">
        <w:rPr>
          <w:color w:val="231F20"/>
          <w:szCs w:val="22"/>
        </w:rPr>
        <w:t>students receive some type of financial aid, including 52</w:t>
      </w:r>
      <w:r w:rsidR="00A23357" w:rsidRPr="00AF1CF8">
        <w:rPr>
          <w:color w:val="231F20"/>
          <w:szCs w:val="22"/>
        </w:rPr>
        <w:t xml:space="preserve"> percent</w:t>
      </w:r>
      <w:r w:rsidRPr="00EB748D">
        <w:rPr>
          <w:color w:val="231F20"/>
          <w:szCs w:val="22"/>
        </w:rPr>
        <w:t xml:space="preserve"> of whom receive Pell grants, and nearly two- thirds are first-generation college</w:t>
      </w:r>
      <w:r w:rsidRPr="00EB748D">
        <w:rPr>
          <w:color w:val="231F20"/>
          <w:spacing w:val="-7"/>
          <w:szCs w:val="22"/>
        </w:rPr>
        <w:t xml:space="preserve"> </w:t>
      </w:r>
      <w:r w:rsidRPr="00EB748D">
        <w:rPr>
          <w:color w:val="231F20"/>
          <w:szCs w:val="22"/>
        </w:rPr>
        <w:t>students.</w:t>
      </w:r>
    </w:p>
    <w:p w14:paraId="13CEF183" w14:textId="77777777" w:rsidR="0079615F" w:rsidRPr="00BB223B" w:rsidRDefault="0079615F" w:rsidP="0079615F">
      <w:pPr>
        <w:pStyle w:val="BodyText"/>
        <w:rPr>
          <w:color w:val="231F20"/>
          <w:szCs w:val="22"/>
        </w:rPr>
      </w:pPr>
    </w:p>
    <w:p w14:paraId="0513F494" w14:textId="77777777" w:rsidR="0079615F" w:rsidRPr="00AF1CF8" w:rsidRDefault="0079615F" w:rsidP="0079615F">
      <w:pPr>
        <w:pStyle w:val="BodyText"/>
        <w:rPr>
          <w:szCs w:val="22"/>
        </w:rPr>
      </w:pPr>
      <w:r w:rsidRPr="00AF1CF8">
        <w:rPr>
          <w:color w:val="231F20"/>
          <w:szCs w:val="22"/>
        </w:rPr>
        <w:t>Through</w:t>
      </w:r>
      <w:r w:rsidRPr="00AF1CF8">
        <w:rPr>
          <w:color w:val="231F20"/>
          <w:spacing w:val="-12"/>
          <w:szCs w:val="22"/>
        </w:rPr>
        <w:t xml:space="preserve"> </w:t>
      </w:r>
      <w:r w:rsidRPr="00AF1CF8">
        <w:rPr>
          <w:color w:val="231F20"/>
          <w:szCs w:val="22"/>
        </w:rPr>
        <w:t>the</w:t>
      </w:r>
      <w:r w:rsidRPr="00AF1CF8">
        <w:rPr>
          <w:color w:val="231F20"/>
          <w:spacing w:val="-14"/>
          <w:szCs w:val="22"/>
        </w:rPr>
        <w:t xml:space="preserve"> </w:t>
      </w:r>
      <w:r w:rsidRPr="00AF1CF8">
        <w:rPr>
          <w:b/>
          <w:i/>
          <w:color w:val="231F20"/>
          <w:szCs w:val="22"/>
        </w:rPr>
        <w:t>Asegurando</w:t>
      </w:r>
      <w:r w:rsidRPr="00AF1CF8">
        <w:rPr>
          <w:b/>
          <w:i/>
          <w:color w:val="231F20"/>
          <w:spacing w:val="-13"/>
          <w:szCs w:val="22"/>
        </w:rPr>
        <w:t xml:space="preserve"> </w:t>
      </w:r>
      <w:r w:rsidRPr="00AF1CF8">
        <w:rPr>
          <w:b/>
          <w:i/>
          <w:color w:val="231F20"/>
          <w:szCs w:val="22"/>
        </w:rPr>
        <w:t>todo</w:t>
      </w:r>
      <w:r w:rsidRPr="00AF1CF8">
        <w:rPr>
          <w:b/>
          <w:i/>
          <w:color w:val="231F20"/>
          <w:spacing w:val="-13"/>
          <w:szCs w:val="22"/>
        </w:rPr>
        <w:t xml:space="preserve"> </w:t>
      </w:r>
      <w:r w:rsidRPr="00AF1CF8">
        <w:rPr>
          <w:b/>
          <w:i/>
          <w:color w:val="231F20"/>
          <w:szCs w:val="22"/>
        </w:rPr>
        <w:t>el</w:t>
      </w:r>
      <w:r w:rsidRPr="00AF1CF8">
        <w:rPr>
          <w:b/>
          <w:i/>
          <w:color w:val="231F20"/>
          <w:spacing w:val="-13"/>
          <w:szCs w:val="22"/>
        </w:rPr>
        <w:t xml:space="preserve"> </w:t>
      </w:r>
      <w:r w:rsidRPr="00AF1CF8">
        <w:rPr>
          <w:b/>
          <w:i/>
          <w:color w:val="231F20"/>
          <w:szCs w:val="22"/>
        </w:rPr>
        <w:t>potencial</w:t>
      </w:r>
      <w:r w:rsidRPr="00AF1CF8">
        <w:rPr>
          <w:b/>
          <w:i/>
          <w:color w:val="231F20"/>
          <w:spacing w:val="-13"/>
          <w:szCs w:val="22"/>
        </w:rPr>
        <w:t xml:space="preserve"> </w:t>
      </w:r>
      <w:r w:rsidRPr="00AF1CF8">
        <w:rPr>
          <w:b/>
          <w:i/>
          <w:color w:val="231F20"/>
          <w:szCs w:val="22"/>
        </w:rPr>
        <w:t>de</w:t>
      </w:r>
      <w:r w:rsidRPr="00AF1CF8">
        <w:rPr>
          <w:b/>
          <w:i/>
          <w:color w:val="231F20"/>
          <w:spacing w:val="-13"/>
          <w:szCs w:val="22"/>
        </w:rPr>
        <w:t xml:space="preserve"> </w:t>
      </w:r>
      <w:r w:rsidRPr="00AF1CF8">
        <w:rPr>
          <w:b/>
          <w:i/>
          <w:color w:val="231F20"/>
          <w:szCs w:val="22"/>
        </w:rPr>
        <w:t>nuestros</w:t>
      </w:r>
      <w:r w:rsidRPr="00AF1CF8">
        <w:rPr>
          <w:b/>
          <w:i/>
          <w:color w:val="231F20"/>
          <w:spacing w:val="-13"/>
          <w:szCs w:val="22"/>
        </w:rPr>
        <w:t xml:space="preserve"> </w:t>
      </w:r>
      <w:r w:rsidRPr="00AF1CF8">
        <w:rPr>
          <w:b/>
          <w:i/>
          <w:color w:val="231F20"/>
          <w:szCs w:val="22"/>
        </w:rPr>
        <w:t>estudiantes:</w:t>
      </w:r>
      <w:r w:rsidRPr="00AF1CF8">
        <w:rPr>
          <w:b/>
          <w:i/>
          <w:color w:val="231F20"/>
          <w:spacing w:val="-13"/>
          <w:szCs w:val="22"/>
        </w:rPr>
        <w:t xml:space="preserve"> </w:t>
      </w:r>
      <w:r w:rsidRPr="00AF1CF8">
        <w:rPr>
          <w:b/>
          <w:i/>
          <w:color w:val="231F20"/>
          <w:szCs w:val="22"/>
        </w:rPr>
        <w:t>Ensuring</w:t>
      </w:r>
      <w:r w:rsidRPr="00AF1CF8">
        <w:rPr>
          <w:b/>
          <w:i/>
          <w:color w:val="231F20"/>
          <w:spacing w:val="-13"/>
          <w:szCs w:val="22"/>
        </w:rPr>
        <w:t xml:space="preserve"> </w:t>
      </w:r>
      <w:r w:rsidRPr="00AF1CF8">
        <w:rPr>
          <w:b/>
          <w:i/>
          <w:color w:val="231F20"/>
          <w:szCs w:val="22"/>
        </w:rPr>
        <w:t>Our</w:t>
      </w:r>
      <w:r w:rsidRPr="00AF1CF8">
        <w:rPr>
          <w:b/>
          <w:i/>
          <w:color w:val="231F20"/>
          <w:spacing w:val="-13"/>
          <w:szCs w:val="22"/>
        </w:rPr>
        <w:t xml:space="preserve"> </w:t>
      </w:r>
      <w:r w:rsidRPr="00AF1CF8">
        <w:rPr>
          <w:b/>
          <w:i/>
          <w:color w:val="231F20"/>
          <w:szCs w:val="22"/>
        </w:rPr>
        <w:t>Students’</w:t>
      </w:r>
      <w:r w:rsidRPr="00AF1CF8">
        <w:rPr>
          <w:b/>
          <w:i/>
          <w:color w:val="231F20"/>
          <w:spacing w:val="-13"/>
          <w:szCs w:val="22"/>
        </w:rPr>
        <w:t xml:space="preserve"> </w:t>
      </w:r>
      <w:r w:rsidRPr="00AF1CF8">
        <w:rPr>
          <w:b/>
          <w:i/>
          <w:color w:val="231F20"/>
          <w:szCs w:val="22"/>
        </w:rPr>
        <w:t xml:space="preserve">Full Potential </w:t>
      </w:r>
      <w:r w:rsidRPr="00AF1CF8">
        <w:rPr>
          <w:color w:val="231F20"/>
          <w:szCs w:val="22"/>
        </w:rPr>
        <w:t>project, CCA will scale and sustain culturally-responsive pedagogy practices and curricular</w:t>
      </w:r>
      <w:r w:rsidRPr="00AF1CF8">
        <w:rPr>
          <w:color w:val="231F20"/>
          <w:spacing w:val="-13"/>
          <w:szCs w:val="22"/>
        </w:rPr>
        <w:t xml:space="preserve"> </w:t>
      </w:r>
      <w:r w:rsidRPr="00AF1CF8">
        <w:rPr>
          <w:color w:val="231F20"/>
          <w:szCs w:val="22"/>
        </w:rPr>
        <w:t>enhancements</w:t>
      </w:r>
      <w:r w:rsidRPr="00AF1CF8">
        <w:rPr>
          <w:color w:val="231F20"/>
          <w:spacing w:val="-9"/>
          <w:szCs w:val="22"/>
        </w:rPr>
        <w:t xml:space="preserve"> </w:t>
      </w:r>
      <w:r w:rsidRPr="00AF1CF8">
        <w:rPr>
          <w:color w:val="231F20"/>
          <w:szCs w:val="22"/>
        </w:rPr>
        <w:t>in</w:t>
      </w:r>
      <w:r w:rsidRPr="00AF1CF8">
        <w:rPr>
          <w:color w:val="231F20"/>
          <w:spacing w:val="-12"/>
          <w:szCs w:val="22"/>
        </w:rPr>
        <w:t xml:space="preserve"> </w:t>
      </w:r>
      <w:r w:rsidRPr="00AF1CF8">
        <w:rPr>
          <w:color w:val="231F20"/>
          <w:szCs w:val="22"/>
        </w:rPr>
        <w:t>targeted</w:t>
      </w:r>
      <w:r w:rsidRPr="00AF1CF8">
        <w:rPr>
          <w:color w:val="231F20"/>
          <w:spacing w:val="-11"/>
          <w:szCs w:val="22"/>
        </w:rPr>
        <w:t xml:space="preserve"> </w:t>
      </w:r>
      <w:r w:rsidRPr="00AF1CF8">
        <w:rPr>
          <w:color w:val="231F20"/>
          <w:szCs w:val="22"/>
        </w:rPr>
        <w:t>associate</w:t>
      </w:r>
      <w:r w:rsidRPr="00AF1CF8">
        <w:rPr>
          <w:color w:val="231F20"/>
          <w:spacing w:val="-12"/>
          <w:szCs w:val="22"/>
        </w:rPr>
        <w:t xml:space="preserve"> </w:t>
      </w:r>
      <w:r w:rsidRPr="00AF1CF8">
        <w:rPr>
          <w:color w:val="231F20"/>
          <w:szCs w:val="22"/>
        </w:rPr>
        <w:t>of</w:t>
      </w:r>
      <w:r w:rsidRPr="00AF1CF8">
        <w:rPr>
          <w:color w:val="231F20"/>
          <w:spacing w:val="-11"/>
          <w:szCs w:val="22"/>
        </w:rPr>
        <w:t xml:space="preserve"> </w:t>
      </w:r>
      <w:r w:rsidRPr="00AF1CF8">
        <w:rPr>
          <w:color w:val="231F20"/>
          <w:szCs w:val="22"/>
        </w:rPr>
        <w:t>science</w:t>
      </w:r>
      <w:r w:rsidRPr="00AF1CF8">
        <w:rPr>
          <w:color w:val="231F20"/>
          <w:spacing w:val="-12"/>
          <w:szCs w:val="22"/>
        </w:rPr>
        <w:t xml:space="preserve"> </w:t>
      </w:r>
      <w:r w:rsidRPr="00AF1CF8">
        <w:rPr>
          <w:color w:val="231F20"/>
          <w:szCs w:val="22"/>
        </w:rPr>
        <w:t>and</w:t>
      </w:r>
      <w:r w:rsidRPr="00AF1CF8">
        <w:rPr>
          <w:color w:val="231F20"/>
          <w:spacing w:val="-10"/>
          <w:szCs w:val="22"/>
        </w:rPr>
        <w:t xml:space="preserve"> </w:t>
      </w:r>
      <w:r w:rsidRPr="00AF1CF8">
        <w:rPr>
          <w:color w:val="231F20"/>
          <w:szCs w:val="22"/>
        </w:rPr>
        <w:t>associate</w:t>
      </w:r>
      <w:r w:rsidRPr="00AF1CF8">
        <w:rPr>
          <w:color w:val="231F20"/>
          <w:spacing w:val="-11"/>
          <w:szCs w:val="22"/>
        </w:rPr>
        <w:t xml:space="preserve"> </w:t>
      </w:r>
      <w:r w:rsidRPr="00AF1CF8">
        <w:rPr>
          <w:color w:val="231F20"/>
          <w:szCs w:val="22"/>
        </w:rPr>
        <w:t>of</w:t>
      </w:r>
      <w:r w:rsidRPr="00AF1CF8">
        <w:rPr>
          <w:color w:val="231F20"/>
          <w:spacing w:val="-10"/>
          <w:szCs w:val="22"/>
        </w:rPr>
        <w:t xml:space="preserve"> </w:t>
      </w:r>
      <w:r w:rsidRPr="00AF1CF8">
        <w:rPr>
          <w:color w:val="231F20"/>
          <w:szCs w:val="22"/>
        </w:rPr>
        <w:t>arts</w:t>
      </w:r>
      <w:r w:rsidRPr="00AF1CF8">
        <w:rPr>
          <w:color w:val="231F20"/>
          <w:spacing w:val="-12"/>
          <w:szCs w:val="22"/>
        </w:rPr>
        <w:t xml:space="preserve"> </w:t>
      </w:r>
      <w:r w:rsidRPr="00AF1CF8">
        <w:rPr>
          <w:color w:val="231F20"/>
          <w:szCs w:val="22"/>
        </w:rPr>
        <w:t>gateway</w:t>
      </w:r>
      <w:r w:rsidRPr="00AF1CF8">
        <w:rPr>
          <w:color w:val="231F20"/>
          <w:spacing w:val="-16"/>
          <w:szCs w:val="22"/>
        </w:rPr>
        <w:t xml:space="preserve"> </w:t>
      </w:r>
      <w:r w:rsidRPr="00AF1CF8">
        <w:rPr>
          <w:color w:val="231F20"/>
          <w:szCs w:val="22"/>
        </w:rPr>
        <w:t>and</w:t>
      </w:r>
      <w:r w:rsidRPr="00AF1CF8">
        <w:rPr>
          <w:color w:val="231F20"/>
          <w:spacing w:val="-12"/>
          <w:szCs w:val="22"/>
        </w:rPr>
        <w:t xml:space="preserve"> </w:t>
      </w:r>
      <w:r w:rsidRPr="00AF1CF8">
        <w:rPr>
          <w:color w:val="231F20"/>
          <w:szCs w:val="22"/>
        </w:rPr>
        <w:t>second- level courses. CCA will develop and scale Guided Pathways communities as well as imbedded Learning Communities in order to eliminate equity gaps and increase retention, completion and transfer outcomes for Hispanic and other students of color, as well as low-income and first- generation students. CCA will also build the data analysis and evaluation practices needed to effectively monitor leading and lagging outcomes on an ongoing basis and make timely adjustments</w:t>
      </w:r>
      <w:r w:rsidRPr="00AF1CF8">
        <w:rPr>
          <w:color w:val="231F20"/>
          <w:spacing w:val="-13"/>
          <w:szCs w:val="22"/>
        </w:rPr>
        <w:t xml:space="preserve"> </w:t>
      </w:r>
      <w:r w:rsidRPr="00AF1CF8">
        <w:rPr>
          <w:color w:val="231F20"/>
          <w:szCs w:val="22"/>
        </w:rPr>
        <w:t>to</w:t>
      </w:r>
      <w:r w:rsidRPr="00AF1CF8">
        <w:rPr>
          <w:color w:val="231F20"/>
          <w:spacing w:val="-12"/>
          <w:szCs w:val="22"/>
        </w:rPr>
        <w:t xml:space="preserve"> </w:t>
      </w:r>
      <w:r w:rsidRPr="00AF1CF8">
        <w:rPr>
          <w:color w:val="231F20"/>
          <w:szCs w:val="22"/>
        </w:rPr>
        <w:t>programs</w:t>
      </w:r>
      <w:r w:rsidRPr="00AF1CF8">
        <w:rPr>
          <w:color w:val="231F20"/>
          <w:spacing w:val="-9"/>
          <w:szCs w:val="22"/>
        </w:rPr>
        <w:t xml:space="preserve"> </w:t>
      </w:r>
      <w:r w:rsidRPr="00AF1CF8">
        <w:rPr>
          <w:color w:val="231F20"/>
          <w:szCs w:val="22"/>
        </w:rPr>
        <w:t>and</w:t>
      </w:r>
      <w:r w:rsidRPr="00AF1CF8">
        <w:rPr>
          <w:color w:val="231F20"/>
          <w:spacing w:val="-12"/>
          <w:szCs w:val="22"/>
        </w:rPr>
        <w:t xml:space="preserve"> </w:t>
      </w:r>
      <w:r w:rsidRPr="00AF1CF8">
        <w:rPr>
          <w:color w:val="231F20"/>
          <w:szCs w:val="22"/>
        </w:rPr>
        <w:t>strategies</w:t>
      </w:r>
      <w:r w:rsidRPr="00AF1CF8">
        <w:rPr>
          <w:color w:val="231F20"/>
          <w:spacing w:val="-12"/>
          <w:szCs w:val="22"/>
        </w:rPr>
        <w:t xml:space="preserve"> </w:t>
      </w:r>
      <w:r w:rsidRPr="00AF1CF8">
        <w:rPr>
          <w:color w:val="231F20"/>
          <w:szCs w:val="22"/>
        </w:rPr>
        <w:t>where</w:t>
      </w:r>
      <w:r w:rsidRPr="00AF1CF8">
        <w:rPr>
          <w:color w:val="231F20"/>
          <w:spacing w:val="-13"/>
          <w:szCs w:val="22"/>
        </w:rPr>
        <w:t xml:space="preserve"> </w:t>
      </w:r>
      <w:r w:rsidRPr="00AF1CF8">
        <w:rPr>
          <w:color w:val="231F20"/>
          <w:szCs w:val="22"/>
        </w:rPr>
        <w:t>needed.</w:t>
      </w:r>
      <w:r w:rsidRPr="00AF1CF8">
        <w:rPr>
          <w:color w:val="231F20"/>
          <w:spacing w:val="38"/>
          <w:szCs w:val="22"/>
        </w:rPr>
        <w:t xml:space="preserve"> </w:t>
      </w:r>
      <w:r w:rsidRPr="00AF1CF8">
        <w:rPr>
          <w:color w:val="231F20"/>
          <w:szCs w:val="22"/>
        </w:rPr>
        <w:t>The</w:t>
      </w:r>
      <w:r w:rsidRPr="00AF1CF8">
        <w:rPr>
          <w:color w:val="231F20"/>
          <w:spacing w:val="-12"/>
          <w:szCs w:val="22"/>
        </w:rPr>
        <w:t xml:space="preserve"> </w:t>
      </w:r>
      <w:r w:rsidRPr="00AF1CF8">
        <w:rPr>
          <w:color w:val="231F20"/>
          <w:szCs w:val="22"/>
        </w:rPr>
        <w:t>project</w:t>
      </w:r>
      <w:r w:rsidRPr="00AF1CF8">
        <w:rPr>
          <w:color w:val="231F20"/>
          <w:spacing w:val="-12"/>
          <w:szCs w:val="22"/>
        </w:rPr>
        <w:t xml:space="preserve"> </w:t>
      </w:r>
      <w:r w:rsidRPr="00AF1CF8">
        <w:rPr>
          <w:color w:val="231F20"/>
          <w:szCs w:val="22"/>
        </w:rPr>
        <w:t>design</w:t>
      </w:r>
      <w:r w:rsidRPr="00AF1CF8">
        <w:rPr>
          <w:color w:val="231F20"/>
          <w:spacing w:val="-12"/>
          <w:szCs w:val="22"/>
        </w:rPr>
        <w:t xml:space="preserve"> </w:t>
      </w:r>
      <w:r w:rsidRPr="00AF1CF8">
        <w:rPr>
          <w:color w:val="231F20"/>
          <w:szCs w:val="22"/>
        </w:rPr>
        <w:t>is</w:t>
      </w:r>
      <w:r w:rsidRPr="00AF1CF8">
        <w:rPr>
          <w:color w:val="231F20"/>
          <w:spacing w:val="-12"/>
          <w:szCs w:val="22"/>
        </w:rPr>
        <w:t xml:space="preserve"> </w:t>
      </w:r>
      <w:r w:rsidRPr="00AF1CF8">
        <w:rPr>
          <w:color w:val="231F20"/>
          <w:szCs w:val="22"/>
        </w:rPr>
        <w:t>based</w:t>
      </w:r>
      <w:r w:rsidRPr="00AF1CF8">
        <w:rPr>
          <w:color w:val="231F20"/>
          <w:spacing w:val="-13"/>
          <w:szCs w:val="22"/>
        </w:rPr>
        <w:t xml:space="preserve"> </w:t>
      </w:r>
      <w:r w:rsidRPr="00AF1CF8">
        <w:rPr>
          <w:color w:val="231F20"/>
          <w:szCs w:val="22"/>
        </w:rPr>
        <w:t>on</w:t>
      </w:r>
      <w:r w:rsidRPr="00AF1CF8">
        <w:rPr>
          <w:color w:val="231F20"/>
          <w:spacing w:val="-12"/>
          <w:szCs w:val="22"/>
        </w:rPr>
        <w:t xml:space="preserve"> </w:t>
      </w:r>
      <w:r w:rsidRPr="00AF1CF8">
        <w:rPr>
          <w:color w:val="231F20"/>
          <w:szCs w:val="22"/>
        </w:rPr>
        <w:t>best</w:t>
      </w:r>
      <w:r w:rsidRPr="00AF1CF8">
        <w:rPr>
          <w:color w:val="231F20"/>
          <w:spacing w:val="-12"/>
          <w:szCs w:val="22"/>
        </w:rPr>
        <w:t xml:space="preserve"> </w:t>
      </w:r>
      <w:r w:rsidRPr="00AF1CF8">
        <w:rPr>
          <w:color w:val="231F20"/>
          <w:szCs w:val="22"/>
        </w:rPr>
        <w:t>practice research, including the study by MDRC of Kingsborough Community College’s Freshman Learning Community Program (Sommo, et.al., 2012) from the What Works</w:t>
      </w:r>
      <w:r w:rsidRPr="00AF1CF8">
        <w:rPr>
          <w:color w:val="231F20"/>
          <w:spacing w:val="-39"/>
          <w:szCs w:val="22"/>
        </w:rPr>
        <w:t xml:space="preserve"> </w:t>
      </w:r>
      <w:r w:rsidRPr="00AF1CF8">
        <w:rPr>
          <w:color w:val="231F20"/>
          <w:szCs w:val="22"/>
        </w:rPr>
        <w:t>Clearinghouse.</w:t>
      </w:r>
    </w:p>
    <w:p w14:paraId="699A77E7" w14:textId="77777777" w:rsidR="0079615F" w:rsidRPr="00AF1CF8" w:rsidRDefault="0079615F" w:rsidP="0079615F">
      <w:pPr>
        <w:pStyle w:val="Heading2"/>
        <w:rPr>
          <w:rFonts w:cs="Times New Roman"/>
          <w:color w:val="231F20"/>
          <w:szCs w:val="22"/>
        </w:rPr>
      </w:pPr>
    </w:p>
    <w:p w14:paraId="65F6C437" w14:textId="77777777" w:rsidR="0079615F" w:rsidRPr="00AF1CF8" w:rsidRDefault="0079615F" w:rsidP="0079615F">
      <w:pPr>
        <w:rPr>
          <w:b/>
        </w:rPr>
      </w:pPr>
      <w:r w:rsidRPr="00AF1CF8">
        <w:rPr>
          <w:b/>
        </w:rPr>
        <w:t>Project Objectives:</w:t>
      </w:r>
    </w:p>
    <w:p w14:paraId="46D25004" w14:textId="13EFB6BA" w:rsidR="0079615F" w:rsidRPr="00EB748D" w:rsidRDefault="0079615F" w:rsidP="0079615F">
      <w:pPr>
        <w:pStyle w:val="ListParagraph"/>
        <w:numPr>
          <w:ilvl w:val="0"/>
          <w:numId w:val="44"/>
        </w:numPr>
        <w:tabs>
          <w:tab w:val="left" w:pos="1661"/>
        </w:tabs>
      </w:pPr>
      <w:r w:rsidRPr="00AF1CF8">
        <w:rPr>
          <w:b/>
          <w:color w:val="231F20"/>
        </w:rPr>
        <w:t>Objective 1-Implement culturally-responsive pedagogy practices</w:t>
      </w:r>
      <w:r w:rsidRPr="00AF1CF8">
        <w:rPr>
          <w:color w:val="231F20"/>
        </w:rPr>
        <w:t xml:space="preserve">: By Sept. 30, 2024, reduce equity gaps for Hispanic and Black students enrolled in BIO 111 by </w:t>
      </w:r>
      <w:r w:rsidR="00A23357" w:rsidRPr="00AF1CF8">
        <w:rPr>
          <w:color w:val="231F20"/>
        </w:rPr>
        <w:t>nine</w:t>
      </w:r>
      <w:r w:rsidRPr="00EB748D">
        <w:rPr>
          <w:color w:val="231F20"/>
        </w:rPr>
        <w:t xml:space="preserve"> percentage points, CHE 101 by </w:t>
      </w:r>
      <w:r w:rsidR="00A23357" w:rsidRPr="00AF1CF8">
        <w:rPr>
          <w:color w:val="231F20"/>
        </w:rPr>
        <w:t xml:space="preserve">eight </w:t>
      </w:r>
      <w:r w:rsidRPr="00EB748D">
        <w:rPr>
          <w:color w:val="231F20"/>
        </w:rPr>
        <w:t xml:space="preserve">percentage points, BIO 201 by </w:t>
      </w:r>
      <w:r w:rsidR="00A23357" w:rsidRPr="00AF1CF8">
        <w:rPr>
          <w:color w:val="231F20"/>
        </w:rPr>
        <w:t>three</w:t>
      </w:r>
      <w:r w:rsidRPr="00EB748D">
        <w:rPr>
          <w:color w:val="231F20"/>
        </w:rPr>
        <w:t xml:space="preserve"> percentage points, ENG 121 and 122 each by </w:t>
      </w:r>
      <w:r w:rsidR="00A23357" w:rsidRPr="00AF1CF8">
        <w:rPr>
          <w:color w:val="231F20"/>
        </w:rPr>
        <w:t xml:space="preserve">five </w:t>
      </w:r>
      <w:r w:rsidRPr="00EB748D">
        <w:rPr>
          <w:color w:val="231F20"/>
        </w:rPr>
        <w:t>percentage</w:t>
      </w:r>
      <w:r w:rsidRPr="00EB748D">
        <w:rPr>
          <w:color w:val="231F20"/>
          <w:spacing w:val="-8"/>
        </w:rPr>
        <w:t xml:space="preserve"> </w:t>
      </w:r>
      <w:r w:rsidRPr="00EB748D">
        <w:rPr>
          <w:color w:val="231F20"/>
        </w:rPr>
        <w:t>points.</w:t>
      </w:r>
    </w:p>
    <w:p w14:paraId="0D5481B9" w14:textId="34F47BB8" w:rsidR="0079615F" w:rsidRPr="00EB748D" w:rsidRDefault="0079615F" w:rsidP="0079615F">
      <w:pPr>
        <w:pStyle w:val="ListParagraph"/>
        <w:numPr>
          <w:ilvl w:val="0"/>
          <w:numId w:val="44"/>
        </w:numPr>
        <w:tabs>
          <w:tab w:val="left" w:pos="1661"/>
        </w:tabs>
      </w:pPr>
      <w:r w:rsidRPr="00BB223B">
        <w:rPr>
          <w:b/>
          <w:color w:val="231F20"/>
        </w:rPr>
        <w:t>Objective 2-Implement Guided Pathways com</w:t>
      </w:r>
      <w:r w:rsidRPr="00AF1CF8">
        <w:rPr>
          <w:b/>
          <w:color w:val="231F20"/>
        </w:rPr>
        <w:t xml:space="preserve">munities and imbedded Learning Communities: 2a: </w:t>
      </w:r>
      <w:r w:rsidRPr="00AF1CF8">
        <w:rPr>
          <w:color w:val="231F20"/>
        </w:rPr>
        <w:t>By Sept. 30, 2024, increase fall-to-fall retention by</w:t>
      </w:r>
      <w:r w:rsidR="00A23357" w:rsidRPr="00AF1CF8">
        <w:rPr>
          <w:color w:val="231F20"/>
        </w:rPr>
        <w:t xml:space="preserve"> eight percent</w:t>
      </w:r>
      <w:r w:rsidRPr="00EB748D">
        <w:rPr>
          <w:color w:val="231F20"/>
        </w:rPr>
        <w:t xml:space="preserve">. </w:t>
      </w:r>
      <w:r w:rsidRPr="00EB748D">
        <w:rPr>
          <w:b/>
          <w:color w:val="231F20"/>
        </w:rPr>
        <w:t xml:space="preserve">2b: </w:t>
      </w:r>
      <w:r w:rsidRPr="00EB748D">
        <w:rPr>
          <w:color w:val="231F20"/>
        </w:rPr>
        <w:t xml:space="preserve">By Sept. 30, 2024, increase </w:t>
      </w:r>
      <w:r w:rsidR="00A23357" w:rsidRPr="00AF1CF8">
        <w:rPr>
          <w:color w:val="231F20"/>
        </w:rPr>
        <w:t>three</w:t>
      </w:r>
      <w:r w:rsidRPr="00EB748D">
        <w:rPr>
          <w:color w:val="231F20"/>
        </w:rPr>
        <w:t xml:space="preserve">-year graduation rates by </w:t>
      </w:r>
      <w:r w:rsidR="00A23357" w:rsidRPr="00AF1CF8">
        <w:rPr>
          <w:color w:val="231F20"/>
        </w:rPr>
        <w:t>three percent</w:t>
      </w:r>
      <w:r w:rsidRPr="00EB748D">
        <w:rPr>
          <w:color w:val="231F20"/>
        </w:rPr>
        <w:t xml:space="preserve">. </w:t>
      </w:r>
      <w:r w:rsidRPr="00EB748D">
        <w:rPr>
          <w:b/>
          <w:color w:val="231F20"/>
        </w:rPr>
        <w:t xml:space="preserve">2c: </w:t>
      </w:r>
      <w:r w:rsidRPr="00EB748D">
        <w:rPr>
          <w:color w:val="231F20"/>
        </w:rPr>
        <w:t>By Sept. 30, 2024, increase transfer rates by</w:t>
      </w:r>
      <w:r w:rsidR="00A23357" w:rsidRPr="00AF1CF8">
        <w:rPr>
          <w:color w:val="231F20"/>
        </w:rPr>
        <w:t xml:space="preserve"> three percent</w:t>
      </w:r>
      <w:r w:rsidRPr="00EB748D">
        <w:rPr>
          <w:color w:val="231F20"/>
        </w:rPr>
        <w:t>.</w:t>
      </w:r>
    </w:p>
    <w:p w14:paraId="7E0148A1" w14:textId="55866E85" w:rsidR="0079615F" w:rsidRPr="00EB748D" w:rsidRDefault="0079615F" w:rsidP="0079615F">
      <w:pPr>
        <w:pStyle w:val="ListParagraph"/>
        <w:numPr>
          <w:ilvl w:val="0"/>
          <w:numId w:val="44"/>
        </w:numPr>
        <w:tabs>
          <w:tab w:val="left" w:pos="1661"/>
        </w:tabs>
      </w:pPr>
      <w:r w:rsidRPr="00BB223B">
        <w:rPr>
          <w:b/>
          <w:color w:val="231F20"/>
        </w:rPr>
        <w:t>Objective 3-Estab</w:t>
      </w:r>
      <w:r w:rsidRPr="00AF1CF8">
        <w:rPr>
          <w:b/>
          <w:color w:val="231F20"/>
        </w:rPr>
        <w:t xml:space="preserve">ilsh data-informed culture and practice: </w:t>
      </w:r>
      <w:r w:rsidRPr="00AF1CF8">
        <w:rPr>
          <w:color w:val="231F20"/>
        </w:rPr>
        <w:t>By Sept. 30, 2024, collect and analyze data on 100</w:t>
      </w:r>
      <w:r w:rsidR="00A23357" w:rsidRPr="00AF1CF8">
        <w:rPr>
          <w:color w:val="231F20"/>
        </w:rPr>
        <w:t xml:space="preserve"> percent</w:t>
      </w:r>
      <w:r w:rsidRPr="00EB748D">
        <w:rPr>
          <w:color w:val="231F20"/>
        </w:rPr>
        <w:t xml:space="preserve"> of students in targeted program</w:t>
      </w:r>
      <w:r w:rsidRPr="00EB748D">
        <w:rPr>
          <w:color w:val="231F20"/>
          <w:spacing w:val="-13"/>
        </w:rPr>
        <w:t xml:space="preserve"> </w:t>
      </w:r>
      <w:r w:rsidRPr="00EB748D">
        <w:rPr>
          <w:color w:val="231F20"/>
        </w:rPr>
        <w:t>areas.</w:t>
      </w:r>
    </w:p>
    <w:p w14:paraId="124C520F" w14:textId="77777777" w:rsidR="0079615F" w:rsidRPr="00BB223B" w:rsidRDefault="0079615F" w:rsidP="0079615F">
      <w:pPr>
        <w:pStyle w:val="BodyText"/>
        <w:rPr>
          <w:b/>
          <w:color w:val="231F20"/>
          <w:szCs w:val="22"/>
        </w:rPr>
      </w:pPr>
    </w:p>
    <w:p w14:paraId="0ED5012F" w14:textId="43A3B0FF" w:rsidR="0079615F" w:rsidRPr="00EB748D" w:rsidRDefault="0079615F" w:rsidP="0079615F">
      <w:pPr>
        <w:pStyle w:val="BodyText"/>
        <w:rPr>
          <w:szCs w:val="22"/>
        </w:rPr>
      </w:pPr>
      <w:r w:rsidRPr="00AF1CF8">
        <w:rPr>
          <w:b/>
          <w:color w:val="231F20"/>
          <w:szCs w:val="22"/>
        </w:rPr>
        <w:t>Budget</w:t>
      </w:r>
      <w:r w:rsidRPr="00AF1CF8">
        <w:rPr>
          <w:color w:val="231F20"/>
          <w:szCs w:val="22"/>
        </w:rPr>
        <w:t>: CCA is requesting a total of $2,850,620 for the five-year project. Personnel costs are requested in the amount of $1,846,775 over the five-year grant period, comprising 64.8</w:t>
      </w:r>
      <w:r w:rsidR="00A23357" w:rsidRPr="00AF1CF8">
        <w:rPr>
          <w:color w:val="231F20"/>
          <w:szCs w:val="22"/>
        </w:rPr>
        <w:t xml:space="preserve"> percent</w:t>
      </w:r>
      <w:r w:rsidRPr="00EB748D">
        <w:rPr>
          <w:color w:val="231F20"/>
          <w:szCs w:val="22"/>
        </w:rPr>
        <w:t xml:space="preserve"> of the total project request. Fringe costs for personnel total $669,295, 23.5</w:t>
      </w:r>
      <w:r w:rsidR="00A23357" w:rsidRPr="00AF1CF8">
        <w:rPr>
          <w:color w:val="231F20"/>
          <w:szCs w:val="22"/>
        </w:rPr>
        <w:t xml:space="preserve"> percent</w:t>
      </w:r>
      <w:r w:rsidRPr="00EB748D">
        <w:rPr>
          <w:color w:val="231F20"/>
          <w:szCs w:val="22"/>
        </w:rPr>
        <w:t xml:space="preserve"> of the budget. Travel is requested in the amount of $51,250, comprising 1.8</w:t>
      </w:r>
      <w:r w:rsidR="00A23357" w:rsidRPr="00AF1CF8">
        <w:rPr>
          <w:color w:val="231F20"/>
          <w:szCs w:val="22"/>
        </w:rPr>
        <w:t xml:space="preserve"> percent</w:t>
      </w:r>
      <w:r w:rsidRPr="00EB748D">
        <w:rPr>
          <w:color w:val="231F20"/>
          <w:szCs w:val="22"/>
        </w:rPr>
        <w:t xml:space="preserve"> of the budget. Supplies costs are requested for</w:t>
      </w:r>
      <w:r w:rsidRPr="00EB748D">
        <w:rPr>
          <w:color w:val="231F20"/>
          <w:spacing w:val="-13"/>
          <w:szCs w:val="22"/>
        </w:rPr>
        <w:t xml:space="preserve"> </w:t>
      </w:r>
      <w:r w:rsidRPr="00EB748D">
        <w:rPr>
          <w:color w:val="231F20"/>
          <w:szCs w:val="22"/>
        </w:rPr>
        <w:t>a</w:t>
      </w:r>
      <w:r w:rsidRPr="00BB223B">
        <w:rPr>
          <w:color w:val="231F20"/>
          <w:spacing w:val="-12"/>
          <w:szCs w:val="22"/>
        </w:rPr>
        <w:t xml:space="preserve"> </w:t>
      </w:r>
      <w:r w:rsidRPr="00AF1CF8">
        <w:rPr>
          <w:color w:val="231F20"/>
          <w:szCs w:val="22"/>
        </w:rPr>
        <w:t>total</w:t>
      </w:r>
      <w:r w:rsidRPr="00AF1CF8">
        <w:rPr>
          <w:color w:val="231F20"/>
          <w:spacing w:val="-12"/>
          <w:szCs w:val="22"/>
        </w:rPr>
        <w:t xml:space="preserve"> </w:t>
      </w:r>
      <w:r w:rsidRPr="00AF1CF8">
        <w:rPr>
          <w:color w:val="231F20"/>
          <w:szCs w:val="22"/>
        </w:rPr>
        <w:t>$146,300,</w:t>
      </w:r>
      <w:r w:rsidRPr="00AF1CF8">
        <w:rPr>
          <w:color w:val="231F20"/>
          <w:spacing w:val="-12"/>
          <w:szCs w:val="22"/>
        </w:rPr>
        <w:t xml:space="preserve"> </w:t>
      </w:r>
      <w:r w:rsidRPr="00AF1CF8">
        <w:rPr>
          <w:color w:val="231F20"/>
          <w:szCs w:val="22"/>
        </w:rPr>
        <w:t>5.1</w:t>
      </w:r>
      <w:r w:rsidR="00A23357" w:rsidRPr="00AF1CF8">
        <w:rPr>
          <w:color w:val="231F20"/>
          <w:szCs w:val="22"/>
        </w:rPr>
        <w:t xml:space="preserve"> percent</w:t>
      </w:r>
      <w:r w:rsidRPr="00EB748D">
        <w:rPr>
          <w:color w:val="231F20"/>
          <w:spacing w:val="-11"/>
          <w:szCs w:val="22"/>
        </w:rPr>
        <w:t xml:space="preserve"> </w:t>
      </w:r>
      <w:r w:rsidRPr="00EB748D">
        <w:rPr>
          <w:color w:val="231F20"/>
          <w:szCs w:val="22"/>
        </w:rPr>
        <w:t>of</w:t>
      </w:r>
      <w:r w:rsidRPr="00EB748D">
        <w:rPr>
          <w:color w:val="231F20"/>
          <w:spacing w:val="-12"/>
          <w:szCs w:val="22"/>
        </w:rPr>
        <w:t xml:space="preserve"> </w:t>
      </w:r>
      <w:r w:rsidRPr="00EB748D">
        <w:rPr>
          <w:color w:val="231F20"/>
          <w:szCs w:val="22"/>
        </w:rPr>
        <w:t>the</w:t>
      </w:r>
      <w:r w:rsidRPr="00BB223B">
        <w:rPr>
          <w:color w:val="231F20"/>
          <w:spacing w:val="-12"/>
          <w:szCs w:val="22"/>
        </w:rPr>
        <w:t xml:space="preserve"> </w:t>
      </w:r>
      <w:r w:rsidRPr="00AF1CF8">
        <w:rPr>
          <w:color w:val="231F20"/>
          <w:szCs w:val="22"/>
        </w:rPr>
        <w:t>budget.</w:t>
      </w:r>
      <w:r w:rsidRPr="00AF1CF8">
        <w:rPr>
          <w:color w:val="231F20"/>
          <w:spacing w:val="-12"/>
          <w:szCs w:val="22"/>
        </w:rPr>
        <w:t xml:space="preserve"> </w:t>
      </w:r>
      <w:r w:rsidRPr="00AF1CF8">
        <w:rPr>
          <w:color w:val="231F20"/>
          <w:szCs w:val="22"/>
        </w:rPr>
        <w:t>Contractual</w:t>
      </w:r>
      <w:r w:rsidRPr="00AF1CF8">
        <w:rPr>
          <w:color w:val="231F20"/>
          <w:spacing w:val="-12"/>
          <w:szCs w:val="22"/>
        </w:rPr>
        <w:t xml:space="preserve"> </w:t>
      </w:r>
      <w:r w:rsidRPr="00AF1CF8">
        <w:rPr>
          <w:color w:val="231F20"/>
          <w:szCs w:val="22"/>
        </w:rPr>
        <w:t>costs</w:t>
      </w:r>
      <w:r w:rsidRPr="00AF1CF8">
        <w:rPr>
          <w:color w:val="231F20"/>
          <w:spacing w:val="-11"/>
          <w:szCs w:val="22"/>
        </w:rPr>
        <w:t xml:space="preserve"> </w:t>
      </w:r>
      <w:r w:rsidRPr="00AF1CF8">
        <w:rPr>
          <w:color w:val="231F20"/>
          <w:szCs w:val="22"/>
        </w:rPr>
        <w:t>are</w:t>
      </w:r>
      <w:r w:rsidRPr="00AF1CF8">
        <w:rPr>
          <w:color w:val="231F20"/>
          <w:spacing w:val="-13"/>
          <w:szCs w:val="22"/>
        </w:rPr>
        <w:t xml:space="preserve"> </w:t>
      </w:r>
      <w:r w:rsidRPr="00AF1CF8">
        <w:rPr>
          <w:color w:val="231F20"/>
          <w:szCs w:val="22"/>
        </w:rPr>
        <w:t>requested</w:t>
      </w:r>
      <w:r w:rsidRPr="00AF1CF8">
        <w:rPr>
          <w:color w:val="231F20"/>
          <w:spacing w:val="-12"/>
          <w:szCs w:val="22"/>
        </w:rPr>
        <w:t xml:space="preserve"> </w:t>
      </w:r>
      <w:r w:rsidRPr="00AF1CF8">
        <w:rPr>
          <w:color w:val="231F20"/>
          <w:szCs w:val="22"/>
        </w:rPr>
        <w:t>in</w:t>
      </w:r>
      <w:r w:rsidRPr="00AF1CF8">
        <w:rPr>
          <w:color w:val="231F20"/>
          <w:spacing w:val="-12"/>
          <w:szCs w:val="22"/>
        </w:rPr>
        <w:t xml:space="preserve"> </w:t>
      </w:r>
      <w:r w:rsidRPr="00AF1CF8">
        <w:rPr>
          <w:color w:val="231F20"/>
          <w:szCs w:val="22"/>
        </w:rPr>
        <w:t>the</w:t>
      </w:r>
      <w:r w:rsidRPr="00AF1CF8">
        <w:rPr>
          <w:color w:val="231F20"/>
          <w:spacing w:val="-12"/>
          <w:szCs w:val="22"/>
        </w:rPr>
        <w:t xml:space="preserve"> </w:t>
      </w:r>
      <w:r w:rsidRPr="00AF1CF8">
        <w:rPr>
          <w:color w:val="231F20"/>
          <w:szCs w:val="22"/>
        </w:rPr>
        <w:t>amount</w:t>
      </w:r>
      <w:r w:rsidRPr="00AF1CF8">
        <w:rPr>
          <w:color w:val="231F20"/>
          <w:spacing w:val="-11"/>
          <w:szCs w:val="22"/>
        </w:rPr>
        <w:t xml:space="preserve"> </w:t>
      </w:r>
      <w:r w:rsidRPr="00AF1CF8">
        <w:rPr>
          <w:color w:val="231F20"/>
          <w:szCs w:val="22"/>
        </w:rPr>
        <w:t>of</w:t>
      </w:r>
      <w:r w:rsidRPr="00AF1CF8">
        <w:rPr>
          <w:color w:val="231F20"/>
          <w:spacing w:val="-12"/>
          <w:szCs w:val="22"/>
        </w:rPr>
        <w:t xml:space="preserve"> </w:t>
      </w:r>
      <w:r w:rsidRPr="00AF1CF8">
        <w:rPr>
          <w:color w:val="231F20"/>
          <w:szCs w:val="22"/>
        </w:rPr>
        <w:t>$97,000, comprising 3.4</w:t>
      </w:r>
      <w:r w:rsidR="00A23357" w:rsidRPr="00AF1CF8">
        <w:rPr>
          <w:color w:val="231F20"/>
          <w:szCs w:val="22"/>
        </w:rPr>
        <w:t xml:space="preserve"> percent</w:t>
      </w:r>
      <w:r w:rsidRPr="00EB748D">
        <w:rPr>
          <w:color w:val="231F20"/>
          <w:szCs w:val="22"/>
        </w:rPr>
        <w:t xml:space="preserve"> of the budget. Other costs include $40,000, 1.4</w:t>
      </w:r>
      <w:r w:rsidR="00A23357" w:rsidRPr="00AF1CF8">
        <w:rPr>
          <w:color w:val="231F20"/>
          <w:szCs w:val="22"/>
        </w:rPr>
        <w:t xml:space="preserve"> percent</w:t>
      </w:r>
      <w:r w:rsidRPr="00EB748D">
        <w:rPr>
          <w:color w:val="231F20"/>
          <w:szCs w:val="22"/>
        </w:rPr>
        <w:t xml:space="preserve"> of the budget, for 25 faculty and instructors to complete the Association of College and University Educators Effective Teaching Practices course series. No funding is being requested for equipment or</w:t>
      </w:r>
      <w:r w:rsidRPr="00EB748D">
        <w:rPr>
          <w:color w:val="231F20"/>
          <w:spacing w:val="9"/>
          <w:szCs w:val="22"/>
        </w:rPr>
        <w:t xml:space="preserve"> </w:t>
      </w:r>
      <w:r w:rsidRPr="00BB223B">
        <w:rPr>
          <w:color w:val="231F20"/>
          <w:szCs w:val="22"/>
        </w:rPr>
        <w:t>construction.</w:t>
      </w:r>
      <w:r w:rsidR="005C5952" w:rsidRPr="00AF1CF8">
        <w:rPr>
          <w:color w:val="231F20"/>
          <w:szCs w:val="22"/>
        </w:rPr>
        <w:t xml:space="preserve"> </w:t>
      </w:r>
      <w:r w:rsidRPr="00AF1CF8">
        <w:rPr>
          <w:color w:val="231F20"/>
          <w:szCs w:val="22"/>
        </w:rPr>
        <w:t>23.5</w:t>
      </w:r>
      <w:r w:rsidR="00A23357" w:rsidRPr="00AF1CF8">
        <w:rPr>
          <w:color w:val="231F20"/>
          <w:szCs w:val="22"/>
        </w:rPr>
        <w:t xml:space="preserve"> percent</w:t>
      </w:r>
      <w:r w:rsidRPr="00EB748D">
        <w:rPr>
          <w:color w:val="231F20"/>
          <w:szCs w:val="22"/>
        </w:rPr>
        <w:t xml:space="preserve"> of project costs are for project management expenses.</w:t>
      </w:r>
    </w:p>
    <w:p w14:paraId="5B3FDBF8" w14:textId="4DC9CBDD" w:rsidR="002A11FC" w:rsidRPr="00EB748D" w:rsidRDefault="002A11FC"/>
    <w:p w14:paraId="519EBC85" w14:textId="51B30EFC" w:rsidR="00D96587" w:rsidRPr="00BB223B" w:rsidRDefault="00D96587"/>
    <w:p w14:paraId="4A2E5DD3" w14:textId="6E7730E7" w:rsidR="00D96587" w:rsidRPr="00AF1CF8" w:rsidRDefault="00D96587" w:rsidP="00634CAD">
      <w:pPr>
        <w:pStyle w:val="Heading1"/>
        <w:rPr>
          <w:rStyle w:val="Heading3Char"/>
          <w:rFonts w:cs="Times New Roman"/>
          <w:szCs w:val="22"/>
        </w:rPr>
      </w:pPr>
      <w:r w:rsidRPr="00AF1CF8">
        <w:t>P031S190160</w:t>
      </w:r>
      <w:r w:rsidR="00C41AEE" w:rsidRPr="00AF1CF8">
        <w:t xml:space="preserve"> </w:t>
      </w:r>
      <w:r w:rsidR="00C41AEE" w:rsidRPr="00AF1CF8">
        <w:br/>
        <w:t>Morgan Community College, CO</w:t>
      </w:r>
    </w:p>
    <w:p w14:paraId="6FD24263" w14:textId="3694A249" w:rsidR="00D96587" w:rsidRPr="00EB748D" w:rsidRDefault="00D96587" w:rsidP="00D96587">
      <w:pPr>
        <w:pStyle w:val="BodyText"/>
        <w:rPr>
          <w:szCs w:val="22"/>
        </w:rPr>
      </w:pPr>
    </w:p>
    <w:p w14:paraId="26694BD4" w14:textId="139AB242" w:rsidR="00D96587" w:rsidRPr="00BB223B" w:rsidRDefault="00D96587" w:rsidP="00D96587">
      <w:pPr>
        <w:pStyle w:val="BodyText"/>
        <w:rPr>
          <w:szCs w:val="22"/>
        </w:rPr>
      </w:pPr>
      <w:r w:rsidRPr="00BB223B">
        <w:rPr>
          <w:b/>
          <w:color w:val="231F20"/>
          <w:szCs w:val="22"/>
        </w:rPr>
        <w:t xml:space="preserve">Overview: </w:t>
      </w:r>
      <w:r w:rsidRPr="00AF1CF8">
        <w:rPr>
          <w:color w:val="231F20"/>
          <w:szCs w:val="22"/>
        </w:rPr>
        <w:t xml:space="preserve">Morgan Community College is accredited by the Higher Learning Commission and offers an Associate of General Studies and two transfer degrees (Associate of Arts and Associate of Science). </w:t>
      </w:r>
      <w:r w:rsidR="00042F03" w:rsidRPr="00AF1CF8">
        <w:rPr>
          <w:color w:val="231F20"/>
          <w:szCs w:val="22"/>
        </w:rPr>
        <w:t>Most</w:t>
      </w:r>
      <w:r w:rsidRPr="00AF1CF8">
        <w:rPr>
          <w:color w:val="231F20"/>
          <w:szCs w:val="22"/>
        </w:rPr>
        <w:t xml:space="preserve"> students (including 78</w:t>
      </w:r>
      <w:r w:rsidR="00A23357" w:rsidRPr="00AF1CF8">
        <w:rPr>
          <w:color w:val="231F20"/>
          <w:szCs w:val="22"/>
        </w:rPr>
        <w:t xml:space="preserve"> percent</w:t>
      </w:r>
      <w:r w:rsidRPr="00EB748D">
        <w:rPr>
          <w:color w:val="231F20"/>
          <w:szCs w:val="22"/>
        </w:rPr>
        <w:t xml:space="preserve"> of Hispanic students) are Pell-eligible and 91</w:t>
      </w:r>
      <w:r w:rsidR="00A23357" w:rsidRPr="00AF1CF8">
        <w:rPr>
          <w:color w:val="231F20"/>
          <w:szCs w:val="22"/>
        </w:rPr>
        <w:t xml:space="preserve"> percent</w:t>
      </w:r>
      <w:r w:rsidRPr="00EB748D">
        <w:rPr>
          <w:color w:val="231F20"/>
          <w:szCs w:val="22"/>
        </w:rPr>
        <w:t xml:space="preserve"> of </w:t>
      </w:r>
      <w:r w:rsidR="00EB748D">
        <w:rPr>
          <w:color w:val="231F20"/>
          <w:szCs w:val="22"/>
        </w:rPr>
        <w:t>H</w:t>
      </w:r>
      <w:r w:rsidRPr="00EB748D">
        <w:rPr>
          <w:color w:val="231F20"/>
          <w:szCs w:val="22"/>
        </w:rPr>
        <w:t>ispanic students are first-generation. The college has a low student-teacher ratio of just 15:1 and strives to develop programming that will support its unique student population.</w:t>
      </w:r>
    </w:p>
    <w:p w14:paraId="308ECE6C" w14:textId="77777777" w:rsidR="00D96587" w:rsidRPr="00AF1CF8" w:rsidRDefault="00D96587" w:rsidP="00D96587">
      <w:pPr>
        <w:pStyle w:val="BodyText"/>
        <w:rPr>
          <w:b/>
          <w:color w:val="231F20"/>
          <w:szCs w:val="22"/>
        </w:rPr>
      </w:pPr>
    </w:p>
    <w:p w14:paraId="7191C6DE" w14:textId="77777777" w:rsidR="00D96587" w:rsidRPr="00AF1CF8" w:rsidRDefault="00D96587" w:rsidP="00D96587">
      <w:pPr>
        <w:pStyle w:val="BodyText"/>
        <w:rPr>
          <w:szCs w:val="22"/>
        </w:rPr>
      </w:pPr>
      <w:r w:rsidRPr="00AF1CF8">
        <w:rPr>
          <w:b/>
          <w:color w:val="231F20"/>
          <w:szCs w:val="22"/>
        </w:rPr>
        <w:t xml:space="preserve">Proposed Project: </w:t>
      </w:r>
      <w:r w:rsidRPr="00AF1CF8">
        <w:rPr>
          <w:color w:val="231F20"/>
          <w:szCs w:val="22"/>
        </w:rPr>
        <w:t xml:space="preserve">Morgan Community College is proposing </w:t>
      </w:r>
      <w:r w:rsidRPr="00AF1CF8">
        <w:rPr>
          <w:b/>
          <w:color w:val="231F20"/>
          <w:szCs w:val="22"/>
          <w:u w:val="thick" w:color="231F20"/>
        </w:rPr>
        <w:t>Su</w:t>
      </w:r>
      <w:r w:rsidRPr="00AF1CF8">
        <w:rPr>
          <w:color w:val="231F20"/>
          <w:szCs w:val="22"/>
        </w:rPr>
        <w:t xml:space="preserve">pporting a </w:t>
      </w:r>
      <w:r w:rsidRPr="00AF1CF8">
        <w:rPr>
          <w:b/>
          <w:color w:val="231F20"/>
          <w:szCs w:val="22"/>
          <w:u w:val="thick" w:color="231F20"/>
        </w:rPr>
        <w:t>C</w:t>
      </w:r>
      <w:r w:rsidRPr="00AF1CF8">
        <w:rPr>
          <w:color w:val="231F20"/>
          <w:szCs w:val="22"/>
        </w:rPr>
        <w:t xml:space="preserve">ollege </w:t>
      </w:r>
      <w:r w:rsidRPr="00AF1CF8">
        <w:rPr>
          <w:b/>
          <w:color w:val="231F20"/>
          <w:szCs w:val="22"/>
          <w:u w:val="thick" w:color="231F20"/>
        </w:rPr>
        <w:t>C</w:t>
      </w:r>
      <w:r w:rsidRPr="00AF1CF8">
        <w:rPr>
          <w:color w:val="231F20"/>
          <w:szCs w:val="22"/>
        </w:rPr>
        <w:t xml:space="preserve">ulture of </w:t>
      </w:r>
      <w:r w:rsidRPr="00AF1CF8">
        <w:rPr>
          <w:b/>
          <w:color w:val="231F20"/>
          <w:szCs w:val="22"/>
          <w:u w:val="thick" w:color="231F20"/>
        </w:rPr>
        <w:t>E</w:t>
      </w:r>
      <w:r w:rsidRPr="00AF1CF8">
        <w:rPr>
          <w:color w:val="231F20"/>
          <w:szCs w:val="22"/>
        </w:rPr>
        <w:t xml:space="preserve">quity for </w:t>
      </w:r>
      <w:r w:rsidRPr="00AF1CF8">
        <w:rPr>
          <w:b/>
          <w:color w:val="231F20"/>
          <w:szCs w:val="22"/>
          <w:u w:val="thick" w:color="231F20"/>
        </w:rPr>
        <w:t>S</w:t>
      </w:r>
      <w:r w:rsidRPr="00AF1CF8">
        <w:rPr>
          <w:color w:val="231F20"/>
          <w:szCs w:val="22"/>
        </w:rPr>
        <w:t xml:space="preserve">tudent </w:t>
      </w:r>
      <w:r w:rsidRPr="00AF1CF8">
        <w:rPr>
          <w:b/>
          <w:color w:val="231F20"/>
          <w:szCs w:val="22"/>
          <w:u w:val="thick" w:color="231F20"/>
        </w:rPr>
        <w:t>S</w:t>
      </w:r>
      <w:r w:rsidRPr="00AF1CF8">
        <w:rPr>
          <w:color w:val="231F20"/>
          <w:szCs w:val="22"/>
        </w:rPr>
        <w:t>uccess (SUCCESS) to address goals of increasing underrepresented student access to transfer degrees, increasing student attainment, reducing student financial strains through financial literacy, and improving the overall college culture of educational equity. The project has been developed through extensive structured planning resulting in four project activity priorities: Summer Bridge; Intrusive Advising; Supplemental Instruction and Tutoring; and Inclusive Professional Development.</w:t>
      </w:r>
    </w:p>
    <w:p w14:paraId="0087375A" w14:textId="77777777" w:rsidR="00D96587" w:rsidRPr="00AF1CF8" w:rsidRDefault="00D96587" w:rsidP="00D96587">
      <w:pPr>
        <w:pStyle w:val="BodyText"/>
        <w:rPr>
          <w:b/>
          <w:color w:val="231F20"/>
          <w:szCs w:val="22"/>
        </w:rPr>
      </w:pPr>
    </w:p>
    <w:p w14:paraId="5E631F2E" w14:textId="77777777" w:rsidR="00D96587" w:rsidRPr="00AF1CF8" w:rsidRDefault="00D96587" w:rsidP="00D96587">
      <w:pPr>
        <w:pStyle w:val="BodyText"/>
        <w:rPr>
          <w:szCs w:val="22"/>
        </w:rPr>
      </w:pPr>
      <w:r w:rsidRPr="00AF1CF8">
        <w:rPr>
          <w:b/>
          <w:color w:val="231F20"/>
          <w:szCs w:val="22"/>
        </w:rPr>
        <w:t xml:space="preserve">Objectives: </w:t>
      </w:r>
      <w:r w:rsidRPr="00AF1CF8">
        <w:rPr>
          <w:color w:val="231F20"/>
          <w:szCs w:val="22"/>
        </w:rPr>
        <w:t>MCC has established eight objectives for this project:</w:t>
      </w:r>
    </w:p>
    <w:p w14:paraId="1BB01D5A" w14:textId="5A11F894" w:rsidR="00D96587" w:rsidRPr="00EB748D" w:rsidRDefault="00D96587" w:rsidP="00D96587">
      <w:pPr>
        <w:pStyle w:val="BodyText"/>
        <w:rPr>
          <w:szCs w:val="22"/>
        </w:rPr>
      </w:pPr>
      <w:r w:rsidRPr="00AF1CF8">
        <w:rPr>
          <w:b/>
          <w:i/>
          <w:color w:val="231F20"/>
          <w:szCs w:val="22"/>
        </w:rPr>
        <w:t xml:space="preserve">Objective 1a: </w:t>
      </w:r>
      <w:r w:rsidRPr="00AF1CF8">
        <w:rPr>
          <w:color w:val="231F20"/>
          <w:szCs w:val="22"/>
        </w:rPr>
        <w:t>By Sept. 30, 2024, Morgan Community College will increase the percentage of all students earning a degree by</w:t>
      </w:r>
      <w:r w:rsidR="00A23357" w:rsidRPr="00AF1CF8">
        <w:rPr>
          <w:color w:val="231F20"/>
          <w:szCs w:val="22"/>
        </w:rPr>
        <w:t xml:space="preserve"> five percent</w:t>
      </w:r>
      <w:r w:rsidRPr="00EB748D">
        <w:rPr>
          <w:color w:val="231F20"/>
          <w:szCs w:val="22"/>
        </w:rPr>
        <w:t>.</w:t>
      </w:r>
    </w:p>
    <w:p w14:paraId="4E62CB61" w14:textId="1D4A0F88" w:rsidR="00D96587" w:rsidRPr="00EB748D" w:rsidRDefault="00D96587" w:rsidP="00D96587">
      <w:pPr>
        <w:pStyle w:val="BodyText"/>
        <w:rPr>
          <w:szCs w:val="22"/>
        </w:rPr>
      </w:pPr>
      <w:r w:rsidRPr="00BB223B">
        <w:rPr>
          <w:b/>
          <w:i/>
          <w:color w:val="231F20"/>
          <w:szCs w:val="22"/>
        </w:rPr>
        <w:t xml:space="preserve">Objective 1b: </w:t>
      </w:r>
      <w:r w:rsidRPr="00AF1CF8">
        <w:rPr>
          <w:color w:val="231F20"/>
          <w:szCs w:val="22"/>
        </w:rPr>
        <w:t>By Sept. 30, 2024, Morgan Community College will increase the percentage of Hispanic and/or low-income students earning a degree by 10</w:t>
      </w:r>
      <w:r w:rsidR="00A23357" w:rsidRPr="00AF1CF8">
        <w:rPr>
          <w:color w:val="231F20"/>
          <w:szCs w:val="22"/>
        </w:rPr>
        <w:t xml:space="preserve"> percent</w:t>
      </w:r>
      <w:r w:rsidRPr="00EB748D">
        <w:rPr>
          <w:color w:val="231F20"/>
          <w:szCs w:val="22"/>
        </w:rPr>
        <w:t>.</w:t>
      </w:r>
    </w:p>
    <w:p w14:paraId="3F211F3B" w14:textId="4D378801" w:rsidR="00D96587" w:rsidRPr="00EB748D" w:rsidRDefault="00D96587" w:rsidP="00D96587">
      <w:pPr>
        <w:pStyle w:val="BodyText"/>
        <w:rPr>
          <w:szCs w:val="22"/>
        </w:rPr>
      </w:pPr>
      <w:r w:rsidRPr="00BB223B">
        <w:rPr>
          <w:b/>
          <w:i/>
          <w:color w:val="231F20"/>
          <w:szCs w:val="22"/>
        </w:rPr>
        <w:t xml:space="preserve">Objective 2a: </w:t>
      </w:r>
      <w:r w:rsidRPr="00AF1CF8">
        <w:rPr>
          <w:color w:val="231F20"/>
          <w:szCs w:val="22"/>
        </w:rPr>
        <w:t>By Sept. 30, 2024, MCC will increase the retention rate for all students by</w:t>
      </w:r>
      <w:r w:rsidR="00A23357" w:rsidRPr="00AF1CF8">
        <w:rPr>
          <w:color w:val="231F20"/>
          <w:szCs w:val="22"/>
        </w:rPr>
        <w:t xml:space="preserve"> five percent</w:t>
      </w:r>
      <w:r w:rsidRPr="00EB748D">
        <w:rPr>
          <w:color w:val="231F20"/>
          <w:szCs w:val="22"/>
        </w:rPr>
        <w:t>.</w:t>
      </w:r>
    </w:p>
    <w:p w14:paraId="74B7EFD9" w14:textId="21B48D4A" w:rsidR="00D96587" w:rsidRPr="00EB748D" w:rsidRDefault="00D96587" w:rsidP="00D96587">
      <w:pPr>
        <w:pStyle w:val="BodyText"/>
        <w:rPr>
          <w:szCs w:val="22"/>
        </w:rPr>
      </w:pPr>
      <w:r w:rsidRPr="00BB223B">
        <w:rPr>
          <w:b/>
          <w:i/>
          <w:color w:val="231F20"/>
          <w:szCs w:val="22"/>
        </w:rPr>
        <w:t xml:space="preserve">Objective 2b: </w:t>
      </w:r>
      <w:r w:rsidRPr="00AF1CF8">
        <w:rPr>
          <w:color w:val="231F20"/>
          <w:szCs w:val="22"/>
        </w:rPr>
        <w:t>By Sept. 30, 2024, Morgan Community College will increase the retention rate for Hispanic and/or low-income students by</w:t>
      </w:r>
      <w:r w:rsidR="00A23357" w:rsidRPr="00AF1CF8">
        <w:rPr>
          <w:color w:val="231F20"/>
          <w:szCs w:val="22"/>
        </w:rPr>
        <w:t xml:space="preserve"> five percent</w:t>
      </w:r>
      <w:r w:rsidRPr="00EB748D">
        <w:rPr>
          <w:color w:val="231F20"/>
          <w:szCs w:val="22"/>
        </w:rPr>
        <w:t>.</w:t>
      </w:r>
    </w:p>
    <w:p w14:paraId="4F795ABB" w14:textId="47644610" w:rsidR="00D96587" w:rsidRPr="00EB748D" w:rsidRDefault="00D96587" w:rsidP="00D96587">
      <w:pPr>
        <w:pStyle w:val="BodyText"/>
        <w:rPr>
          <w:szCs w:val="22"/>
        </w:rPr>
      </w:pPr>
      <w:r w:rsidRPr="00BB223B">
        <w:rPr>
          <w:b/>
          <w:i/>
          <w:color w:val="231F20"/>
          <w:szCs w:val="22"/>
        </w:rPr>
        <w:t xml:space="preserve">Objective 3a: </w:t>
      </w:r>
      <w:r w:rsidRPr="00AF1CF8">
        <w:rPr>
          <w:color w:val="231F20"/>
          <w:szCs w:val="22"/>
        </w:rPr>
        <w:t xml:space="preserve">By Sept. 30, 2024, Morgan Community College will increase the rate of transfer from a </w:t>
      </w:r>
      <w:r w:rsidR="00EB748D">
        <w:rPr>
          <w:color w:val="231F20"/>
          <w:szCs w:val="22"/>
        </w:rPr>
        <w:t>two</w:t>
      </w:r>
      <w:r w:rsidRPr="00BB223B">
        <w:rPr>
          <w:color w:val="231F20"/>
          <w:szCs w:val="22"/>
        </w:rPr>
        <w:t xml:space="preserve">-year HSI to a </w:t>
      </w:r>
      <w:r w:rsidR="00EB748D">
        <w:rPr>
          <w:color w:val="231F20"/>
          <w:szCs w:val="22"/>
        </w:rPr>
        <w:t>four</w:t>
      </w:r>
      <w:r w:rsidRPr="00BB223B">
        <w:rPr>
          <w:color w:val="231F20"/>
          <w:szCs w:val="22"/>
        </w:rPr>
        <w:t>-year institution of all students by</w:t>
      </w:r>
      <w:r w:rsidR="00A23357" w:rsidRPr="00AF1CF8">
        <w:rPr>
          <w:color w:val="231F20"/>
          <w:szCs w:val="22"/>
        </w:rPr>
        <w:t xml:space="preserve"> three percent</w:t>
      </w:r>
      <w:r w:rsidRPr="00EB748D">
        <w:rPr>
          <w:color w:val="231F20"/>
          <w:szCs w:val="22"/>
        </w:rPr>
        <w:t>.</w:t>
      </w:r>
    </w:p>
    <w:p w14:paraId="7D9A9E5B" w14:textId="65F01FA8" w:rsidR="00D96587" w:rsidRPr="00EB748D" w:rsidRDefault="00D96587" w:rsidP="00D96587">
      <w:pPr>
        <w:pStyle w:val="BodyText"/>
        <w:rPr>
          <w:szCs w:val="22"/>
        </w:rPr>
      </w:pPr>
      <w:r w:rsidRPr="00BB223B">
        <w:rPr>
          <w:b/>
          <w:i/>
          <w:color w:val="231F20"/>
          <w:szCs w:val="22"/>
        </w:rPr>
        <w:t xml:space="preserve">Objective 3b: </w:t>
      </w:r>
      <w:r w:rsidRPr="00AF1CF8">
        <w:rPr>
          <w:color w:val="231F20"/>
          <w:szCs w:val="22"/>
        </w:rPr>
        <w:t xml:space="preserve">By Sept. 30, 2024, Morgan Community College will increase the rate of transfer from </w:t>
      </w:r>
      <w:r w:rsidR="00EB748D">
        <w:rPr>
          <w:color w:val="231F20"/>
          <w:szCs w:val="22"/>
        </w:rPr>
        <w:t>a two</w:t>
      </w:r>
      <w:r w:rsidR="00EB748D" w:rsidRPr="00F36DFC">
        <w:rPr>
          <w:color w:val="231F20"/>
          <w:szCs w:val="22"/>
        </w:rPr>
        <w:t xml:space="preserve">-year HSI to a </w:t>
      </w:r>
      <w:r w:rsidR="00EB748D">
        <w:rPr>
          <w:color w:val="231F20"/>
          <w:szCs w:val="22"/>
        </w:rPr>
        <w:t>four</w:t>
      </w:r>
      <w:r w:rsidR="00EB748D" w:rsidRPr="00F36DFC">
        <w:rPr>
          <w:color w:val="231F20"/>
          <w:szCs w:val="22"/>
        </w:rPr>
        <w:t xml:space="preserve">-year </w:t>
      </w:r>
      <w:r w:rsidRPr="00BB223B">
        <w:rPr>
          <w:color w:val="231F20"/>
          <w:szCs w:val="22"/>
        </w:rPr>
        <w:t>instituti</w:t>
      </w:r>
      <w:r w:rsidRPr="00AF1CF8">
        <w:rPr>
          <w:color w:val="231F20"/>
          <w:szCs w:val="22"/>
        </w:rPr>
        <w:t>on of Hispanic and/or low-income students by</w:t>
      </w:r>
      <w:r w:rsidR="00A23357" w:rsidRPr="00AF1CF8">
        <w:rPr>
          <w:color w:val="231F20"/>
          <w:szCs w:val="22"/>
        </w:rPr>
        <w:t xml:space="preserve"> five percent</w:t>
      </w:r>
      <w:r w:rsidRPr="00EB748D">
        <w:rPr>
          <w:color w:val="231F20"/>
          <w:szCs w:val="22"/>
        </w:rPr>
        <w:t>.</w:t>
      </w:r>
    </w:p>
    <w:p w14:paraId="2FBA14E0" w14:textId="77777777" w:rsidR="00D96587" w:rsidRPr="00AF1CF8" w:rsidRDefault="00D96587" w:rsidP="00D96587">
      <w:pPr>
        <w:pStyle w:val="BodyText"/>
        <w:rPr>
          <w:szCs w:val="22"/>
        </w:rPr>
      </w:pPr>
      <w:r w:rsidRPr="00BB223B">
        <w:rPr>
          <w:b/>
          <w:i/>
          <w:color w:val="231F20"/>
          <w:szCs w:val="22"/>
        </w:rPr>
        <w:t xml:space="preserve">Objective 4a: </w:t>
      </w:r>
      <w:r w:rsidRPr="00AF1CF8">
        <w:rPr>
          <w:color w:val="231F20"/>
          <w:szCs w:val="22"/>
        </w:rPr>
        <w:t>By Sept. 30, 2024, Morgan Community College will serve 1,200 students who will participate in services supported by the grant.</w:t>
      </w:r>
    </w:p>
    <w:p w14:paraId="10BFAD1F" w14:textId="77777777" w:rsidR="00D96587" w:rsidRPr="00AF1CF8" w:rsidRDefault="00D96587" w:rsidP="00D96587">
      <w:pPr>
        <w:pStyle w:val="BodyText"/>
        <w:rPr>
          <w:szCs w:val="22"/>
        </w:rPr>
      </w:pPr>
      <w:r w:rsidRPr="00AF1CF8">
        <w:rPr>
          <w:b/>
          <w:i/>
          <w:color w:val="231F20"/>
          <w:szCs w:val="22"/>
        </w:rPr>
        <w:t xml:space="preserve">Objective 4b: </w:t>
      </w:r>
      <w:r w:rsidRPr="00AF1CF8">
        <w:rPr>
          <w:color w:val="231F20"/>
          <w:szCs w:val="22"/>
        </w:rPr>
        <w:t>By Sept. 30, 2024, Morgan Community College will serve 600 Hispanic and/or low-income students who will participate in services supported by the grant.</w:t>
      </w:r>
    </w:p>
    <w:p w14:paraId="24612647" w14:textId="77777777" w:rsidR="00D96587" w:rsidRPr="00AF1CF8" w:rsidRDefault="00D96587" w:rsidP="00D96587">
      <w:pPr>
        <w:pStyle w:val="BodyText"/>
        <w:rPr>
          <w:b/>
          <w:color w:val="231F20"/>
          <w:szCs w:val="22"/>
        </w:rPr>
      </w:pPr>
    </w:p>
    <w:p w14:paraId="3E06251F" w14:textId="7B865EF0" w:rsidR="00D96587" w:rsidRPr="00EB748D" w:rsidRDefault="00D96587" w:rsidP="00D96587">
      <w:pPr>
        <w:pStyle w:val="BodyText"/>
        <w:rPr>
          <w:szCs w:val="22"/>
        </w:rPr>
      </w:pPr>
      <w:r w:rsidRPr="00AF1CF8">
        <w:rPr>
          <w:b/>
          <w:color w:val="231F20"/>
          <w:szCs w:val="22"/>
        </w:rPr>
        <w:t xml:space="preserve">Budget: </w:t>
      </w:r>
      <w:r w:rsidRPr="00AF1CF8">
        <w:rPr>
          <w:color w:val="231F20"/>
          <w:szCs w:val="22"/>
        </w:rPr>
        <w:t xml:space="preserve">The total five-year budget request is $3,000,000, with an annual request of $600,000. This </w:t>
      </w:r>
      <w:r w:rsidR="00EB748D">
        <w:rPr>
          <w:color w:val="231F20"/>
          <w:szCs w:val="22"/>
        </w:rPr>
        <w:t>b</w:t>
      </w:r>
      <w:r w:rsidRPr="00BB223B">
        <w:rPr>
          <w:color w:val="231F20"/>
          <w:szCs w:val="22"/>
        </w:rPr>
        <w:t>udget represents about 70</w:t>
      </w:r>
      <w:r w:rsidR="00A23357" w:rsidRPr="00AF1CF8">
        <w:rPr>
          <w:color w:val="231F20"/>
          <w:szCs w:val="22"/>
        </w:rPr>
        <w:t xml:space="preserve"> percent</w:t>
      </w:r>
      <w:r w:rsidRPr="00EB748D">
        <w:rPr>
          <w:color w:val="231F20"/>
          <w:szCs w:val="22"/>
        </w:rPr>
        <w:t xml:space="preserve"> for salaries and fringe benefits; 10</w:t>
      </w:r>
      <w:r w:rsidR="00A23357" w:rsidRPr="00AF1CF8">
        <w:rPr>
          <w:color w:val="231F20"/>
          <w:szCs w:val="22"/>
        </w:rPr>
        <w:t xml:space="preserve"> percent</w:t>
      </w:r>
      <w:r w:rsidRPr="00EB748D">
        <w:rPr>
          <w:color w:val="231F20"/>
          <w:szCs w:val="22"/>
        </w:rPr>
        <w:t xml:space="preserve"> for travel; </w:t>
      </w:r>
      <w:r w:rsidR="00A23357" w:rsidRPr="00AF1CF8">
        <w:rPr>
          <w:color w:val="231F20"/>
          <w:szCs w:val="22"/>
        </w:rPr>
        <w:t>eight percent</w:t>
      </w:r>
      <w:r w:rsidRPr="00EB748D">
        <w:rPr>
          <w:color w:val="231F20"/>
          <w:szCs w:val="22"/>
        </w:rPr>
        <w:t xml:space="preserve"> for supplies;</w:t>
      </w:r>
      <w:r w:rsidR="00A23357" w:rsidRPr="00AF1CF8">
        <w:rPr>
          <w:color w:val="231F20"/>
          <w:szCs w:val="22"/>
        </w:rPr>
        <w:t xml:space="preserve"> five percent</w:t>
      </w:r>
      <w:r w:rsidRPr="00EB748D">
        <w:rPr>
          <w:color w:val="231F20"/>
          <w:szCs w:val="22"/>
        </w:rPr>
        <w:t xml:space="preserve"> for contractual; and </w:t>
      </w:r>
      <w:r w:rsidR="00A23357" w:rsidRPr="00AF1CF8">
        <w:rPr>
          <w:color w:val="231F20"/>
          <w:szCs w:val="22"/>
        </w:rPr>
        <w:t>seven percent</w:t>
      </w:r>
      <w:r w:rsidRPr="00EB748D">
        <w:rPr>
          <w:color w:val="231F20"/>
          <w:szCs w:val="22"/>
        </w:rPr>
        <w:t xml:space="preserve"> for other costs, including an endowment. Project management includes the salaries for a 50</w:t>
      </w:r>
      <w:r w:rsidR="00A23357" w:rsidRPr="00AF1CF8">
        <w:rPr>
          <w:color w:val="231F20"/>
          <w:szCs w:val="22"/>
        </w:rPr>
        <w:t xml:space="preserve"> percent</w:t>
      </w:r>
      <w:r w:rsidRPr="00EB748D">
        <w:rPr>
          <w:color w:val="231F20"/>
          <w:szCs w:val="22"/>
        </w:rPr>
        <w:t xml:space="preserve"> time project director, full-time project support coordinator, and for external evaluation. The total amount set aside for project management is </w:t>
      </w:r>
      <w:r w:rsidR="00EB748D">
        <w:rPr>
          <w:color w:val="231F20"/>
          <w:szCs w:val="22"/>
        </w:rPr>
        <w:t>a</w:t>
      </w:r>
      <w:r w:rsidRPr="00EB748D">
        <w:rPr>
          <w:color w:val="231F20"/>
          <w:szCs w:val="22"/>
        </w:rPr>
        <w:t>pproximately $716,000 (23</w:t>
      </w:r>
      <w:r w:rsidR="00A23357" w:rsidRPr="00AF1CF8">
        <w:rPr>
          <w:color w:val="231F20"/>
          <w:szCs w:val="22"/>
        </w:rPr>
        <w:t xml:space="preserve"> percent</w:t>
      </w:r>
      <w:r w:rsidRPr="00EB748D">
        <w:rPr>
          <w:color w:val="231F20"/>
          <w:szCs w:val="22"/>
        </w:rPr>
        <w:t xml:space="preserve"> of the five-year cost).</w:t>
      </w:r>
    </w:p>
    <w:p w14:paraId="5D52BD20" w14:textId="5044E498" w:rsidR="00D96587" w:rsidRPr="00BB223B" w:rsidRDefault="00D96587"/>
    <w:p w14:paraId="7E027FEB" w14:textId="40F25F5E" w:rsidR="00AA7113" w:rsidRPr="00AF1CF8" w:rsidRDefault="00AA7113"/>
    <w:p w14:paraId="2D4182E0" w14:textId="45468A2A" w:rsidR="00AA7113" w:rsidRPr="00AF1CF8" w:rsidRDefault="00AA7113"/>
    <w:p w14:paraId="38038D87" w14:textId="30B545A6" w:rsidR="00AA7113" w:rsidRPr="00AF1CF8" w:rsidRDefault="00AA7113" w:rsidP="00634CAD">
      <w:pPr>
        <w:pStyle w:val="Heading1"/>
      </w:pPr>
      <w:r w:rsidRPr="00AF1CF8">
        <w:t>P031S190142</w:t>
      </w:r>
      <w:r w:rsidR="00B37985" w:rsidRPr="00AF1CF8">
        <w:t xml:space="preserve"> </w:t>
      </w:r>
      <w:r w:rsidR="00B37985" w:rsidRPr="00AF1CF8">
        <w:br/>
        <w:t>Dalton State College</w:t>
      </w:r>
      <w:r w:rsidR="00111D29" w:rsidRPr="00AF1CF8">
        <w:t>, GA</w:t>
      </w:r>
    </w:p>
    <w:p w14:paraId="7B595479" w14:textId="5E268BB7" w:rsidR="00AA7113" w:rsidRPr="00AF1CF8" w:rsidRDefault="00AA7113" w:rsidP="00AA7113"/>
    <w:p w14:paraId="2D0A9D65" w14:textId="1E6ABED5" w:rsidR="00AA7113" w:rsidRPr="00AF1CF8" w:rsidRDefault="00AA7113" w:rsidP="00AA7113">
      <w:pPr>
        <w:pStyle w:val="BodyText"/>
        <w:rPr>
          <w:szCs w:val="22"/>
        </w:rPr>
      </w:pPr>
      <w:r w:rsidRPr="00AF1CF8">
        <w:rPr>
          <w:color w:val="231F20"/>
          <w:szCs w:val="22"/>
        </w:rPr>
        <w:t xml:space="preserve">Dalton State College, located in Dalton, Georgia, serves as a point of access and destination for students entering the University System of Georgia. Offering 24 </w:t>
      </w:r>
      <w:r w:rsidR="003B1EAA" w:rsidRPr="00AF1CF8">
        <w:rPr>
          <w:color w:val="231F20"/>
          <w:szCs w:val="22"/>
        </w:rPr>
        <w:t>bachelor’s</w:t>
      </w:r>
      <w:r w:rsidRPr="00AF1CF8">
        <w:rPr>
          <w:color w:val="231F20"/>
          <w:szCs w:val="22"/>
        </w:rPr>
        <w:t xml:space="preserve"> degrees along with associate degrees and certificates, Dalton State provides quality education for </w:t>
      </w:r>
      <w:r w:rsidR="00042F03" w:rsidRPr="00AF1CF8">
        <w:rPr>
          <w:color w:val="231F20"/>
          <w:szCs w:val="22"/>
        </w:rPr>
        <w:t>a</w:t>
      </w:r>
      <w:r w:rsidRPr="00AF1CF8">
        <w:rPr>
          <w:color w:val="231F20"/>
          <w:szCs w:val="22"/>
        </w:rPr>
        <w:t xml:space="preserve"> unique student population. As Georgia’s only Hispanic-serving institution, the college provides an affordable opportunity for underrepresented, first-generation students to pursue higher education.</w:t>
      </w:r>
    </w:p>
    <w:p w14:paraId="0B44F3DA" w14:textId="77777777" w:rsidR="00AA7113" w:rsidRPr="00AF1CF8" w:rsidRDefault="00AA7113" w:rsidP="00AA7113">
      <w:pPr>
        <w:pStyle w:val="BodyText"/>
        <w:rPr>
          <w:b/>
          <w:color w:val="231F20"/>
          <w:szCs w:val="22"/>
        </w:rPr>
      </w:pPr>
    </w:p>
    <w:p w14:paraId="6F4BA299" w14:textId="77777777" w:rsidR="00AA7113" w:rsidRPr="00AF1CF8" w:rsidRDefault="00AA7113" w:rsidP="00AA7113">
      <w:pPr>
        <w:pStyle w:val="BodyText"/>
        <w:rPr>
          <w:szCs w:val="22"/>
        </w:rPr>
      </w:pPr>
      <w:r w:rsidRPr="00AF1CF8">
        <w:rPr>
          <w:b/>
          <w:color w:val="231F20"/>
          <w:szCs w:val="22"/>
        </w:rPr>
        <w:t>Problems to be Addressed: Academic Programs—</w:t>
      </w:r>
      <w:r w:rsidRPr="00AF1CF8">
        <w:rPr>
          <w:color w:val="231F20"/>
          <w:szCs w:val="22"/>
        </w:rPr>
        <w:t xml:space="preserve">declining retention and low graduation rates; inequity in degree attainment for Hispanic students; high percentages of underprepared students with extensive learning support needs; many first-generation and students from areas of high poverty; too many students not successfully completing coursework; inadequate advising; and not meeting student or faculty demand for academic tutoring and supplemental instruction. </w:t>
      </w:r>
      <w:r w:rsidRPr="00AF1CF8">
        <w:rPr>
          <w:b/>
          <w:color w:val="231F20"/>
          <w:szCs w:val="22"/>
        </w:rPr>
        <w:t>Institutional Management—</w:t>
      </w:r>
      <w:r w:rsidRPr="00AF1CF8">
        <w:rPr>
          <w:color w:val="231F20"/>
          <w:szCs w:val="22"/>
        </w:rPr>
        <w:t xml:space="preserve">chronic classroom usage and scheduling challenges and limited capacity to offer writing support. </w:t>
      </w:r>
      <w:r w:rsidRPr="00AF1CF8">
        <w:rPr>
          <w:b/>
          <w:color w:val="231F20"/>
          <w:szCs w:val="22"/>
        </w:rPr>
        <w:t>Fiscal Stability—</w:t>
      </w:r>
      <w:r w:rsidRPr="00AF1CF8">
        <w:rPr>
          <w:color w:val="231F20"/>
          <w:szCs w:val="22"/>
        </w:rPr>
        <w:t>high dependence on tuition revenue.</w:t>
      </w:r>
    </w:p>
    <w:p w14:paraId="43A9AE75" w14:textId="77777777" w:rsidR="00AA7113" w:rsidRPr="00AF1CF8" w:rsidRDefault="00AA7113" w:rsidP="00AA7113">
      <w:pPr>
        <w:pStyle w:val="BodyText"/>
        <w:rPr>
          <w:b/>
          <w:color w:val="231F20"/>
          <w:szCs w:val="22"/>
        </w:rPr>
      </w:pPr>
    </w:p>
    <w:p w14:paraId="5F96A77A" w14:textId="77777777" w:rsidR="00AA7113" w:rsidRPr="00AF1CF8" w:rsidRDefault="00AA7113" w:rsidP="00AA7113">
      <w:pPr>
        <w:pStyle w:val="BodyText"/>
        <w:rPr>
          <w:b/>
          <w:szCs w:val="22"/>
        </w:rPr>
      </w:pPr>
      <w:r w:rsidRPr="00AF1CF8">
        <w:rPr>
          <w:b/>
          <w:color w:val="231F20"/>
          <w:szCs w:val="22"/>
        </w:rPr>
        <w:t>Overall Goals: Goal 1—</w:t>
      </w:r>
      <w:r w:rsidRPr="00AF1CF8">
        <w:rPr>
          <w:color w:val="231F20"/>
          <w:szCs w:val="22"/>
        </w:rPr>
        <w:t xml:space="preserve">Foster success, promote exceptional educational experiences, and encourage persistence to graduation; </w:t>
      </w:r>
      <w:r w:rsidRPr="00AF1CF8">
        <w:rPr>
          <w:b/>
          <w:color w:val="231F20"/>
          <w:szCs w:val="22"/>
        </w:rPr>
        <w:t>Goal 2—</w:t>
      </w:r>
      <w:r w:rsidRPr="00AF1CF8">
        <w:rPr>
          <w:color w:val="231F20"/>
          <w:szCs w:val="22"/>
        </w:rPr>
        <w:t xml:space="preserve">Seek and steward technology resources; </w:t>
      </w:r>
      <w:r w:rsidRPr="00AF1CF8">
        <w:rPr>
          <w:b/>
          <w:color w:val="231F20"/>
          <w:szCs w:val="22"/>
        </w:rPr>
        <w:t xml:space="preserve">Goal 3— </w:t>
      </w:r>
      <w:r w:rsidRPr="00AF1CF8">
        <w:rPr>
          <w:color w:val="231F20"/>
          <w:szCs w:val="22"/>
        </w:rPr>
        <w:t>Maintain solid foundation of institutional financial management</w:t>
      </w:r>
      <w:r w:rsidRPr="00AF1CF8">
        <w:rPr>
          <w:b/>
          <w:color w:val="231F20"/>
          <w:szCs w:val="22"/>
        </w:rPr>
        <w:t>.</w:t>
      </w:r>
    </w:p>
    <w:p w14:paraId="31A3DF85" w14:textId="77777777" w:rsidR="00AA7113" w:rsidRPr="00AF1CF8" w:rsidRDefault="00AA7113" w:rsidP="00AA7113">
      <w:pPr>
        <w:pStyle w:val="BodyText"/>
        <w:rPr>
          <w:b/>
          <w:color w:val="231F20"/>
          <w:szCs w:val="22"/>
        </w:rPr>
      </w:pPr>
    </w:p>
    <w:p w14:paraId="76C2AFE1" w14:textId="77777777" w:rsidR="00AA7113" w:rsidRPr="00AF1CF8" w:rsidRDefault="00AA7113" w:rsidP="00AA7113">
      <w:pPr>
        <w:pStyle w:val="BodyText"/>
        <w:rPr>
          <w:szCs w:val="22"/>
        </w:rPr>
      </w:pPr>
      <w:r w:rsidRPr="00AF1CF8">
        <w:rPr>
          <w:b/>
          <w:color w:val="231F20"/>
          <w:szCs w:val="22"/>
        </w:rPr>
        <w:t>Outcomes: Academic Programs</w:t>
      </w:r>
      <w:r w:rsidRPr="00AF1CF8">
        <w:rPr>
          <w:color w:val="231F20"/>
          <w:szCs w:val="22"/>
        </w:rPr>
        <w:t>—increased percentages of students who successfully</w:t>
      </w:r>
      <w:r w:rsidRPr="00AF1CF8">
        <w:rPr>
          <w:color w:val="231F20"/>
          <w:spacing w:val="-42"/>
          <w:szCs w:val="22"/>
        </w:rPr>
        <w:t xml:space="preserve"> </w:t>
      </w:r>
      <w:r w:rsidRPr="00AF1CF8">
        <w:rPr>
          <w:color w:val="231F20"/>
          <w:szCs w:val="22"/>
        </w:rPr>
        <w:t xml:space="preserve">complete coursework (Obj. 1); increased fall-to-fall retention (Obj. 2); increased percentage of degree awarded to Hispanic students (Obj. 3); increased six-year graduation rates (Obj. 4); and increased student satisfaction with advising (Obj. 5). </w:t>
      </w:r>
      <w:r w:rsidRPr="00AF1CF8">
        <w:rPr>
          <w:b/>
          <w:color w:val="231F20"/>
          <w:szCs w:val="22"/>
        </w:rPr>
        <w:t>Institutional Management</w:t>
      </w:r>
      <w:r w:rsidRPr="00AF1CF8">
        <w:rPr>
          <w:color w:val="231F20"/>
          <w:szCs w:val="22"/>
        </w:rPr>
        <w:t xml:space="preserve">—increased satisfaction with technology and software improvements (Obj. 6). </w:t>
      </w:r>
      <w:r w:rsidRPr="00AF1CF8">
        <w:rPr>
          <w:b/>
          <w:color w:val="231F20"/>
          <w:szCs w:val="22"/>
        </w:rPr>
        <w:t>Fiscal Stability</w:t>
      </w:r>
      <w:r w:rsidRPr="00AF1CF8">
        <w:rPr>
          <w:color w:val="231F20"/>
          <w:szCs w:val="22"/>
        </w:rPr>
        <w:t>—increased endowment (Obj.</w:t>
      </w:r>
      <w:r w:rsidRPr="00AF1CF8">
        <w:rPr>
          <w:color w:val="231F20"/>
          <w:spacing w:val="-3"/>
          <w:szCs w:val="22"/>
        </w:rPr>
        <w:t xml:space="preserve"> </w:t>
      </w:r>
      <w:r w:rsidRPr="00AF1CF8">
        <w:rPr>
          <w:color w:val="231F20"/>
          <w:szCs w:val="22"/>
        </w:rPr>
        <w:t>7).</w:t>
      </w:r>
    </w:p>
    <w:p w14:paraId="25E23E48" w14:textId="77777777" w:rsidR="00AA7113" w:rsidRPr="00AF1CF8" w:rsidRDefault="00AA7113" w:rsidP="00AA7113">
      <w:pPr>
        <w:pStyle w:val="BodyText"/>
        <w:rPr>
          <w:b/>
          <w:color w:val="231F20"/>
          <w:szCs w:val="22"/>
        </w:rPr>
      </w:pPr>
    </w:p>
    <w:p w14:paraId="737C073A" w14:textId="77777777" w:rsidR="00AA7113" w:rsidRPr="00AF1CF8" w:rsidRDefault="00AA7113" w:rsidP="00AA7113">
      <w:pPr>
        <w:pStyle w:val="BodyText"/>
        <w:rPr>
          <w:szCs w:val="22"/>
        </w:rPr>
      </w:pPr>
      <w:r w:rsidRPr="00AF1CF8">
        <w:rPr>
          <w:b/>
          <w:color w:val="231F20"/>
          <w:szCs w:val="22"/>
        </w:rPr>
        <w:t xml:space="preserve">Implementation Strategies: </w:t>
      </w:r>
      <w:r w:rsidRPr="00AF1CF8">
        <w:rPr>
          <w:color w:val="231F20"/>
          <w:szCs w:val="22"/>
        </w:rPr>
        <w:t>(1) Establish a Comprehensive Advising Program; (2) Expand Tutoring and Supplemental Instruction Programs; and (3) Improve Technology Resources for More Efficient Advising and Student Support.</w:t>
      </w:r>
    </w:p>
    <w:p w14:paraId="782E2950" w14:textId="77777777" w:rsidR="00AA7113" w:rsidRPr="00AF1CF8" w:rsidRDefault="00AA7113" w:rsidP="00AA7113">
      <w:pPr>
        <w:rPr>
          <w:b/>
          <w:color w:val="231F20"/>
        </w:rPr>
      </w:pPr>
    </w:p>
    <w:p w14:paraId="1DF3DBF9" w14:textId="77777777" w:rsidR="00AA7113" w:rsidRPr="00AF1CF8" w:rsidRDefault="00AA7113" w:rsidP="00AA7113">
      <w:r w:rsidRPr="00AF1CF8">
        <w:rPr>
          <w:b/>
          <w:color w:val="231F20"/>
        </w:rPr>
        <w:t>Competitive Preference Priority</w:t>
      </w:r>
      <w:r w:rsidRPr="00AF1CF8">
        <w:rPr>
          <w:color w:val="231F20"/>
        </w:rPr>
        <w:t>: The project addresses CPP 2.</w:t>
      </w:r>
    </w:p>
    <w:p w14:paraId="2F4AA751" w14:textId="77777777" w:rsidR="00AA7113" w:rsidRPr="00AF1CF8" w:rsidRDefault="00AA7113" w:rsidP="00AA7113">
      <w:pPr>
        <w:rPr>
          <w:b/>
          <w:color w:val="231F20"/>
        </w:rPr>
      </w:pPr>
    </w:p>
    <w:p w14:paraId="5E018951" w14:textId="77777777" w:rsidR="00AA7113" w:rsidRPr="00AF1CF8" w:rsidRDefault="00AA7113" w:rsidP="00AA7113">
      <w:pPr>
        <w:rPr>
          <w:color w:val="231F20"/>
        </w:rPr>
      </w:pPr>
      <w:r w:rsidRPr="00AF1CF8">
        <w:rPr>
          <w:b/>
          <w:color w:val="231F20"/>
        </w:rPr>
        <w:t xml:space="preserve">Funds Requested: </w:t>
      </w:r>
      <w:r w:rsidRPr="00AF1CF8">
        <w:rPr>
          <w:color w:val="231F20"/>
        </w:rPr>
        <w:t>$2,131,499</w:t>
      </w:r>
    </w:p>
    <w:p w14:paraId="7BFDDFC9" w14:textId="77777777" w:rsidR="00AA7113" w:rsidRPr="00AF1CF8" w:rsidRDefault="00AA7113" w:rsidP="00AA7113"/>
    <w:p w14:paraId="3E2F4F57" w14:textId="22A81233" w:rsidR="00AA7113" w:rsidRPr="00AF1CF8" w:rsidRDefault="00AA7113"/>
    <w:p w14:paraId="24CEFB55" w14:textId="338CA653" w:rsidR="00B963ED" w:rsidRPr="00AF1CF8" w:rsidRDefault="00B963ED"/>
    <w:p w14:paraId="1DA0D6B2" w14:textId="58716028" w:rsidR="00B963ED" w:rsidRPr="00AF1CF8" w:rsidRDefault="00B963ED" w:rsidP="00634CAD">
      <w:pPr>
        <w:pStyle w:val="Heading1"/>
      </w:pPr>
      <w:r w:rsidRPr="00AF1CF8">
        <w:t>P031S190311</w:t>
      </w:r>
      <w:r w:rsidR="003C2C31" w:rsidRPr="00AF1CF8">
        <w:t xml:space="preserve"> </w:t>
      </w:r>
      <w:r w:rsidR="003C2C31" w:rsidRPr="00AF1CF8">
        <w:br/>
        <w:t>Saint Xavier University, IL</w:t>
      </w:r>
    </w:p>
    <w:p w14:paraId="7CEE90D9" w14:textId="77777777" w:rsidR="0094111B" w:rsidRPr="00AF1CF8" w:rsidRDefault="0094111B" w:rsidP="0094111B"/>
    <w:p w14:paraId="538E424E" w14:textId="77777777" w:rsidR="00B963ED" w:rsidRPr="00AF1CF8" w:rsidRDefault="00B963ED" w:rsidP="00B963ED">
      <w:pPr>
        <w:pStyle w:val="BodyText"/>
        <w:rPr>
          <w:szCs w:val="22"/>
        </w:rPr>
      </w:pPr>
      <w:bookmarkStart w:id="17" w:name="24-DHSI0311APP"/>
      <w:bookmarkEnd w:id="17"/>
      <w:r w:rsidRPr="00AF1CF8">
        <w:rPr>
          <w:color w:val="010202"/>
          <w:szCs w:val="22"/>
        </w:rPr>
        <w:t xml:space="preserve">Founded by the Sisters of Mercy in 1846, </w:t>
      </w:r>
      <w:r w:rsidRPr="00AF1CF8">
        <w:rPr>
          <w:b/>
          <w:color w:val="010202"/>
          <w:szCs w:val="22"/>
        </w:rPr>
        <w:t xml:space="preserve">Saint Xavier University </w:t>
      </w:r>
      <w:r w:rsidRPr="00AF1CF8">
        <w:rPr>
          <w:color w:val="010202"/>
          <w:szCs w:val="22"/>
        </w:rPr>
        <w:t xml:space="preserve">(SXU) is a four-year, private Hispanic Serving Institution on Chicago’s south side that educates students to search for truth, think critically, communicate effectively, and serve wisely and compassionately in support of human dignity and the common good. This core mission, originally in service of women and the poor, has expanded to serve one of the most diverse student populations in Illinois. The proposed Title V DHSI Project – </w:t>
      </w:r>
      <w:r w:rsidRPr="00AF1CF8">
        <w:rPr>
          <w:b/>
          <w:color w:val="010202"/>
          <w:szCs w:val="22"/>
        </w:rPr>
        <w:t xml:space="preserve">Comprehensive, Aligned Supports for Attainment (CASA) </w:t>
      </w:r>
      <w:r w:rsidRPr="00AF1CF8">
        <w:rPr>
          <w:color w:val="010202"/>
          <w:szCs w:val="22"/>
        </w:rPr>
        <w:t>– will strengthen SXU’s capacity to enhance educational outcomes by eliminating equity gaps and increasing retention and graduation rates for Hispanic, low-income, and other historically underserved students.</w:t>
      </w:r>
    </w:p>
    <w:p w14:paraId="13929E8E" w14:textId="77777777" w:rsidR="00B963ED" w:rsidRPr="00AF1CF8" w:rsidRDefault="00B963ED" w:rsidP="00B963ED">
      <w:pPr>
        <w:pStyle w:val="BodyText"/>
        <w:rPr>
          <w:color w:val="010202"/>
          <w:szCs w:val="22"/>
        </w:rPr>
      </w:pPr>
    </w:p>
    <w:p w14:paraId="7AD96D7F" w14:textId="77777777" w:rsidR="00B963ED" w:rsidRPr="00AF1CF8" w:rsidRDefault="00B963ED" w:rsidP="00B963ED">
      <w:pPr>
        <w:pStyle w:val="BodyText"/>
        <w:rPr>
          <w:szCs w:val="22"/>
        </w:rPr>
      </w:pPr>
      <w:r w:rsidRPr="00AF1CF8">
        <w:rPr>
          <w:color w:val="010202"/>
          <w:szCs w:val="22"/>
        </w:rPr>
        <w:t>The CASA project will enhance student academic achievement by:</w:t>
      </w:r>
    </w:p>
    <w:p w14:paraId="024A9F05" w14:textId="77777777" w:rsidR="00B963ED" w:rsidRPr="00AF1CF8" w:rsidRDefault="00B963ED" w:rsidP="00B963ED">
      <w:pPr>
        <w:pStyle w:val="ListParagraph"/>
        <w:numPr>
          <w:ilvl w:val="0"/>
          <w:numId w:val="45"/>
        </w:numPr>
        <w:tabs>
          <w:tab w:val="left" w:pos="1241"/>
        </w:tabs>
        <w:spacing w:after="120"/>
      </w:pPr>
      <w:r w:rsidRPr="00AF1CF8">
        <w:rPr>
          <w:color w:val="010202"/>
        </w:rPr>
        <w:t xml:space="preserve">Creating a comprehensive summer </w:t>
      </w:r>
      <w:r w:rsidRPr="00AF1CF8">
        <w:rPr>
          <w:b/>
          <w:color w:val="010202"/>
        </w:rPr>
        <w:t>Student Success Academy</w:t>
      </w:r>
      <w:r w:rsidRPr="00AF1CF8">
        <w:rPr>
          <w:color w:val="010202"/>
        </w:rPr>
        <w:t>, with cohorts spanning the course of students’ first academic year;</w:t>
      </w:r>
    </w:p>
    <w:p w14:paraId="03C33C4A" w14:textId="77777777" w:rsidR="00B963ED" w:rsidRPr="00AF1CF8" w:rsidRDefault="00B963ED" w:rsidP="00B963ED">
      <w:pPr>
        <w:pStyle w:val="ListParagraph"/>
        <w:numPr>
          <w:ilvl w:val="0"/>
          <w:numId w:val="45"/>
        </w:numPr>
        <w:tabs>
          <w:tab w:val="left" w:pos="1199"/>
        </w:tabs>
        <w:spacing w:after="120"/>
      </w:pPr>
      <w:r w:rsidRPr="00AF1CF8">
        <w:rPr>
          <w:color w:val="010202"/>
        </w:rPr>
        <w:t>Increasing</w:t>
      </w:r>
      <w:r w:rsidRPr="00AF1CF8">
        <w:rPr>
          <w:color w:val="010202"/>
          <w:spacing w:val="-9"/>
        </w:rPr>
        <w:t xml:space="preserve"> </w:t>
      </w:r>
      <w:r w:rsidRPr="00AF1CF8">
        <w:rPr>
          <w:color w:val="010202"/>
        </w:rPr>
        <w:t>the</w:t>
      </w:r>
      <w:r w:rsidRPr="00AF1CF8">
        <w:rPr>
          <w:color w:val="010202"/>
          <w:spacing w:val="-8"/>
        </w:rPr>
        <w:t xml:space="preserve"> </w:t>
      </w:r>
      <w:r w:rsidRPr="00AF1CF8">
        <w:rPr>
          <w:color w:val="010202"/>
        </w:rPr>
        <w:t>capacity</w:t>
      </w:r>
      <w:r w:rsidRPr="00AF1CF8">
        <w:rPr>
          <w:color w:val="010202"/>
          <w:spacing w:val="-9"/>
        </w:rPr>
        <w:t xml:space="preserve"> </w:t>
      </w:r>
      <w:r w:rsidRPr="00AF1CF8">
        <w:rPr>
          <w:color w:val="010202"/>
        </w:rPr>
        <w:t>of</w:t>
      </w:r>
      <w:r w:rsidRPr="00AF1CF8">
        <w:rPr>
          <w:color w:val="010202"/>
          <w:spacing w:val="-7"/>
        </w:rPr>
        <w:t xml:space="preserve"> </w:t>
      </w:r>
      <w:r w:rsidRPr="00AF1CF8">
        <w:rPr>
          <w:color w:val="010202"/>
        </w:rPr>
        <w:t>SXU’s</w:t>
      </w:r>
      <w:r w:rsidRPr="00AF1CF8">
        <w:rPr>
          <w:color w:val="010202"/>
          <w:spacing w:val="-8"/>
        </w:rPr>
        <w:t xml:space="preserve"> </w:t>
      </w:r>
      <w:r w:rsidRPr="00AF1CF8">
        <w:rPr>
          <w:b/>
          <w:color w:val="010202"/>
        </w:rPr>
        <w:t>Learning</w:t>
      </w:r>
      <w:r w:rsidRPr="00AF1CF8">
        <w:rPr>
          <w:b/>
          <w:color w:val="010202"/>
          <w:spacing w:val="-6"/>
        </w:rPr>
        <w:t xml:space="preserve"> </w:t>
      </w:r>
      <w:r w:rsidRPr="00AF1CF8">
        <w:rPr>
          <w:b/>
          <w:color w:val="010202"/>
        </w:rPr>
        <w:t>Center</w:t>
      </w:r>
      <w:r w:rsidRPr="00AF1CF8">
        <w:rPr>
          <w:b/>
          <w:color w:val="010202"/>
          <w:spacing w:val="-8"/>
        </w:rPr>
        <w:t xml:space="preserve"> </w:t>
      </w:r>
      <w:r w:rsidRPr="00AF1CF8">
        <w:rPr>
          <w:color w:val="010202"/>
        </w:rPr>
        <w:t>through</w:t>
      </w:r>
      <w:r w:rsidRPr="00AF1CF8">
        <w:rPr>
          <w:color w:val="010202"/>
          <w:spacing w:val="-7"/>
        </w:rPr>
        <w:t xml:space="preserve"> </w:t>
      </w:r>
      <w:r w:rsidRPr="00AF1CF8">
        <w:rPr>
          <w:color w:val="010202"/>
        </w:rPr>
        <w:t>the</w:t>
      </w:r>
      <w:r w:rsidRPr="00AF1CF8">
        <w:rPr>
          <w:color w:val="010202"/>
          <w:spacing w:val="-7"/>
        </w:rPr>
        <w:t xml:space="preserve"> </w:t>
      </w:r>
      <w:r w:rsidRPr="00AF1CF8">
        <w:rPr>
          <w:color w:val="010202"/>
        </w:rPr>
        <w:t>addition</w:t>
      </w:r>
      <w:r w:rsidRPr="00AF1CF8">
        <w:rPr>
          <w:color w:val="010202"/>
          <w:spacing w:val="-8"/>
        </w:rPr>
        <w:t xml:space="preserve"> </w:t>
      </w:r>
      <w:r w:rsidRPr="00AF1CF8">
        <w:rPr>
          <w:color w:val="010202"/>
        </w:rPr>
        <w:t>of</w:t>
      </w:r>
      <w:r w:rsidRPr="00AF1CF8">
        <w:rPr>
          <w:color w:val="010202"/>
          <w:spacing w:val="-7"/>
        </w:rPr>
        <w:t xml:space="preserve"> </w:t>
      </w:r>
      <w:r w:rsidRPr="00AF1CF8">
        <w:rPr>
          <w:color w:val="010202"/>
        </w:rPr>
        <w:t>high-touch</w:t>
      </w:r>
      <w:r w:rsidRPr="00AF1CF8">
        <w:rPr>
          <w:color w:val="010202"/>
          <w:spacing w:val="-7"/>
        </w:rPr>
        <w:t xml:space="preserve"> </w:t>
      </w:r>
      <w:r w:rsidRPr="00AF1CF8">
        <w:rPr>
          <w:color w:val="010202"/>
        </w:rPr>
        <w:t>tutoring specialists and student Learning</w:t>
      </w:r>
      <w:r w:rsidRPr="00AF1CF8">
        <w:rPr>
          <w:color w:val="010202"/>
          <w:spacing w:val="-5"/>
        </w:rPr>
        <w:t xml:space="preserve"> </w:t>
      </w:r>
      <w:r w:rsidRPr="00AF1CF8">
        <w:rPr>
          <w:color w:val="010202"/>
        </w:rPr>
        <w:t>Assistants;</w:t>
      </w:r>
    </w:p>
    <w:p w14:paraId="73ECA292" w14:textId="77777777" w:rsidR="00B963ED" w:rsidRPr="00AF1CF8" w:rsidRDefault="00B963ED" w:rsidP="00B963ED">
      <w:pPr>
        <w:pStyle w:val="ListParagraph"/>
        <w:numPr>
          <w:ilvl w:val="0"/>
          <w:numId w:val="45"/>
        </w:numPr>
        <w:tabs>
          <w:tab w:val="left" w:pos="1214"/>
        </w:tabs>
        <w:spacing w:after="120"/>
      </w:pPr>
      <w:r w:rsidRPr="00AF1CF8">
        <w:rPr>
          <w:color w:val="010202"/>
        </w:rPr>
        <w:t xml:space="preserve">Establishing a robust </w:t>
      </w:r>
      <w:r w:rsidRPr="00AF1CF8">
        <w:rPr>
          <w:b/>
          <w:color w:val="010202"/>
        </w:rPr>
        <w:t xml:space="preserve">Sophomore Engagement </w:t>
      </w:r>
      <w:r w:rsidRPr="00AF1CF8">
        <w:rPr>
          <w:color w:val="010202"/>
        </w:rPr>
        <w:t>initiative focused on service and experiential learning;</w:t>
      </w:r>
    </w:p>
    <w:p w14:paraId="5825BB02" w14:textId="77777777" w:rsidR="00B963ED" w:rsidRPr="00AF1CF8" w:rsidRDefault="00B963ED" w:rsidP="00B963ED">
      <w:pPr>
        <w:pStyle w:val="ListParagraph"/>
        <w:numPr>
          <w:ilvl w:val="0"/>
          <w:numId w:val="45"/>
        </w:numPr>
        <w:tabs>
          <w:tab w:val="left" w:pos="1233"/>
        </w:tabs>
        <w:spacing w:after="120"/>
      </w:pPr>
      <w:r w:rsidRPr="00AF1CF8">
        <w:rPr>
          <w:color w:val="010202"/>
        </w:rPr>
        <w:t xml:space="preserve">Creating a </w:t>
      </w:r>
      <w:r w:rsidRPr="00AF1CF8">
        <w:rPr>
          <w:b/>
          <w:color w:val="010202"/>
        </w:rPr>
        <w:t xml:space="preserve">Personal and Career Development program </w:t>
      </w:r>
      <w:r w:rsidRPr="00AF1CF8">
        <w:rPr>
          <w:color w:val="010202"/>
        </w:rPr>
        <w:t>offering courses and advising in practical and career-oriented</w:t>
      </w:r>
      <w:r w:rsidRPr="00AF1CF8">
        <w:rPr>
          <w:color w:val="010202"/>
          <w:spacing w:val="1"/>
        </w:rPr>
        <w:t xml:space="preserve"> </w:t>
      </w:r>
      <w:r w:rsidRPr="00AF1CF8">
        <w:rPr>
          <w:color w:val="010202"/>
        </w:rPr>
        <w:t>skills;</w:t>
      </w:r>
    </w:p>
    <w:p w14:paraId="3A840FB9" w14:textId="77777777" w:rsidR="00B963ED" w:rsidRPr="00AF1CF8" w:rsidRDefault="00B963ED" w:rsidP="00B963ED">
      <w:pPr>
        <w:pStyle w:val="ListParagraph"/>
        <w:numPr>
          <w:ilvl w:val="0"/>
          <w:numId w:val="45"/>
        </w:numPr>
        <w:tabs>
          <w:tab w:val="left" w:pos="1190"/>
        </w:tabs>
        <w:spacing w:after="120"/>
      </w:pPr>
      <w:r w:rsidRPr="00AF1CF8">
        <w:rPr>
          <w:color w:val="010202"/>
        </w:rPr>
        <w:t>Developing</w:t>
      </w:r>
      <w:r w:rsidRPr="00AF1CF8">
        <w:rPr>
          <w:color w:val="010202"/>
          <w:spacing w:val="-16"/>
        </w:rPr>
        <w:t xml:space="preserve"> </w:t>
      </w:r>
      <w:r w:rsidRPr="00AF1CF8">
        <w:rPr>
          <w:color w:val="010202"/>
        </w:rPr>
        <w:t>a</w:t>
      </w:r>
      <w:r w:rsidRPr="00AF1CF8">
        <w:rPr>
          <w:color w:val="010202"/>
          <w:spacing w:val="-13"/>
        </w:rPr>
        <w:t xml:space="preserve"> </w:t>
      </w:r>
      <w:r w:rsidRPr="00AF1CF8">
        <w:rPr>
          <w:color w:val="010202"/>
        </w:rPr>
        <w:t>continuous</w:t>
      </w:r>
      <w:r w:rsidRPr="00AF1CF8">
        <w:rPr>
          <w:color w:val="010202"/>
          <w:spacing w:val="-13"/>
        </w:rPr>
        <w:t xml:space="preserve"> </w:t>
      </w:r>
      <w:r w:rsidRPr="00AF1CF8">
        <w:rPr>
          <w:color w:val="010202"/>
        </w:rPr>
        <w:t>network</w:t>
      </w:r>
      <w:r w:rsidRPr="00AF1CF8">
        <w:rPr>
          <w:color w:val="010202"/>
          <w:spacing w:val="-13"/>
        </w:rPr>
        <w:t xml:space="preserve"> </w:t>
      </w:r>
      <w:r w:rsidRPr="00AF1CF8">
        <w:rPr>
          <w:color w:val="010202"/>
        </w:rPr>
        <w:t>of</w:t>
      </w:r>
      <w:r w:rsidRPr="00AF1CF8">
        <w:rPr>
          <w:color w:val="010202"/>
          <w:spacing w:val="-13"/>
        </w:rPr>
        <w:t xml:space="preserve"> </w:t>
      </w:r>
      <w:r w:rsidRPr="00AF1CF8">
        <w:rPr>
          <w:b/>
          <w:color w:val="010202"/>
        </w:rPr>
        <w:t>high</w:t>
      </w:r>
      <w:r w:rsidRPr="00AF1CF8">
        <w:rPr>
          <w:b/>
          <w:color w:val="010202"/>
          <w:spacing w:val="-13"/>
        </w:rPr>
        <w:t xml:space="preserve"> </w:t>
      </w:r>
      <w:r w:rsidRPr="00AF1CF8">
        <w:rPr>
          <w:b/>
          <w:color w:val="010202"/>
        </w:rPr>
        <w:t>impact</w:t>
      </w:r>
      <w:r w:rsidRPr="00AF1CF8">
        <w:rPr>
          <w:b/>
          <w:color w:val="010202"/>
          <w:spacing w:val="-14"/>
        </w:rPr>
        <w:t xml:space="preserve"> </w:t>
      </w:r>
      <w:r w:rsidRPr="00AF1CF8">
        <w:rPr>
          <w:b/>
          <w:color w:val="010202"/>
        </w:rPr>
        <w:t>practices</w:t>
      </w:r>
      <w:r w:rsidRPr="00AF1CF8">
        <w:rPr>
          <w:b/>
          <w:color w:val="010202"/>
          <w:spacing w:val="-13"/>
        </w:rPr>
        <w:t xml:space="preserve"> </w:t>
      </w:r>
      <w:r w:rsidRPr="00AF1CF8">
        <w:rPr>
          <w:color w:val="010202"/>
        </w:rPr>
        <w:t>through</w:t>
      </w:r>
      <w:r w:rsidRPr="00AF1CF8">
        <w:rPr>
          <w:color w:val="010202"/>
          <w:spacing w:val="-13"/>
        </w:rPr>
        <w:t xml:space="preserve"> </w:t>
      </w:r>
      <w:r w:rsidRPr="00AF1CF8">
        <w:rPr>
          <w:color w:val="010202"/>
        </w:rPr>
        <w:t>the</w:t>
      </w:r>
      <w:r w:rsidRPr="00AF1CF8" w:rsidDel="00E250CF">
        <w:rPr>
          <w:color w:val="010202"/>
          <w:spacing w:val="-14"/>
        </w:rPr>
        <w:t xml:space="preserve"> </w:t>
      </w:r>
      <w:r w:rsidRPr="00AF1CF8">
        <w:rPr>
          <w:color w:val="010202"/>
        </w:rPr>
        <w:t>hiring</w:t>
      </w:r>
      <w:r w:rsidRPr="00AF1CF8">
        <w:rPr>
          <w:color w:val="010202"/>
          <w:spacing w:val="-15"/>
        </w:rPr>
        <w:t xml:space="preserve"> </w:t>
      </w:r>
      <w:r w:rsidRPr="00AF1CF8">
        <w:rPr>
          <w:color w:val="010202"/>
        </w:rPr>
        <w:t>of</w:t>
      </w:r>
      <w:r w:rsidRPr="00AF1CF8">
        <w:rPr>
          <w:color w:val="010202"/>
          <w:spacing w:val="-13"/>
        </w:rPr>
        <w:t xml:space="preserve"> </w:t>
      </w:r>
      <w:r w:rsidRPr="00AF1CF8">
        <w:rPr>
          <w:color w:val="010202"/>
        </w:rPr>
        <w:t>a</w:t>
      </w:r>
      <w:r w:rsidRPr="00AF1CF8">
        <w:rPr>
          <w:color w:val="010202"/>
          <w:spacing w:val="-13"/>
        </w:rPr>
        <w:t xml:space="preserve"> </w:t>
      </w:r>
      <w:r w:rsidRPr="00AF1CF8">
        <w:rPr>
          <w:color w:val="010202"/>
        </w:rPr>
        <w:t>High</w:t>
      </w:r>
      <w:r w:rsidRPr="00AF1CF8">
        <w:rPr>
          <w:color w:val="010202"/>
          <w:spacing w:val="-12"/>
        </w:rPr>
        <w:t xml:space="preserve"> </w:t>
      </w:r>
      <w:r w:rsidRPr="00AF1CF8">
        <w:rPr>
          <w:color w:val="010202"/>
        </w:rPr>
        <w:t>Impact Practice Specialist;</w:t>
      </w:r>
      <w:r w:rsidRPr="00AF1CF8">
        <w:rPr>
          <w:color w:val="010202"/>
          <w:spacing w:val="-2"/>
        </w:rPr>
        <w:t xml:space="preserve"> </w:t>
      </w:r>
      <w:r w:rsidRPr="00AF1CF8">
        <w:rPr>
          <w:color w:val="010202"/>
        </w:rPr>
        <w:t>and;</w:t>
      </w:r>
    </w:p>
    <w:p w14:paraId="775BF76F" w14:textId="77777777" w:rsidR="00B963ED" w:rsidRPr="00AF1CF8" w:rsidRDefault="00B963ED" w:rsidP="00B963ED">
      <w:pPr>
        <w:pStyle w:val="ListParagraph"/>
        <w:numPr>
          <w:ilvl w:val="0"/>
          <w:numId w:val="45"/>
        </w:numPr>
        <w:tabs>
          <w:tab w:val="left" w:pos="1197"/>
        </w:tabs>
        <w:spacing w:after="120"/>
      </w:pPr>
      <w:r w:rsidRPr="00AF1CF8">
        <w:rPr>
          <w:color w:val="010202"/>
        </w:rPr>
        <w:t>Integrating</w:t>
      </w:r>
      <w:r w:rsidRPr="00AF1CF8">
        <w:rPr>
          <w:color w:val="010202"/>
          <w:spacing w:val="-8"/>
        </w:rPr>
        <w:t xml:space="preserve"> </w:t>
      </w:r>
      <w:r w:rsidRPr="00AF1CF8">
        <w:rPr>
          <w:color w:val="010202"/>
        </w:rPr>
        <w:t>frequent</w:t>
      </w:r>
      <w:r w:rsidRPr="00AF1CF8">
        <w:rPr>
          <w:color w:val="010202"/>
          <w:spacing w:val="-9"/>
        </w:rPr>
        <w:t xml:space="preserve"> </w:t>
      </w:r>
      <w:r w:rsidRPr="00AF1CF8">
        <w:rPr>
          <w:b/>
          <w:color w:val="010202"/>
        </w:rPr>
        <w:t>professional</w:t>
      </w:r>
      <w:r w:rsidRPr="00AF1CF8">
        <w:rPr>
          <w:b/>
          <w:color w:val="010202"/>
          <w:spacing w:val="-7"/>
        </w:rPr>
        <w:t xml:space="preserve"> </w:t>
      </w:r>
      <w:r w:rsidRPr="00AF1CF8">
        <w:rPr>
          <w:b/>
          <w:color w:val="010202"/>
        </w:rPr>
        <w:t>development</w:t>
      </w:r>
      <w:r w:rsidRPr="00AF1CF8">
        <w:rPr>
          <w:b/>
          <w:color w:val="010202"/>
          <w:spacing w:val="-9"/>
        </w:rPr>
        <w:t xml:space="preserve"> </w:t>
      </w:r>
      <w:r w:rsidRPr="00AF1CF8">
        <w:rPr>
          <w:b/>
          <w:color w:val="010202"/>
        </w:rPr>
        <w:t>opportunities</w:t>
      </w:r>
      <w:r w:rsidRPr="00AF1CF8">
        <w:rPr>
          <w:b/>
          <w:color w:val="010202"/>
          <w:spacing w:val="-7"/>
        </w:rPr>
        <w:t xml:space="preserve"> </w:t>
      </w:r>
      <w:r w:rsidRPr="00AF1CF8">
        <w:rPr>
          <w:color w:val="010202"/>
        </w:rPr>
        <w:t>for</w:t>
      </w:r>
      <w:r w:rsidRPr="00AF1CF8">
        <w:rPr>
          <w:color w:val="010202"/>
          <w:spacing w:val="-6"/>
        </w:rPr>
        <w:t xml:space="preserve"> </w:t>
      </w:r>
      <w:r w:rsidRPr="00AF1CF8">
        <w:rPr>
          <w:color w:val="010202"/>
        </w:rPr>
        <w:t>faculty</w:t>
      </w:r>
      <w:r w:rsidRPr="00AF1CF8">
        <w:rPr>
          <w:color w:val="010202"/>
          <w:spacing w:val="-10"/>
        </w:rPr>
        <w:t xml:space="preserve"> </w:t>
      </w:r>
      <w:r w:rsidRPr="00AF1CF8">
        <w:rPr>
          <w:color w:val="010202"/>
        </w:rPr>
        <w:t>and</w:t>
      </w:r>
      <w:r w:rsidRPr="00AF1CF8">
        <w:rPr>
          <w:color w:val="010202"/>
          <w:spacing w:val="-9"/>
        </w:rPr>
        <w:t xml:space="preserve"> </w:t>
      </w:r>
      <w:r w:rsidRPr="00AF1CF8">
        <w:rPr>
          <w:color w:val="010202"/>
        </w:rPr>
        <w:t>staff</w:t>
      </w:r>
      <w:r w:rsidRPr="00AF1CF8">
        <w:rPr>
          <w:color w:val="010202"/>
          <w:spacing w:val="-8"/>
        </w:rPr>
        <w:t xml:space="preserve"> </w:t>
      </w:r>
      <w:r w:rsidRPr="00AF1CF8">
        <w:rPr>
          <w:color w:val="010202"/>
        </w:rPr>
        <w:t>centered</w:t>
      </w:r>
      <w:r w:rsidRPr="00AF1CF8">
        <w:rPr>
          <w:color w:val="010202"/>
          <w:spacing w:val="-9"/>
        </w:rPr>
        <w:t xml:space="preserve"> </w:t>
      </w:r>
      <w:r w:rsidRPr="00AF1CF8">
        <w:rPr>
          <w:color w:val="010202"/>
        </w:rPr>
        <w:t>on building cultural</w:t>
      </w:r>
      <w:r w:rsidRPr="00AF1CF8">
        <w:rPr>
          <w:color w:val="010202"/>
          <w:spacing w:val="-3"/>
        </w:rPr>
        <w:t xml:space="preserve"> </w:t>
      </w:r>
      <w:r w:rsidRPr="00AF1CF8">
        <w:rPr>
          <w:color w:val="010202"/>
        </w:rPr>
        <w:t>competency</w:t>
      </w:r>
    </w:p>
    <w:p w14:paraId="1E304541" w14:textId="77777777" w:rsidR="00B963ED" w:rsidRPr="00AF1CF8" w:rsidRDefault="00B963ED" w:rsidP="00B963ED">
      <w:pPr>
        <w:pStyle w:val="BodyText"/>
        <w:rPr>
          <w:color w:val="010202"/>
          <w:szCs w:val="22"/>
        </w:rPr>
      </w:pPr>
    </w:p>
    <w:p w14:paraId="3CDD7FB1" w14:textId="77777777" w:rsidR="00B963ED" w:rsidRPr="00AF1CF8" w:rsidRDefault="00B963ED" w:rsidP="00B963ED">
      <w:pPr>
        <w:pStyle w:val="BodyText"/>
        <w:rPr>
          <w:szCs w:val="22"/>
        </w:rPr>
      </w:pPr>
      <w:r w:rsidRPr="00AF1CF8">
        <w:rPr>
          <w:color w:val="010202"/>
          <w:szCs w:val="22"/>
        </w:rPr>
        <w:t>The project will achieve three measurable outcomes: (1) maximize student success through improved retention, progression, and completion; (2) create clear and integrated academic and career</w:t>
      </w:r>
      <w:r w:rsidRPr="00AF1CF8">
        <w:rPr>
          <w:color w:val="010202"/>
          <w:spacing w:val="-6"/>
          <w:szCs w:val="22"/>
        </w:rPr>
        <w:t xml:space="preserve"> </w:t>
      </w:r>
      <w:r w:rsidRPr="00AF1CF8">
        <w:rPr>
          <w:color w:val="010202"/>
          <w:szCs w:val="22"/>
        </w:rPr>
        <w:t>pathways</w:t>
      </w:r>
      <w:r w:rsidRPr="00AF1CF8">
        <w:rPr>
          <w:color w:val="010202"/>
          <w:spacing w:val="-6"/>
          <w:szCs w:val="22"/>
        </w:rPr>
        <w:t xml:space="preserve"> </w:t>
      </w:r>
      <w:r w:rsidRPr="00AF1CF8">
        <w:rPr>
          <w:color w:val="010202"/>
          <w:szCs w:val="22"/>
        </w:rPr>
        <w:t>for</w:t>
      </w:r>
      <w:r w:rsidRPr="00AF1CF8">
        <w:rPr>
          <w:color w:val="010202"/>
          <w:spacing w:val="-6"/>
          <w:szCs w:val="22"/>
        </w:rPr>
        <w:t xml:space="preserve"> </w:t>
      </w:r>
      <w:r w:rsidRPr="00AF1CF8">
        <w:rPr>
          <w:color w:val="010202"/>
          <w:szCs w:val="22"/>
        </w:rPr>
        <w:t>students</w:t>
      </w:r>
      <w:r w:rsidRPr="00AF1CF8">
        <w:rPr>
          <w:color w:val="010202"/>
          <w:spacing w:val="-6"/>
          <w:szCs w:val="22"/>
        </w:rPr>
        <w:t xml:space="preserve"> </w:t>
      </w:r>
      <w:r w:rsidRPr="00AF1CF8">
        <w:rPr>
          <w:color w:val="010202"/>
          <w:szCs w:val="22"/>
        </w:rPr>
        <w:t>to</w:t>
      </w:r>
      <w:r w:rsidRPr="00AF1CF8">
        <w:rPr>
          <w:color w:val="010202"/>
          <w:spacing w:val="-6"/>
          <w:szCs w:val="22"/>
        </w:rPr>
        <w:t xml:space="preserve"> </w:t>
      </w:r>
      <w:r w:rsidRPr="00AF1CF8">
        <w:rPr>
          <w:color w:val="010202"/>
          <w:szCs w:val="22"/>
        </w:rPr>
        <w:t>reach</w:t>
      </w:r>
      <w:r w:rsidRPr="00AF1CF8">
        <w:rPr>
          <w:color w:val="010202"/>
          <w:spacing w:val="-5"/>
          <w:szCs w:val="22"/>
        </w:rPr>
        <w:t xml:space="preserve"> </w:t>
      </w:r>
      <w:r w:rsidRPr="00AF1CF8">
        <w:rPr>
          <w:color w:val="010202"/>
          <w:szCs w:val="22"/>
        </w:rPr>
        <w:t>their</w:t>
      </w:r>
      <w:r w:rsidRPr="00AF1CF8">
        <w:rPr>
          <w:color w:val="010202"/>
          <w:spacing w:val="-6"/>
          <w:szCs w:val="22"/>
        </w:rPr>
        <w:t xml:space="preserve"> </w:t>
      </w:r>
      <w:r w:rsidRPr="00AF1CF8">
        <w:rPr>
          <w:color w:val="010202"/>
          <w:szCs w:val="22"/>
        </w:rPr>
        <w:t>educational</w:t>
      </w:r>
      <w:r w:rsidRPr="00AF1CF8">
        <w:rPr>
          <w:color w:val="010202"/>
          <w:spacing w:val="-5"/>
          <w:szCs w:val="22"/>
        </w:rPr>
        <w:t xml:space="preserve"> </w:t>
      </w:r>
      <w:r w:rsidRPr="00AF1CF8">
        <w:rPr>
          <w:color w:val="010202"/>
          <w:szCs w:val="22"/>
        </w:rPr>
        <w:t>and</w:t>
      </w:r>
      <w:r w:rsidRPr="00AF1CF8">
        <w:rPr>
          <w:color w:val="010202"/>
          <w:spacing w:val="-5"/>
          <w:szCs w:val="22"/>
        </w:rPr>
        <w:t xml:space="preserve"> </w:t>
      </w:r>
      <w:r w:rsidRPr="00AF1CF8">
        <w:rPr>
          <w:color w:val="010202"/>
          <w:szCs w:val="22"/>
        </w:rPr>
        <w:t>career</w:t>
      </w:r>
      <w:r w:rsidRPr="00AF1CF8">
        <w:rPr>
          <w:color w:val="010202"/>
          <w:spacing w:val="-4"/>
          <w:szCs w:val="22"/>
        </w:rPr>
        <w:t xml:space="preserve"> </w:t>
      </w:r>
      <w:r w:rsidRPr="00AF1CF8">
        <w:rPr>
          <w:color w:val="010202"/>
          <w:szCs w:val="22"/>
        </w:rPr>
        <w:t>goals,</w:t>
      </w:r>
      <w:r w:rsidRPr="00AF1CF8">
        <w:rPr>
          <w:color w:val="010202"/>
          <w:spacing w:val="-6"/>
          <w:szCs w:val="22"/>
        </w:rPr>
        <w:t xml:space="preserve"> </w:t>
      </w:r>
      <w:r w:rsidRPr="00AF1CF8">
        <w:rPr>
          <w:color w:val="010202"/>
          <w:szCs w:val="22"/>
        </w:rPr>
        <w:t>in</w:t>
      </w:r>
      <w:r w:rsidRPr="00AF1CF8">
        <w:rPr>
          <w:color w:val="010202"/>
          <w:spacing w:val="-5"/>
          <w:szCs w:val="22"/>
        </w:rPr>
        <w:t xml:space="preserve"> </w:t>
      </w:r>
      <w:r w:rsidRPr="00AF1CF8">
        <w:rPr>
          <w:color w:val="010202"/>
          <w:szCs w:val="22"/>
        </w:rPr>
        <w:t>service</w:t>
      </w:r>
      <w:r w:rsidRPr="00AF1CF8">
        <w:rPr>
          <w:color w:val="010202"/>
          <w:spacing w:val="-6"/>
          <w:szCs w:val="22"/>
        </w:rPr>
        <w:t xml:space="preserve"> </w:t>
      </w:r>
      <w:r w:rsidRPr="00AF1CF8">
        <w:rPr>
          <w:color w:val="010202"/>
          <w:szCs w:val="22"/>
        </w:rPr>
        <w:t>of</w:t>
      </w:r>
      <w:r w:rsidRPr="00AF1CF8">
        <w:rPr>
          <w:color w:val="010202"/>
          <w:spacing w:val="-6"/>
          <w:szCs w:val="22"/>
        </w:rPr>
        <w:t xml:space="preserve"> </w:t>
      </w:r>
      <w:r w:rsidRPr="00AF1CF8">
        <w:rPr>
          <w:color w:val="010202"/>
          <w:szCs w:val="22"/>
        </w:rPr>
        <w:t>the</w:t>
      </w:r>
      <w:r w:rsidRPr="00AF1CF8">
        <w:rPr>
          <w:color w:val="010202"/>
          <w:spacing w:val="-5"/>
          <w:szCs w:val="22"/>
        </w:rPr>
        <w:t xml:space="preserve"> </w:t>
      </w:r>
      <w:r w:rsidRPr="00AF1CF8">
        <w:rPr>
          <w:color w:val="010202"/>
          <w:szCs w:val="22"/>
        </w:rPr>
        <w:t>common good; and (3) create a culture of equity based on the integration of best practices and culturally validating and inclusive high impact educational practices across</w:t>
      </w:r>
      <w:r w:rsidRPr="00AF1CF8">
        <w:rPr>
          <w:color w:val="010202"/>
          <w:spacing w:val="-7"/>
          <w:szCs w:val="22"/>
        </w:rPr>
        <w:t xml:space="preserve"> </w:t>
      </w:r>
      <w:r w:rsidRPr="00AF1CF8">
        <w:rPr>
          <w:color w:val="010202"/>
          <w:szCs w:val="22"/>
        </w:rPr>
        <w:t>curricula.</w:t>
      </w:r>
    </w:p>
    <w:p w14:paraId="1878822B" w14:textId="77777777" w:rsidR="00B963ED" w:rsidRPr="00AF1CF8" w:rsidRDefault="00B963ED" w:rsidP="00B963ED">
      <w:pPr>
        <w:rPr>
          <w:b/>
          <w:color w:val="010202"/>
        </w:rPr>
      </w:pPr>
    </w:p>
    <w:p w14:paraId="62266F6E" w14:textId="0396B6C7" w:rsidR="00B963ED" w:rsidRPr="00AF1CF8" w:rsidRDefault="00B963ED" w:rsidP="00B963ED">
      <w:r w:rsidRPr="00AF1CF8">
        <w:rPr>
          <w:b/>
          <w:color w:val="010202"/>
        </w:rPr>
        <w:t xml:space="preserve">The CASA project addresses Competitive Preference Priority #2: Financial Literacy </w:t>
      </w:r>
      <w:r w:rsidRPr="00AF1CF8">
        <w:rPr>
          <w:color w:val="010202"/>
        </w:rPr>
        <w:t>by</w:t>
      </w:r>
      <w:r w:rsidRPr="00AF1CF8">
        <w:rPr>
          <w:color w:val="010202"/>
          <w:spacing w:val="-11"/>
        </w:rPr>
        <w:t xml:space="preserve"> </w:t>
      </w:r>
      <w:r w:rsidRPr="00AF1CF8">
        <w:rPr>
          <w:color w:val="010202"/>
        </w:rPr>
        <w:t>building</w:t>
      </w:r>
      <w:r w:rsidRPr="00AF1CF8">
        <w:rPr>
          <w:color w:val="010202"/>
          <w:spacing w:val="-8"/>
        </w:rPr>
        <w:t xml:space="preserve"> </w:t>
      </w:r>
      <w:r w:rsidRPr="00AF1CF8">
        <w:rPr>
          <w:color w:val="010202"/>
        </w:rPr>
        <w:t>a</w:t>
      </w:r>
      <w:r w:rsidRPr="00AF1CF8">
        <w:rPr>
          <w:color w:val="010202"/>
          <w:spacing w:val="-6"/>
        </w:rPr>
        <w:t xml:space="preserve"> </w:t>
      </w:r>
      <w:r w:rsidRPr="00AF1CF8">
        <w:rPr>
          <w:color w:val="010202"/>
        </w:rPr>
        <w:t>network</w:t>
      </w:r>
      <w:r w:rsidRPr="00AF1CF8">
        <w:rPr>
          <w:color w:val="010202"/>
          <w:spacing w:val="-5"/>
        </w:rPr>
        <w:t xml:space="preserve"> </w:t>
      </w:r>
      <w:r w:rsidRPr="00AF1CF8">
        <w:rPr>
          <w:color w:val="010202"/>
        </w:rPr>
        <w:t>of</w:t>
      </w:r>
      <w:r w:rsidRPr="00AF1CF8">
        <w:rPr>
          <w:color w:val="010202"/>
          <w:spacing w:val="-4"/>
        </w:rPr>
        <w:t xml:space="preserve"> </w:t>
      </w:r>
      <w:r w:rsidRPr="00AF1CF8">
        <w:rPr>
          <w:b/>
          <w:color w:val="010202"/>
        </w:rPr>
        <w:t>Financial</w:t>
      </w:r>
      <w:r w:rsidRPr="00AF1CF8">
        <w:rPr>
          <w:b/>
          <w:color w:val="010202"/>
          <w:spacing w:val="-5"/>
        </w:rPr>
        <w:t xml:space="preserve"> </w:t>
      </w:r>
      <w:r w:rsidRPr="00AF1CF8">
        <w:rPr>
          <w:b/>
          <w:color w:val="010202"/>
        </w:rPr>
        <w:t>Literacy</w:t>
      </w:r>
      <w:r w:rsidRPr="00AF1CF8">
        <w:rPr>
          <w:b/>
          <w:color w:val="010202"/>
          <w:spacing w:val="-5"/>
        </w:rPr>
        <w:t xml:space="preserve"> </w:t>
      </w:r>
      <w:r w:rsidRPr="00AF1CF8">
        <w:rPr>
          <w:color w:val="010202"/>
        </w:rPr>
        <w:t>supports</w:t>
      </w:r>
      <w:r w:rsidRPr="00AF1CF8">
        <w:rPr>
          <w:color w:val="010202"/>
          <w:spacing w:val="-5"/>
        </w:rPr>
        <w:t xml:space="preserve"> </w:t>
      </w:r>
      <w:r w:rsidRPr="00AF1CF8">
        <w:rPr>
          <w:color w:val="010202"/>
        </w:rPr>
        <w:t>to</w:t>
      </w:r>
      <w:r w:rsidRPr="00AF1CF8">
        <w:rPr>
          <w:color w:val="010202"/>
          <w:spacing w:val="-5"/>
        </w:rPr>
        <w:t xml:space="preserve"> </w:t>
      </w:r>
      <w:r w:rsidRPr="00AF1CF8">
        <w:rPr>
          <w:color w:val="010202"/>
        </w:rPr>
        <w:t>better</w:t>
      </w:r>
      <w:r w:rsidRPr="00AF1CF8">
        <w:rPr>
          <w:color w:val="010202"/>
          <w:spacing w:val="-6"/>
        </w:rPr>
        <w:t xml:space="preserve"> </w:t>
      </w:r>
      <w:r w:rsidRPr="00AF1CF8">
        <w:rPr>
          <w:color w:val="010202"/>
        </w:rPr>
        <w:t>assist</w:t>
      </w:r>
      <w:r w:rsidRPr="00AF1CF8">
        <w:rPr>
          <w:color w:val="010202"/>
          <w:spacing w:val="-5"/>
        </w:rPr>
        <w:t xml:space="preserve"> </w:t>
      </w:r>
      <w:r w:rsidRPr="00AF1CF8">
        <w:rPr>
          <w:color w:val="010202"/>
        </w:rPr>
        <w:t xml:space="preserve">students with creating a solid financial foundation for both immediate finances and long-term money management. Financial literacy </w:t>
      </w:r>
      <w:r w:rsidR="00042F03" w:rsidRPr="00AF1CF8">
        <w:rPr>
          <w:color w:val="010202"/>
        </w:rPr>
        <w:t>touchpoints</w:t>
      </w:r>
      <w:r w:rsidRPr="00AF1CF8">
        <w:rPr>
          <w:color w:val="010202"/>
        </w:rPr>
        <w:t xml:space="preserve"> are infused through all aspects of the CASA initiative, including through the creation of a </w:t>
      </w:r>
      <w:r w:rsidRPr="00AF1CF8">
        <w:rPr>
          <w:b/>
          <w:color w:val="010202"/>
        </w:rPr>
        <w:t xml:space="preserve">Financial Literacy Coach </w:t>
      </w:r>
      <w:r w:rsidRPr="00AF1CF8">
        <w:rPr>
          <w:color w:val="010202"/>
        </w:rPr>
        <w:t xml:space="preserve">and a new </w:t>
      </w:r>
      <w:r w:rsidRPr="00AF1CF8">
        <w:rPr>
          <w:b/>
          <w:color w:val="010202"/>
        </w:rPr>
        <w:t>personal finance</w:t>
      </w:r>
      <w:r w:rsidRPr="00AF1CF8">
        <w:rPr>
          <w:b/>
          <w:color w:val="010202"/>
          <w:spacing w:val="-2"/>
        </w:rPr>
        <w:t xml:space="preserve"> </w:t>
      </w:r>
      <w:r w:rsidRPr="00AF1CF8">
        <w:rPr>
          <w:b/>
          <w:color w:val="010202"/>
        </w:rPr>
        <w:t>online-course</w:t>
      </w:r>
      <w:r w:rsidRPr="00AF1CF8">
        <w:rPr>
          <w:color w:val="010202"/>
        </w:rPr>
        <w:t>.</w:t>
      </w:r>
    </w:p>
    <w:p w14:paraId="778DB78F" w14:textId="77777777" w:rsidR="00B963ED" w:rsidRPr="00AF1CF8" w:rsidRDefault="00B963ED" w:rsidP="00B963ED">
      <w:pPr>
        <w:pStyle w:val="BodyText"/>
        <w:rPr>
          <w:color w:val="010202"/>
          <w:szCs w:val="22"/>
        </w:rPr>
      </w:pPr>
    </w:p>
    <w:p w14:paraId="1E85476C" w14:textId="2DEE55A5" w:rsidR="00B963ED" w:rsidRPr="00AF1CF8" w:rsidRDefault="00B963ED" w:rsidP="00792F09">
      <w:pPr>
        <w:pStyle w:val="BodyText"/>
        <w:rPr>
          <w:szCs w:val="22"/>
        </w:rPr>
      </w:pPr>
      <w:r w:rsidRPr="00AF1CF8">
        <w:rPr>
          <w:color w:val="010202"/>
          <w:szCs w:val="22"/>
        </w:rPr>
        <w:t>The project’s overall budget of $2,998,326 is cost-effective and will yield strong outcomes for student success. Title V funds will largely support personnel costs for capacity building (61.8</w:t>
      </w:r>
      <w:r w:rsidR="00A23357" w:rsidRPr="00AF1CF8">
        <w:rPr>
          <w:color w:val="010202"/>
          <w:szCs w:val="22"/>
        </w:rPr>
        <w:t xml:space="preserve"> percent</w:t>
      </w:r>
      <w:r w:rsidRPr="00AF1CF8">
        <w:rPr>
          <w:color w:val="010202"/>
          <w:szCs w:val="22"/>
        </w:rPr>
        <w:t>), with</w:t>
      </w:r>
      <w:r w:rsidRPr="00AF1CF8">
        <w:rPr>
          <w:color w:val="010202"/>
          <w:spacing w:val="-11"/>
          <w:szCs w:val="22"/>
        </w:rPr>
        <w:t xml:space="preserve"> </w:t>
      </w:r>
      <w:r w:rsidRPr="00AF1CF8">
        <w:rPr>
          <w:color w:val="010202"/>
          <w:szCs w:val="22"/>
        </w:rPr>
        <w:t>the</w:t>
      </w:r>
      <w:r w:rsidRPr="00AF1CF8">
        <w:rPr>
          <w:color w:val="010202"/>
          <w:spacing w:val="-11"/>
          <w:szCs w:val="22"/>
        </w:rPr>
        <w:t xml:space="preserve"> </w:t>
      </w:r>
      <w:r w:rsidRPr="00AF1CF8">
        <w:rPr>
          <w:color w:val="010202"/>
          <w:szCs w:val="22"/>
        </w:rPr>
        <w:t>remainder</w:t>
      </w:r>
      <w:r w:rsidRPr="00AF1CF8">
        <w:rPr>
          <w:color w:val="010202"/>
          <w:spacing w:val="-11"/>
          <w:szCs w:val="22"/>
        </w:rPr>
        <w:t xml:space="preserve"> </w:t>
      </w:r>
      <w:r w:rsidRPr="00AF1CF8">
        <w:rPr>
          <w:color w:val="010202"/>
          <w:szCs w:val="22"/>
        </w:rPr>
        <w:t>covering</w:t>
      </w:r>
      <w:r w:rsidRPr="00AF1CF8">
        <w:rPr>
          <w:color w:val="010202"/>
          <w:spacing w:val="-13"/>
          <w:szCs w:val="22"/>
        </w:rPr>
        <w:t xml:space="preserve"> </w:t>
      </w:r>
      <w:r w:rsidRPr="00AF1CF8">
        <w:rPr>
          <w:color w:val="010202"/>
          <w:szCs w:val="22"/>
        </w:rPr>
        <w:t>fringe</w:t>
      </w:r>
      <w:r w:rsidRPr="00AF1CF8">
        <w:rPr>
          <w:color w:val="010202"/>
          <w:spacing w:val="-11"/>
          <w:szCs w:val="22"/>
        </w:rPr>
        <w:t xml:space="preserve"> </w:t>
      </w:r>
      <w:r w:rsidRPr="00AF1CF8">
        <w:rPr>
          <w:color w:val="010202"/>
          <w:szCs w:val="22"/>
        </w:rPr>
        <w:t>benefits,</w:t>
      </w:r>
      <w:r w:rsidRPr="00AF1CF8">
        <w:rPr>
          <w:color w:val="010202"/>
          <w:spacing w:val="-11"/>
          <w:szCs w:val="22"/>
        </w:rPr>
        <w:t xml:space="preserve"> </w:t>
      </w:r>
      <w:r w:rsidRPr="00AF1CF8">
        <w:rPr>
          <w:color w:val="010202"/>
          <w:szCs w:val="22"/>
        </w:rPr>
        <w:t>travel,</w:t>
      </w:r>
      <w:r w:rsidRPr="00AF1CF8">
        <w:rPr>
          <w:color w:val="010202"/>
          <w:spacing w:val="-10"/>
          <w:szCs w:val="22"/>
        </w:rPr>
        <w:t xml:space="preserve"> </w:t>
      </w:r>
      <w:r w:rsidRPr="00AF1CF8">
        <w:rPr>
          <w:color w:val="010202"/>
          <w:szCs w:val="22"/>
        </w:rPr>
        <w:t>equipment,</w:t>
      </w:r>
      <w:r w:rsidRPr="00AF1CF8">
        <w:rPr>
          <w:color w:val="010202"/>
          <w:spacing w:val="-11"/>
          <w:szCs w:val="22"/>
        </w:rPr>
        <w:t xml:space="preserve"> </w:t>
      </w:r>
      <w:r w:rsidRPr="00AF1CF8">
        <w:rPr>
          <w:color w:val="010202"/>
          <w:szCs w:val="22"/>
        </w:rPr>
        <w:t>supplies,</w:t>
      </w:r>
      <w:r w:rsidRPr="00AF1CF8">
        <w:rPr>
          <w:color w:val="010202"/>
          <w:spacing w:val="-10"/>
          <w:szCs w:val="22"/>
        </w:rPr>
        <w:t xml:space="preserve"> </w:t>
      </w:r>
      <w:r w:rsidRPr="00AF1CF8">
        <w:rPr>
          <w:color w:val="010202"/>
          <w:szCs w:val="22"/>
        </w:rPr>
        <w:t>external</w:t>
      </w:r>
      <w:r w:rsidRPr="00AF1CF8">
        <w:rPr>
          <w:color w:val="010202"/>
          <w:spacing w:val="-11"/>
          <w:szCs w:val="22"/>
        </w:rPr>
        <w:t xml:space="preserve"> </w:t>
      </w:r>
      <w:r w:rsidRPr="00AF1CF8">
        <w:rPr>
          <w:color w:val="010202"/>
          <w:szCs w:val="22"/>
        </w:rPr>
        <w:t>evaluation</w:t>
      </w:r>
      <w:r w:rsidRPr="00AF1CF8">
        <w:rPr>
          <w:color w:val="010202"/>
          <w:spacing w:val="-10"/>
          <w:szCs w:val="22"/>
        </w:rPr>
        <w:t xml:space="preserve"> </w:t>
      </w:r>
      <w:r w:rsidRPr="00AF1CF8">
        <w:rPr>
          <w:color w:val="010202"/>
          <w:szCs w:val="22"/>
        </w:rPr>
        <w:t>costs, and support for institutional endowment, for which SXU will provide dollar-for-dollar matching funds. All project costs will be institutionalized by the end of the grant</w:t>
      </w:r>
      <w:r w:rsidRPr="00AF1CF8">
        <w:rPr>
          <w:color w:val="010202"/>
          <w:spacing w:val="-10"/>
          <w:szCs w:val="22"/>
        </w:rPr>
        <w:t xml:space="preserve"> </w:t>
      </w:r>
      <w:r w:rsidRPr="00AF1CF8">
        <w:rPr>
          <w:color w:val="010202"/>
          <w:szCs w:val="22"/>
        </w:rPr>
        <w:t>cycle.</w:t>
      </w:r>
      <w:r w:rsidR="00792F09" w:rsidRPr="00AF1CF8">
        <w:rPr>
          <w:szCs w:val="22"/>
        </w:rPr>
        <w:t xml:space="preserve"> </w:t>
      </w:r>
    </w:p>
    <w:p w14:paraId="386F120A" w14:textId="1813CBA6" w:rsidR="007A1A48" w:rsidRPr="00AF1CF8" w:rsidRDefault="007A1A48" w:rsidP="00792F09">
      <w:pPr>
        <w:pStyle w:val="BodyText"/>
        <w:rPr>
          <w:szCs w:val="22"/>
        </w:rPr>
      </w:pPr>
    </w:p>
    <w:p w14:paraId="4A7853C1" w14:textId="0531F2A7" w:rsidR="007A1A48" w:rsidRPr="00AF1CF8" w:rsidRDefault="007A1A48" w:rsidP="00792F09">
      <w:pPr>
        <w:pStyle w:val="BodyText"/>
        <w:rPr>
          <w:szCs w:val="22"/>
        </w:rPr>
      </w:pPr>
    </w:p>
    <w:p w14:paraId="37F32CDD" w14:textId="66C8859B" w:rsidR="00C12BB7" w:rsidRPr="00AF1CF8" w:rsidRDefault="00C12BB7" w:rsidP="00634CAD">
      <w:pPr>
        <w:pStyle w:val="Heading1"/>
      </w:pPr>
      <w:r w:rsidRPr="00AF1CF8">
        <w:t xml:space="preserve">P031S190265 </w:t>
      </w:r>
      <w:r w:rsidRPr="00AF1CF8">
        <w:br/>
        <w:t>Donnelly College, KS</w:t>
      </w:r>
    </w:p>
    <w:p w14:paraId="0080FF2D" w14:textId="77777777" w:rsidR="00EB748D" w:rsidRDefault="00EB748D" w:rsidP="00C12BB7">
      <w:pPr>
        <w:pStyle w:val="BodyText"/>
        <w:rPr>
          <w:b/>
          <w:color w:val="231F20"/>
          <w:szCs w:val="22"/>
        </w:rPr>
      </w:pPr>
    </w:p>
    <w:p w14:paraId="1890AF32" w14:textId="06EE56B5" w:rsidR="00C12BB7" w:rsidRPr="00AF1CF8" w:rsidRDefault="00C12BB7" w:rsidP="00C12BB7">
      <w:pPr>
        <w:pStyle w:val="BodyText"/>
        <w:rPr>
          <w:szCs w:val="22"/>
        </w:rPr>
      </w:pPr>
      <w:r w:rsidRPr="00BB223B">
        <w:rPr>
          <w:b/>
          <w:color w:val="231F20"/>
          <w:szCs w:val="22"/>
        </w:rPr>
        <w:t>Donnelly College</w:t>
      </w:r>
      <w:r w:rsidRPr="00AF1CF8">
        <w:rPr>
          <w:color w:val="231F20"/>
          <w:szCs w:val="22"/>
        </w:rPr>
        <w:t>, a four-year private college, was founded in 1949 by the Benedictine Sisters</w:t>
      </w:r>
      <w:r w:rsidRPr="00AF1CF8">
        <w:rPr>
          <w:color w:val="231F20"/>
          <w:spacing w:val="-31"/>
          <w:szCs w:val="22"/>
        </w:rPr>
        <w:t xml:space="preserve"> </w:t>
      </w:r>
      <w:r w:rsidRPr="00AF1CF8">
        <w:rPr>
          <w:color w:val="231F20"/>
          <w:szCs w:val="22"/>
        </w:rPr>
        <w:t>of Atchison, Kansas and the Archdiocese of Kansas City with the goal of providing affordable, postsecondary educational opportunities and promoting college success for low-income students, racial and ethnic minorities, academically underprepared students, and students who are the first in their families to go to college. Donnelly provides the academic, personal, and financial support that enables their 418 students to realize their educational and career</w:t>
      </w:r>
      <w:r w:rsidRPr="00AF1CF8">
        <w:rPr>
          <w:color w:val="231F20"/>
          <w:spacing w:val="-27"/>
          <w:szCs w:val="22"/>
        </w:rPr>
        <w:t xml:space="preserve"> </w:t>
      </w:r>
      <w:r w:rsidRPr="00AF1CF8">
        <w:rPr>
          <w:color w:val="231F20"/>
          <w:szCs w:val="22"/>
        </w:rPr>
        <w:t>goals.</w:t>
      </w:r>
    </w:p>
    <w:p w14:paraId="019DC2B2" w14:textId="77777777" w:rsidR="00C12BB7" w:rsidRPr="00AF1CF8" w:rsidRDefault="00C12BB7" w:rsidP="00C12BB7">
      <w:pPr>
        <w:pStyle w:val="BodyText"/>
        <w:rPr>
          <w:b/>
          <w:i/>
          <w:color w:val="231F20"/>
          <w:szCs w:val="22"/>
        </w:rPr>
      </w:pPr>
    </w:p>
    <w:p w14:paraId="1C42DC9D" w14:textId="7C202757" w:rsidR="00C12BB7" w:rsidRPr="00AF1CF8" w:rsidRDefault="00C12BB7" w:rsidP="00C12BB7">
      <w:pPr>
        <w:pStyle w:val="BodyText"/>
        <w:rPr>
          <w:szCs w:val="22"/>
        </w:rPr>
      </w:pPr>
      <w:r w:rsidRPr="00AF1CF8">
        <w:rPr>
          <w:b/>
          <w:i/>
          <w:color w:val="231F20"/>
          <w:szCs w:val="22"/>
        </w:rPr>
        <w:t xml:space="preserve">Service Area Profile: </w:t>
      </w:r>
      <w:r w:rsidRPr="00AF1CF8">
        <w:rPr>
          <w:color w:val="231F20"/>
          <w:szCs w:val="22"/>
        </w:rPr>
        <w:t>Donnelly College is located in the urban core of Kansas City, Kansas (KCK). KCK is both smaller and less affluent than Kansas City, Missouri, which is the population and economic center of the 5,400 square-mile Kansas City, MO-KS metropolitan area. In Donnelly’s primary attendance area, median household income is just $35,550, per capita income averages $14,782, and nearly one in five families lives in poverty (18.2</w:t>
      </w:r>
      <w:r w:rsidR="00A23357" w:rsidRPr="00AF1CF8">
        <w:rPr>
          <w:color w:val="231F20"/>
          <w:szCs w:val="22"/>
        </w:rPr>
        <w:t xml:space="preserve"> percent</w:t>
      </w:r>
      <w:r w:rsidRPr="00AF1CF8">
        <w:rPr>
          <w:color w:val="231F20"/>
          <w:szCs w:val="22"/>
        </w:rPr>
        <w:t>).</w:t>
      </w:r>
    </w:p>
    <w:p w14:paraId="4C16447C" w14:textId="35BA83CB" w:rsidR="00C12BB7" w:rsidRPr="00AF1CF8" w:rsidRDefault="00C12BB7" w:rsidP="00C12BB7">
      <w:pPr>
        <w:pStyle w:val="BodyText"/>
        <w:rPr>
          <w:szCs w:val="22"/>
        </w:rPr>
      </w:pPr>
      <w:r w:rsidRPr="00AF1CF8">
        <w:rPr>
          <w:color w:val="231F20"/>
          <w:szCs w:val="22"/>
        </w:rPr>
        <w:t xml:space="preserve">Hispanic residents face </w:t>
      </w:r>
      <w:r w:rsidR="00042F03">
        <w:rPr>
          <w:color w:val="231F20"/>
          <w:szCs w:val="22"/>
        </w:rPr>
        <w:t xml:space="preserve">a </w:t>
      </w:r>
      <w:r w:rsidRPr="00AF1CF8">
        <w:rPr>
          <w:color w:val="231F20"/>
          <w:szCs w:val="22"/>
        </w:rPr>
        <w:t>particular hardship, with 26.2</w:t>
      </w:r>
      <w:r w:rsidR="00A23357" w:rsidRPr="00AF1CF8">
        <w:rPr>
          <w:color w:val="231F20"/>
          <w:szCs w:val="22"/>
        </w:rPr>
        <w:t xml:space="preserve"> percent</w:t>
      </w:r>
      <w:r w:rsidRPr="00AF1CF8">
        <w:rPr>
          <w:color w:val="231F20"/>
          <w:szCs w:val="22"/>
        </w:rPr>
        <w:t xml:space="preserve"> of Hispanic families living in poverty. Hispanic median income and per capita income also lag behind at $30,635 and $13,417 respectively. Reflecting the demographics of the surrounding communities, Donnelly is ethnically diverse. Eighty-five percent of Donnelly’s students are minorities, including 30</w:t>
      </w:r>
      <w:r w:rsidR="00A23357" w:rsidRPr="00AF1CF8">
        <w:rPr>
          <w:color w:val="231F20"/>
          <w:szCs w:val="22"/>
        </w:rPr>
        <w:t xml:space="preserve"> percent</w:t>
      </w:r>
      <w:r w:rsidRPr="00AF1CF8">
        <w:rPr>
          <w:color w:val="231F20"/>
          <w:szCs w:val="22"/>
        </w:rPr>
        <w:t xml:space="preserve"> African American students and 41</w:t>
      </w:r>
      <w:r w:rsidR="00A23357" w:rsidRPr="00AF1CF8">
        <w:rPr>
          <w:color w:val="231F20"/>
          <w:szCs w:val="22"/>
        </w:rPr>
        <w:t xml:space="preserve"> percent</w:t>
      </w:r>
      <w:r w:rsidRPr="00AF1CF8">
        <w:rPr>
          <w:color w:val="231F20"/>
          <w:szCs w:val="22"/>
        </w:rPr>
        <w:t xml:space="preserve"> Hispanic. Donnelly is a </w:t>
      </w:r>
      <w:r w:rsidR="00042F03" w:rsidRPr="00AF1CF8">
        <w:rPr>
          <w:color w:val="231F20"/>
          <w:szCs w:val="22"/>
        </w:rPr>
        <w:t>federally designated</w:t>
      </w:r>
      <w:r w:rsidRPr="00AF1CF8">
        <w:rPr>
          <w:color w:val="231F20"/>
          <w:szCs w:val="22"/>
        </w:rPr>
        <w:t xml:space="preserve"> Hispanic-serving institution (HSI) and a Minority Serving Institution (MSI).</w:t>
      </w:r>
    </w:p>
    <w:p w14:paraId="0D4E1909" w14:textId="77777777" w:rsidR="00C12BB7" w:rsidRPr="00AF1CF8" w:rsidRDefault="00C12BB7" w:rsidP="00C12BB7">
      <w:pPr>
        <w:pStyle w:val="BodyText"/>
        <w:rPr>
          <w:b/>
          <w:i/>
          <w:color w:val="231F20"/>
          <w:szCs w:val="22"/>
        </w:rPr>
      </w:pPr>
    </w:p>
    <w:p w14:paraId="491FB38C" w14:textId="5AEA2005" w:rsidR="00C12BB7" w:rsidRPr="00AF1CF8" w:rsidRDefault="00C12BB7" w:rsidP="00C12BB7">
      <w:pPr>
        <w:pStyle w:val="BodyText"/>
        <w:rPr>
          <w:szCs w:val="22"/>
        </w:rPr>
      </w:pPr>
      <w:r w:rsidRPr="00AF1CF8">
        <w:rPr>
          <w:b/>
          <w:i/>
          <w:color w:val="231F20"/>
          <w:szCs w:val="22"/>
        </w:rPr>
        <w:t xml:space="preserve">Growth and Stability Challenges: </w:t>
      </w:r>
      <w:r w:rsidRPr="00AF1CF8">
        <w:rPr>
          <w:color w:val="231F20"/>
          <w:szCs w:val="22"/>
        </w:rPr>
        <w:t>While Donnelly has a tradition of identifying and meeting the postsecondary needs of at-risk students, various challenges threaten our ability to prepare our students to leverage the growing economic opportunities in our area. The declining rate of enrollment, driving down the enrollment-driven revenues that fund our operations is a significant problem. Since AY2013, credit hour enrollment has lost 30.7</w:t>
      </w:r>
      <w:r w:rsidR="00A23357" w:rsidRPr="00AF1CF8">
        <w:rPr>
          <w:color w:val="231F20"/>
          <w:szCs w:val="22"/>
        </w:rPr>
        <w:t xml:space="preserve"> percent</w:t>
      </w:r>
      <w:r w:rsidRPr="00AF1CF8">
        <w:rPr>
          <w:color w:val="231F20"/>
          <w:szCs w:val="22"/>
        </w:rPr>
        <w:t>. Due to declining enrollment, Donnelly has lost 23.4</w:t>
      </w:r>
      <w:r w:rsidR="00A23357" w:rsidRPr="00AF1CF8">
        <w:rPr>
          <w:color w:val="231F20"/>
          <w:szCs w:val="22"/>
        </w:rPr>
        <w:t xml:space="preserve"> percent</w:t>
      </w:r>
      <w:r w:rsidRPr="00AF1CF8">
        <w:rPr>
          <w:color w:val="231F20"/>
          <w:szCs w:val="22"/>
        </w:rPr>
        <w:t xml:space="preserve"> of its revenue. The best long-term solution for these interrelated challenges is to build enrollment and associated revenue through academic programming that is responsive to students’ educational needs and to area industry demands. Regionally the healthcare industry is booming, and career opportunities abound in information technology.</w:t>
      </w:r>
      <w:r w:rsidR="00EB748D">
        <w:rPr>
          <w:color w:val="231F20"/>
          <w:szCs w:val="22"/>
        </w:rPr>
        <w:t xml:space="preserve"> </w:t>
      </w:r>
      <w:r w:rsidRPr="00BB223B">
        <w:rPr>
          <w:color w:val="231F20"/>
          <w:szCs w:val="22"/>
        </w:rPr>
        <w:t>High-tech businesses thrive as KCK leads the nat</w:t>
      </w:r>
      <w:r w:rsidRPr="00AF1CF8">
        <w:rPr>
          <w:color w:val="231F20"/>
          <w:szCs w:val="22"/>
        </w:rPr>
        <w:t>ion in technology advances. All of these point to high demand in Nursing, Information Systems, and Business Leadership credentials.</w:t>
      </w:r>
    </w:p>
    <w:p w14:paraId="6037DA6C" w14:textId="77777777" w:rsidR="00C12BB7" w:rsidRPr="00AF1CF8" w:rsidRDefault="00C12BB7" w:rsidP="00C12BB7">
      <w:pPr>
        <w:pStyle w:val="BodyText"/>
        <w:rPr>
          <w:b/>
          <w:i/>
          <w:color w:val="231F20"/>
          <w:szCs w:val="22"/>
        </w:rPr>
      </w:pPr>
    </w:p>
    <w:p w14:paraId="55734031" w14:textId="77777777" w:rsidR="00EB748D" w:rsidRDefault="00C12BB7" w:rsidP="00C12BB7">
      <w:pPr>
        <w:pStyle w:val="BodyText"/>
        <w:rPr>
          <w:color w:val="231F20"/>
          <w:szCs w:val="22"/>
        </w:rPr>
      </w:pPr>
      <w:r w:rsidRPr="00AF1CF8">
        <w:rPr>
          <w:b/>
          <w:i/>
          <w:color w:val="231F20"/>
          <w:szCs w:val="22"/>
        </w:rPr>
        <w:t xml:space="preserve">Title V Activity: </w:t>
      </w:r>
      <w:r w:rsidRPr="00AF1CF8">
        <w:rPr>
          <w:color w:val="231F20"/>
          <w:szCs w:val="22"/>
        </w:rPr>
        <w:t xml:space="preserve">Two key Activity components, informed by research showing promising evidence, address the twin challenges of declining enrollments and lost revenues: </w:t>
      </w:r>
    </w:p>
    <w:p w14:paraId="60335E97" w14:textId="77777777" w:rsidR="00EB748D" w:rsidRDefault="00C12BB7" w:rsidP="00C12BB7">
      <w:pPr>
        <w:pStyle w:val="BodyText"/>
        <w:rPr>
          <w:color w:val="231F20"/>
          <w:szCs w:val="22"/>
        </w:rPr>
      </w:pPr>
      <w:r w:rsidRPr="00BB223B">
        <w:rPr>
          <w:i/>
          <w:color w:val="231F20"/>
          <w:szCs w:val="22"/>
        </w:rPr>
        <w:t>Component 1: S</w:t>
      </w:r>
      <w:r w:rsidRPr="00AF1CF8">
        <w:rPr>
          <w:i/>
          <w:color w:val="231F20"/>
          <w:szCs w:val="22"/>
        </w:rPr>
        <w:t xml:space="preserve">trengthening and Expanding Nursing Offerings </w:t>
      </w:r>
      <w:r w:rsidRPr="00AF1CF8">
        <w:rPr>
          <w:color w:val="231F20"/>
          <w:szCs w:val="22"/>
        </w:rPr>
        <w:t>by creating a technology-rich Nursing Resource Center and conducting an intensive Skills Boot Camp. Current LPN and ADN curricula will be revised and improved; the programs will be made more accessible by expanding to daytime courses. A BSN program will be initiated to further career opportunities for ADN graduates.</w:t>
      </w:r>
      <w:r w:rsidR="00EB748D">
        <w:rPr>
          <w:color w:val="231F20"/>
          <w:szCs w:val="22"/>
        </w:rPr>
        <w:t xml:space="preserve"> </w:t>
      </w:r>
    </w:p>
    <w:p w14:paraId="35C32B47" w14:textId="41727D07" w:rsidR="00C12BB7" w:rsidRPr="00AF1CF8" w:rsidRDefault="00C12BB7" w:rsidP="00C12BB7">
      <w:pPr>
        <w:pStyle w:val="BodyText"/>
        <w:rPr>
          <w:szCs w:val="22"/>
        </w:rPr>
      </w:pPr>
      <w:r w:rsidRPr="00BB223B">
        <w:rPr>
          <w:i/>
          <w:color w:val="231F20"/>
          <w:szCs w:val="22"/>
        </w:rPr>
        <w:t xml:space="preserve">Component 2: Realigning Offerings with Industry Standards </w:t>
      </w:r>
      <w:r w:rsidRPr="00AF1CF8">
        <w:rPr>
          <w:color w:val="231F20"/>
          <w:szCs w:val="22"/>
        </w:rPr>
        <w:t>by (1) adding an AAS in Information Technology and by revising the BS in Information Systems with an emphasis on Information Security and (2) adding an AAS in Business and a BA in Business Leadership, with minors in Multicultural Leadership and Entrepreneurship.</w:t>
      </w:r>
    </w:p>
    <w:p w14:paraId="1B600AA7" w14:textId="77777777" w:rsidR="00C12BB7" w:rsidRPr="00AF1CF8" w:rsidRDefault="00C12BB7" w:rsidP="00C12BB7">
      <w:pPr>
        <w:pStyle w:val="BodyText"/>
        <w:rPr>
          <w:b/>
          <w:i/>
          <w:color w:val="231F20"/>
          <w:szCs w:val="22"/>
        </w:rPr>
      </w:pPr>
    </w:p>
    <w:p w14:paraId="4E856390" w14:textId="77777777" w:rsidR="00C12BB7" w:rsidRPr="00AF1CF8" w:rsidRDefault="00C12BB7" w:rsidP="00C12BB7">
      <w:pPr>
        <w:pStyle w:val="BodyText"/>
        <w:rPr>
          <w:szCs w:val="22"/>
        </w:rPr>
      </w:pPr>
      <w:r w:rsidRPr="00AF1CF8">
        <w:rPr>
          <w:b/>
          <w:i/>
          <w:color w:val="231F20"/>
          <w:szCs w:val="22"/>
        </w:rPr>
        <w:t xml:space="preserve">Competitive Preference Priority 2: </w:t>
      </w:r>
      <w:r w:rsidRPr="00AF1CF8">
        <w:rPr>
          <w:color w:val="231F20"/>
          <w:szCs w:val="22"/>
        </w:rPr>
        <w:t>Our project addresses the priority related to increasing personal financial literacy by incorporating new financial literacy modules into our First-Year Experience course, extending invitations to professional guest speakers, and assisting entering nursing students with coordinating their academic plan with their financial aid eligibility.</w:t>
      </w:r>
    </w:p>
    <w:p w14:paraId="6E495C4F" w14:textId="77777777" w:rsidR="00C12BB7" w:rsidRPr="00AF1CF8" w:rsidRDefault="00C12BB7" w:rsidP="00C12BB7"/>
    <w:p w14:paraId="6836947B" w14:textId="1C5790C1" w:rsidR="007A1A48" w:rsidRPr="00AF1CF8" w:rsidRDefault="00C12BB7" w:rsidP="00AF1CF8">
      <w:r w:rsidRPr="00AF1CF8">
        <w:rPr>
          <w:b/>
        </w:rPr>
        <w:t>Donnelly College requests a five-year total of $3,000,000 for the DHSI Title V Project.</w:t>
      </w:r>
    </w:p>
    <w:p w14:paraId="69B93F24" w14:textId="5AEB42A4" w:rsidR="00F57101" w:rsidRPr="00042F03" w:rsidRDefault="00F57101" w:rsidP="00634CAD">
      <w:pPr>
        <w:pStyle w:val="Heading1"/>
      </w:pPr>
      <w:r w:rsidRPr="00042F03">
        <w:rPr>
          <w:rStyle w:val="Heading1Char"/>
          <w:b/>
          <w:bCs/>
        </w:rPr>
        <w:t>P031S190260</w:t>
      </w:r>
      <w:r w:rsidR="00D256E9" w:rsidRPr="00042F03">
        <w:rPr>
          <w:rStyle w:val="Heading1Char"/>
          <w:b/>
          <w:bCs/>
        </w:rPr>
        <w:t xml:space="preserve"> </w:t>
      </w:r>
      <w:r w:rsidR="00D256E9" w:rsidRPr="00042F03">
        <w:rPr>
          <w:rStyle w:val="Heading1Char"/>
          <w:b/>
          <w:bCs/>
        </w:rPr>
        <w:br/>
        <w:t>Passaic County Community College, NJ</w:t>
      </w:r>
    </w:p>
    <w:p w14:paraId="02B83507" w14:textId="77777777" w:rsidR="00F57101" w:rsidRPr="00BB223B" w:rsidRDefault="00F57101" w:rsidP="00F57101">
      <w:pPr>
        <w:pStyle w:val="BodyText"/>
        <w:rPr>
          <w:b/>
          <w:szCs w:val="22"/>
        </w:rPr>
      </w:pPr>
    </w:p>
    <w:p w14:paraId="6FD70510" w14:textId="589FE19D" w:rsidR="00F57101" w:rsidRPr="00BB223B" w:rsidRDefault="00F57101" w:rsidP="00F57101">
      <w:pPr>
        <w:pStyle w:val="BodyText"/>
        <w:rPr>
          <w:szCs w:val="22"/>
        </w:rPr>
      </w:pPr>
      <w:r w:rsidRPr="00AF1CF8">
        <w:rPr>
          <w:color w:val="231F20"/>
          <w:szCs w:val="22"/>
        </w:rPr>
        <w:t>Located in Paterson, New Jersey, Passaic County Community College (PCCC) is a two-year, public, urban institution. Accredited by the Middle States Association of Colleges and Schools, PCCC serves over 7,000 students, a predominantly low-income, Hispanic (</w:t>
      </w:r>
      <w:r w:rsidR="00EB748D" w:rsidRPr="00AF1CF8">
        <w:rPr>
          <w:color w:val="231F20"/>
          <w:szCs w:val="22"/>
        </w:rPr>
        <w:t>54.5 percent</w:t>
      </w:r>
      <w:r w:rsidRPr="00EB748D">
        <w:rPr>
          <w:color w:val="231F20"/>
          <w:szCs w:val="22"/>
        </w:rPr>
        <w:t>) and minority student population.</w:t>
      </w:r>
    </w:p>
    <w:p w14:paraId="26EA2782" w14:textId="77777777" w:rsidR="00F57101" w:rsidRPr="00AF1CF8" w:rsidRDefault="00F57101" w:rsidP="00F57101">
      <w:pPr>
        <w:pStyle w:val="BodyText"/>
        <w:rPr>
          <w:szCs w:val="22"/>
        </w:rPr>
      </w:pPr>
    </w:p>
    <w:p w14:paraId="7FFA77F8" w14:textId="77777777" w:rsidR="00F57101" w:rsidRPr="00AF1CF8" w:rsidRDefault="00F57101" w:rsidP="00F57101">
      <w:r w:rsidRPr="00AF1CF8">
        <w:rPr>
          <w:color w:val="231F20"/>
        </w:rPr>
        <w:t xml:space="preserve">Based on comprehensive planning and analysis, PCCC has identified a key problem that is threatening institutional growth and self-sufficiency: </w:t>
      </w:r>
      <w:r w:rsidRPr="00AF1CF8">
        <w:rPr>
          <w:i/>
          <w:color w:val="231F20"/>
        </w:rPr>
        <w:t>Without opportunities for continuous improvement and reflective practice, together with poorly aligned support services and inadequate coaching and advising systems, PCCC faculty are feeling stymied in their efforts to keep students on track in obtaining the knowledge, skills, and credentials needed for further education and productive employment</w:t>
      </w:r>
      <w:r w:rsidRPr="00AF1CF8">
        <w:rPr>
          <w:color w:val="231F20"/>
        </w:rPr>
        <w:t>.</w:t>
      </w:r>
    </w:p>
    <w:p w14:paraId="46D96BD1" w14:textId="77777777" w:rsidR="00F57101" w:rsidRPr="00AF1CF8" w:rsidRDefault="00F57101" w:rsidP="00F57101">
      <w:pPr>
        <w:pStyle w:val="BodyText"/>
        <w:rPr>
          <w:szCs w:val="22"/>
        </w:rPr>
      </w:pPr>
    </w:p>
    <w:p w14:paraId="1E09FB2F" w14:textId="77777777" w:rsidR="00F57101" w:rsidRPr="00AF1CF8" w:rsidRDefault="00F57101" w:rsidP="00F57101">
      <w:pPr>
        <w:rPr>
          <w:i/>
        </w:rPr>
      </w:pPr>
      <w:r w:rsidRPr="00AF1CF8">
        <w:rPr>
          <w:color w:val="231F20"/>
        </w:rPr>
        <w:t xml:space="preserve">To address this issue, PCCC proposes to implement a comprehensive project that will systemically engage the faculty in evidence-based teaching and learning strategies, improve the quality of instruction, increase faculty-student interaction, improve students’ access to holistic support services, embed career-ready skills into course curriculum and increase the number of Hispanic and low-income students completing their associate degree programs with the knowledge and skills needed to be successful in further education and employment. PCCC’s project will implement the following three project components: </w:t>
      </w:r>
      <w:r w:rsidRPr="00AF1CF8">
        <w:rPr>
          <w:i/>
          <w:color w:val="231F20"/>
        </w:rPr>
        <w:t>1) Increasing Support for New and Part-Time Faculty and Preparing them for Effective Teaching Roles; 2) Improving Instruction through Sustained Professional Development and Reflective Teaching Practice; and 3) Integrating and Aligning Academic and Support Services to Assist Students in Developing Career-Ready Skills.</w:t>
      </w:r>
    </w:p>
    <w:p w14:paraId="7FF5EDC5" w14:textId="77777777" w:rsidR="00F57101" w:rsidRPr="00AF1CF8" w:rsidRDefault="00F57101" w:rsidP="00F57101">
      <w:pPr>
        <w:pStyle w:val="BodyText"/>
        <w:rPr>
          <w:i/>
          <w:szCs w:val="22"/>
        </w:rPr>
      </w:pPr>
    </w:p>
    <w:p w14:paraId="18AFAB82" w14:textId="77777777" w:rsidR="00F57101" w:rsidRPr="00AF1CF8" w:rsidRDefault="00F57101" w:rsidP="00F57101">
      <w:pPr>
        <w:pStyle w:val="BodyText"/>
        <w:rPr>
          <w:szCs w:val="22"/>
        </w:rPr>
      </w:pPr>
      <w:r w:rsidRPr="00AF1CF8">
        <w:rPr>
          <w:color w:val="231F20"/>
          <w:szCs w:val="22"/>
        </w:rPr>
        <w:t xml:space="preserve">During the five-year project period, 175 full-time and part-time faculty and 2,560 Hispanic and low-income students will directly benefit from the project activities. The Project will address </w:t>
      </w:r>
      <w:r w:rsidRPr="00AF1CF8">
        <w:rPr>
          <w:b/>
          <w:color w:val="231F20"/>
          <w:szCs w:val="22"/>
        </w:rPr>
        <w:t>Competitive Preference Priority 2</w:t>
      </w:r>
      <w:r w:rsidRPr="00AF1CF8">
        <w:rPr>
          <w:color w:val="231F20"/>
          <w:szCs w:val="22"/>
        </w:rPr>
        <w:t>. The total cost of implementing this Activity is $2,828,335 over the five-year period.</w:t>
      </w:r>
    </w:p>
    <w:p w14:paraId="35D58BB4" w14:textId="1A647DBD" w:rsidR="00B963ED" w:rsidRPr="00AF1CF8" w:rsidRDefault="00B963ED"/>
    <w:p w14:paraId="1C388791" w14:textId="3FB5793A" w:rsidR="007712E5" w:rsidRPr="00AF1CF8" w:rsidRDefault="007712E5"/>
    <w:p w14:paraId="2FF87EB6" w14:textId="6B21E162" w:rsidR="007712E5" w:rsidRPr="00AF1CF8" w:rsidRDefault="007712E5"/>
    <w:p w14:paraId="0E3BBFFC" w14:textId="5C7C7912" w:rsidR="007712E5" w:rsidRPr="00AF1CF8" w:rsidRDefault="00EB748D" w:rsidP="00634CAD">
      <w:pPr>
        <w:pStyle w:val="Heading1"/>
      </w:pPr>
      <w:r>
        <w:t>P031S190272</w:t>
      </w:r>
      <w:r w:rsidR="007712E5" w:rsidRPr="00BB223B">
        <w:rPr>
          <w:w w:val="105"/>
        </w:rPr>
        <w:br/>
      </w:r>
      <w:r w:rsidRPr="00F36DFC">
        <w:t>Santa Fe Community College</w:t>
      </w:r>
      <w:r w:rsidR="007712E5" w:rsidRPr="00BB223B">
        <w:rPr>
          <w:w w:val="105"/>
        </w:rPr>
        <w:t>, NM</w:t>
      </w:r>
    </w:p>
    <w:p w14:paraId="2540E4E4" w14:textId="77777777" w:rsidR="007712E5" w:rsidRPr="00AF1CF8" w:rsidRDefault="007712E5" w:rsidP="007712E5">
      <w:pPr>
        <w:pStyle w:val="BodyText"/>
        <w:rPr>
          <w:szCs w:val="22"/>
        </w:rPr>
      </w:pPr>
    </w:p>
    <w:p w14:paraId="4599B719" w14:textId="2EC07C92" w:rsidR="007712E5" w:rsidRPr="00EB748D" w:rsidRDefault="007712E5" w:rsidP="007712E5">
      <w:pPr>
        <w:pStyle w:val="BodyText"/>
        <w:rPr>
          <w:szCs w:val="22"/>
        </w:rPr>
      </w:pPr>
      <w:r w:rsidRPr="00AF1CF8">
        <w:rPr>
          <w:szCs w:val="22"/>
        </w:rPr>
        <w:t>Santa Fe Community College (SFCC) is a two-year independent community college, located in northern New Mexico in the nation’s oldest capital city. In 2017-18, SFCC educated 7,684 students, and 69</w:t>
      </w:r>
      <w:r w:rsidR="00A23357" w:rsidRPr="00AF1CF8">
        <w:rPr>
          <w:szCs w:val="22"/>
        </w:rPr>
        <w:t xml:space="preserve"> percent</w:t>
      </w:r>
      <w:r w:rsidRPr="00EB748D">
        <w:rPr>
          <w:szCs w:val="22"/>
        </w:rPr>
        <w:t xml:space="preserve"> of first-time full-time students were Hispanic. While Santa</w:t>
      </w:r>
      <w:r w:rsidRPr="00BB223B">
        <w:rPr>
          <w:szCs w:val="22"/>
        </w:rPr>
        <w:t xml:space="preserve"> Fe shares a rich multicultur</w:t>
      </w:r>
      <w:r w:rsidRPr="00AF1CF8">
        <w:rPr>
          <w:szCs w:val="22"/>
        </w:rPr>
        <w:t>al history, it struggles with intergenerational poverty and low educational attainment rates. Enrollment data reflect the region’s socio-economic challenges–81</w:t>
      </w:r>
      <w:r w:rsidR="00A23357" w:rsidRPr="00AF1CF8">
        <w:rPr>
          <w:szCs w:val="22"/>
        </w:rPr>
        <w:t xml:space="preserve"> percent</w:t>
      </w:r>
      <w:r w:rsidRPr="00EB748D">
        <w:rPr>
          <w:szCs w:val="22"/>
        </w:rPr>
        <w:t xml:space="preserve"> of first-time </w:t>
      </w:r>
      <w:r w:rsidRPr="00EB748D" w:rsidDel="004E1BA1">
        <w:rPr>
          <w:szCs w:val="22"/>
        </w:rPr>
        <w:t>full</w:t>
      </w:r>
      <w:r w:rsidRPr="00BB223B">
        <w:rPr>
          <w:szCs w:val="22"/>
        </w:rPr>
        <w:t>-time</w:t>
      </w:r>
      <w:r w:rsidRPr="00AF1CF8">
        <w:rPr>
          <w:szCs w:val="22"/>
        </w:rPr>
        <w:t xml:space="preserve"> students are first-generation students; 61</w:t>
      </w:r>
      <w:r w:rsidR="00A23357" w:rsidRPr="00AF1CF8">
        <w:rPr>
          <w:szCs w:val="22"/>
        </w:rPr>
        <w:t xml:space="preserve"> percent</w:t>
      </w:r>
      <w:r w:rsidRPr="00EB748D">
        <w:rPr>
          <w:szCs w:val="22"/>
        </w:rPr>
        <w:t xml:space="preserve"> are low-income, and the majority of low-income students (72</w:t>
      </w:r>
      <w:r w:rsidR="00A23357" w:rsidRPr="00AF1CF8">
        <w:rPr>
          <w:szCs w:val="22"/>
        </w:rPr>
        <w:t xml:space="preserve"> percent</w:t>
      </w:r>
      <w:r w:rsidRPr="00EB748D">
        <w:rPr>
          <w:szCs w:val="22"/>
        </w:rPr>
        <w:t>) are Hispanic.</w:t>
      </w:r>
    </w:p>
    <w:p w14:paraId="351223BB" w14:textId="77777777" w:rsidR="007712E5" w:rsidRPr="00BB223B" w:rsidRDefault="007712E5" w:rsidP="007712E5">
      <w:pPr>
        <w:pStyle w:val="BodyText"/>
        <w:rPr>
          <w:szCs w:val="22"/>
        </w:rPr>
      </w:pPr>
    </w:p>
    <w:p w14:paraId="13F19B1F" w14:textId="77777777" w:rsidR="007712E5" w:rsidRPr="00AF1CF8" w:rsidRDefault="007712E5" w:rsidP="007712E5">
      <w:pPr>
        <w:pStyle w:val="BodyText"/>
        <w:rPr>
          <w:szCs w:val="22"/>
        </w:rPr>
      </w:pPr>
      <w:r w:rsidRPr="00AF1CF8">
        <w:rPr>
          <w:szCs w:val="22"/>
        </w:rPr>
        <w:t>The analysis is clear and compelling: the College enrolls a large number of underprepared students, particularly in math, too few progress to college level math courses, and yet the College lacks robust advising and intervention strategies; clear pathways to degree completion and transfer; consistently effective culturally responsive pedagogy; and uniform quality in coursework, scheduling and use of the learning management system (LMS).</w:t>
      </w:r>
    </w:p>
    <w:p w14:paraId="36D8B41A" w14:textId="77777777" w:rsidR="007712E5" w:rsidRPr="00AF1CF8" w:rsidRDefault="007712E5" w:rsidP="007712E5">
      <w:pPr>
        <w:pStyle w:val="BodyText"/>
        <w:rPr>
          <w:szCs w:val="22"/>
        </w:rPr>
      </w:pPr>
    </w:p>
    <w:p w14:paraId="328219FF" w14:textId="0B7BF6AD" w:rsidR="007712E5" w:rsidRPr="00AF1CF8" w:rsidRDefault="007712E5" w:rsidP="007712E5">
      <w:pPr>
        <w:pStyle w:val="BodyText"/>
        <w:rPr>
          <w:szCs w:val="22"/>
        </w:rPr>
      </w:pPr>
      <w:r w:rsidRPr="00AF1CF8">
        <w:rPr>
          <w:szCs w:val="22"/>
        </w:rPr>
        <w:t xml:space="preserve">SFCC’s proposed Title V DHSI Project </w:t>
      </w:r>
      <w:r w:rsidRPr="00AF1CF8">
        <w:rPr>
          <w:b/>
          <w:i/>
          <w:szCs w:val="22"/>
        </w:rPr>
        <w:t>Minority Academic Pathways to Success (MAPS)</w:t>
      </w:r>
      <w:r w:rsidRPr="00AF1CF8">
        <w:rPr>
          <w:szCs w:val="22"/>
        </w:rPr>
        <w:t xml:space="preserve"> seeks to build systemic institutional capacity that removes barriers Hispanic and low-income students face in achieving post-secondary success. The </w:t>
      </w:r>
      <w:r w:rsidRPr="00AF1CF8">
        <w:rPr>
          <w:b/>
          <w:i/>
          <w:szCs w:val="22"/>
        </w:rPr>
        <w:t>MAPS</w:t>
      </w:r>
      <w:r w:rsidRPr="00AF1CF8">
        <w:rPr>
          <w:szCs w:val="22"/>
        </w:rPr>
        <w:t xml:space="preserve"> Project’s three data-driven</w:t>
      </w:r>
      <w:r w:rsidR="00D934D8">
        <w:rPr>
          <w:szCs w:val="22"/>
        </w:rPr>
        <w:t>,</w:t>
      </w:r>
      <w:r w:rsidRPr="00AF1CF8">
        <w:rPr>
          <w:szCs w:val="22"/>
        </w:rPr>
        <w:t xml:space="preserve"> equity-focused</w:t>
      </w:r>
      <w:r w:rsidR="00D934D8">
        <w:rPr>
          <w:szCs w:val="22"/>
        </w:rPr>
        <w:t>,</w:t>
      </w:r>
      <w:r w:rsidRPr="00AF1CF8">
        <w:rPr>
          <w:szCs w:val="22"/>
        </w:rPr>
        <w:t xml:space="preserve"> and high-impact activity components, </w:t>
      </w:r>
      <w:r w:rsidRPr="00AF1CF8">
        <w:rPr>
          <w:b/>
          <w:i/>
          <w:szCs w:val="22"/>
        </w:rPr>
        <w:t>Guided Pathways, Student Support</w:t>
      </w:r>
      <w:r w:rsidR="00EB748D">
        <w:rPr>
          <w:b/>
          <w:i/>
          <w:szCs w:val="22"/>
        </w:rPr>
        <w:t>,</w:t>
      </w:r>
      <w:r w:rsidRPr="00BB223B">
        <w:rPr>
          <w:b/>
          <w:i/>
          <w:szCs w:val="22"/>
        </w:rPr>
        <w:t xml:space="preserve"> and Professional Development</w:t>
      </w:r>
      <w:r w:rsidRPr="00AF1CF8">
        <w:rPr>
          <w:szCs w:val="22"/>
        </w:rPr>
        <w:t>, directly address SFCC’s weaknesses and significant problems and will lead to increased retention, graduation and university transfer outcomes. MAPS will employ the following strategies to meet these outcomes: 1) establishment of meta-majors; 2) restructured developmental math education; 3) mapping of clear pathways to careers and further education; 4) enhanced support and advising systems; and 5) faculty and staff professional development.</w:t>
      </w:r>
    </w:p>
    <w:p w14:paraId="442C093A" w14:textId="77777777" w:rsidR="007712E5" w:rsidRPr="00AF1CF8" w:rsidRDefault="007712E5" w:rsidP="007712E5">
      <w:pPr>
        <w:pStyle w:val="BodyText"/>
        <w:rPr>
          <w:szCs w:val="22"/>
        </w:rPr>
      </w:pPr>
    </w:p>
    <w:p w14:paraId="686ADBBF" w14:textId="56853005" w:rsidR="007712E5" w:rsidRPr="00EB748D" w:rsidRDefault="007712E5" w:rsidP="007712E5">
      <w:pPr>
        <w:pStyle w:val="BodyText"/>
        <w:rPr>
          <w:szCs w:val="22"/>
        </w:rPr>
      </w:pPr>
      <w:r w:rsidRPr="00AF1CF8">
        <w:rPr>
          <w:szCs w:val="22"/>
        </w:rPr>
        <w:t>The Project will achieve systemic and sustainable impacts on Hispanic and low-income success by September 30, 2024, such as: (a) the current retention rate for first-time full-time students will increase from 41</w:t>
      </w:r>
      <w:r w:rsidR="00A23357" w:rsidRPr="00AF1CF8">
        <w:rPr>
          <w:szCs w:val="22"/>
        </w:rPr>
        <w:t xml:space="preserve"> percent</w:t>
      </w:r>
      <w:r w:rsidRPr="00EB748D">
        <w:rPr>
          <w:szCs w:val="22"/>
        </w:rPr>
        <w:t xml:space="preserve"> to 57</w:t>
      </w:r>
      <w:r w:rsidR="00A23357" w:rsidRPr="00AF1CF8">
        <w:rPr>
          <w:szCs w:val="22"/>
        </w:rPr>
        <w:t xml:space="preserve"> percent</w:t>
      </w:r>
      <w:r w:rsidRPr="00EB748D">
        <w:rPr>
          <w:szCs w:val="22"/>
        </w:rPr>
        <w:t>; (b), the transfer rate to four year institutions for these students will increase from 15</w:t>
      </w:r>
      <w:r w:rsidR="00A23357" w:rsidRPr="00AF1CF8">
        <w:rPr>
          <w:szCs w:val="22"/>
        </w:rPr>
        <w:t xml:space="preserve"> percent</w:t>
      </w:r>
      <w:r w:rsidRPr="00EB748D">
        <w:rPr>
          <w:szCs w:val="22"/>
        </w:rPr>
        <w:t xml:space="preserve"> to 25</w:t>
      </w:r>
      <w:r w:rsidR="00A23357" w:rsidRPr="00AF1CF8">
        <w:rPr>
          <w:szCs w:val="22"/>
        </w:rPr>
        <w:t xml:space="preserve"> percent</w:t>
      </w:r>
      <w:r w:rsidRPr="00EB748D">
        <w:rPr>
          <w:szCs w:val="22"/>
        </w:rPr>
        <w:t>; (c) the graduation rates for these students will increase from 21</w:t>
      </w:r>
      <w:r w:rsidR="00A23357" w:rsidRPr="00AF1CF8">
        <w:rPr>
          <w:szCs w:val="22"/>
        </w:rPr>
        <w:t xml:space="preserve"> percent</w:t>
      </w:r>
      <w:r w:rsidRPr="00EB748D">
        <w:rPr>
          <w:szCs w:val="22"/>
        </w:rPr>
        <w:t xml:space="preserve"> to 31</w:t>
      </w:r>
      <w:r w:rsidR="00A23357" w:rsidRPr="00AF1CF8">
        <w:rPr>
          <w:szCs w:val="22"/>
        </w:rPr>
        <w:t xml:space="preserve"> percent</w:t>
      </w:r>
      <w:r w:rsidRPr="00EB748D">
        <w:rPr>
          <w:szCs w:val="22"/>
        </w:rPr>
        <w:t>; and (d) 100</w:t>
      </w:r>
      <w:r w:rsidR="00A23357" w:rsidRPr="00AF1CF8">
        <w:rPr>
          <w:szCs w:val="22"/>
        </w:rPr>
        <w:t xml:space="preserve"> percent</w:t>
      </w:r>
      <w:r w:rsidRPr="00EB748D">
        <w:rPr>
          <w:szCs w:val="22"/>
        </w:rPr>
        <w:t xml:space="preserve"> of incoming students will receive financial literacy training.</w:t>
      </w:r>
    </w:p>
    <w:p w14:paraId="667D1AE2" w14:textId="77777777" w:rsidR="007712E5" w:rsidRPr="00BB223B" w:rsidRDefault="007712E5" w:rsidP="007712E5">
      <w:pPr>
        <w:pStyle w:val="BodyText"/>
        <w:rPr>
          <w:szCs w:val="22"/>
        </w:rPr>
      </w:pPr>
    </w:p>
    <w:p w14:paraId="687D2A8A" w14:textId="77777777" w:rsidR="007712E5" w:rsidRPr="00AF1CF8" w:rsidRDefault="007712E5" w:rsidP="007712E5">
      <w:pPr>
        <w:pStyle w:val="BodyText"/>
        <w:rPr>
          <w:szCs w:val="22"/>
        </w:rPr>
      </w:pPr>
      <w:r w:rsidRPr="00AF1CF8">
        <w:rPr>
          <w:szCs w:val="22"/>
        </w:rPr>
        <w:t xml:space="preserve">The MAPS Project also addresses </w:t>
      </w:r>
      <w:r w:rsidRPr="00AF1CF8">
        <w:rPr>
          <w:b/>
          <w:szCs w:val="22"/>
        </w:rPr>
        <w:t>Competitive Preference Priority #2</w:t>
      </w:r>
      <w:r w:rsidRPr="00AF1CF8">
        <w:rPr>
          <w:szCs w:val="22"/>
        </w:rPr>
        <w:t>: Financial Literacy to give Hispanic and low-income students the tools and knowledge to make informed financial decisions.</w:t>
      </w:r>
    </w:p>
    <w:p w14:paraId="24D5D331" w14:textId="77777777" w:rsidR="007712E5" w:rsidRPr="00AF1CF8" w:rsidRDefault="007712E5" w:rsidP="007712E5">
      <w:pPr>
        <w:pStyle w:val="BodyText"/>
        <w:rPr>
          <w:szCs w:val="22"/>
        </w:rPr>
      </w:pPr>
    </w:p>
    <w:p w14:paraId="3A13B739" w14:textId="77777777" w:rsidR="007712E5" w:rsidRPr="00AF1CF8" w:rsidRDefault="007712E5" w:rsidP="007712E5">
      <w:pPr>
        <w:pStyle w:val="BodyText"/>
        <w:rPr>
          <w:szCs w:val="22"/>
        </w:rPr>
      </w:pPr>
      <w:r w:rsidRPr="00AF1CF8">
        <w:rPr>
          <w:b/>
          <w:szCs w:val="22"/>
        </w:rPr>
        <w:t>Amount Requested</w:t>
      </w:r>
      <w:r w:rsidRPr="00AF1CF8">
        <w:rPr>
          <w:szCs w:val="22"/>
        </w:rPr>
        <w:t>: The Project’s overall five-year budget of $2,968,000 is cost-efficient, reasonable, and necessary. MAPS will have a lasting impact as SFCC will sustain and institutionalize grant initiatives beyond the five-year funding period.</w:t>
      </w:r>
    </w:p>
    <w:p w14:paraId="4E0A3E67" w14:textId="63AD13FE" w:rsidR="007712E5" w:rsidRPr="00AF1CF8" w:rsidRDefault="007D44B3" w:rsidP="007712E5">
      <w:pPr>
        <w:pStyle w:val="BodyText"/>
        <w:rPr>
          <w:szCs w:val="22"/>
        </w:rPr>
      </w:pPr>
      <w:r w:rsidRPr="00AF1CF8">
        <w:rPr>
          <w:szCs w:val="22"/>
        </w:rPr>
        <w:t xml:space="preserve"> </w:t>
      </w:r>
    </w:p>
    <w:p w14:paraId="3F328082" w14:textId="3BB12BB9" w:rsidR="00143167" w:rsidRPr="00AF1CF8" w:rsidRDefault="00143167" w:rsidP="00634CAD">
      <w:pPr>
        <w:pStyle w:val="Heading1"/>
      </w:pPr>
      <w:r w:rsidRPr="00AF1CF8">
        <w:t>P031S190283</w:t>
      </w:r>
      <w:r w:rsidR="00FF4AE4" w:rsidRPr="00AF1CF8">
        <w:t xml:space="preserve"> </w:t>
      </w:r>
      <w:r w:rsidR="00FF4AE4" w:rsidRPr="00AF1CF8">
        <w:br/>
        <w:t>The University of New Mexico, NM</w:t>
      </w:r>
    </w:p>
    <w:p w14:paraId="0F78D1EC" w14:textId="77777777" w:rsidR="00143167" w:rsidRPr="00AF1CF8" w:rsidRDefault="00143167" w:rsidP="00143167">
      <w:pPr>
        <w:pStyle w:val="BodyText"/>
        <w:rPr>
          <w:szCs w:val="22"/>
        </w:rPr>
      </w:pPr>
    </w:p>
    <w:p w14:paraId="291A0448" w14:textId="77777777" w:rsidR="00143167" w:rsidRPr="00AF1CF8" w:rsidRDefault="00143167" w:rsidP="00143167">
      <w:pPr>
        <w:pStyle w:val="BodyText"/>
        <w:tabs>
          <w:tab w:val="left" w:pos="3781"/>
          <w:tab w:val="left" w:pos="4914"/>
        </w:tabs>
        <w:rPr>
          <w:szCs w:val="22"/>
        </w:rPr>
      </w:pPr>
      <w:r w:rsidRPr="00AF1CF8">
        <w:rPr>
          <w:szCs w:val="22"/>
        </w:rPr>
        <w:t>The University of</w:t>
      </w:r>
      <w:r w:rsidRPr="00AF1CF8">
        <w:rPr>
          <w:spacing w:val="-8"/>
          <w:szCs w:val="22"/>
        </w:rPr>
        <w:t xml:space="preserve"> </w:t>
      </w:r>
      <w:r w:rsidRPr="00AF1CF8">
        <w:rPr>
          <w:szCs w:val="22"/>
        </w:rPr>
        <w:t>New</w:t>
      </w:r>
      <w:r w:rsidRPr="00AF1CF8">
        <w:rPr>
          <w:spacing w:val="1"/>
          <w:szCs w:val="22"/>
        </w:rPr>
        <w:t xml:space="preserve"> </w:t>
      </w:r>
      <w:r w:rsidRPr="00AF1CF8">
        <w:rPr>
          <w:szCs w:val="22"/>
        </w:rPr>
        <w:t>Mexico – Taos (UNM-</w:t>
      </w:r>
      <w:r w:rsidRPr="00AF1CF8" w:rsidDel="005B25AC">
        <w:rPr>
          <w:szCs w:val="22"/>
        </w:rPr>
        <w:t>Taos</w:t>
      </w:r>
      <w:r w:rsidRPr="00AF1CF8">
        <w:rPr>
          <w:szCs w:val="22"/>
        </w:rPr>
        <w:t>) is a two-year community college serving the unique tri-cultural communities of northcentral New Mexico. This proposed Title V DHSI</w:t>
      </w:r>
      <w:r w:rsidRPr="00AF1CF8">
        <w:rPr>
          <w:spacing w:val="-7"/>
          <w:szCs w:val="22"/>
        </w:rPr>
        <w:t xml:space="preserve"> </w:t>
      </w:r>
      <w:r w:rsidRPr="00AF1CF8">
        <w:rPr>
          <w:szCs w:val="22"/>
        </w:rPr>
        <w:t>Project, “</w:t>
      </w:r>
      <w:r w:rsidRPr="00AF1CF8">
        <w:rPr>
          <w:b/>
          <w:i/>
          <w:szCs w:val="22"/>
        </w:rPr>
        <w:t>Cultivamos</w:t>
      </w:r>
      <w:r w:rsidRPr="00AF1CF8">
        <w:rPr>
          <w:szCs w:val="22"/>
        </w:rPr>
        <w:t>” will address economic and educational barriers that keep</w:t>
      </w:r>
      <w:r w:rsidRPr="00AF1CF8">
        <w:rPr>
          <w:spacing w:val="-5"/>
          <w:szCs w:val="22"/>
        </w:rPr>
        <w:t xml:space="preserve"> </w:t>
      </w:r>
      <w:r w:rsidRPr="00AF1CF8">
        <w:rPr>
          <w:szCs w:val="22"/>
        </w:rPr>
        <w:t>the region’s communities and residents from having access to quality postsecondary opportunities.</w:t>
      </w:r>
    </w:p>
    <w:p w14:paraId="662304D0" w14:textId="77777777" w:rsidR="00143167" w:rsidRPr="00AF1CF8" w:rsidRDefault="00143167" w:rsidP="00143167">
      <w:pPr>
        <w:pStyle w:val="BodyText"/>
        <w:rPr>
          <w:szCs w:val="22"/>
        </w:rPr>
      </w:pPr>
      <w:r w:rsidRPr="00AF1CF8">
        <w:rPr>
          <w:szCs w:val="22"/>
        </w:rPr>
        <w:t xml:space="preserve">The </w:t>
      </w:r>
      <w:r w:rsidRPr="00AF1CF8">
        <w:rPr>
          <w:b/>
          <w:i/>
          <w:szCs w:val="22"/>
        </w:rPr>
        <w:t>Cultivamos</w:t>
      </w:r>
      <w:r w:rsidRPr="00AF1CF8">
        <w:rPr>
          <w:i/>
          <w:szCs w:val="22"/>
        </w:rPr>
        <w:t xml:space="preserve"> Project involves building systemic capacity to increase our persistence, graduation and transfer rates in response to significant regional needs and challenges.</w:t>
      </w:r>
    </w:p>
    <w:p w14:paraId="687C846A" w14:textId="77777777" w:rsidR="00143167" w:rsidRPr="00AF1CF8" w:rsidRDefault="00143167" w:rsidP="00143167">
      <w:pPr>
        <w:pStyle w:val="BodyText"/>
        <w:rPr>
          <w:szCs w:val="22"/>
        </w:rPr>
      </w:pPr>
    </w:p>
    <w:p w14:paraId="0BF0C315" w14:textId="77777777" w:rsidR="00143167" w:rsidRPr="00AF1CF8" w:rsidRDefault="00143167" w:rsidP="00143167">
      <w:pPr>
        <w:pStyle w:val="BodyText"/>
        <w:rPr>
          <w:szCs w:val="22"/>
        </w:rPr>
      </w:pPr>
      <w:r w:rsidRPr="00AF1CF8">
        <w:rPr>
          <w:szCs w:val="22"/>
        </w:rPr>
        <w:t xml:space="preserve">The Project will develop sustainable capacity to support </w:t>
      </w:r>
      <w:r w:rsidRPr="00AF1CF8">
        <w:rPr>
          <w:b/>
          <w:i/>
          <w:szCs w:val="22"/>
          <w:u w:val="single"/>
        </w:rPr>
        <w:t>Academic Pathways</w:t>
      </w:r>
      <w:r w:rsidRPr="00AF1CF8">
        <w:rPr>
          <w:szCs w:val="22"/>
        </w:rPr>
        <w:t xml:space="preserve"> and </w:t>
      </w:r>
      <w:r w:rsidRPr="00AF1CF8">
        <w:rPr>
          <w:b/>
          <w:i/>
          <w:szCs w:val="22"/>
          <w:u w:val="single"/>
        </w:rPr>
        <w:t>Student Success Initiatives</w:t>
      </w:r>
      <w:r w:rsidRPr="00AF1CF8">
        <w:rPr>
          <w:szCs w:val="22"/>
        </w:rPr>
        <w:t xml:space="preserve"> and will (a) improve the college readiness of high school students for postsecondary education through the Bridge to College Pathway, (b) develop the Guided Pathway model to reduce student time and cost to baccalaureate degree, (c) create Meta-Majors to give students the flexibility to move between majors, (d) improve complete rates in transfer- level English, math, and core gateway courses, (e) integrate academic support system with case management practices to keep students on track to graduation, (f) establish a faculty professional development program focusing on the learning needs of Hispanic and low-income</w:t>
      </w:r>
      <w:r w:rsidRPr="00AF1CF8">
        <w:rPr>
          <w:spacing w:val="-16"/>
          <w:szCs w:val="22"/>
        </w:rPr>
        <w:t xml:space="preserve"> </w:t>
      </w:r>
      <w:r w:rsidRPr="00AF1CF8">
        <w:rPr>
          <w:szCs w:val="22"/>
        </w:rPr>
        <w:t>students, (g) create a Transfer-Going Culture that promotes transfer as an institutional priority, (i) increase the capability of students to make informed financial decisions, and (j) expand course offering in Biology and Chemistry to improve access, completion and transfer rates of Hispanic and low- income students in the STEM disciplines.</w:t>
      </w:r>
    </w:p>
    <w:p w14:paraId="2E78B7AC" w14:textId="77777777" w:rsidR="00143167" w:rsidRPr="00AF1CF8" w:rsidRDefault="00143167" w:rsidP="00143167">
      <w:pPr>
        <w:pStyle w:val="BodyText"/>
        <w:rPr>
          <w:szCs w:val="22"/>
        </w:rPr>
      </w:pPr>
    </w:p>
    <w:p w14:paraId="59878807" w14:textId="1F8DD34A" w:rsidR="00143167" w:rsidRPr="00AF1CF8" w:rsidRDefault="00143167" w:rsidP="00143167">
      <w:pPr>
        <w:pStyle w:val="BodyText"/>
        <w:rPr>
          <w:szCs w:val="22"/>
        </w:rPr>
      </w:pPr>
      <w:r w:rsidRPr="00AF1CF8">
        <w:rPr>
          <w:szCs w:val="22"/>
        </w:rPr>
        <w:t>The Project will have measurable outcomes in three areas: (1) Increases the number of Hispanic and other low-income students enrolled in and succeeding in postsecondary education,</w:t>
      </w:r>
      <w:r w:rsidR="00EB748D">
        <w:rPr>
          <w:szCs w:val="22"/>
        </w:rPr>
        <w:t xml:space="preserve"> </w:t>
      </w:r>
      <w:r w:rsidRPr="00BB223B">
        <w:rPr>
          <w:szCs w:val="22"/>
        </w:rPr>
        <w:t>(2) increases the capacity of faculty to teach effectively to Hispanic and low-income students, and (3) increases the p</w:t>
      </w:r>
      <w:r w:rsidRPr="00AF1CF8">
        <w:rPr>
          <w:szCs w:val="22"/>
        </w:rPr>
        <w:t>ersistence, graduation and transfer rates of students at UNM-Taos.</w:t>
      </w:r>
    </w:p>
    <w:p w14:paraId="3F7A689B" w14:textId="77777777" w:rsidR="00143167" w:rsidRPr="00AF1CF8" w:rsidRDefault="00143167" w:rsidP="00143167">
      <w:pPr>
        <w:pStyle w:val="BodyText"/>
        <w:rPr>
          <w:szCs w:val="22"/>
        </w:rPr>
      </w:pPr>
    </w:p>
    <w:p w14:paraId="560BEA02" w14:textId="11E26C3D" w:rsidR="00143167" w:rsidRPr="00EB748D" w:rsidRDefault="00143167" w:rsidP="00143167">
      <w:pPr>
        <w:pStyle w:val="BodyText"/>
        <w:rPr>
          <w:szCs w:val="22"/>
        </w:rPr>
      </w:pPr>
      <w:r w:rsidRPr="00AF1CF8">
        <w:rPr>
          <w:b/>
          <w:szCs w:val="22"/>
        </w:rPr>
        <w:t>Amount</w:t>
      </w:r>
      <w:r w:rsidRPr="00AF1CF8" w:rsidDel="005D5400">
        <w:rPr>
          <w:b/>
          <w:szCs w:val="22"/>
        </w:rPr>
        <w:t xml:space="preserve"> </w:t>
      </w:r>
      <w:r w:rsidRPr="00AF1CF8">
        <w:rPr>
          <w:b/>
          <w:szCs w:val="22"/>
        </w:rPr>
        <w:t>Requested</w:t>
      </w:r>
      <w:r w:rsidRPr="00AF1CF8">
        <w:rPr>
          <w:szCs w:val="22"/>
        </w:rPr>
        <w:t>: The Project’s</w:t>
      </w:r>
      <w:r w:rsidRPr="00AF1CF8">
        <w:rPr>
          <w:spacing w:val="7"/>
          <w:szCs w:val="22"/>
        </w:rPr>
        <w:t xml:space="preserve"> </w:t>
      </w:r>
      <w:r w:rsidRPr="00AF1CF8">
        <w:rPr>
          <w:szCs w:val="22"/>
        </w:rPr>
        <w:t>five-year budget of $2,679,961 represents a cost- efficient approach. Only 13</w:t>
      </w:r>
      <w:r w:rsidR="00A23357" w:rsidRPr="00AF1CF8">
        <w:rPr>
          <w:szCs w:val="22"/>
        </w:rPr>
        <w:t xml:space="preserve"> percent</w:t>
      </w:r>
      <w:r w:rsidRPr="00EB748D">
        <w:rPr>
          <w:szCs w:val="22"/>
        </w:rPr>
        <w:t xml:space="preserve"> of the budget is allocated to project management ($361,991 over five years). This budget request includes 84</w:t>
      </w:r>
      <w:r w:rsidR="00A23357" w:rsidRPr="00AF1CF8">
        <w:rPr>
          <w:szCs w:val="22"/>
        </w:rPr>
        <w:t xml:space="preserve"> percent</w:t>
      </w:r>
      <w:r w:rsidRPr="00EB748D">
        <w:rPr>
          <w:szCs w:val="22"/>
        </w:rPr>
        <w:t xml:space="preserve"> for salary and fringe benefits, </w:t>
      </w:r>
      <w:r w:rsidR="00A23357" w:rsidRPr="00AF1CF8">
        <w:rPr>
          <w:szCs w:val="22"/>
        </w:rPr>
        <w:t>three percent</w:t>
      </w:r>
      <w:r w:rsidRPr="00EB748D">
        <w:rPr>
          <w:szCs w:val="22"/>
        </w:rPr>
        <w:t xml:space="preserve"> for travel, </w:t>
      </w:r>
      <w:r w:rsidR="00A23357" w:rsidRPr="00AF1CF8">
        <w:rPr>
          <w:szCs w:val="22"/>
        </w:rPr>
        <w:t>five percent</w:t>
      </w:r>
      <w:r w:rsidRPr="00EB748D">
        <w:rPr>
          <w:szCs w:val="22"/>
        </w:rPr>
        <w:t xml:space="preserve"> for equipment and supplies; and </w:t>
      </w:r>
      <w:r w:rsidR="00A23357" w:rsidRPr="00AF1CF8">
        <w:rPr>
          <w:szCs w:val="22"/>
        </w:rPr>
        <w:t>eight percent</w:t>
      </w:r>
      <w:r w:rsidRPr="00EB748D">
        <w:rPr>
          <w:szCs w:val="22"/>
        </w:rPr>
        <w:t xml:space="preserve"> for other (professional development and external evaluation).</w:t>
      </w:r>
    </w:p>
    <w:p w14:paraId="221D378E" w14:textId="77777777" w:rsidR="00143167" w:rsidRPr="00BB223B" w:rsidRDefault="00143167" w:rsidP="00143167">
      <w:pPr>
        <w:pStyle w:val="BodyText"/>
        <w:rPr>
          <w:w w:val="105"/>
          <w:szCs w:val="22"/>
        </w:rPr>
      </w:pPr>
    </w:p>
    <w:p w14:paraId="55E8FA7B" w14:textId="77777777" w:rsidR="00143167" w:rsidRPr="00AF1CF8" w:rsidRDefault="00143167" w:rsidP="00143167">
      <w:pPr>
        <w:pStyle w:val="BodyText"/>
        <w:rPr>
          <w:b/>
          <w:w w:val="105"/>
          <w:szCs w:val="22"/>
        </w:rPr>
      </w:pPr>
      <w:r w:rsidRPr="00AF1CF8">
        <w:rPr>
          <w:b/>
          <w:w w:val="105"/>
          <w:szCs w:val="22"/>
        </w:rPr>
        <w:t>The Cultivamos Project addresses Competitive Preference Priority #2: Financial Literacy</w:t>
      </w:r>
    </w:p>
    <w:p w14:paraId="55BD05E0" w14:textId="5DC36DE0" w:rsidR="00143167" w:rsidRPr="00AF1CF8" w:rsidRDefault="00FF4AE4" w:rsidP="00143167">
      <w:pPr>
        <w:pStyle w:val="BodyText"/>
        <w:rPr>
          <w:w w:val="105"/>
          <w:szCs w:val="22"/>
        </w:rPr>
      </w:pPr>
      <w:r w:rsidRPr="00AF1CF8">
        <w:rPr>
          <w:w w:val="105"/>
          <w:szCs w:val="22"/>
        </w:rPr>
        <w:t xml:space="preserve"> </w:t>
      </w:r>
    </w:p>
    <w:p w14:paraId="2D5B0CC2" w14:textId="190534E9" w:rsidR="00EC1541" w:rsidRPr="00AF1CF8" w:rsidRDefault="00EC1541" w:rsidP="00143167">
      <w:pPr>
        <w:pStyle w:val="BodyText"/>
        <w:rPr>
          <w:w w:val="105"/>
          <w:szCs w:val="22"/>
        </w:rPr>
      </w:pPr>
    </w:p>
    <w:p w14:paraId="598FFFCA" w14:textId="16E722C3" w:rsidR="00EC1541" w:rsidRPr="00AF1CF8" w:rsidRDefault="00EC1541" w:rsidP="00634CAD">
      <w:pPr>
        <w:pStyle w:val="Heading1"/>
      </w:pPr>
      <w:r w:rsidRPr="00AF1CF8">
        <w:t>P031S190191</w:t>
      </w:r>
      <w:r w:rsidR="00F3240D" w:rsidRPr="00AF1CF8">
        <w:t xml:space="preserve"> </w:t>
      </w:r>
      <w:r w:rsidR="00F3240D" w:rsidRPr="00AF1CF8">
        <w:br/>
        <w:t>LaGuardia Community College, NY</w:t>
      </w:r>
    </w:p>
    <w:p w14:paraId="58801579" w14:textId="77777777" w:rsidR="00F3240D" w:rsidRPr="00AF1CF8" w:rsidRDefault="00F3240D" w:rsidP="00AF1CF8"/>
    <w:p w14:paraId="43A8CB00" w14:textId="77777777" w:rsidR="00EC1541" w:rsidRPr="00AF1CF8" w:rsidRDefault="00EC1541" w:rsidP="00AF1CF8">
      <w:pPr>
        <w:rPr>
          <w:b/>
        </w:rPr>
      </w:pPr>
      <w:r w:rsidRPr="00AF1CF8">
        <w:rPr>
          <w:b/>
        </w:rPr>
        <w:t xml:space="preserve">Project </w:t>
      </w:r>
      <w:r w:rsidRPr="00AF1CF8">
        <w:rPr>
          <w:b/>
          <w:i/>
        </w:rPr>
        <w:t xml:space="preserve">CONEXIÓN: </w:t>
      </w:r>
      <w:r w:rsidRPr="00AF1CF8">
        <w:rPr>
          <w:b/>
        </w:rPr>
        <w:t>Comprehensive Support for Student Success</w:t>
      </w:r>
    </w:p>
    <w:p w14:paraId="3D808702" w14:textId="77777777" w:rsidR="00EC1541" w:rsidRPr="00AF1CF8" w:rsidRDefault="00EC1541" w:rsidP="00AF1CF8">
      <w:pPr>
        <w:rPr>
          <w:b/>
          <w:bCs/>
        </w:rPr>
      </w:pPr>
      <w:r w:rsidRPr="00AF1CF8">
        <w:rPr>
          <w:b/>
        </w:rPr>
        <w:t>LaGuardia Community College, CUNY</w:t>
      </w:r>
    </w:p>
    <w:p w14:paraId="06C82090" w14:textId="77777777" w:rsidR="00EC1541" w:rsidRPr="00AF1CF8" w:rsidRDefault="00EC1541" w:rsidP="00EC1541">
      <w:pPr>
        <w:rPr>
          <w:b/>
        </w:rPr>
      </w:pPr>
    </w:p>
    <w:p w14:paraId="4695D6B4" w14:textId="5CC09753" w:rsidR="00EC1541" w:rsidRPr="00AF1CF8" w:rsidRDefault="00EC1541" w:rsidP="00EC1541">
      <w:r w:rsidRPr="00AF1CF8">
        <w:t>LaGuardia Community College is a powerful success engine for Hispanic and low-income students. Each year LaGuardia serves 18,000 credit students: 80</w:t>
      </w:r>
      <w:r w:rsidR="00A23357" w:rsidRPr="00EB748D">
        <w:t xml:space="preserve"> percent</w:t>
      </w:r>
      <w:r w:rsidRPr="00AF1CF8">
        <w:t xml:space="preserve"> of them “minority,” 40</w:t>
      </w:r>
      <w:r w:rsidR="00A23357" w:rsidRPr="00EB748D">
        <w:t xml:space="preserve"> percent</w:t>
      </w:r>
      <w:r w:rsidRPr="00AF1CF8">
        <w:t xml:space="preserve"> Hispanic, 70</w:t>
      </w:r>
      <w:r w:rsidR="00A23357" w:rsidRPr="00EB748D">
        <w:t xml:space="preserve"> percent</w:t>
      </w:r>
      <w:r w:rsidRPr="00AF1CF8">
        <w:t xml:space="preserve"> low-income. To serve these students, LaGuardia has implemented an array of innovations and doubled its graduation rate. Stanford’s </w:t>
      </w:r>
      <w:r w:rsidRPr="00AF1CF8">
        <w:rPr>
          <w:i/>
        </w:rPr>
        <w:t xml:space="preserve">Mobility Report Card </w:t>
      </w:r>
      <w:r w:rsidRPr="00AF1CF8">
        <w:t>ranked LaGuardia in the top five community colleges nationwide in moving low-income students to the middle class.</w:t>
      </w:r>
    </w:p>
    <w:p w14:paraId="7D5A9F8A" w14:textId="77777777" w:rsidR="00EC1541" w:rsidRPr="00AF1CF8" w:rsidRDefault="00EC1541" w:rsidP="00EC1541"/>
    <w:p w14:paraId="18A75D68" w14:textId="77777777" w:rsidR="00EC1541" w:rsidRPr="00AF1CF8" w:rsidRDefault="00EC1541" w:rsidP="00EC1541">
      <w:r w:rsidRPr="00AF1CF8">
        <w:t>Yet LaGuardia has vital work to do in order to fulfill its mission. Thousands of our admitted students fail to navigate the registration process, dramatically undercutting access to the benefits of a LaGuardia education. We must more effectively support students through the registration process. At the same time, to further improve persistence and completion rates, we must advance new strategies to help students pursue their paths to graduation, transfer, and meaningful careers.</w:t>
      </w:r>
    </w:p>
    <w:p w14:paraId="67B72463" w14:textId="77777777" w:rsidR="00EC1541" w:rsidRPr="00AF1CF8" w:rsidRDefault="00EC1541" w:rsidP="00EC1541"/>
    <w:p w14:paraId="77FBE059" w14:textId="44C4AC62" w:rsidR="00EC1541" w:rsidRPr="00AF1CF8" w:rsidRDefault="00EC1541" w:rsidP="00EC1541">
      <w:r w:rsidRPr="00AF1CF8">
        <w:t xml:space="preserve">Guided by rigorous, What Works Clearinghouse-accepted research and the theory of Integrative Design, </w:t>
      </w:r>
      <w:r w:rsidRPr="00AF1CF8">
        <w:rPr>
          <w:i/>
        </w:rPr>
        <w:t xml:space="preserve">CONEXIÓN </w:t>
      </w:r>
      <w:r w:rsidRPr="00AF1CF8">
        <w:t>will extend and strengthen LaGuardia’s Guided Learning Pathway. It will advance both access and success via three interlocking Major Tasks:</w:t>
      </w:r>
    </w:p>
    <w:p w14:paraId="4815F4E2" w14:textId="0D604E4F" w:rsidR="00F3240D" w:rsidRPr="00AF1CF8" w:rsidRDefault="00F3240D" w:rsidP="00EC1541"/>
    <w:p w14:paraId="42A8D5C3" w14:textId="400994B9" w:rsidR="00F3240D" w:rsidRPr="00AF1CF8" w:rsidRDefault="00C0542F" w:rsidP="00C0542F">
      <w:r w:rsidRPr="00AF1CF8">
        <w:rPr>
          <w:b/>
          <w:bCs/>
        </w:rPr>
        <w:t xml:space="preserve">Major Task 1 - </w:t>
      </w:r>
      <w:r w:rsidR="003351F7" w:rsidRPr="00AF1CF8">
        <w:rPr>
          <w:b/>
          <w:bCs/>
        </w:rPr>
        <w:t xml:space="preserve">Connect to College: </w:t>
      </w:r>
      <w:r w:rsidR="003351F7" w:rsidRPr="00AF1CF8">
        <w:t>LaGuardia will expand access through improved pre-registration activity, engaging digital media, peer mentors, and accessible career and workforce information to reduce “enrollment melt.”</w:t>
      </w:r>
    </w:p>
    <w:p w14:paraId="5EC1345C" w14:textId="02ACE2FA" w:rsidR="00312E54" w:rsidRPr="00AF1CF8" w:rsidRDefault="00C0542F" w:rsidP="00312E54">
      <w:r w:rsidRPr="00AF1CF8">
        <w:rPr>
          <w:b/>
          <w:bCs/>
        </w:rPr>
        <w:t xml:space="preserve">Major Task 2 - </w:t>
      </w:r>
      <w:r w:rsidR="00312E54" w:rsidRPr="00AF1CF8">
        <w:rPr>
          <w:b/>
          <w:bCs/>
        </w:rPr>
        <w:t xml:space="preserve">Connect to Completion: </w:t>
      </w:r>
      <w:r w:rsidR="00312E54" w:rsidRPr="00AF1CF8">
        <w:t>LaGuardia will build success via improved advisement with new digital media and advance purpose-driven, competency-focused learning through assessment, curriculum design, and faculty development.</w:t>
      </w:r>
    </w:p>
    <w:p w14:paraId="5F1FF7AD" w14:textId="77777777" w:rsidR="00C0542F" w:rsidRPr="00AF1CF8" w:rsidRDefault="00C0542F" w:rsidP="00C0542F">
      <w:r w:rsidRPr="00AF1CF8">
        <w:rPr>
          <w:b/>
          <w:bCs/>
        </w:rPr>
        <w:t xml:space="preserve">Major Task 3 - </w:t>
      </w:r>
      <w:r w:rsidR="002D0EED" w:rsidRPr="00AF1CF8">
        <w:rPr>
          <w:b/>
          <w:bCs/>
        </w:rPr>
        <w:t xml:space="preserve">Connect to Career &amp; Transfer: </w:t>
      </w:r>
      <w:r w:rsidR="002D0EED" w:rsidRPr="00AF1CF8">
        <w:t>LaGuardia will engage alumni, employers, advisement and Capstone courses to reinforce purposeful transfer and career planning, preparing students for successful futures.</w:t>
      </w:r>
    </w:p>
    <w:p w14:paraId="5CC90C90" w14:textId="3C713C38" w:rsidR="00EC1541" w:rsidRPr="00AF1CF8" w:rsidRDefault="00C0542F" w:rsidP="00EB748D">
      <w:r w:rsidRPr="00AF1CF8">
        <w:t xml:space="preserve"> </w:t>
      </w:r>
    </w:p>
    <w:p w14:paraId="27F3D4CB" w14:textId="77777777" w:rsidR="00EC1541" w:rsidRPr="00AF1CF8" w:rsidRDefault="00EC1541" w:rsidP="00EC1541">
      <w:r w:rsidRPr="00AF1CF8">
        <w:t xml:space="preserve">Building financial literacy (Competitive Preference Priority #2) is central to </w:t>
      </w:r>
      <w:r w:rsidRPr="00AF1CF8">
        <w:rPr>
          <w:i/>
        </w:rPr>
        <w:t>CONEXIÓN</w:t>
      </w:r>
      <w:r w:rsidRPr="00AF1CF8">
        <w:t>. Yet it is not set aside as a discrete activity. Rather, financial literacy and career development activities are woven skillfully through each Major Task, building students’ career plans and money management skills as they progress through College. Similarly</w:t>
      </w:r>
      <w:r w:rsidRPr="00AF1CF8">
        <w:rPr>
          <w:i/>
        </w:rPr>
        <w:t xml:space="preserve">, CONEXIÓN </w:t>
      </w:r>
      <w:r w:rsidRPr="00AF1CF8">
        <w:t>will deploy digital tools across the project, using them to connect students to ideas and information; to connect them with faculty and advisors; to connect them with learning and success.</w:t>
      </w:r>
    </w:p>
    <w:p w14:paraId="5037397A" w14:textId="77777777" w:rsidR="00EC1541" w:rsidRPr="00AF1CF8" w:rsidRDefault="00EC1541" w:rsidP="00EC1541"/>
    <w:p w14:paraId="71A4CCF7" w14:textId="49593C98" w:rsidR="00EC1541" w:rsidRPr="00AF1CF8" w:rsidRDefault="00EC1541" w:rsidP="00EC1541">
      <w:r w:rsidRPr="00AF1CF8">
        <w:t xml:space="preserve">Leveraging extant institutional strengths and resources will enable </w:t>
      </w:r>
      <w:r w:rsidRPr="00AF1CF8">
        <w:rPr>
          <w:i/>
        </w:rPr>
        <w:t xml:space="preserve">CONEXIÓN </w:t>
      </w:r>
      <w:r w:rsidRPr="00AF1CF8">
        <w:t xml:space="preserve">to mobilize an array of evidence-based innovations and quickly go to scale. Yet </w:t>
      </w:r>
      <w:r w:rsidRPr="00AF1CF8">
        <w:rPr>
          <w:i/>
        </w:rPr>
        <w:t xml:space="preserve">CONEXIÓN’s </w:t>
      </w:r>
      <w:r w:rsidRPr="00AF1CF8">
        <w:t xml:space="preserve">true power is the way it will combine these innovations to create clear, purposeful pathways to completion, advanced education, and rewarding careers for </w:t>
      </w:r>
      <w:r w:rsidR="00A23357" w:rsidRPr="00EB748D">
        <w:t>more than</w:t>
      </w:r>
      <w:r w:rsidRPr="00AF1CF8">
        <w:t xml:space="preserve"> 60,000 high need students.</w:t>
      </w:r>
    </w:p>
    <w:p w14:paraId="5A582327" w14:textId="77777777" w:rsidR="00EC1541" w:rsidRPr="00AF1CF8" w:rsidRDefault="00EC1541" w:rsidP="00EC1541"/>
    <w:p w14:paraId="23DDA9EF" w14:textId="77777777" w:rsidR="00EC1541" w:rsidRPr="00AF1CF8" w:rsidRDefault="00EC1541" w:rsidP="00EC1541">
      <w:r w:rsidRPr="00AF1CF8">
        <w:t xml:space="preserve">The promise of </w:t>
      </w:r>
      <w:r w:rsidRPr="00AF1CF8">
        <w:rPr>
          <w:i/>
        </w:rPr>
        <w:t xml:space="preserve">Project CONEXIÓN </w:t>
      </w:r>
      <w:r w:rsidRPr="00AF1CF8">
        <w:t xml:space="preserve">is underscored by its name. In Spanish, </w:t>
      </w:r>
      <w:r w:rsidRPr="00AF1CF8">
        <w:rPr>
          <w:i/>
        </w:rPr>
        <w:t xml:space="preserve">conexión </w:t>
      </w:r>
      <w:r w:rsidRPr="00AF1CF8">
        <w:t xml:space="preserve">means connection. Connection can mean an internet link, an airline connection, a transfer point linking destinations. Connection involves community, a sense of belonging. Purposeful connection is vital to learning, the ability to integrate ideas and information and apply them to new tasks. At LaGuardia, </w:t>
      </w:r>
      <w:r w:rsidRPr="00AF1CF8">
        <w:rPr>
          <w:i/>
        </w:rPr>
        <w:t xml:space="preserve">Project CONEXIÓN </w:t>
      </w:r>
      <w:r w:rsidRPr="00AF1CF8">
        <w:t>will help us connect thousands of students to education and career pathways and demonstrate new institutional strategies for meeting the challenges of 21</w:t>
      </w:r>
      <w:r w:rsidRPr="00AF1CF8">
        <w:rPr>
          <w:vertAlign w:val="superscript"/>
        </w:rPr>
        <w:t>st</w:t>
      </w:r>
      <w:r w:rsidRPr="00AF1CF8">
        <w:t xml:space="preserve"> century learners.</w:t>
      </w:r>
    </w:p>
    <w:p w14:paraId="608EC795" w14:textId="778B5F37" w:rsidR="009F2DCF" w:rsidRPr="00AF1CF8" w:rsidRDefault="009F2DCF" w:rsidP="00634CAD">
      <w:pPr>
        <w:pStyle w:val="Heading1"/>
      </w:pPr>
      <w:r w:rsidRPr="00AF1CF8">
        <w:t xml:space="preserve">P031S190172 </w:t>
      </w:r>
      <w:r w:rsidRPr="00AF1CF8">
        <w:br/>
        <w:t>SUNY Rockland Community College, NY</w:t>
      </w:r>
    </w:p>
    <w:p w14:paraId="608B7E5C" w14:textId="77777777" w:rsidR="009F2DCF" w:rsidRPr="00AF1CF8" w:rsidRDefault="009F2DCF" w:rsidP="009F2DCF">
      <w:bookmarkStart w:id="18" w:name="30-DHSI0172APP"/>
      <w:bookmarkEnd w:id="18"/>
    </w:p>
    <w:p w14:paraId="627B8A74" w14:textId="77777777" w:rsidR="009F2DCF" w:rsidRPr="00AF1CF8" w:rsidRDefault="009F2DCF" w:rsidP="009F2DCF">
      <w:pPr>
        <w:pStyle w:val="BodyText"/>
        <w:rPr>
          <w:szCs w:val="22"/>
        </w:rPr>
      </w:pPr>
      <w:r w:rsidRPr="00AF1CF8">
        <w:rPr>
          <w:szCs w:val="22"/>
        </w:rPr>
        <w:t>Rockland Community College (RCC) is committed to implementing Guided Pathways and the supporting structure that is the focus of the Title V Activity – Conexión: Connecting students to programs and resources through Guided Pathways to increase success and completion. RCC, part of the State University of New York (SUNY) system, is located in Suffern, New York, and serves more than 6,800 community college students, many of whom are Hispanic, low-income, and first-generation college students.</w:t>
      </w:r>
    </w:p>
    <w:p w14:paraId="387B67B9" w14:textId="77777777" w:rsidR="009F2DCF" w:rsidRPr="00AF1CF8" w:rsidRDefault="009F2DCF" w:rsidP="009F2DCF">
      <w:pPr>
        <w:pStyle w:val="BodyText"/>
        <w:rPr>
          <w:szCs w:val="22"/>
        </w:rPr>
      </w:pPr>
    </w:p>
    <w:p w14:paraId="7146E70A" w14:textId="77777777" w:rsidR="009F2DCF" w:rsidRPr="00AF1CF8" w:rsidRDefault="009F2DCF" w:rsidP="009F2DCF">
      <w:pPr>
        <w:pStyle w:val="BodyText"/>
        <w:rPr>
          <w:szCs w:val="22"/>
        </w:rPr>
      </w:pPr>
      <w:r w:rsidRPr="00AF1CF8">
        <w:rPr>
          <w:szCs w:val="22"/>
        </w:rPr>
        <w:t>RCC is already investing in the implementation of Guided Pathways with the development of five Guided Pathway teams and has made progress developing the plans for five Guided Pathway schools that include a holistic approach to serving students from onboarding through completion. Full implementation of Guided Pathways is an institutional goal, and this goal formed the basis of the Title V Task Force analysis of RCC’s strengths and weaknesses. The results led RCC's Title V Development Task Force to focus on building the institutional infrastructure to support Guided Pathways implementation including a holistic approach to student success by improving advising and support services, access to information, utilization of technology, and faculty and staff development. Evidence-based strategies to be implemented are designed to increase student success and are aligned with the four pillars of Guided Pathways: clarify the paths, help students get on a path, help students stay on their path, and ensure students are learning. The primary strategies to be implemented include the</w:t>
      </w:r>
      <w:r w:rsidRPr="00AF1CF8">
        <w:rPr>
          <w:spacing w:val="-5"/>
          <w:szCs w:val="22"/>
        </w:rPr>
        <w:t xml:space="preserve"> </w:t>
      </w:r>
      <w:r w:rsidRPr="00AF1CF8">
        <w:rPr>
          <w:szCs w:val="22"/>
        </w:rPr>
        <w:t>following:</w:t>
      </w:r>
    </w:p>
    <w:p w14:paraId="481A6BBC" w14:textId="77777777" w:rsidR="009F2DCF" w:rsidRPr="00AF1CF8" w:rsidRDefault="009F2DCF" w:rsidP="009F2DCF">
      <w:pPr>
        <w:pStyle w:val="BodyText"/>
        <w:numPr>
          <w:ilvl w:val="0"/>
          <w:numId w:val="46"/>
        </w:numPr>
        <w:rPr>
          <w:szCs w:val="22"/>
        </w:rPr>
      </w:pPr>
      <w:r w:rsidRPr="00AF1CF8">
        <w:rPr>
          <w:szCs w:val="22"/>
        </w:rPr>
        <w:t>Fully implement Guided Pathways through additional resources to monitor and coordinate progress (Title V Project Director);</w:t>
      </w:r>
    </w:p>
    <w:p w14:paraId="38A3E3F0" w14:textId="77777777" w:rsidR="009F2DCF" w:rsidRPr="00AF1CF8" w:rsidRDefault="009F2DCF" w:rsidP="009F2DCF">
      <w:pPr>
        <w:pStyle w:val="BodyText"/>
        <w:numPr>
          <w:ilvl w:val="0"/>
          <w:numId w:val="46"/>
        </w:numPr>
        <w:rPr>
          <w:szCs w:val="22"/>
        </w:rPr>
      </w:pPr>
      <w:r w:rsidRPr="00AF1CF8">
        <w:rPr>
          <w:szCs w:val="22"/>
        </w:rPr>
        <w:t>Redesign First Year Experience (FYE) to include a required Introduction to the School course (as a First Year Seminar) that is contextualized to the Guided Pathway School and embed peer mentors for added support;</w:t>
      </w:r>
    </w:p>
    <w:p w14:paraId="026C4376" w14:textId="77777777" w:rsidR="009F2DCF" w:rsidRPr="00AF1CF8" w:rsidRDefault="009F2DCF" w:rsidP="009F2DCF">
      <w:pPr>
        <w:pStyle w:val="BodyText"/>
        <w:numPr>
          <w:ilvl w:val="0"/>
          <w:numId w:val="46"/>
        </w:numPr>
        <w:rPr>
          <w:szCs w:val="22"/>
        </w:rPr>
      </w:pPr>
      <w:r w:rsidRPr="00AF1CF8">
        <w:rPr>
          <w:szCs w:val="22"/>
        </w:rPr>
        <w:t>Expand and improve financial literacy instruction to begin during the first semester and extending through to completion. (CPP-2);</w:t>
      </w:r>
    </w:p>
    <w:p w14:paraId="0E64AE1B" w14:textId="77777777" w:rsidR="009F2DCF" w:rsidRPr="00AF1CF8" w:rsidRDefault="009F2DCF" w:rsidP="009F2DCF">
      <w:pPr>
        <w:pStyle w:val="BodyText"/>
        <w:numPr>
          <w:ilvl w:val="0"/>
          <w:numId w:val="46"/>
        </w:numPr>
        <w:rPr>
          <w:szCs w:val="22"/>
        </w:rPr>
      </w:pPr>
      <w:r w:rsidRPr="00AF1CF8">
        <w:rPr>
          <w:szCs w:val="22"/>
        </w:rPr>
        <w:t>Redesign advising from onboarding to completion to create holistic approach by creating Student Success Teams and creating Student Success Collaboration Labs to facilitate student engagement with faculty, advisors, and other students;</w:t>
      </w:r>
    </w:p>
    <w:p w14:paraId="47780A0B" w14:textId="77777777" w:rsidR="009F2DCF" w:rsidRPr="00AF1CF8" w:rsidRDefault="009F2DCF" w:rsidP="009F2DCF">
      <w:pPr>
        <w:pStyle w:val="BodyText"/>
        <w:numPr>
          <w:ilvl w:val="0"/>
          <w:numId w:val="46"/>
        </w:numPr>
        <w:rPr>
          <w:szCs w:val="22"/>
        </w:rPr>
      </w:pPr>
      <w:r w:rsidRPr="00AF1CF8">
        <w:rPr>
          <w:szCs w:val="22"/>
        </w:rPr>
        <w:t>Transform Somos el Futuro from a Hispanic student serving club into a full program with support services, such as peer mentoring;</w:t>
      </w:r>
    </w:p>
    <w:p w14:paraId="6326165F" w14:textId="47072904" w:rsidR="009F2DCF" w:rsidRPr="00AF1CF8" w:rsidRDefault="009F2DCF" w:rsidP="009F2DCF">
      <w:pPr>
        <w:pStyle w:val="BodyText"/>
        <w:numPr>
          <w:ilvl w:val="0"/>
          <w:numId w:val="46"/>
        </w:numPr>
        <w:rPr>
          <w:szCs w:val="22"/>
        </w:rPr>
      </w:pPr>
      <w:r w:rsidRPr="00AF1CF8">
        <w:rPr>
          <w:szCs w:val="22"/>
        </w:rPr>
        <w:t xml:space="preserve">Improve the use of technology tools, including those for onboarding, communicating with students, building class schedules, degree planning, and early alert; and, </w:t>
      </w:r>
      <w:r w:rsidR="00EB748D" w:rsidRPr="00AF1CF8">
        <w:rPr>
          <w:szCs w:val="22"/>
        </w:rPr>
        <w:t>develop</w:t>
      </w:r>
      <w:r w:rsidRPr="00AF1CF8">
        <w:rPr>
          <w:szCs w:val="22"/>
        </w:rPr>
        <w:t xml:space="preserve"> robust faculty and staff development focusing on Guided Pathways, holistic advising, pedagogy, and related topics.</w:t>
      </w:r>
    </w:p>
    <w:p w14:paraId="47351433" w14:textId="77777777" w:rsidR="009F2DCF" w:rsidRPr="00AF1CF8" w:rsidRDefault="009F2DCF" w:rsidP="009F2DCF">
      <w:pPr>
        <w:pStyle w:val="BodyText"/>
        <w:rPr>
          <w:szCs w:val="22"/>
        </w:rPr>
      </w:pPr>
    </w:p>
    <w:p w14:paraId="5A54D2A0" w14:textId="77777777" w:rsidR="009F2DCF" w:rsidRPr="00AF1CF8" w:rsidRDefault="009F2DCF" w:rsidP="009F2DCF">
      <w:pPr>
        <w:pStyle w:val="BodyText"/>
        <w:rPr>
          <w:szCs w:val="22"/>
        </w:rPr>
      </w:pPr>
      <w:r w:rsidRPr="00AF1CF8">
        <w:rPr>
          <w:szCs w:val="22"/>
        </w:rPr>
        <w:t>Outcomes to be achieved include increases in participation in FYE activities; student success in targeted high DFW courses, particularly for Hispanic males; retention; use of technology tools; satisfaction with services and technology; faculty engagement in professional development; and enrollment. The primary goal of the project is to improve services to Hispanic and other students while supporting the full implementation of Guided Pathways.</w:t>
      </w:r>
    </w:p>
    <w:p w14:paraId="032125C3" w14:textId="77777777" w:rsidR="009F2DCF" w:rsidRPr="00AF1CF8" w:rsidRDefault="009F2DCF" w:rsidP="009F2DCF">
      <w:pPr>
        <w:pStyle w:val="BodyText"/>
        <w:rPr>
          <w:szCs w:val="22"/>
        </w:rPr>
      </w:pPr>
    </w:p>
    <w:p w14:paraId="29B250F4" w14:textId="5720DB6B" w:rsidR="009F2DCF" w:rsidRPr="00AF1CF8" w:rsidRDefault="009F2DCF" w:rsidP="009F2DCF">
      <w:pPr>
        <w:pStyle w:val="BodyText"/>
        <w:rPr>
          <w:szCs w:val="22"/>
        </w:rPr>
      </w:pPr>
      <w:r w:rsidRPr="00AF1CF8">
        <w:rPr>
          <w:szCs w:val="22"/>
        </w:rPr>
        <w:t>The budget requested ($2,999,547) reflects reasonable and justified expenses to achieve these objectives. The personnel category is the largest (74.5</w:t>
      </w:r>
      <w:r w:rsidR="00A23357" w:rsidRPr="00AF1CF8">
        <w:rPr>
          <w:szCs w:val="22"/>
        </w:rPr>
        <w:t xml:space="preserve"> percent</w:t>
      </w:r>
      <w:r w:rsidRPr="00AF1CF8">
        <w:rPr>
          <w:szCs w:val="22"/>
        </w:rPr>
        <w:t>) and includes a project director, three coordinators to plan and deliver project activities, peer mentors, and faculty stipends. A small travel budget (less than</w:t>
      </w:r>
      <w:r w:rsidR="00A23357" w:rsidRPr="00AF1CF8">
        <w:rPr>
          <w:szCs w:val="22"/>
        </w:rPr>
        <w:t xml:space="preserve"> one percent</w:t>
      </w:r>
      <w:r w:rsidRPr="00AF1CF8">
        <w:rPr>
          <w:szCs w:val="22"/>
        </w:rPr>
        <w:t>) is included as well as Supplies (2.8</w:t>
      </w:r>
      <w:r w:rsidR="00A23357" w:rsidRPr="00AF1CF8">
        <w:rPr>
          <w:szCs w:val="22"/>
        </w:rPr>
        <w:t xml:space="preserve"> percent</w:t>
      </w:r>
      <w:r w:rsidRPr="00AF1CF8">
        <w:rPr>
          <w:szCs w:val="22"/>
        </w:rPr>
        <w:t>). Contractual (17.1</w:t>
      </w:r>
      <w:r w:rsidR="00A23357" w:rsidRPr="00AF1CF8">
        <w:rPr>
          <w:szCs w:val="22"/>
        </w:rPr>
        <w:t xml:space="preserve"> percent</w:t>
      </w:r>
      <w:r w:rsidRPr="00AF1CF8">
        <w:rPr>
          <w:szCs w:val="22"/>
        </w:rPr>
        <w:t>) includes software licenses and external evaluation, and Construction (4.1</w:t>
      </w:r>
      <w:r w:rsidR="00A23357" w:rsidRPr="00AF1CF8">
        <w:rPr>
          <w:szCs w:val="22"/>
        </w:rPr>
        <w:t xml:space="preserve"> percent</w:t>
      </w:r>
      <w:r w:rsidRPr="00AF1CF8">
        <w:rPr>
          <w:szCs w:val="22"/>
        </w:rPr>
        <w:t>) includes necessary renovations to create the Student Success Collaboration Labs.</w:t>
      </w:r>
    </w:p>
    <w:p w14:paraId="6F9AF60A" w14:textId="77777777" w:rsidR="00156BB8" w:rsidRPr="00AF1CF8" w:rsidRDefault="00156BB8" w:rsidP="00EC1541"/>
    <w:p w14:paraId="02498017" w14:textId="7562EFEB" w:rsidR="00156BB8" w:rsidRPr="00AF1CF8" w:rsidRDefault="00156BB8" w:rsidP="00EC1541">
      <w:pPr>
        <w:sectPr w:rsidR="00156BB8" w:rsidRPr="00AF1CF8" w:rsidSect="003B1EAA">
          <w:footerReference w:type="default" r:id="rId11"/>
          <w:pgSz w:w="12240" w:h="15840" w:code="1"/>
          <w:pgMar w:top="1440" w:right="1440" w:bottom="1440" w:left="1440" w:header="0" w:footer="602" w:gutter="0"/>
          <w:cols w:space="720"/>
          <w:docGrid w:linePitch="299"/>
        </w:sectPr>
      </w:pPr>
    </w:p>
    <w:p w14:paraId="24F919AD" w14:textId="71AE93F4" w:rsidR="005739C6" w:rsidRPr="00AF1CF8" w:rsidRDefault="005739C6" w:rsidP="00634CAD">
      <w:pPr>
        <w:pStyle w:val="Heading1"/>
      </w:pPr>
      <w:r w:rsidRPr="00AF1CF8">
        <w:t>P031S190120</w:t>
      </w:r>
      <w:r w:rsidR="00794A9A" w:rsidRPr="00AF1CF8">
        <w:t xml:space="preserve"> </w:t>
      </w:r>
      <w:r w:rsidR="00794A9A" w:rsidRPr="00AF1CF8">
        <w:br/>
        <w:t>Atlantic University College, PR</w:t>
      </w:r>
    </w:p>
    <w:p w14:paraId="035AD852" w14:textId="77777777" w:rsidR="005739C6" w:rsidRPr="00AF1CF8" w:rsidRDefault="005739C6" w:rsidP="005739C6">
      <w:pPr>
        <w:rPr>
          <w:w w:val="110"/>
        </w:rPr>
      </w:pPr>
    </w:p>
    <w:p w14:paraId="0FEE1755" w14:textId="3B2D2610" w:rsidR="005739C6" w:rsidRPr="00AF1CF8" w:rsidRDefault="005739C6" w:rsidP="005739C6">
      <w:pPr>
        <w:widowControl/>
        <w:adjustRightInd w:val="0"/>
        <w:rPr>
          <w:rFonts w:eastAsiaTheme="minorHAnsi"/>
          <w:color w:val="000000"/>
        </w:rPr>
      </w:pPr>
      <w:r w:rsidRPr="00AF1CF8">
        <w:rPr>
          <w:rFonts w:eastAsiaTheme="minorHAnsi"/>
          <w:color w:val="000000"/>
        </w:rPr>
        <w:t>Atlantic University College (AUC) had a total undergraduate enrollment for 2017-2018 of 1,540</w:t>
      </w:r>
      <w:r w:rsidR="00794A9A" w:rsidRPr="00AF1CF8">
        <w:rPr>
          <w:rFonts w:eastAsiaTheme="minorHAnsi"/>
          <w:color w:val="000000"/>
        </w:rPr>
        <w:t xml:space="preserve"> </w:t>
      </w:r>
      <w:r w:rsidRPr="00AF1CF8">
        <w:rPr>
          <w:rFonts w:eastAsiaTheme="minorHAnsi"/>
          <w:color w:val="000000"/>
        </w:rPr>
        <w:t>(100</w:t>
      </w:r>
      <w:r w:rsidR="00A23357" w:rsidRPr="00AF1CF8">
        <w:rPr>
          <w:rFonts w:eastAsiaTheme="minorHAnsi"/>
          <w:color w:val="000000"/>
        </w:rPr>
        <w:t xml:space="preserve"> percent</w:t>
      </w:r>
      <w:r w:rsidRPr="00AF1CF8">
        <w:rPr>
          <w:rFonts w:eastAsiaTheme="minorHAnsi"/>
          <w:color w:val="000000"/>
        </w:rPr>
        <w:t xml:space="preserve"> Hispanic). AUC proposes an </w:t>
      </w:r>
      <w:r w:rsidRPr="00AF1CF8">
        <w:rPr>
          <w:rFonts w:eastAsiaTheme="minorHAnsi"/>
          <w:b/>
          <w:color w:val="000000"/>
        </w:rPr>
        <w:t xml:space="preserve">Individual Development Grant </w:t>
      </w:r>
      <w:r w:rsidRPr="00AF1CF8">
        <w:rPr>
          <w:rFonts w:eastAsiaTheme="minorHAnsi"/>
          <w:color w:val="000000"/>
        </w:rPr>
        <w:t>to improve the academic</w:t>
      </w:r>
      <w:r w:rsidR="00794A9A" w:rsidRPr="00AF1CF8">
        <w:rPr>
          <w:rFonts w:eastAsiaTheme="minorHAnsi"/>
          <w:color w:val="000000"/>
        </w:rPr>
        <w:t xml:space="preserve"> </w:t>
      </w:r>
      <w:r w:rsidRPr="00AF1CF8">
        <w:rPr>
          <w:rFonts w:eastAsiaTheme="minorHAnsi"/>
          <w:color w:val="000000"/>
        </w:rPr>
        <w:t>attainment of Hispanic students and other low-income individuals. The proposed Project addresses</w:t>
      </w:r>
      <w:r w:rsidR="00794A9A" w:rsidRPr="00AF1CF8">
        <w:rPr>
          <w:rFonts w:eastAsiaTheme="minorHAnsi"/>
          <w:color w:val="000000"/>
        </w:rPr>
        <w:t xml:space="preserve"> </w:t>
      </w:r>
      <w:r w:rsidRPr="00AF1CF8">
        <w:rPr>
          <w:rFonts w:eastAsiaTheme="minorHAnsi"/>
          <w:b/>
          <w:color w:val="000000"/>
        </w:rPr>
        <w:t>Competitive Preference Priority 2</w:t>
      </w:r>
      <w:r w:rsidRPr="00AF1CF8">
        <w:rPr>
          <w:rFonts w:eastAsiaTheme="minorHAnsi"/>
          <w:color w:val="000000"/>
        </w:rPr>
        <w:t>, by providing students with instruction in personal financial</w:t>
      </w:r>
      <w:r w:rsidR="00F30ACC" w:rsidRPr="00AF1CF8">
        <w:rPr>
          <w:rFonts w:eastAsiaTheme="minorHAnsi"/>
          <w:color w:val="000000"/>
        </w:rPr>
        <w:t xml:space="preserve"> </w:t>
      </w:r>
      <w:r w:rsidRPr="00AF1CF8">
        <w:rPr>
          <w:rFonts w:eastAsiaTheme="minorHAnsi"/>
          <w:color w:val="000000"/>
        </w:rPr>
        <w:t>literacy, entrepreneurship skills, knowledge of higher education financing and repayment aimed</w:t>
      </w:r>
      <w:r w:rsidR="00F30ACC" w:rsidRPr="00AF1CF8">
        <w:rPr>
          <w:rFonts w:eastAsiaTheme="minorHAnsi"/>
          <w:color w:val="000000"/>
        </w:rPr>
        <w:t xml:space="preserve"> </w:t>
      </w:r>
      <w:r w:rsidRPr="00AF1CF8">
        <w:rPr>
          <w:rFonts w:eastAsiaTheme="minorHAnsi"/>
          <w:color w:val="000000"/>
        </w:rPr>
        <w:t>at building personal financial understanding and responsibility</w:t>
      </w:r>
      <w:r w:rsidRPr="00AF1CF8">
        <w:rPr>
          <w:rFonts w:eastAsiaTheme="minorHAnsi"/>
          <w:b/>
          <w:color w:val="000000"/>
        </w:rPr>
        <w:t xml:space="preserve">. </w:t>
      </w:r>
      <w:r w:rsidRPr="00AF1CF8">
        <w:rPr>
          <w:rFonts w:eastAsiaTheme="minorHAnsi"/>
          <w:color w:val="000000"/>
        </w:rPr>
        <w:t>In addition, the Activity has been</w:t>
      </w:r>
      <w:r w:rsidR="00F30ACC" w:rsidRPr="00AF1CF8">
        <w:rPr>
          <w:rFonts w:eastAsiaTheme="minorHAnsi"/>
          <w:color w:val="000000"/>
        </w:rPr>
        <w:t xml:space="preserve"> </w:t>
      </w:r>
      <w:r w:rsidRPr="00AF1CF8">
        <w:rPr>
          <w:rFonts w:eastAsiaTheme="minorHAnsi"/>
          <w:color w:val="000000"/>
        </w:rPr>
        <w:t>designed to strengthen the academic programs, increase students’ services, and enhance the</w:t>
      </w:r>
      <w:r w:rsidR="00F30ACC" w:rsidRPr="00AF1CF8">
        <w:rPr>
          <w:rFonts w:eastAsiaTheme="minorHAnsi"/>
          <w:color w:val="000000"/>
        </w:rPr>
        <w:t xml:space="preserve"> </w:t>
      </w:r>
      <w:r w:rsidRPr="00AF1CF8">
        <w:rPr>
          <w:rFonts w:eastAsiaTheme="minorHAnsi"/>
          <w:color w:val="000000"/>
        </w:rPr>
        <w:t>teaching and learning environment.</w:t>
      </w:r>
    </w:p>
    <w:p w14:paraId="3C01D865" w14:textId="77777777" w:rsidR="005739C6" w:rsidRPr="00AF1CF8" w:rsidRDefault="005739C6" w:rsidP="005739C6">
      <w:pPr>
        <w:widowControl/>
        <w:adjustRightInd w:val="0"/>
        <w:rPr>
          <w:rFonts w:eastAsiaTheme="minorHAnsi"/>
          <w:color w:val="000000"/>
        </w:rPr>
      </w:pPr>
    </w:p>
    <w:p w14:paraId="60A2E032" w14:textId="0C9A8C28" w:rsidR="005739C6" w:rsidRPr="00AF1CF8" w:rsidRDefault="005739C6" w:rsidP="005739C6">
      <w:pPr>
        <w:widowControl/>
        <w:adjustRightInd w:val="0"/>
        <w:rPr>
          <w:rFonts w:eastAsiaTheme="minorHAnsi"/>
          <w:color w:val="000000"/>
        </w:rPr>
      </w:pPr>
      <w:r w:rsidRPr="00AF1CF8">
        <w:rPr>
          <w:rFonts w:eastAsiaTheme="minorHAnsi"/>
          <w:color w:val="000000"/>
        </w:rPr>
        <w:t xml:space="preserve">The proposed activity </w:t>
      </w:r>
      <w:r w:rsidRPr="00AF1CF8">
        <w:rPr>
          <w:rFonts w:eastAsiaTheme="minorHAnsi"/>
          <w:b/>
          <w:i/>
          <w:color w:val="000000"/>
        </w:rPr>
        <w:t>“Enhancement of AUC’s Learning Environment through Academic</w:t>
      </w:r>
      <w:r w:rsidR="00F30ACC" w:rsidRPr="00AF1CF8">
        <w:rPr>
          <w:rFonts w:eastAsiaTheme="minorHAnsi"/>
          <w:b/>
          <w:i/>
          <w:color w:val="000000"/>
        </w:rPr>
        <w:t xml:space="preserve"> </w:t>
      </w:r>
      <w:r w:rsidRPr="00AF1CF8">
        <w:rPr>
          <w:rFonts w:eastAsiaTheme="minorHAnsi"/>
          <w:b/>
          <w:i/>
          <w:color w:val="000000"/>
        </w:rPr>
        <w:t xml:space="preserve">Programs and Technological Improvement </w:t>
      </w:r>
      <w:r w:rsidRPr="00AF1CF8">
        <w:rPr>
          <w:rFonts w:eastAsiaTheme="minorHAnsi"/>
          <w:color w:val="000000"/>
        </w:rPr>
        <w:t>intends to: 1) Increase access to state-of-the-art</w:t>
      </w:r>
      <w:r w:rsidR="00F30ACC" w:rsidRPr="00AF1CF8">
        <w:rPr>
          <w:rFonts w:eastAsiaTheme="minorHAnsi"/>
          <w:color w:val="000000"/>
        </w:rPr>
        <w:t xml:space="preserve"> </w:t>
      </w:r>
      <w:r w:rsidRPr="00AF1CF8">
        <w:rPr>
          <w:rFonts w:eastAsiaTheme="minorHAnsi"/>
          <w:color w:val="000000"/>
        </w:rPr>
        <w:t>technology-based laboratories by renovating facilities to established four new technology-based</w:t>
      </w:r>
      <w:r w:rsidR="00F30ACC" w:rsidRPr="00AF1CF8">
        <w:rPr>
          <w:rFonts w:eastAsiaTheme="minorHAnsi"/>
          <w:color w:val="000000"/>
        </w:rPr>
        <w:t xml:space="preserve"> </w:t>
      </w:r>
      <w:r w:rsidRPr="00AF1CF8">
        <w:rPr>
          <w:rFonts w:eastAsiaTheme="minorHAnsi"/>
          <w:color w:val="000000"/>
        </w:rPr>
        <w:t>laboratories and six classrooms to support the instruction of AUC academic programs; 2)</w:t>
      </w:r>
      <w:r w:rsidR="00F30ACC" w:rsidRPr="00AF1CF8">
        <w:rPr>
          <w:rFonts w:eastAsiaTheme="minorHAnsi"/>
          <w:color w:val="000000"/>
        </w:rPr>
        <w:t xml:space="preserve"> </w:t>
      </w:r>
      <w:r w:rsidRPr="00AF1CF8">
        <w:rPr>
          <w:rFonts w:eastAsiaTheme="minorHAnsi"/>
          <w:color w:val="000000"/>
        </w:rPr>
        <w:t>Strengthening of programs and the teaching learning environment by upgrading 17 instructional</w:t>
      </w:r>
      <w:r w:rsidR="00F30ACC" w:rsidRPr="00AF1CF8">
        <w:rPr>
          <w:rFonts w:eastAsiaTheme="minorHAnsi"/>
          <w:color w:val="000000"/>
        </w:rPr>
        <w:t xml:space="preserve"> </w:t>
      </w:r>
      <w:r w:rsidRPr="00AF1CF8">
        <w:rPr>
          <w:rFonts w:eastAsiaTheme="minorHAnsi"/>
          <w:color w:val="000000"/>
        </w:rPr>
        <w:t>laboratories, Medial Lab and Virtual Library to support delivery of technology-based instruction;</w:t>
      </w:r>
      <w:r w:rsidR="00F30ACC" w:rsidRPr="00AF1CF8">
        <w:rPr>
          <w:rFonts w:eastAsiaTheme="minorHAnsi"/>
          <w:color w:val="000000"/>
        </w:rPr>
        <w:t xml:space="preserve"> </w:t>
      </w:r>
      <w:r w:rsidRPr="00AF1CF8">
        <w:rPr>
          <w:rFonts w:eastAsiaTheme="minorHAnsi"/>
          <w:color w:val="000000"/>
        </w:rPr>
        <w:t>4) Expand the university’s technological infrastructure to support academic programs, faculty and</w:t>
      </w:r>
      <w:r w:rsidR="00F30ACC" w:rsidRPr="00AF1CF8">
        <w:rPr>
          <w:rFonts w:eastAsiaTheme="minorHAnsi"/>
          <w:color w:val="000000"/>
        </w:rPr>
        <w:t xml:space="preserve"> </w:t>
      </w:r>
      <w:r w:rsidRPr="00AF1CF8">
        <w:rPr>
          <w:rFonts w:eastAsiaTheme="minorHAnsi"/>
          <w:color w:val="000000"/>
        </w:rPr>
        <w:t>students; 5) Provision of faculty professional development activities; 6) Strengthening of academic</w:t>
      </w:r>
      <w:r w:rsidR="00F30ACC" w:rsidRPr="00AF1CF8">
        <w:rPr>
          <w:rFonts w:eastAsiaTheme="minorHAnsi"/>
          <w:color w:val="000000"/>
        </w:rPr>
        <w:t xml:space="preserve"> </w:t>
      </w:r>
      <w:r w:rsidRPr="00AF1CF8">
        <w:rPr>
          <w:rFonts w:eastAsiaTheme="minorHAnsi"/>
          <w:color w:val="000000"/>
        </w:rPr>
        <w:t>support services (provide Peer tutoring services for at risk students); and 7) Establishment of a</w:t>
      </w:r>
      <w:r w:rsidR="00F30ACC" w:rsidRPr="00AF1CF8">
        <w:rPr>
          <w:rFonts w:eastAsiaTheme="minorHAnsi"/>
          <w:color w:val="000000"/>
        </w:rPr>
        <w:t xml:space="preserve"> </w:t>
      </w:r>
      <w:r w:rsidRPr="00AF1CF8">
        <w:rPr>
          <w:rFonts w:eastAsiaTheme="minorHAnsi"/>
          <w:color w:val="000000"/>
        </w:rPr>
        <w:t>Financial Literacy Program. These initiatives will bolster students’ academic outcomes, improve</w:t>
      </w:r>
      <w:r w:rsidR="00F30ACC" w:rsidRPr="00AF1CF8">
        <w:rPr>
          <w:rFonts w:eastAsiaTheme="minorHAnsi"/>
          <w:color w:val="000000"/>
        </w:rPr>
        <w:t xml:space="preserve"> </w:t>
      </w:r>
      <w:r w:rsidRPr="00AF1CF8">
        <w:rPr>
          <w:rFonts w:eastAsiaTheme="minorHAnsi"/>
          <w:color w:val="000000"/>
        </w:rPr>
        <w:t>recruitment, retention, and graduation rates, reduce the number of withdrawals per course, foster</w:t>
      </w:r>
      <w:r w:rsidR="00F30ACC" w:rsidRPr="00AF1CF8">
        <w:rPr>
          <w:rFonts w:eastAsiaTheme="minorHAnsi"/>
          <w:color w:val="000000"/>
        </w:rPr>
        <w:t xml:space="preserve"> </w:t>
      </w:r>
      <w:r w:rsidRPr="00AF1CF8">
        <w:rPr>
          <w:rFonts w:eastAsiaTheme="minorHAnsi"/>
          <w:color w:val="000000"/>
        </w:rPr>
        <w:t>better grades, increase financial literacy skills, and increase students’ satisfaction. The Project is</w:t>
      </w:r>
      <w:r w:rsidR="00F30ACC" w:rsidRPr="00AF1CF8">
        <w:rPr>
          <w:rFonts w:eastAsiaTheme="minorHAnsi"/>
          <w:color w:val="000000"/>
        </w:rPr>
        <w:t xml:space="preserve"> </w:t>
      </w:r>
      <w:r w:rsidRPr="00AF1CF8">
        <w:rPr>
          <w:rFonts w:eastAsiaTheme="minorHAnsi"/>
          <w:color w:val="000000"/>
        </w:rPr>
        <w:t>central to AUC’s Comprehensive Development Plan to improve the teaching and learning process</w:t>
      </w:r>
      <w:r w:rsidR="00F30ACC" w:rsidRPr="00AF1CF8">
        <w:rPr>
          <w:rFonts w:eastAsiaTheme="minorHAnsi"/>
          <w:color w:val="000000"/>
        </w:rPr>
        <w:t xml:space="preserve"> </w:t>
      </w:r>
      <w:r w:rsidRPr="00AF1CF8">
        <w:rPr>
          <w:rFonts w:eastAsiaTheme="minorHAnsi"/>
          <w:color w:val="000000"/>
        </w:rPr>
        <w:t>of Hispanic students and low-income individuals who comprise 96</w:t>
      </w:r>
      <w:r w:rsidR="00A23357" w:rsidRPr="00AF1CF8">
        <w:rPr>
          <w:rFonts w:eastAsiaTheme="minorHAnsi"/>
          <w:color w:val="000000"/>
        </w:rPr>
        <w:t xml:space="preserve"> percent</w:t>
      </w:r>
      <w:r w:rsidRPr="00AF1CF8">
        <w:rPr>
          <w:rFonts w:eastAsiaTheme="minorHAnsi"/>
          <w:color w:val="000000"/>
        </w:rPr>
        <w:t xml:space="preserve"> of the student population at</w:t>
      </w:r>
      <w:r w:rsidR="00F30ACC" w:rsidRPr="00AF1CF8">
        <w:rPr>
          <w:rFonts w:eastAsiaTheme="minorHAnsi"/>
          <w:color w:val="000000"/>
        </w:rPr>
        <w:t xml:space="preserve"> </w:t>
      </w:r>
      <w:r w:rsidRPr="00AF1CF8">
        <w:rPr>
          <w:rFonts w:eastAsiaTheme="minorHAnsi"/>
          <w:color w:val="000000"/>
        </w:rPr>
        <w:t xml:space="preserve">the University and the service area. AUC does not currently receive funding from an </w:t>
      </w:r>
      <w:r w:rsidR="00EB748D">
        <w:rPr>
          <w:rFonts w:eastAsiaTheme="minorHAnsi"/>
          <w:color w:val="000000"/>
        </w:rPr>
        <w:t xml:space="preserve">HIS </w:t>
      </w:r>
      <w:r w:rsidRPr="00BB223B">
        <w:rPr>
          <w:rFonts w:eastAsiaTheme="minorHAnsi"/>
          <w:color w:val="000000"/>
        </w:rPr>
        <w:t xml:space="preserve">Individual Development </w:t>
      </w:r>
      <w:r w:rsidRPr="00AF1CF8">
        <w:rPr>
          <w:rFonts w:eastAsiaTheme="minorHAnsi"/>
          <w:color w:val="000000"/>
        </w:rPr>
        <w:t>grant, and it is not the lead institution in any current HSI Cooperative</w:t>
      </w:r>
      <w:r w:rsidR="00F30ACC" w:rsidRPr="00AF1CF8">
        <w:rPr>
          <w:rFonts w:eastAsiaTheme="minorHAnsi"/>
          <w:color w:val="000000"/>
        </w:rPr>
        <w:t xml:space="preserve"> </w:t>
      </w:r>
      <w:r w:rsidRPr="00AF1CF8">
        <w:rPr>
          <w:rFonts w:eastAsiaTheme="minorHAnsi"/>
          <w:color w:val="000000"/>
        </w:rPr>
        <w:t>Arrangement Grant.</w:t>
      </w:r>
    </w:p>
    <w:p w14:paraId="76074624" w14:textId="77777777" w:rsidR="005739C6" w:rsidRPr="00AF1CF8" w:rsidRDefault="005739C6" w:rsidP="005739C6">
      <w:pPr>
        <w:widowControl/>
        <w:adjustRightInd w:val="0"/>
        <w:rPr>
          <w:rFonts w:eastAsiaTheme="minorHAnsi"/>
          <w:b/>
          <w:bCs/>
          <w:color w:val="000000"/>
        </w:rPr>
      </w:pPr>
    </w:p>
    <w:p w14:paraId="0642CEAE" w14:textId="51430903" w:rsidR="005739C6" w:rsidRPr="00AF1CF8" w:rsidRDefault="005739C6" w:rsidP="00AF1CF8">
      <w:pPr>
        <w:widowControl/>
        <w:adjustRightInd w:val="0"/>
        <w:rPr>
          <w:rFonts w:eastAsiaTheme="minorHAnsi"/>
          <w:color w:val="000000"/>
        </w:rPr>
      </w:pPr>
      <w:r w:rsidRPr="00AF1CF8">
        <w:rPr>
          <w:rFonts w:eastAsiaTheme="minorHAnsi"/>
          <w:b/>
          <w:color w:val="000000"/>
        </w:rPr>
        <w:t xml:space="preserve">Performance measures </w:t>
      </w:r>
      <w:r w:rsidRPr="00AF1CF8">
        <w:rPr>
          <w:rFonts w:eastAsiaTheme="minorHAnsi"/>
          <w:color w:val="000000"/>
        </w:rPr>
        <w:t>will include, but not be limited to (1) increasing the University´s</w:t>
      </w:r>
      <w:r w:rsidR="00F30ACC" w:rsidRPr="00AF1CF8">
        <w:rPr>
          <w:rFonts w:eastAsiaTheme="minorHAnsi"/>
          <w:color w:val="000000"/>
        </w:rPr>
        <w:t xml:space="preserve"> </w:t>
      </w:r>
      <w:r w:rsidRPr="00AF1CF8">
        <w:rPr>
          <w:rFonts w:eastAsiaTheme="minorHAnsi"/>
          <w:color w:val="000000"/>
        </w:rPr>
        <w:t>instructional computing capacity, (2) training faculty in the use of technology-based instruction,</w:t>
      </w:r>
      <w:r w:rsidR="00F30ACC" w:rsidRPr="00AF1CF8">
        <w:rPr>
          <w:rFonts w:eastAsiaTheme="minorHAnsi"/>
          <w:color w:val="000000"/>
        </w:rPr>
        <w:t xml:space="preserve"> </w:t>
      </w:r>
      <w:r w:rsidRPr="00AF1CF8">
        <w:rPr>
          <w:rFonts w:eastAsiaTheme="minorHAnsi"/>
          <w:color w:val="000000"/>
        </w:rPr>
        <w:t>(3) Provision of Financial Literacy instruction, (4) updating the equipment in job training programs</w:t>
      </w:r>
      <w:r w:rsidR="00F30ACC" w:rsidRPr="00AF1CF8">
        <w:rPr>
          <w:rFonts w:eastAsiaTheme="minorHAnsi"/>
          <w:color w:val="000000"/>
        </w:rPr>
        <w:t xml:space="preserve"> </w:t>
      </w:r>
      <w:r w:rsidRPr="00AF1CF8">
        <w:rPr>
          <w:rFonts w:eastAsiaTheme="minorHAnsi"/>
          <w:color w:val="000000"/>
        </w:rPr>
        <w:t>to better prepare our students. Sample of key measures: (a) the number of students and faculty</w:t>
      </w:r>
      <w:r w:rsidR="00F30ACC" w:rsidRPr="00AF1CF8">
        <w:rPr>
          <w:rFonts w:eastAsiaTheme="minorHAnsi"/>
          <w:color w:val="000000"/>
        </w:rPr>
        <w:t xml:space="preserve"> </w:t>
      </w:r>
      <w:r w:rsidRPr="00AF1CF8">
        <w:rPr>
          <w:rFonts w:eastAsiaTheme="minorHAnsi"/>
          <w:color w:val="000000"/>
        </w:rPr>
        <w:t>connections to the Internet will increase by 60</w:t>
      </w:r>
      <w:r w:rsidR="00A23357" w:rsidRPr="00AF1CF8">
        <w:rPr>
          <w:rFonts w:eastAsiaTheme="minorHAnsi"/>
          <w:color w:val="000000"/>
        </w:rPr>
        <w:t xml:space="preserve"> percent</w:t>
      </w:r>
      <w:r w:rsidRPr="00AF1CF8">
        <w:rPr>
          <w:rFonts w:eastAsiaTheme="minorHAnsi"/>
          <w:color w:val="000000"/>
        </w:rPr>
        <w:t>, (b) 100</w:t>
      </w:r>
      <w:r w:rsidR="00A23357" w:rsidRPr="00AF1CF8">
        <w:rPr>
          <w:rFonts w:eastAsiaTheme="minorHAnsi"/>
          <w:color w:val="000000"/>
        </w:rPr>
        <w:t xml:space="preserve"> percent</w:t>
      </w:r>
      <w:r w:rsidRPr="00AF1CF8">
        <w:rPr>
          <w:rFonts w:eastAsiaTheme="minorHAnsi"/>
          <w:color w:val="000000"/>
        </w:rPr>
        <w:t xml:space="preserve"> of the faculty will have received</w:t>
      </w:r>
      <w:r w:rsidR="00F30ACC" w:rsidRPr="00AF1CF8">
        <w:rPr>
          <w:rFonts w:eastAsiaTheme="minorHAnsi"/>
          <w:color w:val="000000"/>
        </w:rPr>
        <w:t xml:space="preserve"> </w:t>
      </w:r>
      <w:r w:rsidRPr="00AF1CF8">
        <w:rPr>
          <w:rFonts w:eastAsiaTheme="minorHAnsi"/>
          <w:color w:val="000000"/>
        </w:rPr>
        <w:t>training in research-discovery-validation approaches</w:t>
      </w:r>
      <w:r w:rsidRPr="00AF1CF8">
        <w:rPr>
          <w:rFonts w:eastAsiaTheme="minorHAnsi"/>
          <w:b/>
          <w:i/>
          <w:color w:val="000000"/>
        </w:rPr>
        <w:t xml:space="preserve">, </w:t>
      </w:r>
      <w:r w:rsidRPr="00AF1CF8">
        <w:rPr>
          <w:rFonts w:eastAsiaTheme="minorHAnsi"/>
          <w:color w:val="000000"/>
        </w:rPr>
        <w:t>academic assessment, curriculum and</w:t>
      </w:r>
      <w:r w:rsidR="00F30ACC" w:rsidRPr="00AF1CF8">
        <w:rPr>
          <w:rFonts w:eastAsiaTheme="minorHAnsi"/>
          <w:color w:val="000000"/>
        </w:rPr>
        <w:t xml:space="preserve"> </w:t>
      </w:r>
      <w:r w:rsidRPr="00AF1CF8">
        <w:rPr>
          <w:rFonts w:eastAsiaTheme="minorHAnsi"/>
          <w:color w:val="000000"/>
        </w:rPr>
        <w:t xml:space="preserve">instructional technology, and distance learning, (c) </w:t>
      </w:r>
      <w:r w:rsidRPr="00AF1CF8">
        <w:rPr>
          <w:rFonts w:eastAsiaTheme="minorHAnsi"/>
          <w:i/>
          <w:color w:val="000000"/>
        </w:rPr>
        <w:t>improvement of 10</w:t>
      </w:r>
      <w:r w:rsidR="00A23357" w:rsidRPr="00AF1CF8">
        <w:rPr>
          <w:rFonts w:eastAsiaTheme="minorHAnsi"/>
          <w:i/>
          <w:color w:val="000000"/>
        </w:rPr>
        <w:t xml:space="preserve"> percent</w:t>
      </w:r>
      <w:r w:rsidRPr="00AF1CF8">
        <w:rPr>
          <w:rFonts w:eastAsiaTheme="minorHAnsi"/>
          <w:i/>
          <w:color w:val="000000"/>
        </w:rPr>
        <w:t xml:space="preserve"> each year in financial</w:t>
      </w:r>
      <w:r w:rsidR="00F30ACC" w:rsidRPr="00AF1CF8">
        <w:rPr>
          <w:rFonts w:eastAsiaTheme="minorHAnsi"/>
          <w:i/>
          <w:color w:val="000000"/>
        </w:rPr>
        <w:t xml:space="preserve"> </w:t>
      </w:r>
      <w:r w:rsidRPr="00AF1CF8">
        <w:rPr>
          <w:rFonts w:eastAsiaTheme="minorHAnsi"/>
          <w:i/>
          <w:color w:val="000000"/>
        </w:rPr>
        <w:t>literacy skills and knowledge of students</w:t>
      </w:r>
      <w:r w:rsidRPr="00AF1CF8">
        <w:rPr>
          <w:rFonts w:eastAsiaTheme="minorHAnsi"/>
          <w:color w:val="000000"/>
        </w:rPr>
        <w:t>; (d) reduce the attrition rate by at least 10</w:t>
      </w:r>
      <w:r w:rsidR="00A23357" w:rsidRPr="00AF1CF8">
        <w:rPr>
          <w:rFonts w:eastAsiaTheme="minorHAnsi"/>
          <w:color w:val="000000"/>
        </w:rPr>
        <w:t xml:space="preserve"> percent</w:t>
      </w:r>
      <w:r w:rsidRPr="00AF1CF8">
        <w:rPr>
          <w:rFonts w:eastAsiaTheme="minorHAnsi"/>
          <w:color w:val="000000"/>
        </w:rPr>
        <w:t xml:space="preserve"> over the</w:t>
      </w:r>
      <w:r w:rsidR="00F30ACC" w:rsidRPr="00AF1CF8">
        <w:rPr>
          <w:rFonts w:eastAsiaTheme="minorHAnsi"/>
          <w:color w:val="000000"/>
        </w:rPr>
        <w:t xml:space="preserve"> </w:t>
      </w:r>
      <w:r w:rsidRPr="00AF1CF8">
        <w:rPr>
          <w:rFonts w:eastAsiaTheme="minorHAnsi"/>
          <w:color w:val="000000"/>
        </w:rPr>
        <w:t>five year duration of the Program; and (e) decrease the number of withdrawal and failure rates in</w:t>
      </w:r>
      <w:r w:rsidR="00F30ACC" w:rsidRPr="00AF1CF8">
        <w:rPr>
          <w:rFonts w:eastAsiaTheme="minorHAnsi"/>
          <w:color w:val="000000"/>
        </w:rPr>
        <w:t xml:space="preserve"> </w:t>
      </w:r>
      <w:r w:rsidRPr="00AF1CF8">
        <w:rPr>
          <w:rFonts w:eastAsiaTheme="minorHAnsi"/>
          <w:color w:val="000000"/>
        </w:rPr>
        <w:t>basic and core courses by at least</w:t>
      </w:r>
      <w:r w:rsidR="00A23357" w:rsidRPr="00AF1CF8">
        <w:rPr>
          <w:rFonts w:eastAsiaTheme="minorHAnsi"/>
          <w:color w:val="000000"/>
        </w:rPr>
        <w:t xml:space="preserve"> five percent</w:t>
      </w:r>
      <w:r w:rsidRPr="00AF1CF8">
        <w:rPr>
          <w:rFonts w:eastAsiaTheme="minorHAnsi"/>
          <w:color w:val="000000"/>
        </w:rPr>
        <w:t xml:space="preserve"> each year. The proposed Activity’s budget dedicates: 29</w:t>
      </w:r>
      <w:r w:rsidR="00A23357" w:rsidRPr="00AF1CF8">
        <w:rPr>
          <w:rFonts w:eastAsiaTheme="minorHAnsi"/>
          <w:color w:val="000000"/>
        </w:rPr>
        <w:t xml:space="preserve"> percent</w:t>
      </w:r>
      <w:r w:rsidR="00F30ACC" w:rsidRPr="00AF1CF8">
        <w:rPr>
          <w:rFonts w:eastAsiaTheme="minorHAnsi"/>
          <w:color w:val="000000"/>
        </w:rPr>
        <w:t xml:space="preserve"> </w:t>
      </w:r>
      <w:r w:rsidRPr="00AF1CF8">
        <w:rPr>
          <w:rFonts w:eastAsiaTheme="minorHAnsi"/>
          <w:color w:val="000000"/>
        </w:rPr>
        <w:t>for personnel and fringe benefits, .07</w:t>
      </w:r>
      <w:r w:rsidR="00A23357" w:rsidRPr="00AF1CF8">
        <w:rPr>
          <w:rFonts w:eastAsiaTheme="minorHAnsi"/>
          <w:color w:val="000000"/>
        </w:rPr>
        <w:t xml:space="preserve"> percent</w:t>
      </w:r>
      <w:r w:rsidRPr="00AF1CF8">
        <w:rPr>
          <w:rFonts w:eastAsiaTheme="minorHAnsi"/>
          <w:color w:val="000000"/>
        </w:rPr>
        <w:t xml:space="preserve"> for consultants’ compensation; .003</w:t>
      </w:r>
      <w:r w:rsidR="00A23357" w:rsidRPr="00AF1CF8">
        <w:rPr>
          <w:rFonts w:eastAsiaTheme="minorHAnsi"/>
          <w:color w:val="000000"/>
        </w:rPr>
        <w:t xml:space="preserve"> percent</w:t>
      </w:r>
      <w:r w:rsidRPr="00AF1CF8">
        <w:rPr>
          <w:rFonts w:eastAsiaTheme="minorHAnsi"/>
          <w:color w:val="000000"/>
        </w:rPr>
        <w:t xml:space="preserve"> for supplies; 47</w:t>
      </w:r>
      <w:r w:rsidR="00A23357" w:rsidRPr="00AF1CF8">
        <w:rPr>
          <w:rFonts w:eastAsiaTheme="minorHAnsi"/>
          <w:color w:val="000000"/>
        </w:rPr>
        <w:t xml:space="preserve"> percent</w:t>
      </w:r>
      <w:r w:rsidR="00F30ACC" w:rsidRPr="00AF1CF8">
        <w:rPr>
          <w:rFonts w:eastAsiaTheme="minorHAnsi"/>
          <w:color w:val="000000"/>
        </w:rPr>
        <w:t xml:space="preserve"> </w:t>
      </w:r>
      <w:r w:rsidRPr="00AF1CF8">
        <w:rPr>
          <w:rFonts w:eastAsiaTheme="minorHAnsi"/>
          <w:color w:val="000000"/>
        </w:rPr>
        <w:t>for equipment needed to enhance the Campus’ technological infrastructure and to improve the</w:t>
      </w:r>
      <w:r w:rsidR="00F30ACC" w:rsidRPr="00AF1CF8">
        <w:rPr>
          <w:rFonts w:eastAsiaTheme="minorHAnsi"/>
          <w:color w:val="000000"/>
        </w:rPr>
        <w:t xml:space="preserve"> </w:t>
      </w:r>
      <w:r w:rsidRPr="00AF1CF8">
        <w:rPr>
          <w:rFonts w:eastAsiaTheme="minorHAnsi"/>
          <w:color w:val="000000"/>
        </w:rPr>
        <w:t>academic programs’ technology-based laboratories; .01</w:t>
      </w:r>
      <w:r w:rsidR="00A23357" w:rsidRPr="00AF1CF8">
        <w:rPr>
          <w:rFonts w:eastAsiaTheme="minorHAnsi"/>
          <w:color w:val="000000"/>
        </w:rPr>
        <w:t xml:space="preserve"> percent</w:t>
      </w:r>
      <w:r w:rsidRPr="00AF1CF8">
        <w:rPr>
          <w:rFonts w:eastAsiaTheme="minorHAnsi"/>
          <w:color w:val="000000"/>
        </w:rPr>
        <w:t xml:space="preserve"> for travel; and .03</w:t>
      </w:r>
      <w:r w:rsidR="00A23357" w:rsidRPr="00AF1CF8">
        <w:rPr>
          <w:rFonts w:eastAsiaTheme="minorHAnsi"/>
          <w:color w:val="000000"/>
        </w:rPr>
        <w:t xml:space="preserve"> percent</w:t>
      </w:r>
      <w:r w:rsidRPr="00AF1CF8">
        <w:rPr>
          <w:rFonts w:eastAsiaTheme="minorHAnsi"/>
          <w:color w:val="000000"/>
        </w:rPr>
        <w:t xml:space="preserve"> for construction</w:t>
      </w:r>
      <w:r w:rsidR="00F30ACC" w:rsidRPr="00AF1CF8">
        <w:rPr>
          <w:rFonts w:eastAsiaTheme="minorHAnsi"/>
          <w:color w:val="000000"/>
        </w:rPr>
        <w:t xml:space="preserve"> </w:t>
      </w:r>
      <w:r w:rsidRPr="00AF1CF8">
        <w:rPr>
          <w:rFonts w:eastAsiaTheme="minorHAnsi"/>
          <w:color w:val="000000"/>
        </w:rPr>
        <w:t>(renovation of facilities). Around 13</w:t>
      </w:r>
      <w:r w:rsidR="00A23357" w:rsidRPr="00AF1CF8">
        <w:rPr>
          <w:rFonts w:eastAsiaTheme="minorHAnsi"/>
          <w:color w:val="000000"/>
        </w:rPr>
        <w:t xml:space="preserve"> percent</w:t>
      </w:r>
      <w:r w:rsidRPr="00AF1CF8">
        <w:rPr>
          <w:rFonts w:eastAsiaTheme="minorHAnsi"/>
          <w:color w:val="000000"/>
        </w:rPr>
        <w:t xml:space="preserve"> of the total funding request ($3,000,000) will be assigned</w:t>
      </w:r>
      <w:r w:rsidR="00F30ACC" w:rsidRPr="00AF1CF8">
        <w:rPr>
          <w:rFonts w:eastAsiaTheme="minorHAnsi"/>
          <w:color w:val="000000"/>
        </w:rPr>
        <w:t xml:space="preserve"> </w:t>
      </w:r>
      <w:r w:rsidRPr="00AF1CF8">
        <w:rPr>
          <w:rFonts w:eastAsiaTheme="minorHAnsi"/>
          <w:color w:val="000000"/>
        </w:rPr>
        <w:t>to the Project Management and Evaluation.</w:t>
      </w:r>
    </w:p>
    <w:p w14:paraId="77CB9E97" w14:textId="77777777" w:rsidR="00EC1541" w:rsidRPr="00EB748D" w:rsidRDefault="00EC1541" w:rsidP="00143167">
      <w:pPr>
        <w:pStyle w:val="BodyText"/>
        <w:rPr>
          <w:szCs w:val="22"/>
        </w:rPr>
      </w:pPr>
    </w:p>
    <w:p w14:paraId="33C6AA1D" w14:textId="62E72E36" w:rsidR="002E5B6E" w:rsidRPr="00AF1CF8" w:rsidRDefault="002E5B6E" w:rsidP="00634CAD">
      <w:pPr>
        <w:pStyle w:val="Heading1"/>
      </w:pPr>
      <w:r w:rsidRPr="00AF1CF8">
        <w:t xml:space="preserve">P031S190190 </w:t>
      </w:r>
      <w:r w:rsidR="00D07B39" w:rsidRPr="00AF1CF8">
        <w:br/>
      </w:r>
      <w:r w:rsidRPr="00AF1CF8">
        <w:t xml:space="preserve">Inter American University of Puerto Rico </w:t>
      </w:r>
      <w:r w:rsidR="00D07B39" w:rsidRPr="00AF1CF8">
        <w:t>–</w:t>
      </w:r>
      <w:r w:rsidRPr="00AF1CF8">
        <w:t xml:space="preserve"> Guayama</w:t>
      </w:r>
      <w:r w:rsidR="00F44E2E" w:rsidRPr="00AF1CF8">
        <w:t>, PR</w:t>
      </w:r>
    </w:p>
    <w:p w14:paraId="6EEFF2BE" w14:textId="77777777" w:rsidR="00D07B39" w:rsidRPr="00AF1CF8" w:rsidRDefault="00D07B39" w:rsidP="00AF1CF8"/>
    <w:p w14:paraId="26385911" w14:textId="3925DB78" w:rsidR="002E5B6E" w:rsidRPr="00AF1CF8" w:rsidRDefault="002E5B6E" w:rsidP="002E5B6E">
      <w:pPr>
        <w:pStyle w:val="BodyText"/>
        <w:tabs>
          <w:tab w:val="left" w:pos="5245"/>
        </w:tabs>
        <w:rPr>
          <w:szCs w:val="22"/>
        </w:rPr>
      </w:pPr>
      <w:r w:rsidRPr="00AF1CF8">
        <w:rPr>
          <w:szCs w:val="22"/>
          <w:u w:val="single"/>
        </w:rPr>
        <w:t>Background/ Service Area</w:t>
      </w:r>
      <w:r w:rsidRPr="00AF1CF8">
        <w:rPr>
          <w:szCs w:val="22"/>
        </w:rPr>
        <w:t>: Inter American University of Puerto Rico-Guayama (IAUPR- Guayama) is a private, nonprofit, four-year HSI located in the southeast region of Puerto Rico. Total enrollment in Fall 2018 was 1,726 (1,634 undergraduates), 99.7</w:t>
      </w:r>
      <w:r w:rsidR="00A23357" w:rsidRPr="00AF1CF8">
        <w:rPr>
          <w:szCs w:val="22"/>
        </w:rPr>
        <w:t xml:space="preserve"> percent</w:t>
      </w:r>
      <w:r w:rsidRPr="00EB748D">
        <w:rPr>
          <w:szCs w:val="22"/>
        </w:rPr>
        <w:t xml:space="preserve"> Hispanic and 84</w:t>
      </w:r>
      <w:r w:rsidR="00A23357" w:rsidRPr="00AF1CF8">
        <w:rPr>
          <w:szCs w:val="22"/>
        </w:rPr>
        <w:t xml:space="preserve"> percent</w:t>
      </w:r>
      <w:r w:rsidRPr="00EB748D">
        <w:rPr>
          <w:szCs w:val="22"/>
        </w:rPr>
        <w:t xml:space="preserve"> Pell grant recipients. IA</w:t>
      </w:r>
      <w:r w:rsidRPr="00BB223B">
        <w:rPr>
          <w:szCs w:val="22"/>
        </w:rPr>
        <w:t xml:space="preserve">UPR-Guayama serves residents from Guayama and nearby municipalities, an economically distressed area with high </w:t>
      </w:r>
      <w:r w:rsidRPr="00AF1CF8">
        <w:rPr>
          <w:szCs w:val="22"/>
        </w:rPr>
        <w:t>levels of poverty and low educational attainment. The median household income for Guayama residents is less than one third that of the U.S. ($15,296 vs. $57,652) and more than half live in poverty (55.1</w:t>
      </w:r>
      <w:r w:rsidR="00A23357" w:rsidRPr="00AF1CF8">
        <w:rPr>
          <w:szCs w:val="22"/>
        </w:rPr>
        <w:t xml:space="preserve"> percent</w:t>
      </w:r>
      <w:r w:rsidRPr="00EB748D">
        <w:rPr>
          <w:szCs w:val="22"/>
        </w:rPr>
        <w:t>). In addition to residents in the region, interested</w:t>
      </w:r>
      <w:r w:rsidRPr="00BB223B">
        <w:rPr>
          <w:szCs w:val="22"/>
        </w:rPr>
        <w:t xml:space="preserve"> students from outlying cities and towns have</w:t>
      </w:r>
      <w:r w:rsidRPr="00AF1CF8">
        <w:rPr>
          <w:spacing w:val="-18"/>
          <w:szCs w:val="22"/>
        </w:rPr>
        <w:t xml:space="preserve"> </w:t>
      </w:r>
      <w:r w:rsidRPr="00AF1CF8">
        <w:rPr>
          <w:szCs w:val="22"/>
        </w:rPr>
        <w:t>inquired</w:t>
      </w:r>
      <w:r w:rsidRPr="00AF1CF8">
        <w:rPr>
          <w:spacing w:val="-3"/>
          <w:szCs w:val="22"/>
        </w:rPr>
        <w:t xml:space="preserve"> </w:t>
      </w:r>
      <w:r w:rsidRPr="00AF1CF8">
        <w:rPr>
          <w:szCs w:val="22"/>
        </w:rPr>
        <w:t>about</w:t>
      </w:r>
      <w:r w:rsidRPr="00AF1CF8">
        <w:rPr>
          <w:spacing w:val="5"/>
          <w:szCs w:val="22"/>
        </w:rPr>
        <w:t xml:space="preserve"> </w:t>
      </w:r>
      <w:r w:rsidRPr="00DB1D68">
        <w:rPr>
          <w:szCs w:val="22"/>
        </w:rPr>
        <w:t>IAUPR-</w:t>
      </w:r>
      <w:r w:rsidR="00DB1D68" w:rsidRPr="00DB1D68">
        <w:rPr>
          <w:szCs w:val="22"/>
        </w:rPr>
        <w:t xml:space="preserve"> </w:t>
      </w:r>
      <w:r w:rsidR="00DB1D68" w:rsidRPr="00AF1CF8">
        <w:rPr>
          <w:szCs w:val="22"/>
        </w:rPr>
        <w:t>Guayama</w:t>
      </w:r>
      <w:r w:rsidR="00DB1D68" w:rsidRPr="00DB1D68">
        <w:rPr>
          <w:szCs w:val="22"/>
        </w:rPr>
        <w:t xml:space="preserve">’s </w:t>
      </w:r>
      <w:r w:rsidRPr="00AF1CF8">
        <w:rPr>
          <w:szCs w:val="22"/>
        </w:rPr>
        <w:t>Agricultural Technology program. Thus, the institution has the potential to serve additional disadvantaged</w:t>
      </w:r>
      <w:r w:rsidRPr="00AF1CF8">
        <w:rPr>
          <w:spacing w:val="-2"/>
          <w:szCs w:val="22"/>
        </w:rPr>
        <w:t xml:space="preserve"> </w:t>
      </w:r>
      <w:r w:rsidRPr="00AF1CF8">
        <w:rPr>
          <w:szCs w:val="22"/>
        </w:rPr>
        <w:t>students</w:t>
      </w:r>
      <w:r w:rsidRPr="00AF1CF8">
        <w:rPr>
          <w:spacing w:val="-2"/>
          <w:szCs w:val="22"/>
        </w:rPr>
        <w:t xml:space="preserve"> </w:t>
      </w:r>
      <w:r w:rsidRPr="00AF1CF8">
        <w:rPr>
          <w:szCs w:val="22"/>
        </w:rPr>
        <w:t>(Puerto Rico’s Island-wide poverty rate is 44.9</w:t>
      </w:r>
      <w:r w:rsidR="00A23357" w:rsidRPr="00AF1CF8">
        <w:rPr>
          <w:szCs w:val="22"/>
        </w:rPr>
        <w:t xml:space="preserve"> percent</w:t>
      </w:r>
      <w:r w:rsidRPr="00EB748D">
        <w:rPr>
          <w:szCs w:val="22"/>
        </w:rPr>
        <w:t xml:space="preserve">) [Data </w:t>
      </w:r>
      <w:r w:rsidRPr="00BB223B">
        <w:rPr>
          <w:szCs w:val="22"/>
        </w:rPr>
        <w:t>source: U.S. Census Bureau, 2017].</w:t>
      </w:r>
    </w:p>
    <w:p w14:paraId="5ABDA4AF" w14:textId="77777777" w:rsidR="002E5B6E" w:rsidRPr="00AF1CF8" w:rsidRDefault="002E5B6E" w:rsidP="002E5B6E">
      <w:pPr>
        <w:pStyle w:val="BodyText"/>
        <w:rPr>
          <w:szCs w:val="22"/>
          <w:u w:val="thick"/>
        </w:rPr>
      </w:pPr>
    </w:p>
    <w:p w14:paraId="3863C0AA" w14:textId="06971C44" w:rsidR="002E5B6E" w:rsidRPr="00AF1CF8" w:rsidRDefault="002E5B6E" w:rsidP="002E5B6E">
      <w:pPr>
        <w:pStyle w:val="BodyText"/>
        <w:rPr>
          <w:szCs w:val="22"/>
        </w:rPr>
      </w:pPr>
      <w:r w:rsidRPr="00AF1CF8">
        <w:rPr>
          <w:szCs w:val="22"/>
          <w:u w:val="single"/>
        </w:rPr>
        <w:t>Institutional Problems</w:t>
      </w:r>
      <w:r w:rsidRPr="00AF1CF8">
        <w:rPr>
          <w:szCs w:val="22"/>
        </w:rPr>
        <w:t>: IAUPR-Guayama has an opportunity to connect underprivileged</w:t>
      </w:r>
      <w:r w:rsidRPr="00AF1CF8" w:rsidDel="0046204E">
        <w:rPr>
          <w:szCs w:val="22"/>
        </w:rPr>
        <w:t xml:space="preserve"> </w:t>
      </w:r>
      <w:r w:rsidRPr="00AF1CF8">
        <w:rPr>
          <w:szCs w:val="22"/>
        </w:rPr>
        <w:t>students with opportunities for well-paying, secure careers (e.g., Nursing, which is in high demand in the US and PR; Agricultural Technology, an expanding field in southern PR, where numerous companies have established seed research facilities) and two other high-growth fields (Computer Forensics, with documented job shortages; Video Games &amp; Mobile Apps, ranked #1 among top growing occupations in Puerto Rico) [Data sources: BLS, 2019 and PR Dept. of Labor &amp; Human Resources, 2019]. Strong interest in these fields is coming from students requiring non-traditional instructional options. But despite bright prospects for students in specifically identified fields, IAUPR- Guayama must overcome serious problems before it can provide its students access to employment within promising occupations. Our most urgent problems are limited online offerings/curricula in high-demand fields, limited faculty expertise</w:t>
      </w:r>
      <w:r w:rsidRPr="00AF1CF8">
        <w:rPr>
          <w:spacing w:val="-30"/>
          <w:szCs w:val="22"/>
        </w:rPr>
        <w:t xml:space="preserve"> </w:t>
      </w:r>
      <w:r w:rsidRPr="00AF1CF8">
        <w:rPr>
          <w:szCs w:val="22"/>
        </w:rPr>
        <w:t xml:space="preserve">in online/hybrid education, insufficient financial literacy instruction, inadequate IT infrastructure, insufficient computer labs, limited online services, and limited Ag. Tech. facilities. Those critical issues are superimposed </w:t>
      </w:r>
      <w:r w:rsidR="00B425A9" w:rsidRPr="00AF1CF8">
        <w:rPr>
          <w:szCs w:val="22"/>
        </w:rPr>
        <w:t>upon fu</w:t>
      </w:r>
      <w:r w:rsidR="00A357A3" w:rsidRPr="00AF1CF8">
        <w:rPr>
          <w:szCs w:val="22"/>
        </w:rPr>
        <w:t xml:space="preserve">nd </w:t>
      </w:r>
      <w:r w:rsidRPr="00EB748D">
        <w:rPr>
          <w:szCs w:val="22"/>
        </w:rPr>
        <w:t>vital</w:t>
      </w:r>
      <w:r w:rsidRPr="00BB223B" w:rsidDel="00355B8F">
        <w:rPr>
          <w:szCs w:val="22"/>
        </w:rPr>
        <w:t xml:space="preserve"> </w:t>
      </w:r>
      <w:r w:rsidRPr="00AF1CF8">
        <w:rPr>
          <w:szCs w:val="22"/>
        </w:rPr>
        <w:t>initiatives</w:t>
      </w:r>
      <w:r w:rsidRPr="00AF1CF8" w:rsidDel="00355B8F">
        <w:rPr>
          <w:szCs w:val="22"/>
        </w:rPr>
        <w:t xml:space="preserve"> </w:t>
      </w:r>
      <w:r w:rsidRPr="00AF1CF8">
        <w:rPr>
          <w:szCs w:val="22"/>
        </w:rPr>
        <w:t>required to address the problems and thereby strengthen the institution (due to financial</w:t>
      </w:r>
      <w:r w:rsidRPr="00AF1CF8">
        <w:rPr>
          <w:spacing w:val="-13"/>
          <w:szCs w:val="22"/>
        </w:rPr>
        <w:t xml:space="preserve"> </w:t>
      </w:r>
      <w:r w:rsidRPr="00AF1CF8">
        <w:rPr>
          <w:szCs w:val="22"/>
        </w:rPr>
        <w:t>constraints).</w:t>
      </w:r>
    </w:p>
    <w:p w14:paraId="65E31398" w14:textId="77777777" w:rsidR="002E5B6E" w:rsidRPr="00AF1CF8" w:rsidRDefault="002E5B6E" w:rsidP="002E5B6E">
      <w:pPr>
        <w:pStyle w:val="BodyText"/>
        <w:rPr>
          <w:szCs w:val="22"/>
          <w:u w:val="single"/>
        </w:rPr>
      </w:pPr>
    </w:p>
    <w:p w14:paraId="5373A641" w14:textId="0F87C591" w:rsidR="002E5B6E" w:rsidRPr="00AF1CF8" w:rsidRDefault="002E5B6E" w:rsidP="002E5B6E">
      <w:pPr>
        <w:pStyle w:val="BodyText"/>
        <w:rPr>
          <w:szCs w:val="22"/>
        </w:rPr>
      </w:pPr>
      <w:r w:rsidRPr="00AF1CF8">
        <w:rPr>
          <w:szCs w:val="22"/>
          <w:u w:val="single"/>
        </w:rPr>
        <w:t>Proposed</w:t>
      </w:r>
      <w:r w:rsidRPr="00AF1CF8" w:rsidDel="0086550C">
        <w:rPr>
          <w:szCs w:val="22"/>
          <w:u w:val="single"/>
        </w:rPr>
        <w:t xml:space="preserve"> </w:t>
      </w:r>
      <w:r w:rsidRPr="00AF1CF8">
        <w:rPr>
          <w:szCs w:val="22"/>
          <w:u w:val="single"/>
        </w:rPr>
        <w:t>Activity</w:t>
      </w:r>
      <w:r w:rsidRPr="00AF1CF8">
        <w:rPr>
          <w:szCs w:val="22"/>
        </w:rPr>
        <w:t xml:space="preserve">: </w:t>
      </w:r>
      <w:r w:rsidR="00EB763D">
        <w:rPr>
          <w:szCs w:val="22"/>
        </w:rPr>
        <w:t>Guyama’s</w:t>
      </w:r>
      <w:r w:rsidRPr="00EB748D">
        <w:rPr>
          <w:spacing w:val="4"/>
          <w:w w:val="99"/>
          <w:szCs w:val="22"/>
        </w:rPr>
        <w:t xml:space="preserve"> </w:t>
      </w:r>
      <w:r w:rsidRPr="00BB223B" w:rsidDel="0086550C">
        <w:rPr>
          <w:szCs w:val="22"/>
        </w:rPr>
        <w:t>signi</w:t>
      </w:r>
      <w:r w:rsidRPr="00AF1CF8" w:rsidDel="0086550C">
        <w:rPr>
          <w:szCs w:val="22"/>
        </w:rPr>
        <w:t>ficant</w:t>
      </w:r>
      <w:r w:rsidRPr="00AF1CF8">
        <w:rPr>
          <w:szCs w:val="22"/>
        </w:rPr>
        <w:t xml:space="preserve"> problems </w:t>
      </w:r>
      <w:r w:rsidR="00EB763D" w:rsidRPr="00AF1CF8">
        <w:rPr>
          <w:szCs w:val="22"/>
        </w:rPr>
        <w:t>will be</w:t>
      </w:r>
      <w:r w:rsidRPr="00AF1CF8">
        <w:rPr>
          <w:szCs w:val="22"/>
        </w:rPr>
        <w:t xml:space="preserve"> strategically addressed through this Title V Activity, which is guided by a well-designed logic model to facilitate project planning, implementation, and evaluation. Additionally, the proposed strategies are supported by research studies, and a specific project component (hybrid/blended instruction) is further supported by promising evidence, based on research reported in a What Works Clearinghouse Practice Guide and backed by evidence from a validated study. IAUPR-Guayama</w:t>
      </w:r>
      <w:r w:rsidRPr="00AF1CF8">
        <w:rPr>
          <w:spacing w:val="-10"/>
          <w:szCs w:val="22"/>
        </w:rPr>
        <w:t xml:space="preserve"> </w:t>
      </w:r>
      <w:r w:rsidRPr="00AF1CF8">
        <w:rPr>
          <w:szCs w:val="22"/>
        </w:rPr>
        <w:t xml:space="preserve">will: </w:t>
      </w:r>
      <w:r w:rsidRPr="00EB748D">
        <w:rPr>
          <w:szCs w:val="22"/>
        </w:rPr>
        <w:t>Expand access to</w:t>
      </w:r>
      <w:r w:rsidRPr="00BB223B">
        <w:rPr>
          <w:spacing w:val="-6"/>
          <w:szCs w:val="22"/>
        </w:rPr>
        <w:t xml:space="preserve"> </w:t>
      </w:r>
      <w:r w:rsidRPr="00AF1CF8">
        <w:rPr>
          <w:szCs w:val="22"/>
        </w:rPr>
        <w:t>high-demand</w:t>
      </w:r>
      <w:r w:rsidRPr="00AF1CF8">
        <w:rPr>
          <w:spacing w:val="-2"/>
          <w:szCs w:val="22"/>
        </w:rPr>
        <w:t xml:space="preserve"> </w:t>
      </w:r>
      <w:r w:rsidRPr="00AF1CF8">
        <w:rPr>
          <w:szCs w:val="22"/>
        </w:rPr>
        <w:t>programs convert two existing (Nursing/Ag. Tech.) and develop two new (Computer Forensics/Video Games &amp; Mobile Apps) associate degree programs in online/hybrid format; provide required technology and lab infrastructure, and faculty development in best practices for online/hybrid course development and delivery; Strengthen online</w:t>
      </w:r>
      <w:r w:rsidRPr="00AF1CF8">
        <w:rPr>
          <w:spacing w:val="-7"/>
          <w:szCs w:val="22"/>
        </w:rPr>
        <w:t xml:space="preserve"> </w:t>
      </w:r>
      <w:r w:rsidRPr="00AF1CF8">
        <w:rPr>
          <w:szCs w:val="22"/>
        </w:rPr>
        <w:t>student</w:t>
      </w:r>
      <w:r w:rsidRPr="00AF1CF8">
        <w:rPr>
          <w:spacing w:val="1"/>
          <w:szCs w:val="22"/>
        </w:rPr>
        <w:t xml:space="preserve"> </w:t>
      </w:r>
      <w:r w:rsidRPr="00AF1CF8">
        <w:rPr>
          <w:szCs w:val="22"/>
        </w:rPr>
        <w:t>services</w:t>
      </w:r>
      <w:r w:rsidR="00A357A3" w:rsidRPr="00AF1CF8">
        <w:rPr>
          <w:szCs w:val="22"/>
        </w:rPr>
        <w:t xml:space="preserve"> </w:t>
      </w:r>
      <w:r w:rsidRPr="00EB748D">
        <w:rPr>
          <w:szCs w:val="22"/>
        </w:rPr>
        <w:t>develop flexible (online) support services (tutoring, help desk, success modules, orientation to online learning, advising, earl</w:t>
      </w:r>
      <w:r w:rsidRPr="00BB223B">
        <w:rPr>
          <w:szCs w:val="22"/>
        </w:rPr>
        <w:t>y aler</w:t>
      </w:r>
      <w:r w:rsidRPr="00AF1CF8">
        <w:rPr>
          <w:szCs w:val="22"/>
        </w:rPr>
        <w:t>t, coaching); Provide financial</w:t>
      </w:r>
      <w:r w:rsidRPr="00AF1CF8">
        <w:rPr>
          <w:spacing w:val="-8"/>
          <w:szCs w:val="22"/>
        </w:rPr>
        <w:t xml:space="preserve"> </w:t>
      </w:r>
      <w:r w:rsidRPr="00AF1CF8">
        <w:rPr>
          <w:szCs w:val="22"/>
        </w:rPr>
        <w:t>literacy</w:t>
      </w:r>
      <w:r w:rsidRPr="00AF1CF8">
        <w:rPr>
          <w:spacing w:val="-6"/>
          <w:szCs w:val="22"/>
        </w:rPr>
        <w:t xml:space="preserve"> </w:t>
      </w:r>
      <w:r w:rsidRPr="00AF1CF8">
        <w:rPr>
          <w:szCs w:val="22"/>
        </w:rPr>
        <w:t>instruction develop new financial literacy instruction system, to be provided both online and on-campus (addresses Competitive Preference Priority</w:t>
      </w:r>
      <w:r w:rsidRPr="00AF1CF8">
        <w:rPr>
          <w:spacing w:val="21"/>
          <w:szCs w:val="22"/>
        </w:rPr>
        <w:t xml:space="preserve"> </w:t>
      </w:r>
      <w:r w:rsidRPr="00AF1CF8">
        <w:rPr>
          <w:szCs w:val="22"/>
        </w:rPr>
        <w:t>2).</w:t>
      </w:r>
    </w:p>
    <w:p w14:paraId="16BDE501" w14:textId="77777777" w:rsidR="002E5B6E" w:rsidRPr="00AF1CF8" w:rsidRDefault="002E5B6E" w:rsidP="002E5B6E">
      <w:pPr>
        <w:pStyle w:val="BodyText"/>
        <w:rPr>
          <w:szCs w:val="22"/>
          <w:u w:val="thick"/>
        </w:rPr>
      </w:pPr>
    </w:p>
    <w:p w14:paraId="0DD06191" w14:textId="09E34CE5" w:rsidR="007712E5" w:rsidRPr="00AF1CF8" w:rsidRDefault="002E5B6E" w:rsidP="002E5B6E">
      <w:r w:rsidRPr="00AF1CF8">
        <w:rPr>
          <w:u w:val="single"/>
        </w:rPr>
        <w:t>Title V Proposed Budget</w:t>
      </w:r>
      <w:r w:rsidRPr="00AF1CF8">
        <w:t>: Inter American University of Puerto Rico-Guayama requests a five-year budget of $2,999,963 for this Title V project.</w:t>
      </w:r>
    </w:p>
    <w:p w14:paraId="700990A1" w14:textId="77777777" w:rsidR="002C63E1" w:rsidRPr="00AF1CF8" w:rsidRDefault="002C63E1" w:rsidP="002E5B6E"/>
    <w:p w14:paraId="7B231010" w14:textId="4F58C817" w:rsidR="00DB54B7" w:rsidRPr="00AF1CF8" w:rsidRDefault="00DB54B7" w:rsidP="00634CAD">
      <w:pPr>
        <w:pStyle w:val="Heading1"/>
        <w:rPr>
          <w:w w:val="105"/>
        </w:rPr>
      </w:pPr>
      <w:r w:rsidRPr="00AF1CF8">
        <w:rPr>
          <w:w w:val="105"/>
        </w:rPr>
        <w:t>P031S190152</w:t>
      </w:r>
      <w:r w:rsidR="002C63E1" w:rsidRPr="00AF1CF8">
        <w:rPr>
          <w:w w:val="105"/>
        </w:rPr>
        <w:t xml:space="preserve"> </w:t>
      </w:r>
      <w:r w:rsidR="00F44E2E" w:rsidRPr="00AF1CF8">
        <w:rPr>
          <w:w w:val="105"/>
        </w:rPr>
        <w:br/>
      </w:r>
      <w:r w:rsidR="002C63E1" w:rsidRPr="00AF1CF8">
        <w:rPr>
          <w:w w:val="105"/>
        </w:rPr>
        <w:t>Inter American University of Puerto Rico Fajardo Campus</w:t>
      </w:r>
      <w:r w:rsidR="00F44E2E" w:rsidRPr="00AF1CF8">
        <w:rPr>
          <w:w w:val="105"/>
        </w:rPr>
        <w:t>, PR</w:t>
      </w:r>
    </w:p>
    <w:p w14:paraId="0B2C2071" w14:textId="77777777" w:rsidR="00DB54B7" w:rsidRPr="00AF1CF8" w:rsidRDefault="00DB54B7" w:rsidP="00DB54B7"/>
    <w:p w14:paraId="7C149FA4" w14:textId="44622610" w:rsidR="00DB54B7" w:rsidRPr="00AF1CF8" w:rsidRDefault="00DB54B7" w:rsidP="00DB54B7">
      <w:r w:rsidRPr="00AF1CF8">
        <w:rPr>
          <w:b/>
        </w:rPr>
        <w:t>Project Title:</w:t>
      </w:r>
      <w:r w:rsidRPr="00AF1CF8">
        <w:t xml:space="preserve"> Increasing Hispanic STEM Degree Completion-A Guided Pathways</w:t>
      </w:r>
      <w:r w:rsidR="00F44E2E" w:rsidRPr="00AF1CF8">
        <w:t xml:space="preserve"> </w:t>
      </w:r>
      <w:r w:rsidRPr="00AF1CF8">
        <w:t>Approach.</w:t>
      </w:r>
    </w:p>
    <w:p w14:paraId="732697EA" w14:textId="6B3635C7" w:rsidR="00DB54B7" w:rsidRPr="00AF1CF8" w:rsidRDefault="00DB54B7" w:rsidP="00DB54B7">
      <w:r w:rsidRPr="00AF1CF8">
        <w:rPr>
          <w:b/>
        </w:rPr>
        <w:t>Target Area:</w:t>
      </w:r>
      <w:r w:rsidRPr="00AF1CF8">
        <w:t xml:space="preserve"> Increase the number of Hispanic and low-income students who have access to</w:t>
      </w:r>
      <w:r w:rsidR="00F44E2E" w:rsidRPr="00AF1CF8">
        <w:t xml:space="preserve"> </w:t>
      </w:r>
      <w:r w:rsidRPr="00AF1CF8">
        <w:t>and complete articulated STEM degrees in Puerto Rico’s Eastern Region area that is one of the</w:t>
      </w:r>
      <w:r w:rsidR="00F44E2E" w:rsidRPr="00AF1CF8">
        <w:t xml:space="preserve"> </w:t>
      </w:r>
      <w:r w:rsidRPr="00AF1CF8">
        <w:t>most economically disadvantaged in the nation, where educational attainment is low.</w:t>
      </w:r>
      <w:r w:rsidR="00F44E2E" w:rsidRPr="00AF1CF8">
        <w:t xml:space="preserve"> </w:t>
      </w:r>
    </w:p>
    <w:p w14:paraId="2A9EF25B" w14:textId="5C8F0EA9" w:rsidR="00DB54B7" w:rsidRPr="00BB223B" w:rsidRDefault="00DB54B7" w:rsidP="00DB54B7">
      <w:r w:rsidRPr="00AF1CF8">
        <w:rPr>
          <w:b/>
        </w:rPr>
        <w:t>O1:</w:t>
      </w:r>
      <w:r w:rsidRPr="00AF1CF8">
        <w:t xml:space="preserve"> Increase by 15</w:t>
      </w:r>
      <w:r w:rsidR="00A23357" w:rsidRPr="00AF1CF8">
        <w:t xml:space="preserve"> percent</w:t>
      </w:r>
      <w:r w:rsidRPr="00EB748D">
        <w:t xml:space="preserve"> the number of Hispanic full-time STEM degree-seeking undergraduate</w:t>
      </w:r>
    </w:p>
    <w:p w14:paraId="2EC45AC3" w14:textId="77777777" w:rsidR="00DB54B7" w:rsidRPr="00AF1CF8" w:rsidRDefault="00DB54B7" w:rsidP="00DB54B7">
      <w:r w:rsidRPr="00AF1CF8">
        <w:t>students enrolled. Baseline: 549 Hispanic</w:t>
      </w:r>
    </w:p>
    <w:p w14:paraId="3DDAAC2E" w14:textId="28088809" w:rsidR="00DB54B7" w:rsidRPr="00AF1CF8" w:rsidRDefault="00DB54B7" w:rsidP="00DB54B7">
      <w:r w:rsidRPr="00AF1CF8">
        <w:rPr>
          <w:b/>
        </w:rPr>
        <w:t>O2:</w:t>
      </w:r>
      <w:r w:rsidRPr="00AF1CF8">
        <w:t xml:space="preserve"> Increase by 10 points the percentage of Hispanic first-time, full-time STEM field degree</w:t>
      </w:r>
      <w:r w:rsidR="009B099B" w:rsidRPr="00AF1CF8">
        <w:t xml:space="preserve"> </w:t>
      </w:r>
      <w:r w:rsidRPr="00AF1CF8">
        <w:t>seeking</w:t>
      </w:r>
    </w:p>
    <w:p w14:paraId="020A90B3" w14:textId="5DCBAC28" w:rsidR="00DB54B7" w:rsidRPr="00BB223B" w:rsidRDefault="00DB54B7" w:rsidP="00DB54B7">
      <w:r w:rsidRPr="00AF1CF8">
        <w:t>undergraduate students who were in their first year of postsecondary enrollment in the</w:t>
      </w:r>
      <w:r w:rsidR="009B099B" w:rsidRPr="00AF1CF8">
        <w:t xml:space="preserve"> </w:t>
      </w:r>
      <w:r w:rsidRPr="00AF1CF8">
        <w:t>previous year and are enrolled in the current year who remain in a STEM degree/ credential</w:t>
      </w:r>
      <w:r w:rsidR="009B099B" w:rsidRPr="00AF1CF8">
        <w:t xml:space="preserve"> </w:t>
      </w:r>
      <w:r w:rsidRPr="00AF1CF8">
        <w:t>program (GPRA b - retention). 2017-18 baseline: 68</w:t>
      </w:r>
      <w:r w:rsidR="00A23357" w:rsidRPr="00AF1CF8">
        <w:t xml:space="preserve"> percent</w:t>
      </w:r>
      <w:r w:rsidRPr="00EB748D">
        <w:t>.</w:t>
      </w:r>
    </w:p>
    <w:p w14:paraId="14E241BC" w14:textId="180B6298" w:rsidR="00DB54B7" w:rsidRPr="00EB748D" w:rsidRDefault="00DB54B7" w:rsidP="00DB54B7">
      <w:r w:rsidRPr="00AF1CF8">
        <w:rPr>
          <w:b/>
        </w:rPr>
        <w:t>O3:</w:t>
      </w:r>
      <w:r w:rsidRPr="00AF1CF8">
        <w:t xml:space="preserve"> Increase by 15 points the percentage of Hispanics, full-time degree-seeking undergraduate</w:t>
      </w:r>
      <w:r w:rsidR="009B099B" w:rsidRPr="00AF1CF8">
        <w:t xml:space="preserve"> </w:t>
      </w:r>
      <w:r w:rsidRPr="00AF1CF8">
        <w:t>students graduating within six years of enrollment with a STEM degree (GPRA a – native</w:t>
      </w:r>
      <w:r w:rsidR="009B099B" w:rsidRPr="00AF1CF8">
        <w:t xml:space="preserve"> </w:t>
      </w:r>
      <w:r w:rsidRPr="00AF1CF8">
        <w:t>baccalaureate graduation). 2017-18 baseline: 32</w:t>
      </w:r>
      <w:r w:rsidR="00A23357" w:rsidRPr="00AF1CF8">
        <w:t xml:space="preserve"> percent</w:t>
      </w:r>
    </w:p>
    <w:p w14:paraId="2173AC6E" w14:textId="24116413" w:rsidR="00DB54B7" w:rsidRPr="00BB223B" w:rsidRDefault="00DB54B7" w:rsidP="00DB54B7">
      <w:r w:rsidRPr="00BB223B">
        <w:rPr>
          <w:b/>
        </w:rPr>
        <w:t>O4:</w:t>
      </w:r>
      <w:r w:rsidRPr="00AF1CF8">
        <w:t xml:space="preserve"> Increase by 20 points the percentage of Hispanics who participated in grant-supported</w:t>
      </w:r>
      <w:r w:rsidR="009B099B" w:rsidRPr="00AF1CF8">
        <w:t xml:space="preserve"> </w:t>
      </w:r>
      <w:r w:rsidRPr="00AF1CF8">
        <w:t xml:space="preserve">services or programs and completed a degree or credential </w:t>
      </w:r>
      <w:r w:rsidRPr="00AF1CF8">
        <w:rPr>
          <w:i/>
        </w:rPr>
        <w:t>(GPRA a - completion)</w:t>
      </w:r>
      <w:r w:rsidRPr="00AF1CF8">
        <w:t>. 2017-18</w:t>
      </w:r>
      <w:r w:rsidR="009B099B" w:rsidRPr="00AF1CF8">
        <w:t xml:space="preserve"> </w:t>
      </w:r>
      <w:r w:rsidRPr="00AF1CF8">
        <w:t>graduation baseline: 32</w:t>
      </w:r>
      <w:r w:rsidR="00A23357" w:rsidRPr="00AF1CF8">
        <w:t xml:space="preserve"> percent</w:t>
      </w:r>
      <w:r w:rsidRPr="00EB748D">
        <w:t xml:space="preserve"> Hispanic</w:t>
      </w:r>
    </w:p>
    <w:p w14:paraId="2D4F1760" w14:textId="2B754A9E" w:rsidR="00DB54B7" w:rsidRPr="00AF1CF8" w:rsidRDefault="00DB54B7" w:rsidP="00DB54B7">
      <w:r w:rsidRPr="00AF1CF8">
        <w:rPr>
          <w:b/>
        </w:rPr>
        <w:t>Services to be Provided/Activities to be Conducted:</w:t>
      </w:r>
      <w:r w:rsidRPr="00AF1CF8">
        <w:t xml:space="preserve"> FC’s Guided Pathways STEM program</w:t>
      </w:r>
      <w:r w:rsidR="009B099B" w:rsidRPr="00AF1CF8">
        <w:t xml:space="preserve"> </w:t>
      </w:r>
      <w:r w:rsidRPr="00AF1CF8">
        <w:t>will be designed according to the recommendations of Complete College America’s GPS</w:t>
      </w:r>
      <w:r w:rsidR="009B099B" w:rsidRPr="00AF1CF8">
        <w:t xml:space="preserve"> </w:t>
      </w:r>
      <w:r w:rsidRPr="00AF1CF8">
        <w:t>program and will serve as FC’s first model guided pathway. Development of the pathway</w:t>
      </w:r>
      <w:r w:rsidR="009B099B" w:rsidRPr="00AF1CF8">
        <w:t xml:space="preserve"> </w:t>
      </w:r>
      <w:r w:rsidRPr="00AF1CF8">
        <w:t>services will be linked to instructional improvements in gateway STEM courses including</w:t>
      </w:r>
      <w:r w:rsidR="009B099B" w:rsidRPr="00AF1CF8">
        <w:t xml:space="preserve"> </w:t>
      </w:r>
      <w:r w:rsidRPr="00AF1CF8">
        <w:t>supplemental instruction, peer mentors, incorporation of High Impact Practices, personalized</w:t>
      </w:r>
      <w:r w:rsidR="009B099B" w:rsidRPr="00AF1CF8">
        <w:t xml:space="preserve"> </w:t>
      </w:r>
      <w:r w:rsidRPr="00AF1CF8">
        <w:t>student coaching, summer bridge, effective early alert, and financial literacy workshops.</w:t>
      </w:r>
    </w:p>
    <w:p w14:paraId="6B49CE90" w14:textId="5468F4AA" w:rsidR="00DB54B7" w:rsidRPr="00BB223B" w:rsidRDefault="00DB54B7" w:rsidP="00042F03">
      <w:r w:rsidRPr="00AF1CF8">
        <w:rPr>
          <w:b/>
        </w:rPr>
        <w:t>Competitive Preference Priority 2:</w:t>
      </w:r>
      <w:r w:rsidRPr="00AF1CF8">
        <w:t xml:space="preserve"> A well designed correlational study will be one of the</w:t>
      </w:r>
      <w:r w:rsidR="009B099B" w:rsidRPr="00AF1CF8">
        <w:t xml:space="preserve"> </w:t>
      </w:r>
      <w:r w:rsidRPr="00AF1CF8">
        <w:t>activities of this project following the encouraging results observed by Castleman and Page</w:t>
      </w:r>
      <w:r w:rsidR="009B099B" w:rsidRPr="00AF1CF8">
        <w:t xml:space="preserve"> </w:t>
      </w:r>
      <w:r w:rsidRPr="00AF1CF8">
        <w:t>(2014). The “nudging” intervention uses a widely adopted texting app to encourage students to</w:t>
      </w:r>
      <w:r w:rsidR="009B099B" w:rsidRPr="00AF1CF8">
        <w:t xml:space="preserve"> </w:t>
      </w:r>
      <w:r w:rsidRPr="00AF1CF8">
        <w:t>refile their FAFSA application at the end of their first year. This study is contained in the What</w:t>
      </w:r>
      <w:r w:rsidR="009B099B" w:rsidRPr="00AF1CF8">
        <w:t xml:space="preserve"> </w:t>
      </w:r>
      <w:r w:rsidRPr="00AF1CF8">
        <w:t>Works Clearinghouse as one of the studies that meet the moderate evidence standards.</w:t>
      </w:r>
      <w:r w:rsidR="009B099B" w:rsidRPr="00AF1CF8">
        <w:t xml:space="preserve"> </w:t>
      </w:r>
    </w:p>
    <w:p w14:paraId="2348CF2F" w14:textId="3B410B40" w:rsidR="00997401" w:rsidRPr="00AF1CF8" w:rsidRDefault="00997401" w:rsidP="00DB54B7"/>
    <w:p w14:paraId="2E485182" w14:textId="0AC7C7F1" w:rsidR="00172BBA" w:rsidRPr="00AF1CF8" w:rsidRDefault="00172BBA" w:rsidP="00634CAD">
      <w:pPr>
        <w:pStyle w:val="Heading1"/>
      </w:pPr>
      <w:r w:rsidRPr="00AF1CF8">
        <w:rPr>
          <w:w w:val="105"/>
        </w:rPr>
        <w:t xml:space="preserve">P031S190130 </w:t>
      </w:r>
      <w:r w:rsidRPr="00AF1CF8">
        <w:rPr>
          <w:w w:val="105"/>
        </w:rPr>
        <w:br/>
      </w:r>
      <w:r w:rsidRPr="00AF1CF8">
        <w:t>Universidad Central de Bayamón, PR</w:t>
      </w:r>
    </w:p>
    <w:p w14:paraId="54188FAA" w14:textId="21989421" w:rsidR="00172BBA" w:rsidRPr="00AF1CF8" w:rsidRDefault="00172BBA" w:rsidP="00172BBA">
      <w:pPr>
        <w:pStyle w:val="Heading2"/>
        <w:rPr>
          <w:rFonts w:cs="Times New Roman"/>
          <w:szCs w:val="22"/>
        </w:rPr>
      </w:pPr>
    </w:p>
    <w:p w14:paraId="0245CCDF" w14:textId="26700F6A" w:rsidR="00172BBA" w:rsidRPr="00AF1CF8" w:rsidRDefault="00172BBA" w:rsidP="00172BBA">
      <w:r w:rsidRPr="00AF1CF8">
        <w:rPr>
          <w:b/>
        </w:rPr>
        <w:t>UNIVERSIDAD CENTRAL DE BAYAMON</w:t>
      </w:r>
      <w:r w:rsidRPr="00AF1CF8">
        <w:t xml:space="preserve"> (UCB), a private, nonprofit Hispanic-Serving baccalaureate and master’s level postsecondary institution, is located in Bayamon, the second largest city (pop. 208,000) in Puerto Rico within the San Juan Metropolitan Statistical Area (pop.</w:t>
      </w:r>
      <w:r w:rsidR="00A23357" w:rsidRPr="00AF1CF8">
        <w:t xml:space="preserve"> two </w:t>
      </w:r>
      <w:r w:rsidRPr="00EB748D">
        <w:t>million). Students enrolling at UCB (</w:t>
      </w:r>
      <w:r w:rsidRPr="00AF1CF8">
        <w:t>Fall 2018</w:t>
      </w:r>
      <w:r w:rsidR="00042F03" w:rsidRPr="00042F03">
        <w:t xml:space="preserve"> </w:t>
      </w:r>
      <w:r w:rsidR="00042F03" w:rsidRPr="00BB223B">
        <w:t>enrollment</w:t>
      </w:r>
      <w:r w:rsidR="00042F03">
        <w:t xml:space="preserve">: </w:t>
      </w:r>
      <w:r w:rsidR="00042F03" w:rsidRPr="00EB748D">
        <w:t>1,15</w:t>
      </w:r>
      <w:r w:rsidR="00042F03" w:rsidRPr="00BB223B">
        <w:t>9</w:t>
      </w:r>
      <w:r w:rsidRPr="00AF1CF8">
        <w:t>) are 99</w:t>
      </w:r>
      <w:r w:rsidR="00A23357" w:rsidRPr="00AF1CF8">
        <w:t xml:space="preserve"> percent</w:t>
      </w:r>
      <w:r w:rsidRPr="00EB748D">
        <w:t xml:space="preserve"> </w:t>
      </w:r>
      <w:r w:rsidRPr="00BB223B">
        <w:t>Latino/</w:t>
      </w:r>
      <w:r w:rsidRPr="00AF1CF8">
        <w:t>a, 74</w:t>
      </w:r>
      <w:r w:rsidR="00A23357" w:rsidRPr="00AF1CF8">
        <w:t xml:space="preserve"> percent</w:t>
      </w:r>
      <w:r w:rsidRPr="00EB748D">
        <w:t xml:space="preserve"> first generation college and 96</w:t>
      </w:r>
      <w:r w:rsidR="00A23357" w:rsidRPr="00AF1CF8">
        <w:t xml:space="preserve"> percent</w:t>
      </w:r>
      <w:r w:rsidRPr="00EB748D">
        <w:t xml:space="preserve"> low-income. The University offers four academic degree levels: C</w:t>
      </w:r>
      <w:r w:rsidRPr="00BB223B">
        <w:t>ertificate/Diploma</w:t>
      </w:r>
      <w:r w:rsidRPr="00AF1CF8">
        <w:t>, Associate Degree, Bachelor’s Degree and Master’s Degree distributed among four Colleges: Health Science and Sciences; Education and Psychology/Social Work; Business Development and Technology; and, Liberal Arts and Humanities.</w:t>
      </w:r>
    </w:p>
    <w:p w14:paraId="4AD12DAD" w14:textId="77777777" w:rsidR="00172BBA" w:rsidRPr="00AF1CF8" w:rsidRDefault="00172BBA" w:rsidP="00172BBA">
      <w:pPr>
        <w:pStyle w:val="BodyText"/>
        <w:rPr>
          <w:szCs w:val="22"/>
        </w:rPr>
      </w:pPr>
    </w:p>
    <w:p w14:paraId="55D21533" w14:textId="0E0B06D7" w:rsidR="00172BBA" w:rsidRPr="00AF1CF8" w:rsidRDefault="00172BBA" w:rsidP="00172BBA">
      <w:pPr>
        <w:pStyle w:val="BodyText"/>
        <w:rPr>
          <w:szCs w:val="22"/>
        </w:rPr>
      </w:pPr>
      <w:r w:rsidRPr="00AF1CF8">
        <w:rPr>
          <w:b/>
          <w:szCs w:val="22"/>
        </w:rPr>
        <w:t>INSTITUTIONAL PROBLEMS:</w:t>
      </w:r>
      <w:r w:rsidRPr="00AF1CF8">
        <w:rPr>
          <w:szCs w:val="22"/>
        </w:rPr>
        <w:t xml:space="preserve"> The Project will address high student attrition (contributing to loss of enrollment revenue); low degree completion within 150</w:t>
      </w:r>
      <w:r w:rsidR="00A23357" w:rsidRPr="00AF1CF8">
        <w:rPr>
          <w:szCs w:val="22"/>
        </w:rPr>
        <w:t xml:space="preserve"> percent</w:t>
      </w:r>
      <w:r w:rsidRPr="00EB748D">
        <w:rPr>
          <w:szCs w:val="22"/>
        </w:rPr>
        <w:t xml:space="preserve"> of time; limited reach of student advising; fragmented support system; and, inadequate automated student </w:t>
      </w:r>
      <w:r w:rsidRPr="00BB223B">
        <w:rPr>
          <w:szCs w:val="22"/>
        </w:rPr>
        <w:t>support services.</w:t>
      </w:r>
    </w:p>
    <w:p w14:paraId="77841DB7" w14:textId="77777777" w:rsidR="00172BBA" w:rsidRPr="00AF1CF8" w:rsidRDefault="00172BBA" w:rsidP="00172BBA">
      <w:r w:rsidRPr="00AF1CF8">
        <w:rPr>
          <w:b/>
          <w:w w:val="105"/>
        </w:rPr>
        <w:t>INSTITUTIONAL GOALS SUPPORTED BY THE TITLE V PROJECT:</w:t>
      </w:r>
      <w:r w:rsidRPr="00AF1CF8">
        <w:rPr>
          <w:w w:val="105"/>
        </w:rPr>
        <w:t xml:space="preserve"> (1) Academic Programs: Engage</w:t>
      </w:r>
      <w:r w:rsidRPr="00AF1CF8">
        <w:t xml:space="preserve"> students in guided pathways toward degree completion with an individualized advising and support system; (2) Institutional Management: Enable a deeper and sustained reach to students at every point on the path of baccalaureate degree completion leveraging automated technologies; and, (3) Fiscal Stability: Reduce student attrition that negatively affects enrollment revenue.</w:t>
      </w:r>
    </w:p>
    <w:p w14:paraId="2274EDAB" w14:textId="77777777" w:rsidR="00172BBA" w:rsidRPr="00AF1CF8" w:rsidRDefault="00172BBA" w:rsidP="00172BBA">
      <w:pPr>
        <w:pStyle w:val="BodyText"/>
        <w:rPr>
          <w:szCs w:val="22"/>
        </w:rPr>
      </w:pPr>
    </w:p>
    <w:p w14:paraId="7ACE7A15" w14:textId="77777777" w:rsidR="00172BBA" w:rsidRPr="00AF1CF8" w:rsidRDefault="00172BBA" w:rsidP="00172BBA">
      <w:pPr>
        <w:rPr>
          <w:b/>
          <w:i/>
          <w:u w:val="single"/>
        </w:rPr>
      </w:pPr>
      <w:r w:rsidRPr="00AF1CF8">
        <w:rPr>
          <w:b/>
          <w:i/>
          <w:u w:val="single"/>
        </w:rPr>
        <w:t>GUIDED PATHWAYS: INTEGRATED, AUTOMATED AND INDIVIDUALIZED</w:t>
      </w:r>
    </w:p>
    <w:p w14:paraId="5E2E63F9" w14:textId="77777777" w:rsidR="00172BBA" w:rsidRPr="00AF1CF8" w:rsidRDefault="00172BBA" w:rsidP="00172BBA">
      <w:pPr>
        <w:pStyle w:val="BodyText"/>
        <w:rPr>
          <w:szCs w:val="22"/>
        </w:rPr>
      </w:pPr>
      <w:r w:rsidRPr="00AF1CF8">
        <w:rPr>
          <w:szCs w:val="22"/>
        </w:rPr>
        <w:t>Our Project will develop an individualized student support system and custom design academic advising specific to each of our four Colleges, reaching the entire baccalaureate degree-seeking student population. The Project will acquire efficient, reliable technologies to support automated student planning and early alerts and will develop a Pathways Center (housing a Pathways Coordinator, Pathways Assistant, Pathways Coaches and Peer Mentors) for a variety of services (individualized academic advising and planning; student coaching services; access to technology resources; peer mentoring; and, financial literacy education and planning).</w:t>
      </w:r>
    </w:p>
    <w:p w14:paraId="34BE3A79" w14:textId="77777777" w:rsidR="00172BBA" w:rsidRPr="00AF1CF8" w:rsidRDefault="00172BBA" w:rsidP="00172BBA">
      <w:pPr>
        <w:pStyle w:val="BodyText"/>
        <w:rPr>
          <w:szCs w:val="22"/>
        </w:rPr>
      </w:pPr>
    </w:p>
    <w:p w14:paraId="00D606D5" w14:textId="5A0867ED" w:rsidR="00172BBA" w:rsidRPr="00AF1CF8" w:rsidRDefault="00172BBA" w:rsidP="00172BBA">
      <w:pPr>
        <w:rPr>
          <w:b/>
          <w:i/>
          <w:u w:val="single"/>
        </w:rPr>
      </w:pPr>
      <w:r w:rsidRPr="00EB748D">
        <w:rPr>
          <w:b/>
          <w:i/>
          <w:w w:val="105"/>
          <w:u w:val="single"/>
        </w:rPr>
        <w:t>E</w:t>
      </w:r>
      <w:r w:rsidRPr="00BB223B">
        <w:rPr>
          <w:b/>
          <w:i/>
          <w:w w:val="105"/>
          <w:u w:val="single"/>
        </w:rPr>
        <w:t>VIDENCE</w:t>
      </w:r>
      <w:r w:rsidRPr="00AF1CF8">
        <w:rPr>
          <w:b/>
          <w:i/>
          <w:spacing w:val="-12"/>
          <w:w w:val="105"/>
          <w:u w:val="single"/>
        </w:rPr>
        <w:t xml:space="preserve"> </w:t>
      </w:r>
      <w:r w:rsidRPr="00AF1CF8">
        <w:rPr>
          <w:b/>
          <w:i/>
          <w:w w:val="105"/>
          <w:u w:val="single"/>
        </w:rPr>
        <w:t>OF</w:t>
      </w:r>
      <w:r w:rsidRPr="00AF1CF8">
        <w:rPr>
          <w:b/>
          <w:i/>
          <w:spacing w:val="-13"/>
          <w:w w:val="105"/>
          <w:u w:val="single"/>
        </w:rPr>
        <w:t xml:space="preserve"> </w:t>
      </w:r>
      <w:r w:rsidRPr="00AF1CF8">
        <w:rPr>
          <w:b/>
          <w:i/>
          <w:w w:val="105"/>
          <w:u w:val="single"/>
        </w:rPr>
        <w:t>EFFECTIVENESSINTERVENTION</w:t>
      </w:r>
      <w:r w:rsidRPr="00AF1CF8">
        <w:rPr>
          <w:b/>
          <w:bCs/>
          <w:i/>
          <w:iCs/>
          <w:w w:val="105"/>
          <w:u w:val="single"/>
        </w:rPr>
        <w:t>-</w:t>
      </w:r>
      <w:r w:rsidRPr="00AF1CF8">
        <w:rPr>
          <w:b/>
          <w:i/>
          <w:w w:val="105"/>
          <w:u w:val="single"/>
        </w:rPr>
        <w:t>PATHWAYS</w:t>
      </w:r>
      <w:r w:rsidRPr="00AF1CF8">
        <w:rPr>
          <w:b/>
          <w:i/>
          <w:spacing w:val="-2"/>
          <w:w w:val="105"/>
          <w:u w:val="single"/>
        </w:rPr>
        <w:t xml:space="preserve"> </w:t>
      </w:r>
      <w:r w:rsidRPr="00AF1CF8">
        <w:rPr>
          <w:b/>
          <w:i/>
          <w:w w:val="105"/>
          <w:u w:val="single"/>
        </w:rPr>
        <w:t>COACHING</w:t>
      </w:r>
    </w:p>
    <w:p w14:paraId="2DD0C8CF" w14:textId="4834CB5A" w:rsidR="00172BBA" w:rsidRPr="00AF1CF8" w:rsidRDefault="00172BBA" w:rsidP="00172BBA">
      <w:pPr>
        <w:pStyle w:val="BodyText"/>
        <w:rPr>
          <w:szCs w:val="22"/>
        </w:rPr>
      </w:pPr>
      <w:r w:rsidRPr="00AF1CF8">
        <w:rPr>
          <w:w w:val="95"/>
          <w:szCs w:val="22"/>
        </w:rPr>
        <w:t xml:space="preserve">The </w:t>
      </w:r>
      <w:r w:rsidR="00A9548D">
        <w:rPr>
          <w:w w:val="95"/>
          <w:szCs w:val="22"/>
        </w:rPr>
        <w:t>”coaching”</w:t>
      </w:r>
      <w:r w:rsidRPr="00EB748D">
        <w:rPr>
          <w:spacing w:val="9"/>
          <w:szCs w:val="22"/>
        </w:rPr>
        <w:t xml:space="preserve"> </w:t>
      </w:r>
      <w:r w:rsidRPr="00BB223B">
        <w:rPr>
          <w:szCs w:val="22"/>
        </w:rPr>
        <w:t xml:space="preserve">component will address </w:t>
      </w:r>
      <w:r w:rsidRPr="00AF1CF8">
        <w:rPr>
          <w:szCs w:val="22"/>
        </w:rPr>
        <w:t>non-cognitive barriers with the goal of supporting students in persisting to timely completion. This intervention (Bettinger, E. P., &amp; Baker, R. 2011. The effects of student coaching in college [Working Paper No. 16881] Center for Education Policy Analysis) is cited by What Works Clearinghouse as showing strong evidence of effectiveness.</w:t>
      </w:r>
    </w:p>
    <w:p w14:paraId="3DB48637" w14:textId="77777777" w:rsidR="00172BBA" w:rsidRPr="00AF1CF8" w:rsidRDefault="00172BBA" w:rsidP="00172BBA">
      <w:pPr>
        <w:pStyle w:val="BodyText"/>
        <w:rPr>
          <w:szCs w:val="22"/>
        </w:rPr>
      </w:pPr>
    </w:p>
    <w:p w14:paraId="09866BB8" w14:textId="77B41010" w:rsidR="00DB54B7" w:rsidRPr="00AF1CF8" w:rsidRDefault="00172BBA" w:rsidP="00AF1CF8">
      <w:pPr>
        <w:pStyle w:val="BodyText"/>
        <w:rPr>
          <w:szCs w:val="22"/>
        </w:rPr>
      </w:pPr>
      <w:r w:rsidRPr="00AF1CF8">
        <w:rPr>
          <w:b/>
          <w:i/>
          <w:szCs w:val="22"/>
          <w:u w:val="single"/>
        </w:rPr>
        <w:t>COMPETITIVE PREFERENCE PRIORITY (CPP) #2:</w:t>
      </w:r>
      <w:r w:rsidRPr="00AF1CF8">
        <w:rPr>
          <w:szCs w:val="22"/>
        </w:rPr>
        <w:t xml:space="preserve"> Our financial literacy and planning intervention is an integral part of our Title V Activity for addressing the problem of high attrition and low completion rates. Financial distress is often the reason cited by our students for not persisting in their studies. Our University will collaborate with a digital provider EVERFI and the </w:t>
      </w:r>
      <w:r w:rsidRPr="00AF1CF8">
        <w:rPr>
          <w:color w:val="2F2F2F"/>
          <w:szCs w:val="22"/>
        </w:rPr>
        <w:t>Institute of Financial Education in Puerto Rico</w:t>
      </w:r>
      <w:r w:rsidR="00042F03">
        <w:rPr>
          <w:color w:val="2F2F2F"/>
          <w:szCs w:val="22"/>
        </w:rPr>
        <w:t xml:space="preserve"> </w:t>
      </w:r>
      <w:r w:rsidRPr="00AF1CF8">
        <w:rPr>
          <w:szCs w:val="22"/>
        </w:rPr>
        <w:t>to develop an online financial literacy and planning</w:t>
      </w:r>
      <w:r w:rsidRPr="00AF1CF8">
        <w:rPr>
          <w:spacing w:val="47"/>
          <w:szCs w:val="22"/>
        </w:rPr>
        <w:t xml:space="preserve"> </w:t>
      </w:r>
      <w:r w:rsidRPr="00AF1CF8">
        <w:rPr>
          <w:szCs w:val="22"/>
        </w:rPr>
        <w:t>course.</w:t>
      </w:r>
    </w:p>
    <w:p w14:paraId="1FCF356A" w14:textId="4EE68484" w:rsidR="00A34A03" w:rsidRPr="00AF1CF8" w:rsidRDefault="00A34A03" w:rsidP="00634CAD">
      <w:pPr>
        <w:pStyle w:val="Heading1"/>
      </w:pPr>
      <w:r w:rsidRPr="00AF1CF8">
        <w:t xml:space="preserve">P031S190165 </w:t>
      </w:r>
      <w:r w:rsidRPr="00AF1CF8">
        <w:br/>
        <w:t>Del Mar College, TX</w:t>
      </w:r>
    </w:p>
    <w:p w14:paraId="71B0513D" w14:textId="77777777" w:rsidR="00990875" w:rsidRPr="00AF1CF8" w:rsidRDefault="00990875" w:rsidP="00AF1CF8"/>
    <w:p w14:paraId="6B40F840" w14:textId="77777777" w:rsidR="00A34A03" w:rsidRPr="00AF1CF8" w:rsidRDefault="00A34A03" w:rsidP="00A34A03">
      <w:pPr>
        <w:widowControl/>
        <w:adjustRightInd w:val="0"/>
        <w:rPr>
          <w:rFonts w:eastAsia="Calibri"/>
          <w:b/>
          <w:bCs/>
        </w:rPr>
      </w:pPr>
      <w:r w:rsidRPr="00AF1CF8">
        <w:rPr>
          <w:rFonts w:eastAsia="Calibri"/>
          <w:b/>
          <w:bCs/>
          <w:i/>
          <w:iCs/>
        </w:rPr>
        <w:t>Project SENDA</w:t>
      </w:r>
      <w:r w:rsidRPr="00AF1CF8">
        <w:rPr>
          <w:rFonts w:eastAsia="Calibri"/>
          <w:b/>
          <w:bCs/>
        </w:rPr>
        <w:t>: Students Engaged in Direct Advising</w:t>
      </w:r>
    </w:p>
    <w:p w14:paraId="368099CD" w14:textId="77777777" w:rsidR="00A34A03" w:rsidRPr="00AF1CF8" w:rsidRDefault="00A34A03" w:rsidP="00A34A03">
      <w:pPr>
        <w:widowControl/>
        <w:adjustRightInd w:val="0"/>
        <w:rPr>
          <w:rFonts w:eastAsia="Calibri"/>
          <w:b/>
          <w:bCs/>
        </w:rPr>
      </w:pPr>
      <w:r w:rsidRPr="00AF1CF8">
        <w:rPr>
          <w:rFonts w:eastAsia="Calibri"/>
          <w:b/>
          <w:bCs/>
        </w:rPr>
        <w:t>Del Mar College</w:t>
      </w:r>
    </w:p>
    <w:p w14:paraId="492EA43B" w14:textId="02029E08" w:rsidR="00A34A03" w:rsidRPr="00AF1CF8" w:rsidRDefault="00A34A03" w:rsidP="00A34A03">
      <w:pPr>
        <w:widowControl/>
        <w:adjustRightInd w:val="0"/>
        <w:rPr>
          <w:rFonts w:eastAsia="Calibri"/>
        </w:rPr>
      </w:pPr>
      <w:r w:rsidRPr="00AF1CF8">
        <w:rPr>
          <w:rFonts w:eastAsia="Calibri"/>
        </w:rPr>
        <w:t>Del Mar College will undertake a $2.8 million program of interventions intended to expand the</w:t>
      </w:r>
      <w:r w:rsidR="000B5D13">
        <w:rPr>
          <w:rFonts w:eastAsia="Calibri"/>
        </w:rPr>
        <w:t xml:space="preserve"> </w:t>
      </w:r>
      <w:r w:rsidRPr="00AF1CF8">
        <w:rPr>
          <w:rFonts w:eastAsia="Calibri"/>
        </w:rPr>
        <w:t>number of Hispanic and low-income students attaining postsecondary degree and participating</w:t>
      </w:r>
      <w:r w:rsidR="000B5D13">
        <w:rPr>
          <w:rFonts w:eastAsia="Calibri"/>
        </w:rPr>
        <w:t xml:space="preserve"> </w:t>
      </w:r>
      <w:r w:rsidRPr="00AF1CF8">
        <w:rPr>
          <w:rFonts w:eastAsia="Calibri"/>
        </w:rPr>
        <w:t>in the growing</w:t>
      </w:r>
      <w:r w:rsidR="000B5D13">
        <w:rPr>
          <w:rFonts w:eastAsia="Calibri"/>
        </w:rPr>
        <w:t xml:space="preserve"> </w:t>
      </w:r>
      <w:r w:rsidRPr="00AF1CF8">
        <w:rPr>
          <w:rFonts w:eastAsia="Calibri"/>
        </w:rPr>
        <w:t>regional economy. This goal will be achieved by decreasing the time to</w:t>
      </w:r>
      <w:r w:rsidR="000B5D13">
        <w:rPr>
          <w:rFonts w:eastAsia="Calibri"/>
        </w:rPr>
        <w:t xml:space="preserve"> </w:t>
      </w:r>
      <w:r w:rsidRPr="00AF1CF8">
        <w:rPr>
          <w:rFonts w:eastAsia="Calibri"/>
        </w:rPr>
        <w:t xml:space="preserve">completion rate, increasing persistence from first to second year, and improving the </w:t>
      </w:r>
      <w:r w:rsidR="000B5D13">
        <w:rPr>
          <w:rFonts w:eastAsia="Calibri"/>
        </w:rPr>
        <w:t>three</w:t>
      </w:r>
      <w:r w:rsidRPr="00AF1CF8">
        <w:rPr>
          <w:rFonts w:eastAsia="Calibri"/>
        </w:rPr>
        <w:t>-year</w:t>
      </w:r>
      <w:r w:rsidR="000B5D13">
        <w:rPr>
          <w:rFonts w:eastAsia="Calibri"/>
        </w:rPr>
        <w:t xml:space="preserve"> </w:t>
      </w:r>
      <w:r w:rsidRPr="00AF1CF8">
        <w:rPr>
          <w:rFonts w:eastAsia="Calibri"/>
        </w:rPr>
        <w:t>graduation rate of Hispanic students. 67</w:t>
      </w:r>
      <w:r w:rsidR="00A23357" w:rsidRPr="00AF1CF8">
        <w:rPr>
          <w:rFonts w:eastAsia="Calibri"/>
        </w:rPr>
        <w:t xml:space="preserve"> percent</w:t>
      </w:r>
      <w:r w:rsidRPr="00AF1CF8">
        <w:rPr>
          <w:rFonts w:eastAsia="Calibri"/>
        </w:rPr>
        <w:t xml:space="preserve"> of Del Mar’s students are Hispanic, while over 70</w:t>
      </w:r>
      <w:r w:rsidR="00A23357" w:rsidRPr="00AF1CF8">
        <w:rPr>
          <w:rFonts w:eastAsia="Calibri"/>
        </w:rPr>
        <w:t xml:space="preserve"> percent</w:t>
      </w:r>
      <w:r w:rsidR="000B5D13">
        <w:rPr>
          <w:rFonts w:eastAsia="Calibri"/>
        </w:rPr>
        <w:t xml:space="preserve"> </w:t>
      </w:r>
      <w:r w:rsidRPr="00AF1CF8">
        <w:rPr>
          <w:rFonts w:eastAsia="Calibri"/>
        </w:rPr>
        <w:t>receive some form of financial aid.</w:t>
      </w:r>
    </w:p>
    <w:p w14:paraId="1E534CBB" w14:textId="6B756490" w:rsidR="00A34A03" w:rsidRPr="00AF1CF8" w:rsidRDefault="00A34A03" w:rsidP="00A34A03">
      <w:pPr>
        <w:widowControl/>
        <w:adjustRightInd w:val="0"/>
        <w:rPr>
          <w:rFonts w:eastAsia="Calibri"/>
        </w:rPr>
      </w:pPr>
      <w:r w:rsidRPr="00AF1CF8">
        <w:rPr>
          <w:rFonts w:eastAsia="Calibri"/>
          <w:b/>
          <w:bCs/>
          <w:i/>
          <w:iCs/>
        </w:rPr>
        <w:t>Activity 1: To improve student retention, persistence and graduation rates by creating Guided</w:t>
      </w:r>
      <w:r w:rsidR="000B5D13">
        <w:rPr>
          <w:rFonts w:eastAsia="Calibri"/>
          <w:b/>
          <w:bCs/>
          <w:i/>
          <w:iCs/>
        </w:rPr>
        <w:t xml:space="preserve"> </w:t>
      </w:r>
      <w:r w:rsidRPr="00AF1CF8">
        <w:rPr>
          <w:rFonts w:eastAsia="Calibri"/>
          <w:b/>
          <w:bCs/>
          <w:i/>
          <w:iCs/>
        </w:rPr>
        <w:t xml:space="preserve">Pathways, and transfer readiness to two or four-year institution. </w:t>
      </w:r>
      <w:r w:rsidRPr="00AF1CF8">
        <w:rPr>
          <w:rFonts w:eastAsia="Calibri"/>
        </w:rPr>
        <w:t>Activity 1 will overcome</w:t>
      </w:r>
      <w:r w:rsidR="000B5D13">
        <w:rPr>
          <w:rFonts w:eastAsia="Calibri"/>
        </w:rPr>
        <w:t xml:space="preserve"> </w:t>
      </w:r>
      <w:r w:rsidRPr="00AF1CF8">
        <w:rPr>
          <w:rFonts w:eastAsia="Calibri"/>
        </w:rPr>
        <w:t>challenges experienced by Hispanic and low-income students and systemic institutional</w:t>
      </w:r>
      <w:r w:rsidR="000B5D13">
        <w:rPr>
          <w:rFonts w:eastAsia="Calibri"/>
        </w:rPr>
        <w:t xml:space="preserve"> </w:t>
      </w:r>
      <w:r w:rsidRPr="00AF1CF8">
        <w:rPr>
          <w:rFonts w:eastAsia="Calibri"/>
        </w:rPr>
        <w:t>deficiencies through three strategies: 1) Create guided academic pathways; 2) Effectively</w:t>
      </w:r>
      <w:r w:rsidR="000B5D13">
        <w:rPr>
          <w:rFonts w:eastAsia="Calibri"/>
        </w:rPr>
        <w:t xml:space="preserve"> </w:t>
      </w:r>
      <w:r w:rsidRPr="00AF1CF8">
        <w:rPr>
          <w:rFonts w:eastAsia="Calibri"/>
        </w:rPr>
        <w:t>transitioning new students into the community college environment through a one-stop guided</w:t>
      </w:r>
      <w:r w:rsidR="000B5D13">
        <w:rPr>
          <w:rFonts w:eastAsia="Calibri"/>
        </w:rPr>
        <w:t xml:space="preserve"> </w:t>
      </w:r>
      <w:r w:rsidRPr="00AF1CF8">
        <w:rPr>
          <w:rFonts w:eastAsia="Calibri"/>
        </w:rPr>
        <w:t>pathways welcome center; and 3) Improving transfer maps, career exploration, and articulation</w:t>
      </w:r>
      <w:r w:rsidR="000B5D13">
        <w:rPr>
          <w:rFonts w:eastAsia="Calibri"/>
        </w:rPr>
        <w:t xml:space="preserve"> </w:t>
      </w:r>
      <w:r w:rsidRPr="00AF1CF8">
        <w:rPr>
          <w:rFonts w:eastAsia="Calibri"/>
        </w:rPr>
        <w:t>agreements.</w:t>
      </w:r>
    </w:p>
    <w:p w14:paraId="7CB356E8" w14:textId="77777777" w:rsidR="00A34A03" w:rsidRPr="00AF1CF8" w:rsidRDefault="00A34A03" w:rsidP="00A34A03">
      <w:pPr>
        <w:widowControl/>
        <w:adjustRightInd w:val="0"/>
        <w:rPr>
          <w:rFonts w:eastAsia="Calibri"/>
          <w:b/>
          <w:bCs/>
          <w:i/>
          <w:iCs/>
        </w:rPr>
      </w:pPr>
      <w:r w:rsidRPr="00AF1CF8">
        <w:rPr>
          <w:rFonts w:eastAsia="Calibri"/>
          <w:b/>
          <w:bCs/>
          <w:i/>
          <w:iCs/>
        </w:rPr>
        <w:t>Activity 2: To increase the academic success of Hispanic and low-income students at critical</w:t>
      </w:r>
    </w:p>
    <w:p w14:paraId="0719EC3C" w14:textId="6F121F3F" w:rsidR="00A34A03" w:rsidRPr="00AF1CF8" w:rsidRDefault="00A34A03" w:rsidP="00A34A03">
      <w:pPr>
        <w:widowControl/>
        <w:adjustRightInd w:val="0"/>
        <w:rPr>
          <w:rFonts w:eastAsia="Calibri"/>
          <w:b/>
          <w:bCs/>
          <w:i/>
          <w:iCs/>
        </w:rPr>
      </w:pPr>
      <w:r w:rsidRPr="00AF1CF8">
        <w:rPr>
          <w:rFonts w:eastAsia="Calibri"/>
          <w:b/>
          <w:bCs/>
          <w:i/>
          <w:iCs/>
        </w:rPr>
        <w:t xml:space="preserve">points in the </w:t>
      </w:r>
      <w:r w:rsidR="003B1EAA">
        <w:rPr>
          <w:rFonts w:eastAsia="Calibri"/>
          <w:b/>
          <w:bCs/>
          <w:i/>
          <w:iCs/>
        </w:rPr>
        <w:t>two</w:t>
      </w:r>
      <w:r w:rsidRPr="00AF1CF8">
        <w:rPr>
          <w:rFonts w:eastAsia="Calibri"/>
          <w:b/>
          <w:bCs/>
          <w:i/>
          <w:iCs/>
        </w:rPr>
        <w:t xml:space="preserve">-year and </w:t>
      </w:r>
      <w:r w:rsidR="003B1EAA">
        <w:rPr>
          <w:rFonts w:eastAsia="Calibri"/>
          <w:b/>
          <w:bCs/>
          <w:i/>
          <w:iCs/>
        </w:rPr>
        <w:t>four</w:t>
      </w:r>
      <w:r w:rsidRPr="00AF1CF8">
        <w:rPr>
          <w:rFonts w:eastAsia="Calibri"/>
          <w:b/>
          <w:bCs/>
          <w:i/>
          <w:iCs/>
        </w:rPr>
        <w:t>-year pipeline. from first year to transfer to four-year institutions.</w:t>
      </w:r>
    </w:p>
    <w:p w14:paraId="670EFDD2" w14:textId="2DA288C2" w:rsidR="00A34A03" w:rsidRPr="00AF1CF8" w:rsidRDefault="00A34A03" w:rsidP="00A34A03">
      <w:pPr>
        <w:widowControl/>
        <w:adjustRightInd w:val="0"/>
        <w:rPr>
          <w:rFonts w:eastAsia="Calibri"/>
        </w:rPr>
      </w:pPr>
      <w:r w:rsidRPr="00AF1CF8">
        <w:rPr>
          <w:rFonts w:eastAsia="Calibri"/>
        </w:rPr>
        <w:t>Activity 2 will improve the persistence and retention rates of Hispanic and low-income students</w:t>
      </w:r>
      <w:r w:rsidR="000B5D13">
        <w:rPr>
          <w:rFonts w:eastAsia="Calibri"/>
        </w:rPr>
        <w:t xml:space="preserve"> </w:t>
      </w:r>
      <w:r w:rsidRPr="00AF1CF8">
        <w:rPr>
          <w:rFonts w:eastAsia="Calibri"/>
        </w:rPr>
        <w:t>through four strategies: 1) System-wide implementation of an embedded advisement model 2) A</w:t>
      </w:r>
      <w:r w:rsidR="000B5D13">
        <w:rPr>
          <w:rFonts w:eastAsia="Calibri"/>
        </w:rPr>
        <w:t xml:space="preserve"> </w:t>
      </w:r>
      <w:r w:rsidRPr="00AF1CF8">
        <w:rPr>
          <w:rFonts w:eastAsia="Calibri"/>
        </w:rPr>
        <w:t>two-tier faculty advisement training and certification process; and 3) Creating a culture of</w:t>
      </w:r>
      <w:r w:rsidR="000B5D13">
        <w:rPr>
          <w:rFonts w:eastAsia="Calibri"/>
        </w:rPr>
        <w:t xml:space="preserve"> </w:t>
      </w:r>
      <w:r w:rsidRPr="00AF1CF8">
        <w:rPr>
          <w:rFonts w:eastAsia="Calibri"/>
        </w:rPr>
        <w:t>financial literacy</w:t>
      </w:r>
    </w:p>
    <w:p w14:paraId="452C4133" w14:textId="77777777" w:rsidR="00A34A03" w:rsidRPr="00AF1CF8" w:rsidRDefault="00A34A03" w:rsidP="00A34A03">
      <w:pPr>
        <w:widowControl/>
        <w:adjustRightInd w:val="0"/>
        <w:rPr>
          <w:rFonts w:eastAsia="Calibri"/>
        </w:rPr>
      </w:pPr>
      <w:r w:rsidRPr="00AF1CF8">
        <w:rPr>
          <w:rFonts w:eastAsia="Calibri"/>
          <w:i/>
          <w:iCs/>
        </w:rPr>
        <w:t xml:space="preserve">Project SENDA </w:t>
      </w:r>
      <w:r w:rsidRPr="00AF1CF8">
        <w:rPr>
          <w:rFonts w:eastAsia="Calibri"/>
        </w:rPr>
        <w:t>Objectives include:</w:t>
      </w:r>
    </w:p>
    <w:p w14:paraId="4DCE082F" w14:textId="47940452" w:rsidR="00A34A03" w:rsidRPr="00AF1CF8" w:rsidRDefault="00A34A03" w:rsidP="00A34A03">
      <w:pPr>
        <w:widowControl/>
        <w:adjustRightInd w:val="0"/>
        <w:rPr>
          <w:rFonts w:eastAsia="Calibri"/>
        </w:rPr>
      </w:pPr>
      <w:r w:rsidRPr="00AF1CF8">
        <w:rPr>
          <w:rFonts w:eastAsia="Calibri"/>
        </w:rPr>
        <w:t>• 16</w:t>
      </w:r>
      <w:r w:rsidR="00A23357" w:rsidRPr="00AF1CF8">
        <w:rPr>
          <w:rFonts w:eastAsia="Calibri"/>
        </w:rPr>
        <w:t xml:space="preserve"> percent</w:t>
      </w:r>
      <w:r w:rsidRPr="00AF1CF8">
        <w:rPr>
          <w:rFonts w:eastAsia="Calibri"/>
        </w:rPr>
        <w:t xml:space="preserve"> increase in the annual number of Hispanic students earning an associate degree</w:t>
      </w:r>
    </w:p>
    <w:p w14:paraId="741CD7ED" w14:textId="24928DF0" w:rsidR="00A34A03" w:rsidRPr="00AF1CF8" w:rsidRDefault="00A34A03" w:rsidP="00A34A03">
      <w:pPr>
        <w:widowControl/>
        <w:adjustRightInd w:val="0"/>
        <w:rPr>
          <w:rFonts w:eastAsia="Calibri"/>
        </w:rPr>
      </w:pPr>
      <w:r w:rsidRPr="00AF1CF8">
        <w:rPr>
          <w:rFonts w:eastAsia="Calibri"/>
        </w:rPr>
        <w:t>• 19</w:t>
      </w:r>
      <w:r w:rsidR="00A23357" w:rsidRPr="00AF1CF8">
        <w:rPr>
          <w:rFonts w:eastAsia="Calibri"/>
        </w:rPr>
        <w:t xml:space="preserve"> percent</w:t>
      </w:r>
      <w:r w:rsidRPr="00AF1CF8">
        <w:rPr>
          <w:rFonts w:eastAsia="Calibri"/>
        </w:rPr>
        <w:t xml:space="preserve"> increase in the three-year graduation rates of Hispanic students</w:t>
      </w:r>
    </w:p>
    <w:p w14:paraId="11948BAC" w14:textId="77777777" w:rsidR="00A34A03" w:rsidRPr="00AF1CF8" w:rsidRDefault="00A34A03" w:rsidP="00A34A03">
      <w:pPr>
        <w:widowControl/>
        <w:adjustRightInd w:val="0"/>
        <w:rPr>
          <w:rFonts w:eastAsia="Calibri"/>
        </w:rPr>
      </w:pPr>
      <w:r w:rsidRPr="00AF1CF8">
        <w:rPr>
          <w:rFonts w:eastAsia="Calibri"/>
        </w:rPr>
        <w:t>• The annual number of Hispanic graduates successfully transferred to baccalaureate</w:t>
      </w:r>
    </w:p>
    <w:p w14:paraId="0ABF009B" w14:textId="54DD1887" w:rsidR="00A34A03" w:rsidRPr="00AF1CF8" w:rsidRDefault="00A34A03" w:rsidP="00A34A03">
      <w:pPr>
        <w:widowControl/>
        <w:adjustRightInd w:val="0"/>
        <w:rPr>
          <w:rFonts w:eastAsia="Calibri"/>
        </w:rPr>
      </w:pPr>
      <w:r w:rsidRPr="00AF1CF8">
        <w:rPr>
          <w:rFonts w:eastAsia="Calibri"/>
        </w:rPr>
        <w:t>programs will increase 68</w:t>
      </w:r>
      <w:r w:rsidR="00A23357" w:rsidRPr="00AF1CF8">
        <w:rPr>
          <w:rFonts w:eastAsia="Calibri"/>
        </w:rPr>
        <w:t xml:space="preserve"> percent</w:t>
      </w:r>
      <w:r w:rsidRPr="00AF1CF8">
        <w:rPr>
          <w:rFonts w:eastAsia="Calibri"/>
        </w:rPr>
        <w:t>.</w:t>
      </w:r>
    </w:p>
    <w:p w14:paraId="5C86F9D9" w14:textId="0519153E" w:rsidR="00A34A03" w:rsidRPr="00AF1CF8" w:rsidRDefault="00A34A03" w:rsidP="00A34A03">
      <w:pPr>
        <w:widowControl/>
        <w:adjustRightInd w:val="0"/>
        <w:rPr>
          <w:rFonts w:eastAsia="Calibri"/>
        </w:rPr>
      </w:pPr>
      <w:r w:rsidRPr="00AF1CF8">
        <w:rPr>
          <w:rFonts w:eastAsia="Calibri"/>
        </w:rPr>
        <w:t xml:space="preserve">• </w:t>
      </w:r>
      <w:r w:rsidR="00A23357" w:rsidRPr="00AF1CF8">
        <w:rPr>
          <w:rFonts w:eastAsia="Calibri"/>
        </w:rPr>
        <w:t>Eight percent</w:t>
      </w:r>
      <w:r w:rsidRPr="00AF1CF8">
        <w:rPr>
          <w:rFonts w:eastAsia="Calibri"/>
        </w:rPr>
        <w:t xml:space="preserve"> decrease in average time to degree completion</w:t>
      </w:r>
    </w:p>
    <w:p w14:paraId="412BD4DF" w14:textId="5713F6D7" w:rsidR="00A34A03" w:rsidRPr="00AF1CF8" w:rsidRDefault="00A34A03" w:rsidP="00A34A03">
      <w:pPr>
        <w:widowControl/>
        <w:adjustRightInd w:val="0"/>
        <w:rPr>
          <w:rFonts w:eastAsia="Calibri"/>
        </w:rPr>
      </w:pPr>
      <w:r w:rsidRPr="00AF1CF8">
        <w:rPr>
          <w:rFonts w:eastAsia="Calibri"/>
        </w:rPr>
        <w:t xml:space="preserve">• </w:t>
      </w:r>
      <w:r w:rsidR="00A23357" w:rsidRPr="00AF1CF8">
        <w:rPr>
          <w:rFonts w:eastAsia="Calibri"/>
        </w:rPr>
        <w:t>Five percent</w:t>
      </w:r>
      <w:r w:rsidRPr="00AF1CF8">
        <w:rPr>
          <w:rFonts w:eastAsia="Calibri"/>
        </w:rPr>
        <w:t xml:space="preserve"> increase in the first- to second-year persistence rate of Hispanic students</w:t>
      </w:r>
    </w:p>
    <w:p w14:paraId="49923D16" w14:textId="603F1E38" w:rsidR="00A34A03" w:rsidRPr="00AF1CF8" w:rsidRDefault="00A34A03" w:rsidP="00A34A03">
      <w:pPr>
        <w:widowControl/>
        <w:adjustRightInd w:val="0"/>
        <w:rPr>
          <w:rFonts w:eastAsia="Calibri"/>
        </w:rPr>
      </w:pPr>
      <w:r w:rsidRPr="00AF1CF8">
        <w:rPr>
          <w:rFonts w:eastAsia="Calibri"/>
        </w:rPr>
        <w:t xml:space="preserve">• </w:t>
      </w:r>
      <w:r w:rsidR="00A23357" w:rsidRPr="00AF1CF8">
        <w:rPr>
          <w:rFonts w:eastAsia="Calibri"/>
        </w:rPr>
        <w:t>Four percent</w:t>
      </w:r>
      <w:r w:rsidRPr="00AF1CF8">
        <w:rPr>
          <w:rFonts w:eastAsia="Calibri"/>
        </w:rPr>
        <w:t xml:space="preserve"> decrease in average credits taken to degree completion</w:t>
      </w:r>
    </w:p>
    <w:p w14:paraId="0A3E592D" w14:textId="5CCC6E8B" w:rsidR="00A34A03" w:rsidRPr="00AF1CF8" w:rsidRDefault="00A34A03" w:rsidP="00A34A03">
      <w:pPr>
        <w:widowControl/>
        <w:adjustRightInd w:val="0"/>
        <w:rPr>
          <w:rFonts w:eastAsia="Calibri"/>
        </w:rPr>
      </w:pPr>
      <w:r w:rsidRPr="00AF1CF8">
        <w:rPr>
          <w:rFonts w:eastAsia="Calibri"/>
        </w:rPr>
        <w:t xml:space="preserve">• </w:t>
      </w:r>
      <w:r w:rsidR="00A23357" w:rsidRPr="00AF1CF8">
        <w:rPr>
          <w:rFonts w:eastAsia="Calibri"/>
        </w:rPr>
        <w:t>Nine percent</w:t>
      </w:r>
      <w:r w:rsidRPr="00AF1CF8">
        <w:rPr>
          <w:rFonts w:eastAsia="Calibri"/>
        </w:rPr>
        <w:t xml:space="preserve"> decrease in average student debt</w:t>
      </w:r>
    </w:p>
    <w:p w14:paraId="14EFC135" w14:textId="77777777" w:rsidR="00A34A03" w:rsidRPr="00AF1CF8" w:rsidRDefault="00A34A03" w:rsidP="00A34A03">
      <w:pPr>
        <w:widowControl/>
        <w:adjustRightInd w:val="0"/>
        <w:rPr>
          <w:rFonts w:eastAsia="Calibri"/>
        </w:rPr>
      </w:pPr>
      <w:r w:rsidRPr="00AF1CF8">
        <w:rPr>
          <w:rFonts w:eastAsia="Calibri"/>
        </w:rPr>
        <w:t>• 140 faculty will be trained and certified in academic, financial, and culturally inclusive</w:t>
      </w:r>
    </w:p>
    <w:p w14:paraId="4CD3C806" w14:textId="77777777" w:rsidR="00A34A03" w:rsidRPr="00AF1CF8" w:rsidRDefault="00A34A03" w:rsidP="00A34A03">
      <w:pPr>
        <w:widowControl/>
        <w:adjustRightInd w:val="0"/>
        <w:rPr>
          <w:rFonts w:eastAsia="Calibri"/>
        </w:rPr>
      </w:pPr>
      <w:r w:rsidRPr="00AF1CF8">
        <w:rPr>
          <w:rFonts w:eastAsia="Calibri"/>
        </w:rPr>
        <w:t>advisement approaches to address the needs of Hispanic and low-income students</w:t>
      </w:r>
    </w:p>
    <w:p w14:paraId="73AD69BD" w14:textId="77777777" w:rsidR="00A34A03" w:rsidRPr="00AF1CF8" w:rsidRDefault="00A34A03" w:rsidP="00A34A03">
      <w:pPr>
        <w:widowControl/>
        <w:adjustRightInd w:val="0"/>
        <w:rPr>
          <w:rFonts w:eastAsia="Calibri"/>
        </w:rPr>
      </w:pPr>
      <w:r w:rsidRPr="00AF1CF8">
        <w:rPr>
          <w:rFonts w:eastAsia="Calibri"/>
        </w:rPr>
        <w:t>• Virtual Reality career exploration videos</w:t>
      </w:r>
    </w:p>
    <w:p w14:paraId="5EBE7683" w14:textId="77777777" w:rsidR="00A34A03" w:rsidRPr="00AF1CF8" w:rsidRDefault="00A34A03" w:rsidP="00A34A03">
      <w:pPr>
        <w:widowControl/>
        <w:adjustRightInd w:val="0"/>
        <w:rPr>
          <w:rFonts w:eastAsia="Calibri"/>
        </w:rPr>
      </w:pPr>
      <w:r w:rsidRPr="00AF1CF8">
        <w:rPr>
          <w:rFonts w:eastAsia="Calibri"/>
        </w:rPr>
        <w:t>• A new, two-tier faculty advisor certification process and training program</w:t>
      </w:r>
    </w:p>
    <w:p w14:paraId="4BD56D5C" w14:textId="77777777" w:rsidR="00A34A03" w:rsidRPr="00AF1CF8" w:rsidRDefault="00A34A03" w:rsidP="00A34A03">
      <w:pPr>
        <w:widowControl/>
        <w:adjustRightInd w:val="0"/>
        <w:rPr>
          <w:rFonts w:eastAsia="Calibri"/>
        </w:rPr>
      </w:pPr>
      <w:r w:rsidRPr="00AF1CF8">
        <w:rPr>
          <w:rFonts w:eastAsia="Calibri"/>
        </w:rPr>
        <w:t>• Faculty advisor community of best practices</w:t>
      </w:r>
    </w:p>
    <w:p w14:paraId="55D1403B" w14:textId="77777777" w:rsidR="00A34A03" w:rsidRPr="00AF1CF8" w:rsidRDefault="00A34A03" w:rsidP="00A34A03">
      <w:pPr>
        <w:widowControl/>
        <w:adjustRightInd w:val="0"/>
        <w:rPr>
          <w:rFonts w:eastAsia="Calibri"/>
        </w:rPr>
      </w:pPr>
      <w:r w:rsidRPr="00AF1CF8">
        <w:rPr>
          <w:rFonts w:eastAsia="Calibri"/>
        </w:rPr>
        <w:t>• Peer financial coaching; onboarding financial literacy; mobile credit improvement apps</w:t>
      </w:r>
    </w:p>
    <w:p w14:paraId="579A0128" w14:textId="77777777" w:rsidR="00A34A03" w:rsidRPr="00EB748D" w:rsidRDefault="00A34A03" w:rsidP="00A34A03">
      <w:pPr>
        <w:widowControl/>
        <w:autoSpaceDE/>
        <w:autoSpaceDN/>
        <w:spacing w:after="160" w:line="259" w:lineRule="auto"/>
        <w:rPr>
          <w:rFonts w:eastAsia="Calibri"/>
        </w:rPr>
      </w:pPr>
      <w:r w:rsidRPr="00AF1CF8">
        <w:rPr>
          <w:rFonts w:eastAsia="Calibri"/>
        </w:rPr>
        <w:t>• New Guided Pathways One-Stop Welcome Center for complete onboarding experience</w:t>
      </w:r>
    </w:p>
    <w:p w14:paraId="02B8806A" w14:textId="6C6B0811" w:rsidR="00DB54B7" w:rsidRPr="00BB223B" w:rsidRDefault="00DB54B7" w:rsidP="002E5B6E"/>
    <w:p w14:paraId="6121628B" w14:textId="58CE5DC3" w:rsidR="003F0653" w:rsidRPr="00AF1CF8" w:rsidRDefault="003F0653" w:rsidP="002E5B6E"/>
    <w:p w14:paraId="10DB6F59" w14:textId="2C0F659C" w:rsidR="003F0653" w:rsidRPr="00AF1CF8" w:rsidRDefault="006A5759" w:rsidP="00634CAD">
      <w:pPr>
        <w:pStyle w:val="Heading1"/>
      </w:pPr>
      <w:r w:rsidRPr="00AF1CF8">
        <w:t xml:space="preserve">P031S190153 </w:t>
      </w:r>
      <w:r w:rsidR="00CA6F53" w:rsidRPr="00AF1CF8">
        <w:br/>
        <w:t>Houston Baptist University, TX</w:t>
      </w:r>
    </w:p>
    <w:p w14:paraId="7DACFECA" w14:textId="77777777" w:rsidR="00A357A3" w:rsidRPr="00AF1CF8" w:rsidRDefault="00A357A3" w:rsidP="00AF1CF8"/>
    <w:p w14:paraId="4D4B7250" w14:textId="7F9EBEC6" w:rsidR="003F0653" w:rsidRPr="00AF1CF8" w:rsidRDefault="003F0653" w:rsidP="003F0653">
      <w:pPr>
        <w:pStyle w:val="BodyText"/>
        <w:rPr>
          <w:szCs w:val="22"/>
        </w:rPr>
      </w:pPr>
      <w:r w:rsidRPr="00AF1CF8">
        <w:rPr>
          <w:szCs w:val="22"/>
        </w:rPr>
        <w:t>In order to meet the nation’s call for a well-prepared and technologically advanced industry workforce in the Science, Technology, Engineering, and Math (STEM) fields, Houston Baptist University (HBU) is dedicated to improving student success by enhancing academic and research-based programming in the sciences, engineering, and cyber/computer sciences areas through the execution of the Title V project: Building Successful Students in STEM.</w:t>
      </w:r>
    </w:p>
    <w:p w14:paraId="626D3DC1" w14:textId="77777777" w:rsidR="003F0653" w:rsidRPr="00AF1CF8" w:rsidRDefault="003F0653" w:rsidP="003F0653">
      <w:pPr>
        <w:pStyle w:val="BodyText"/>
        <w:rPr>
          <w:szCs w:val="22"/>
        </w:rPr>
      </w:pPr>
    </w:p>
    <w:p w14:paraId="13E6F506" w14:textId="7913A491" w:rsidR="003F0653" w:rsidRPr="00AF1CF8" w:rsidRDefault="003F0653" w:rsidP="003F0653">
      <w:pPr>
        <w:pStyle w:val="BodyText"/>
        <w:rPr>
          <w:szCs w:val="22"/>
        </w:rPr>
      </w:pPr>
      <w:r w:rsidRPr="00AF1CF8">
        <w:rPr>
          <w:szCs w:val="22"/>
        </w:rPr>
        <w:t>As a four-year private institution serving more than 3,400 undergraduate and graduate students in Houston, Texas, 67.5</w:t>
      </w:r>
      <w:r w:rsidR="00A23357" w:rsidRPr="00AF1CF8">
        <w:rPr>
          <w:szCs w:val="22"/>
        </w:rPr>
        <w:t xml:space="preserve"> percent</w:t>
      </w:r>
      <w:r w:rsidRPr="00AF1CF8">
        <w:rPr>
          <w:szCs w:val="22"/>
        </w:rPr>
        <w:t xml:space="preserve"> of HBU students are minority (including 36.8</w:t>
      </w:r>
      <w:r w:rsidR="00A23357" w:rsidRPr="00AF1CF8">
        <w:rPr>
          <w:szCs w:val="22"/>
        </w:rPr>
        <w:t xml:space="preserve"> percent</w:t>
      </w:r>
      <w:r w:rsidRPr="00AF1CF8">
        <w:rPr>
          <w:szCs w:val="22"/>
        </w:rPr>
        <w:t xml:space="preserve"> Hispanic and 18.9</w:t>
      </w:r>
      <w:r w:rsidR="00A23357" w:rsidRPr="00AF1CF8">
        <w:rPr>
          <w:szCs w:val="22"/>
        </w:rPr>
        <w:t xml:space="preserve"> percent</w:t>
      </w:r>
      <w:r w:rsidRPr="00AF1CF8">
        <w:rPr>
          <w:szCs w:val="22"/>
        </w:rPr>
        <w:t xml:space="preserve"> African American) and 63.2</w:t>
      </w:r>
      <w:r w:rsidR="00A23357" w:rsidRPr="00AF1CF8">
        <w:rPr>
          <w:szCs w:val="22"/>
        </w:rPr>
        <w:t xml:space="preserve"> percent</w:t>
      </w:r>
      <w:r w:rsidRPr="00AF1CF8">
        <w:rPr>
          <w:szCs w:val="22"/>
        </w:rPr>
        <w:t xml:space="preserve"> are women. In Fall 2018, Hispanic students made up 43</w:t>
      </w:r>
      <w:r w:rsidR="00A23357" w:rsidRPr="00AF1CF8">
        <w:rPr>
          <w:szCs w:val="22"/>
        </w:rPr>
        <w:t xml:space="preserve"> percent</w:t>
      </w:r>
      <w:r w:rsidRPr="00AF1CF8">
        <w:rPr>
          <w:szCs w:val="22"/>
        </w:rPr>
        <w:t xml:space="preserve"> of incoming freshmen, and 47.8</w:t>
      </w:r>
      <w:r w:rsidR="00A23357" w:rsidRPr="00AF1CF8">
        <w:rPr>
          <w:szCs w:val="22"/>
        </w:rPr>
        <w:t xml:space="preserve"> percent</w:t>
      </w:r>
      <w:r w:rsidRPr="00AF1CF8">
        <w:rPr>
          <w:szCs w:val="22"/>
        </w:rPr>
        <w:t xml:space="preserve"> of enrolled undergraduates received Pell grants. The student population at HBU is changing rapidly, and the institution needs to adapt accordingly to accommodate its changing needs. It has achieved significant student success over the past five years, improving the overall fall-to-fall retention rate such that preliminary data shows Hispanic students nearly on-par with white students (HBU IRE, June 2019). However, institutional data highlights a sobering discrepancy experienced by Hispanic and under-represented students in STEM degree attainment, indicating a need to reinforce the academic preparedness of students interested in STEM and support them holistically through to graduation and beyond.</w:t>
      </w:r>
    </w:p>
    <w:p w14:paraId="1E52ADD7" w14:textId="77777777" w:rsidR="003F0653" w:rsidRPr="00AF1CF8" w:rsidRDefault="003F0653" w:rsidP="003F0653">
      <w:pPr>
        <w:pStyle w:val="BodyText"/>
        <w:rPr>
          <w:szCs w:val="22"/>
        </w:rPr>
      </w:pPr>
    </w:p>
    <w:p w14:paraId="64E3CF98" w14:textId="77777777" w:rsidR="003F0653" w:rsidRPr="00AF1CF8" w:rsidRDefault="003F0653" w:rsidP="003F0653">
      <w:pPr>
        <w:pStyle w:val="BodyText"/>
        <w:rPr>
          <w:szCs w:val="22"/>
        </w:rPr>
      </w:pPr>
      <w:r w:rsidRPr="00AF1CF8">
        <w:rPr>
          <w:szCs w:val="22"/>
        </w:rPr>
        <w:t>After conducting a comprehensive analysis of the strengths and weaknesses of the institution, and leveraging strong community and industry support in the Houston area for increasing the number of highly qualified STEM graduates from HBU prepared to enter the high-demand industry workforce, the university has determined it must modernize and expand its current STEM infrastructure. This will allow the project-based and enhanced pedagogy unique to its Engineering and Cyber/Computer Science programs to be expanded to all STEM programs at HBU. To do this, HBU will implement four primary evidence-based strategies:</w:t>
      </w:r>
    </w:p>
    <w:p w14:paraId="129FE6CB" w14:textId="77777777" w:rsidR="003F0653" w:rsidRPr="00AF1CF8" w:rsidRDefault="003F0653" w:rsidP="003F0653">
      <w:r w:rsidRPr="00AF1CF8">
        <w:t>1) Broadening Institutional Capacity for STEM Programs by Improving</w:t>
      </w:r>
      <w:r w:rsidRPr="00AF1CF8">
        <w:rPr>
          <w:spacing w:val="-12"/>
        </w:rPr>
        <w:t xml:space="preserve"> </w:t>
      </w:r>
      <w:r w:rsidRPr="00AF1CF8">
        <w:t>Infrastructure; 2) Expanding STEM Pathways for Students; and 3) Enhancing Faculty Development Opportunities; which together, bolster the university’s fundamental mission to 4)</w:t>
      </w:r>
      <w:r w:rsidRPr="00AF1CF8">
        <w:rPr>
          <w:spacing w:val="-24"/>
        </w:rPr>
        <w:t xml:space="preserve"> </w:t>
      </w:r>
      <w:r w:rsidRPr="00AF1CF8">
        <w:t>Support Student</w:t>
      </w:r>
      <w:r w:rsidRPr="00AF1CF8">
        <w:rPr>
          <w:spacing w:val="-1"/>
        </w:rPr>
        <w:t xml:space="preserve"> </w:t>
      </w:r>
      <w:r w:rsidRPr="00AF1CF8">
        <w:t>Success.</w:t>
      </w:r>
    </w:p>
    <w:p w14:paraId="1B65B4CB" w14:textId="77777777" w:rsidR="003F0653" w:rsidRPr="00AF1CF8" w:rsidRDefault="003F0653" w:rsidP="003F0653">
      <w:pPr>
        <w:pStyle w:val="BodyText"/>
        <w:rPr>
          <w:szCs w:val="22"/>
        </w:rPr>
      </w:pPr>
    </w:p>
    <w:p w14:paraId="27D58852" w14:textId="4F655464" w:rsidR="003F0653" w:rsidRPr="00AF1CF8" w:rsidRDefault="003F0653" w:rsidP="003F0653">
      <w:pPr>
        <w:pStyle w:val="BodyText"/>
        <w:rPr>
          <w:szCs w:val="22"/>
        </w:rPr>
      </w:pPr>
      <w:r w:rsidRPr="00AF1CF8">
        <w:rPr>
          <w:szCs w:val="22"/>
        </w:rPr>
        <w:t>A substantial portion of Title V resources will be dedicated to modernizing HBU’s infrastructure supporting the engineering and science programs, not only through improvements to STEM equipment, instrumentation, and technology, but also by expanding undergraduate and graduate programming in STEM to meet the incredible industry demand in Houston and across the country, as recommended by a 2018 EAB feasibility study. Simultaneously, HBU will build on its long-term goal of reinforcing the pipeline guiding undergraduate students into graduate and professional education by expanding the STEM-specific advising services on campus (CPP-1). Faculty development activities have been designed to empower faculty learning in pedagogy and learning outcomes for all students, especially Hispanic, first-generation, low-income, and other underrepresented students.</w:t>
      </w:r>
    </w:p>
    <w:p w14:paraId="45DB6A96" w14:textId="77777777" w:rsidR="003F0653" w:rsidRPr="00AF1CF8" w:rsidRDefault="003F0653" w:rsidP="003F0653">
      <w:pPr>
        <w:pStyle w:val="BodyText"/>
        <w:rPr>
          <w:szCs w:val="22"/>
        </w:rPr>
      </w:pPr>
    </w:p>
    <w:p w14:paraId="0D94CA32" w14:textId="77777777" w:rsidR="003F0653" w:rsidRPr="00AF1CF8" w:rsidRDefault="003F0653" w:rsidP="003F0653">
      <w:pPr>
        <w:pStyle w:val="BodyText"/>
        <w:rPr>
          <w:szCs w:val="22"/>
        </w:rPr>
      </w:pPr>
      <w:r w:rsidRPr="00AF1CF8">
        <w:rPr>
          <w:szCs w:val="22"/>
        </w:rPr>
        <w:t>These innovative programs, along with others including STEM success coaching, launching a STEM Student Ambassador peer-tutor program, and implementing a STEM Summer Bridge, will target those students needing additional supports in foundational STEM courses. The resulting retention increases combined with improved long-term enrollment in STEM programs at HBU will narrow the gap experienced by Hispanic and other under-represented students to college degree attainment in the high-demand STEM fields, and strengthen the university academically, institutionally, and fiscally.</w:t>
      </w:r>
    </w:p>
    <w:p w14:paraId="7FEFF7EC" w14:textId="7A871D69" w:rsidR="003F0653" w:rsidRPr="00AF1CF8" w:rsidRDefault="003F0653" w:rsidP="002E5B6E"/>
    <w:p w14:paraId="0E24B62E" w14:textId="628E4F1C" w:rsidR="00344C30" w:rsidRPr="00AF1CF8" w:rsidRDefault="00344C30" w:rsidP="00634CAD">
      <w:pPr>
        <w:pStyle w:val="Heading1"/>
      </w:pPr>
      <w:r w:rsidRPr="00AF1CF8">
        <w:t xml:space="preserve">P031S190137 </w:t>
      </w:r>
      <w:r w:rsidR="00180FAE" w:rsidRPr="00EB748D">
        <w:br/>
      </w:r>
      <w:r w:rsidRPr="00AF1CF8">
        <w:t xml:space="preserve">Lamar State College Port Arthur, </w:t>
      </w:r>
      <w:r w:rsidR="00DA289E" w:rsidRPr="00EB748D">
        <w:t>TX</w:t>
      </w:r>
    </w:p>
    <w:p w14:paraId="6BB27CD6" w14:textId="6974070D" w:rsidR="0013300E" w:rsidRPr="00AF1CF8" w:rsidRDefault="0013300E" w:rsidP="00AF1CF8">
      <w:pPr>
        <w:pStyle w:val="Heading3"/>
        <w:rPr>
          <w:rFonts w:cs="Times New Roman"/>
          <w:szCs w:val="22"/>
        </w:rPr>
      </w:pPr>
    </w:p>
    <w:p w14:paraId="396C0299" w14:textId="77777777" w:rsidR="0013300E" w:rsidRPr="00AF1CF8" w:rsidRDefault="0013300E" w:rsidP="0013300E">
      <w:pPr>
        <w:widowControl/>
        <w:adjustRightInd w:val="0"/>
        <w:rPr>
          <w:rFonts w:eastAsia="Calibri"/>
          <w:b/>
          <w:bCs/>
        </w:rPr>
      </w:pPr>
      <w:r w:rsidRPr="00AF1CF8">
        <w:rPr>
          <w:rFonts w:eastAsia="Calibri"/>
          <w:b/>
          <w:bCs/>
        </w:rPr>
        <w:t>Pathway to Success (Camino a la Excelencia)</w:t>
      </w:r>
    </w:p>
    <w:p w14:paraId="7C306DBA" w14:textId="2A4FAA31" w:rsidR="0013300E" w:rsidRPr="00AF1CF8" w:rsidRDefault="0013300E" w:rsidP="0013300E">
      <w:pPr>
        <w:widowControl/>
        <w:adjustRightInd w:val="0"/>
        <w:rPr>
          <w:rFonts w:eastAsia="Calibri"/>
        </w:rPr>
      </w:pPr>
      <w:r w:rsidRPr="00AF1CF8">
        <w:rPr>
          <w:rFonts w:eastAsia="Calibri"/>
        </w:rPr>
        <w:t>Consistent with Lamar State College Port Arthur’s (LSCPA’s) new strategic plan,</w:t>
      </w:r>
      <w:r w:rsidR="00180FAE" w:rsidRPr="00AF1CF8">
        <w:rPr>
          <w:rFonts w:eastAsia="Calibri"/>
        </w:rPr>
        <w:t xml:space="preserve"> </w:t>
      </w:r>
      <w:r w:rsidRPr="00AF1CF8">
        <w:rPr>
          <w:rFonts w:eastAsia="Calibri"/>
        </w:rPr>
        <w:t>LSCPA seeks to create systemic change to increase access to higher education and</w:t>
      </w:r>
      <w:r w:rsidR="00180FAE" w:rsidRPr="00AF1CF8">
        <w:rPr>
          <w:rFonts w:eastAsia="Calibri"/>
        </w:rPr>
        <w:t xml:space="preserve"> </w:t>
      </w:r>
      <w:r w:rsidRPr="00AF1CF8">
        <w:rPr>
          <w:rFonts w:eastAsia="Calibri"/>
        </w:rPr>
        <w:t>student success in higher education for all students in our community, with a particular</w:t>
      </w:r>
      <w:r w:rsidR="00180FAE" w:rsidRPr="00AF1CF8">
        <w:rPr>
          <w:rFonts w:eastAsia="Calibri"/>
        </w:rPr>
        <w:t xml:space="preserve"> </w:t>
      </w:r>
      <w:r w:rsidRPr="00AF1CF8">
        <w:rPr>
          <w:rFonts w:eastAsia="Calibri"/>
        </w:rPr>
        <w:t>focus on Hispanic and low-income students.</w:t>
      </w:r>
    </w:p>
    <w:p w14:paraId="68EE83B6" w14:textId="77777777" w:rsidR="0013300E" w:rsidRPr="00AF1CF8" w:rsidRDefault="0013300E" w:rsidP="0013300E">
      <w:pPr>
        <w:widowControl/>
        <w:adjustRightInd w:val="0"/>
        <w:rPr>
          <w:rFonts w:eastAsia="Calibri"/>
          <w:b/>
          <w:bCs/>
        </w:rPr>
      </w:pPr>
    </w:p>
    <w:p w14:paraId="3F8563C6" w14:textId="1C5C901F" w:rsidR="0013300E" w:rsidRPr="00AF1CF8" w:rsidRDefault="0013300E" w:rsidP="0013300E">
      <w:pPr>
        <w:widowControl/>
        <w:adjustRightInd w:val="0"/>
        <w:rPr>
          <w:rFonts w:eastAsia="Calibri"/>
        </w:rPr>
      </w:pPr>
      <w:r w:rsidRPr="00AF1CF8">
        <w:rPr>
          <w:rFonts w:eastAsia="Calibri"/>
          <w:b/>
          <w:bCs/>
        </w:rPr>
        <w:t>Goals and Objectives</w:t>
      </w:r>
      <w:r w:rsidRPr="00AF1CF8">
        <w:rPr>
          <w:rFonts w:eastAsia="Calibri"/>
        </w:rPr>
        <w:t>: Recognizing that Port Arthur is located in an economically</w:t>
      </w:r>
      <w:r w:rsidR="00180FAE" w:rsidRPr="00AF1CF8">
        <w:rPr>
          <w:rFonts w:eastAsia="Calibri"/>
        </w:rPr>
        <w:t xml:space="preserve"> </w:t>
      </w:r>
      <w:r w:rsidRPr="00AF1CF8">
        <w:rPr>
          <w:rFonts w:eastAsia="Calibri"/>
        </w:rPr>
        <w:t>disadvantaged region and that higher education can be difficult to navigate and access,</w:t>
      </w:r>
      <w:r w:rsidR="00180FAE" w:rsidRPr="00AF1CF8">
        <w:rPr>
          <w:rFonts w:eastAsia="Calibri"/>
        </w:rPr>
        <w:t xml:space="preserve"> </w:t>
      </w:r>
      <w:r w:rsidRPr="00AF1CF8">
        <w:rPr>
          <w:rFonts w:eastAsia="Calibri"/>
        </w:rPr>
        <w:t>the first goal of this grant is to establish an effective on-ramp to college for Hispanic and</w:t>
      </w:r>
      <w:r w:rsidR="00180FAE" w:rsidRPr="00AF1CF8">
        <w:rPr>
          <w:rFonts w:eastAsia="Calibri"/>
        </w:rPr>
        <w:t xml:space="preserve"> </w:t>
      </w:r>
      <w:r w:rsidRPr="00AF1CF8">
        <w:rPr>
          <w:rFonts w:eastAsia="Calibri"/>
        </w:rPr>
        <w:t>low-income students. As a result of multiple strategies designed to improve the</w:t>
      </w:r>
      <w:r w:rsidR="00180FAE" w:rsidRPr="00AF1CF8">
        <w:rPr>
          <w:rFonts w:eastAsia="Calibri"/>
        </w:rPr>
        <w:t xml:space="preserve"> </w:t>
      </w:r>
      <w:r w:rsidRPr="00AF1CF8">
        <w:rPr>
          <w:rFonts w:eastAsia="Calibri"/>
        </w:rPr>
        <w:t>admission and enrollment processes, the objectives associated with this goal include an</w:t>
      </w:r>
      <w:r w:rsidR="00180FAE" w:rsidRPr="00AF1CF8">
        <w:rPr>
          <w:rFonts w:eastAsia="Calibri"/>
        </w:rPr>
        <w:t xml:space="preserve"> </w:t>
      </w:r>
      <w:r w:rsidRPr="00AF1CF8">
        <w:rPr>
          <w:rFonts w:eastAsia="Calibri"/>
        </w:rPr>
        <w:t>increase in the number of applications to LSCPA as well as an increase in the</w:t>
      </w:r>
      <w:r w:rsidR="00180FAE" w:rsidRPr="00AF1CF8">
        <w:rPr>
          <w:rFonts w:eastAsia="Calibri"/>
        </w:rPr>
        <w:t xml:space="preserve"> </w:t>
      </w:r>
      <w:r w:rsidRPr="00AF1CF8">
        <w:rPr>
          <w:rFonts w:eastAsia="Calibri"/>
        </w:rPr>
        <w:t>percentage of eligible Hispanic and high-needs students enrolled. The second goal of</w:t>
      </w:r>
      <w:r w:rsidR="00180FAE" w:rsidRPr="00AF1CF8">
        <w:rPr>
          <w:rFonts w:eastAsia="Calibri"/>
        </w:rPr>
        <w:t xml:space="preserve"> </w:t>
      </w:r>
      <w:r w:rsidRPr="00AF1CF8">
        <w:rPr>
          <w:rFonts w:eastAsia="Calibri"/>
        </w:rPr>
        <w:t>this grant focuses on increasing college completions, particularly among Hispanic and</w:t>
      </w:r>
      <w:r w:rsidR="00180FAE" w:rsidRPr="00AF1CF8">
        <w:rPr>
          <w:rFonts w:eastAsia="Calibri"/>
        </w:rPr>
        <w:t xml:space="preserve"> </w:t>
      </w:r>
      <w:r w:rsidRPr="00AF1CF8">
        <w:rPr>
          <w:rFonts w:eastAsia="Calibri"/>
        </w:rPr>
        <w:t>low-income students. As a result of multiple strategies designed to increase student</w:t>
      </w:r>
      <w:r w:rsidR="00180FAE" w:rsidRPr="00AF1CF8">
        <w:rPr>
          <w:rFonts w:eastAsia="Calibri"/>
        </w:rPr>
        <w:t xml:space="preserve"> </w:t>
      </w:r>
      <w:r w:rsidRPr="00AF1CF8">
        <w:rPr>
          <w:rFonts w:eastAsia="Calibri"/>
        </w:rPr>
        <w:t>retention and completion rates, the objectives associated with this second goal include</w:t>
      </w:r>
      <w:r w:rsidR="00180FAE" w:rsidRPr="00AF1CF8">
        <w:rPr>
          <w:rFonts w:eastAsia="Calibri"/>
        </w:rPr>
        <w:t xml:space="preserve"> </w:t>
      </w:r>
      <w:r w:rsidRPr="00AF1CF8">
        <w:rPr>
          <w:rFonts w:eastAsia="Calibri"/>
        </w:rPr>
        <w:t>an increase in the number of students who transition to credit courses from</w:t>
      </w:r>
      <w:r w:rsidR="00180FAE" w:rsidRPr="00AF1CF8">
        <w:rPr>
          <w:rFonts w:eastAsia="Calibri"/>
        </w:rPr>
        <w:t xml:space="preserve"> </w:t>
      </w:r>
      <w:r w:rsidRPr="00AF1CF8">
        <w:rPr>
          <w:rFonts w:eastAsia="Calibri"/>
        </w:rPr>
        <w:t>developmental courses within one year, an increase in the rate of successful course</w:t>
      </w:r>
      <w:r w:rsidR="00180FAE" w:rsidRPr="00AF1CF8">
        <w:rPr>
          <w:rFonts w:eastAsia="Calibri"/>
        </w:rPr>
        <w:t xml:space="preserve"> </w:t>
      </w:r>
      <w:r w:rsidRPr="00AF1CF8">
        <w:rPr>
          <w:rFonts w:eastAsia="Calibri"/>
        </w:rPr>
        <w:t>completions annually, and improved retention rates (both fall-to-fall and fall-to spring).</w:t>
      </w:r>
    </w:p>
    <w:p w14:paraId="7B516670" w14:textId="77777777" w:rsidR="0013300E" w:rsidRPr="00AF1CF8" w:rsidRDefault="0013300E" w:rsidP="0013300E">
      <w:pPr>
        <w:widowControl/>
        <w:adjustRightInd w:val="0"/>
        <w:rPr>
          <w:rFonts w:eastAsia="Calibri"/>
          <w:b/>
          <w:bCs/>
        </w:rPr>
      </w:pPr>
    </w:p>
    <w:p w14:paraId="598FAB27" w14:textId="5D3AC04B" w:rsidR="0013300E" w:rsidRPr="00AF1CF8" w:rsidRDefault="0013300E" w:rsidP="00AF1CF8">
      <w:pPr>
        <w:widowControl/>
        <w:adjustRightInd w:val="0"/>
        <w:rPr>
          <w:rFonts w:eastAsia="Calibri"/>
        </w:rPr>
      </w:pPr>
      <w:r w:rsidRPr="00AF1CF8">
        <w:rPr>
          <w:rFonts w:eastAsia="Calibri"/>
          <w:b/>
          <w:bCs/>
        </w:rPr>
        <w:t>Contributions to Practice</w:t>
      </w:r>
      <w:r w:rsidRPr="00AF1CF8">
        <w:rPr>
          <w:rFonts w:eastAsia="Calibri"/>
        </w:rPr>
        <w:t>: The achievement of the Title V goals will demonstrate how</w:t>
      </w:r>
      <w:r w:rsidR="00180FAE" w:rsidRPr="00AF1CF8">
        <w:rPr>
          <w:rFonts w:eastAsia="Calibri"/>
        </w:rPr>
        <w:t xml:space="preserve"> </w:t>
      </w:r>
      <w:r w:rsidRPr="00AF1CF8">
        <w:rPr>
          <w:rFonts w:eastAsia="Calibri"/>
        </w:rPr>
        <w:t>to increase student success via a comprehensive redesign of the student experience,</w:t>
      </w:r>
      <w:r w:rsidR="00180FAE" w:rsidRPr="00AF1CF8">
        <w:rPr>
          <w:rFonts w:eastAsia="Calibri"/>
        </w:rPr>
        <w:t xml:space="preserve"> </w:t>
      </w:r>
      <w:r w:rsidRPr="00AF1CF8">
        <w:rPr>
          <w:rFonts w:eastAsia="Calibri"/>
        </w:rPr>
        <w:t>with key elements including the simplification of processes, increased availability of</w:t>
      </w:r>
      <w:r w:rsidR="00180FAE" w:rsidRPr="00AF1CF8">
        <w:rPr>
          <w:rFonts w:eastAsia="Calibri"/>
        </w:rPr>
        <w:t xml:space="preserve"> </w:t>
      </w:r>
      <w:r w:rsidRPr="00AF1CF8">
        <w:rPr>
          <w:rFonts w:eastAsia="Calibri"/>
        </w:rPr>
        <w:t>support from peers, faculty, and staff, and collaboration with the community, the local</w:t>
      </w:r>
      <w:r w:rsidR="00180FAE" w:rsidRPr="00AF1CF8">
        <w:rPr>
          <w:rFonts w:eastAsia="Calibri"/>
        </w:rPr>
        <w:t xml:space="preserve"> </w:t>
      </w:r>
      <w:r w:rsidRPr="00AF1CF8">
        <w:rPr>
          <w:rFonts w:eastAsia="Calibri"/>
        </w:rPr>
        <w:t>school districts, and the college’s primary transfer partner.</w:t>
      </w:r>
    </w:p>
    <w:p w14:paraId="2C803550" w14:textId="12196294" w:rsidR="0013300E" w:rsidRPr="00AF1CF8" w:rsidRDefault="0013300E" w:rsidP="002E5B6E"/>
    <w:p w14:paraId="34A0D482" w14:textId="27239C8F" w:rsidR="00B1261E" w:rsidRPr="00AF1CF8" w:rsidRDefault="00B1261E" w:rsidP="00634CAD">
      <w:pPr>
        <w:pStyle w:val="Heading1"/>
      </w:pPr>
      <w:r w:rsidRPr="00AF1CF8">
        <w:t xml:space="preserve">P031S190296 </w:t>
      </w:r>
      <w:r w:rsidR="00DA289E" w:rsidRPr="00AF1CF8">
        <w:br/>
      </w:r>
      <w:r w:rsidRPr="00AF1CF8">
        <w:t>Lee College, TX</w:t>
      </w:r>
    </w:p>
    <w:p w14:paraId="19054E94" w14:textId="77777777" w:rsidR="00B1261E" w:rsidRPr="00AF1CF8" w:rsidRDefault="00B1261E" w:rsidP="00B1261E">
      <w:pPr>
        <w:pStyle w:val="BodyText"/>
        <w:rPr>
          <w:szCs w:val="22"/>
        </w:rPr>
      </w:pPr>
    </w:p>
    <w:p w14:paraId="7BA444F3" w14:textId="77777777" w:rsidR="00B1261E" w:rsidRPr="00AF1CF8" w:rsidRDefault="00B1261E" w:rsidP="00B1261E">
      <w:pPr>
        <w:pStyle w:val="BodyText"/>
        <w:rPr>
          <w:szCs w:val="22"/>
        </w:rPr>
      </w:pPr>
      <w:r w:rsidRPr="00AF1CF8">
        <w:rPr>
          <w:szCs w:val="22"/>
        </w:rPr>
        <w:t xml:space="preserve">Lee College, a comprehensive community college in Harris County, Texas, proposes a Title V project with one goal: improve student success by strengthening pathways to three-year completion, especially for </w:t>
      </w:r>
      <w:r w:rsidRPr="00AF1CF8" w:rsidDel="00A56DCD">
        <w:rPr>
          <w:szCs w:val="22"/>
        </w:rPr>
        <w:t>first</w:t>
      </w:r>
      <w:r w:rsidRPr="00AF1CF8">
        <w:rPr>
          <w:szCs w:val="22"/>
        </w:rPr>
        <w:t xml:space="preserve"> time-in-college Hispanic and part-time students. After a </w:t>
      </w:r>
      <w:r w:rsidRPr="00AF1CF8" w:rsidDel="00A56DCD">
        <w:rPr>
          <w:szCs w:val="22"/>
        </w:rPr>
        <w:t>nine</w:t>
      </w:r>
      <w:r w:rsidRPr="00AF1CF8">
        <w:rPr>
          <w:szCs w:val="22"/>
        </w:rPr>
        <w:t>-month comprehensive development process that involved teams of faculty, staff,</w:t>
      </w:r>
      <w:r w:rsidRPr="00AF1CF8">
        <w:rPr>
          <w:spacing w:val="-29"/>
          <w:szCs w:val="22"/>
        </w:rPr>
        <w:t xml:space="preserve"> </w:t>
      </w:r>
      <w:r w:rsidRPr="00AF1CF8">
        <w:rPr>
          <w:szCs w:val="22"/>
        </w:rPr>
        <w:t>administrators and students, the college community identified this emphasis on improving completion with its five associated measurable objectives as part</w:t>
      </w:r>
      <w:r w:rsidRPr="00AF1CF8">
        <w:rPr>
          <w:spacing w:val="-13"/>
          <w:szCs w:val="22"/>
        </w:rPr>
        <w:t xml:space="preserve"> </w:t>
      </w:r>
      <w:r w:rsidRPr="00AF1CF8">
        <w:rPr>
          <w:szCs w:val="22"/>
        </w:rPr>
        <w:t>of an intense focus on students’ first year in college.</w:t>
      </w:r>
    </w:p>
    <w:p w14:paraId="67F61F87" w14:textId="77777777" w:rsidR="00B1261E" w:rsidRPr="00AF1CF8" w:rsidRDefault="00B1261E" w:rsidP="00B1261E">
      <w:pPr>
        <w:pStyle w:val="BodyText"/>
        <w:rPr>
          <w:szCs w:val="22"/>
        </w:rPr>
      </w:pPr>
    </w:p>
    <w:p w14:paraId="6824649E" w14:textId="77777777" w:rsidR="00B1261E" w:rsidRPr="00AF1CF8" w:rsidRDefault="00B1261E" w:rsidP="00B1261E">
      <w:pPr>
        <w:pStyle w:val="BodyText"/>
        <w:rPr>
          <w:szCs w:val="22"/>
        </w:rPr>
      </w:pPr>
      <w:r w:rsidRPr="00AF1CF8">
        <w:rPr>
          <w:szCs w:val="22"/>
        </w:rPr>
        <w:t>Through two activities, new student orientation and first-year experience, the college will reach its goals. The new student orientation will be mandated for all students, a new online version designed and a three-week follow up implemented. The first-year experience will focus on student success course EDUC 1200, required for the college’s largest major General Studies, as well as for undecided majors and students who test into two or more developmental classes. That course will be redesigned with an emphasis on career selection and research and financial literacy. On campus supervisors of student workers will receive professional development in mentoring their student workers and giving them many opportunities to practice their soft skills. Other professional development for faculty will offer extended processional growth in financial literacy, career development certifications, and equity. Central to all of these initiatives will be the hiring of an additional data analyst to support the Title V grant and other grants at the college.</w:t>
      </w:r>
    </w:p>
    <w:p w14:paraId="5734F4C9" w14:textId="77777777" w:rsidR="00B1261E" w:rsidRPr="00AF1CF8" w:rsidRDefault="00B1261E" w:rsidP="00B1261E">
      <w:pPr>
        <w:pStyle w:val="BodyText"/>
        <w:rPr>
          <w:szCs w:val="22"/>
        </w:rPr>
      </w:pPr>
    </w:p>
    <w:p w14:paraId="259FB8BC" w14:textId="77777777" w:rsidR="00B1261E" w:rsidRPr="00AF1CF8" w:rsidRDefault="00B1261E" w:rsidP="00B1261E">
      <w:pPr>
        <w:pStyle w:val="BodyText"/>
        <w:rPr>
          <w:szCs w:val="22"/>
        </w:rPr>
      </w:pPr>
      <w:r w:rsidRPr="00AF1CF8">
        <w:rPr>
          <w:szCs w:val="22"/>
        </w:rPr>
        <w:t>The budget of $2,142,799 is focused on success and increasing completion throughout the college system.</w:t>
      </w:r>
    </w:p>
    <w:p w14:paraId="72E775D8" w14:textId="72409ABE" w:rsidR="00B1261E" w:rsidRPr="00AF1CF8" w:rsidRDefault="00B1261E" w:rsidP="002E5B6E"/>
    <w:p w14:paraId="337D5D35" w14:textId="6B6D7E10" w:rsidR="00FE4A41" w:rsidRPr="00AF1CF8" w:rsidRDefault="00FE4A41" w:rsidP="002E5B6E"/>
    <w:p w14:paraId="1DA887CF" w14:textId="26035926" w:rsidR="00FE4A41" w:rsidRPr="00AF1CF8" w:rsidRDefault="00FE4A41" w:rsidP="00634CAD">
      <w:pPr>
        <w:pStyle w:val="Heading1"/>
        <w:rPr>
          <w:rFonts w:eastAsia="Calibri"/>
          <w:color w:val="000000"/>
        </w:rPr>
      </w:pPr>
      <w:r w:rsidRPr="00AF1CF8">
        <w:t xml:space="preserve">P031S190315 </w:t>
      </w:r>
      <w:r w:rsidRPr="00EB748D">
        <w:br/>
      </w:r>
      <w:r w:rsidRPr="00BB223B">
        <w:t>Northeast Te</w:t>
      </w:r>
      <w:r w:rsidRPr="00AF1CF8">
        <w:t xml:space="preserve">xas Community College, TX </w:t>
      </w:r>
    </w:p>
    <w:p w14:paraId="6880310C" w14:textId="77777777" w:rsidR="00FE4A41" w:rsidRPr="00AF1CF8" w:rsidRDefault="00FE4A41" w:rsidP="00FE4A41">
      <w:pPr>
        <w:widowControl/>
        <w:adjustRightInd w:val="0"/>
        <w:rPr>
          <w:rFonts w:eastAsia="Calibri"/>
          <w:b/>
          <w:bCs/>
          <w:color w:val="000000"/>
        </w:rPr>
      </w:pPr>
    </w:p>
    <w:p w14:paraId="51C9E7FE" w14:textId="77777777" w:rsidR="00FE4A41" w:rsidRPr="00AF1CF8" w:rsidRDefault="00FE4A41" w:rsidP="00FE4A41">
      <w:pPr>
        <w:widowControl/>
        <w:adjustRightInd w:val="0"/>
        <w:rPr>
          <w:rFonts w:eastAsia="Calibri"/>
          <w:color w:val="000000"/>
        </w:rPr>
      </w:pPr>
      <w:r w:rsidRPr="00AF1CF8">
        <w:rPr>
          <w:rFonts w:eastAsia="Calibri"/>
          <w:b/>
          <w:bCs/>
          <w:color w:val="000000"/>
        </w:rPr>
        <w:t xml:space="preserve">Institutional Background: </w:t>
      </w:r>
      <w:r w:rsidRPr="00AF1CF8">
        <w:rPr>
          <w:rFonts w:eastAsia="Calibri"/>
          <w:color w:val="000000"/>
        </w:rPr>
        <w:t>Northeast Texas Community College (NTCC) is one of 50 public,</w:t>
      </w:r>
    </w:p>
    <w:p w14:paraId="49D5DBC8" w14:textId="77777777" w:rsidR="00FE4A41" w:rsidRPr="00AF1CF8" w:rsidRDefault="00FE4A41" w:rsidP="00FE4A41">
      <w:pPr>
        <w:widowControl/>
        <w:adjustRightInd w:val="0"/>
        <w:rPr>
          <w:rFonts w:eastAsia="Calibri"/>
          <w:color w:val="000000"/>
        </w:rPr>
      </w:pPr>
      <w:r w:rsidRPr="00AF1CF8">
        <w:rPr>
          <w:rFonts w:eastAsia="Calibri"/>
          <w:color w:val="000000"/>
        </w:rPr>
        <w:t>open-access community colleges in Texas. The small College is located on 375 acres in a rural</w:t>
      </w:r>
    </w:p>
    <w:p w14:paraId="2C5D5FB3" w14:textId="77777777" w:rsidR="00FE4A41" w:rsidRPr="00AF1CF8" w:rsidRDefault="00FE4A41" w:rsidP="00FE4A41">
      <w:pPr>
        <w:widowControl/>
        <w:adjustRightInd w:val="0"/>
        <w:rPr>
          <w:rFonts w:eastAsia="Calibri"/>
          <w:color w:val="000000"/>
        </w:rPr>
      </w:pPr>
      <w:r w:rsidRPr="00AF1CF8">
        <w:rPr>
          <w:rFonts w:eastAsia="Calibri"/>
          <w:color w:val="000000"/>
        </w:rPr>
        <w:t>setting of gently rolling hills, streams, rivers and farms, in the picturesque and historic Chapel Hill</w:t>
      </w:r>
    </w:p>
    <w:p w14:paraId="152D19EA" w14:textId="77777777" w:rsidR="00FE4A41" w:rsidRPr="00AF1CF8" w:rsidRDefault="00FE4A41" w:rsidP="00FE4A41">
      <w:pPr>
        <w:widowControl/>
        <w:adjustRightInd w:val="0"/>
        <w:rPr>
          <w:rFonts w:eastAsia="Calibri"/>
          <w:color w:val="000000"/>
        </w:rPr>
      </w:pPr>
      <w:r w:rsidRPr="00AF1CF8">
        <w:rPr>
          <w:rFonts w:eastAsia="Calibri"/>
          <w:color w:val="000000"/>
        </w:rPr>
        <w:t>area. The main NTCC campus is located approximately equidistant between the county seats of the</w:t>
      </w:r>
    </w:p>
    <w:p w14:paraId="7E47EF36" w14:textId="77777777" w:rsidR="00FE4A41" w:rsidRPr="00AF1CF8" w:rsidRDefault="00FE4A41" w:rsidP="00FE4A41">
      <w:pPr>
        <w:widowControl/>
        <w:adjustRightInd w:val="0"/>
        <w:rPr>
          <w:rFonts w:eastAsia="Calibri"/>
          <w:color w:val="000000"/>
        </w:rPr>
      </w:pPr>
      <w:r w:rsidRPr="00AF1CF8">
        <w:rPr>
          <w:rFonts w:eastAsia="Calibri"/>
          <w:color w:val="000000"/>
        </w:rPr>
        <w:t>three counties which make up the NTCC district: Daingerfield (Morris County), Mount Pleasant</w:t>
      </w:r>
    </w:p>
    <w:p w14:paraId="28B0D637" w14:textId="08B1990A" w:rsidR="00FE4A41" w:rsidRPr="00AF1CF8" w:rsidRDefault="00FE4A41" w:rsidP="00FE4A41">
      <w:pPr>
        <w:widowControl/>
        <w:adjustRightInd w:val="0"/>
        <w:rPr>
          <w:rFonts w:eastAsia="Calibri"/>
          <w:color w:val="000000"/>
        </w:rPr>
      </w:pPr>
      <w:r w:rsidRPr="00AF1CF8">
        <w:rPr>
          <w:rFonts w:eastAsia="Calibri"/>
          <w:color w:val="000000"/>
        </w:rPr>
        <w:t>(Titus County); and Pittsburg (Camp County). Over 36</w:t>
      </w:r>
      <w:r w:rsidR="00A23357" w:rsidRPr="00AF1CF8">
        <w:rPr>
          <w:rFonts w:eastAsia="Calibri"/>
          <w:color w:val="000000"/>
        </w:rPr>
        <w:t xml:space="preserve"> percent</w:t>
      </w:r>
      <w:r w:rsidRPr="00EB748D">
        <w:rPr>
          <w:rFonts w:eastAsia="Calibri"/>
          <w:color w:val="000000"/>
        </w:rPr>
        <w:t xml:space="preserve"> of the service are</w:t>
      </w:r>
      <w:r w:rsidRPr="00BB223B">
        <w:rPr>
          <w:rFonts w:eastAsia="Calibri"/>
          <w:color w:val="000000"/>
        </w:rPr>
        <w:t>a population is minority.</w:t>
      </w:r>
    </w:p>
    <w:p w14:paraId="2953F21C" w14:textId="77777777" w:rsidR="00FD3345" w:rsidRDefault="00FD3345" w:rsidP="00FE4A41">
      <w:pPr>
        <w:widowControl/>
        <w:adjustRightInd w:val="0"/>
        <w:rPr>
          <w:rFonts w:eastAsia="Calibri"/>
          <w:b/>
          <w:bCs/>
          <w:color w:val="000000"/>
        </w:rPr>
      </w:pPr>
    </w:p>
    <w:p w14:paraId="2316CF87" w14:textId="35521748" w:rsidR="00FE4A41" w:rsidRPr="00AF1CF8" w:rsidRDefault="00FE4A41" w:rsidP="00FE4A41">
      <w:pPr>
        <w:widowControl/>
        <w:adjustRightInd w:val="0"/>
        <w:rPr>
          <w:rFonts w:eastAsia="Calibri"/>
          <w:color w:val="000000"/>
        </w:rPr>
      </w:pPr>
      <w:r w:rsidRPr="00AF1CF8">
        <w:rPr>
          <w:rFonts w:eastAsia="Calibri"/>
          <w:b/>
          <w:bCs/>
          <w:color w:val="000000"/>
        </w:rPr>
        <w:t xml:space="preserve">Competitive Preference Priorities. </w:t>
      </w:r>
      <w:r w:rsidRPr="00AF1CF8">
        <w:rPr>
          <w:rFonts w:eastAsia="Calibri"/>
          <w:color w:val="000000"/>
        </w:rPr>
        <w:t>NTCC will address Competitive Preference Priority #2 by</w:t>
      </w:r>
    </w:p>
    <w:p w14:paraId="3D2435D3" w14:textId="77777777" w:rsidR="00FE4A41" w:rsidRPr="00AF1CF8" w:rsidRDefault="00FE4A41" w:rsidP="00FE4A41">
      <w:pPr>
        <w:widowControl/>
        <w:adjustRightInd w:val="0"/>
        <w:rPr>
          <w:rFonts w:eastAsia="Calibri"/>
          <w:color w:val="000000"/>
        </w:rPr>
      </w:pPr>
      <w:r w:rsidRPr="00AF1CF8">
        <w:rPr>
          <w:rFonts w:eastAsia="Calibri"/>
          <w:color w:val="000000"/>
        </w:rPr>
        <w:t>focusing on 1) increasing the quality of financial literacy education it provides to students and by 2)</w:t>
      </w:r>
    </w:p>
    <w:p w14:paraId="3131B9F1" w14:textId="77777777" w:rsidR="00FE4A41" w:rsidRPr="00AF1CF8" w:rsidRDefault="00FE4A41" w:rsidP="00FE4A41">
      <w:pPr>
        <w:widowControl/>
        <w:adjustRightInd w:val="0"/>
        <w:rPr>
          <w:rFonts w:eastAsia="Calibri"/>
          <w:color w:val="000000"/>
        </w:rPr>
      </w:pPr>
      <w:r w:rsidRPr="00AF1CF8">
        <w:rPr>
          <w:rFonts w:eastAsia="Calibri"/>
          <w:color w:val="000000"/>
        </w:rPr>
        <w:t>increasing the number of students who participate in financial literacy education. The CPP</w:t>
      </w:r>
    </w:p>
    <w:p w14:paraId="5BB727AB" w14:textId="77777777" w:rsidR="00FE4A41" w:rsidRPr="00AF1CF8" w:rsidRDefault="00FE4A41" w:rsidP="00FE4A41">
      <w:pPr>
        <w:widowControl/>
        <w:adjustRightInd w:val="0"/>
        <w:rPr>
          <w:rFonts w:eastAsia="Calibri"/>
          <w:color w:val="000000"/>
        </w:rPr>
      </w:pPr>
      <w:r w:rsidRPr="00AF1CF8">
        <w:rPr>
          <w:rFonts w:eastAsia="Calibri"/>
          <w:color w:val="000000"/>
        </w:rPr>
        <w:t>addresses all five of the U.S. Financial Literacy and Education Commission’s literacy and education</w:t>
      </w:r>
    </w:p>
    <w:p w14:paraId="1C79B226" w14:textId="77777777" w:rsidR="00FE4A41" w:rsidRPr="00AF1CF8" w:rsidRDefault="00FE4A41" w:rsidP="00FE4A41">
      <w:pPr>
        <w:widowControl/>
        <w:adjustRightInd w:val="0"/>
        <w:rPr>
          <w:rFonts w:eastAsia="Calibri"/>
          <w:color w:val="000000"/>
        </w:rPr>
      </w:pPr>
      <w:r w:rsidRPr="00AF1CF8">
        <w:rPr>
          <w:rFonts w:eastAsia="Calibri"/>
          <w:color w:val="000000"/>
        </w:rPr>
        <w:t>best practices for institutions of higher education (2019).</w:t>
      </w:r>
    </w:p>
    <w:p w14:paraId="6FFBE0E4" w14:textId="77777777" w:rsidR="00FD3345" w:rsidRDefault="00FD3345" w:rsidP="00FE4A41">
      <w:pPr>
        <w:widowControl/>
        <w:adjustRightInd w:val="0"/>
        <w:rPr>
          <w:rFonts w:eastAsia="Calibri"/>
          <w:b/>
          <w:bCs/>
          <w:color w:val="000000"/>
        </w:rPr>
      </w:pPr>
    </w:p>
    <w:p w14:paraId="30A6C818" w14:textId="147BE48E" w:rsidR="00FE4A41" w:rsidRPr="00BB223B" w:rsidRDefault="00FE4A41" w:rsidP="00FE4A41">
      <w:pPr>
        <w:widowControl/>
        <w:adjustRightInd w:val="0"/>
        <w:rPr>
          <w:rFonts w:eastAsia="Calibri"/>
          <w:color w:val="000000"/>
        </w:rPr>
      </w:pPr>
      <w:r w:rsidRPr="00AF1CF8">
        <w:rPr>
          <w:rFonts w:eastAsia="Calibri"/>
          <w:b/>
          <w:bCs/>
          <w:color w:val="000000"/>
        </w:rPr>
        <w:t xml:space="preserve">Goals: Improving Student Success, Completion and Time to Degree. </w:t>
      </w:r>
      <w:r w:rsidRPr="00AF1CF8">
        <w:rPr>
          <w:rFonts w:eastAsia="Calibri"/>
          <w:color w:val="000000"/>
        </w:rPr>
        <w:t>This Title V project will</w:t>
      </w:r>
      <w:r w:rsidR="00A23357" w:rsidRPr="00AF1CF8">
        <w:rPr>
          <w:rFonts w:eastAsia="Calibri"/>
          <w:color w:val="000000"/>
        </w:rPr>
        <w:t xml:space="preserve"> </w:t>
      </w:r>
      <w:r w:rsidRPr="00EB748D">
        <w:rPr>
          <w:rFonts w:eastAsia="Calibri"/>
          <w:color w:val="000000"/>
        </w:rPr>
        <w:t>increase within-term success; 1st fall to 2nd fall retention, two-year degree completion within 150</w:t>
      </w:r>
      <w:r w:rsidR="00A23357" w:rsidRPr="00AF1CF8">
        <w:rPr>
          <w:rFonts w:eastAsia="Calibri"/>
          <w:color w:val="000000"/>
        </w:rPr>
        <w:t xml:space="preserve"> percent </w:t>
      </w:r>
      <w:r w:rsidRPr="00EB748D">
        <w:rPr>
          <w:rFonts w:eastAsia="Calibri"/>
          <w:color w:val="000000"/>
        </w:rPr>
        <w:t>of normal time and decrease time to degree.</w:t>
      </w:r>
    </w:p>
    <w:p w14:paraId="7CCF6269" w14:textId="77777777" w:rsidR="00FD3345" w:rsidRDefault="00FD3345" w:rsidP="00FE4A41">
      <w:pPr>
        <w:widowControl/>
        <w:adjustRightInd w:val="0"/>
        <w:rPr>
          <w:rFonts w:eastAsia="Calibri"/>
          <w:b/>
          <w:bCs/>
          <w:color w:val="000000"/>
        </w:rPr>
      </w:pPr>
    </w:p>
    <w:p w14:paraId="0957067B" w14:textId="2CEF8BB5" w:rsidR="00FE4A41" w:rsidRPr="00AF1CF8" w:rsidRDefault="00FE4A41" w:rsidP="00FE4A41">
      <w:pPr>
        <w:widowControl/>
        <w:adjustRightInd w:val="0"/>
        <w:rPr>
          <w:rFonts w:eastAsia="Calibri"/>
          <w:color w:val="000000"/>
        </w:rPr>
      </w:pPr>
      <w:r w:rsidRPr="00AF1CF8">
        <w:rPr>
          <w:rFonts w:eastAsia="Calibri"/>
          <w:b/>
          <w:bCs/>
          <w:color w:val="000000"/>
        </w:rPr>
        <w:t xml:space="preserve">Key Outcomes: </w:t>
      </w:r>
      <w:r w:rsidRPr="00AF1CF8">
        <w:rPr>
          <w:rFonts w:eastAsia="Calibri"/>
          <w:color w:val="000000"/>
        </w:rPr>
        <w:t>The project will 1) reduce inequities between face-to-face and e-learning</w:t>
      </w:r>
    </w:p>
    <w:p w14:paraId="6AA05447" w14:textId="77777777" w:rsidR="00FE4A41" w:rsidRPr="00AF1CF8" w:rsidRDefault="00FE4A41" w:rsidP="00FE4A41">
      <w:pPr>
        <w:widowControl/>
        <w:adjustRightInd w:val="0"/>
        <w:rPr>
          <w:rFonts w:eastAsia="Calibri"/>
          <w:color w:val="000000"/>
        </w:rPr>
      </w:pPr>
      <w:r w:rsidRPr="00AF1CF8">
        <w:rPr>
          <w:rFonts w:eastAsia="Calibri"/>
          <w:color w:val="000000"/>
        </w:rPr>
        <w:t>outcomes, 2) improve response time and track student engagement and interventions, 3) develop</w:t>
      </w:r>
    </w:p>
    <w:p w14:paraId="23CE1F75" w14:textId="77777777" w:rsidR="00FE4A41" w:rsidRPr="00AF1CF8" w:rsidRDefault="00FE4A41" w:rsidP="00FE4A41">
      <w:pPr>
        <w:widowControl/>
        <w:adjustRightInd w:val="0"/>
        <w:rPr>
          <w:rFonts w:eastAsia="Calibri"/>
          <w:color w:val="000000"/>
        </w:rPr>
      </w:pPr>
      <w:r w:rsidRPr="00AF1CF8">
        <w:rPr>
          <w:rFonts w:eastAsia="Calibri"/>
          <w:color w:val="000000"/>
        </w:rPr>
        <w:t>an infrastructure to support a growing culture of data-informed decision-making and 4) improve</w:t>
      </w:r>
    </w:p>
    <w:p w14:paraId="3599820D" w14:textId="77777777" w:rsidR="00FE4A41" w:rsidRPr="00AF1CF8" w:rsidRDefault="00FE4A41" w:rsidP="00FE4A41">
      <w:pPr>
        <w:widowControl/>
        <w:adjustRightInd w:val="0"/>
        <w:rPr>
          <w:rFonts w:eastAsia="Calibri"/>
          <w:color w:val="000000"/>
        </w:rPr>
      </w:pPr>
      <w:r w:rsidRPr="00AF1CF8">
        <w:rPr>
          <w:rFonts w:eastAsia="Calibri"/>
          <w:color w:val="000000"/>
        </w:rPr>
        <w:t>financial literacy education and participation.</w:t>
      </w:r>
    </w:p>
    <w:p w14:paraId="70C004BA" w14:textId="77777777" w:rsidR="00FD3345" w:rsidRDefault="00FD3345" w:rsidP="00FE4A41">
      <w:pPr>
        <w:widowControl/>
        <w:adjustRightInd w:val="0"/>
        <w:rPr>
          <w:rFonts w:eastAsia="Calibri"/>
          <w:b/>
          <w:bCs/>
          <w:color w:val="000000"/>
        </w:rPr>
      </w:pPr>
    </w:p>
    <w:p w14:paraId="5D1F0F8D" w14:textId="3AFF572C" w:rsidR="00FE4A41" w:rsidRPr="00AF1CF8" w:rsidRDefault="00FE4A41" w:rsidP="00FE4A41">
      <w:pPr>
        <w:widowControl/>
        <w:adjustRightInd w:val="0"/>
        <w:rPr>
          <w:rFonts w:eastAsia="Calibri"/>
          <w:color w:val="000000"/>
        </w:rPr>
      </w:pPr>
      <w:r w:rsidRPr="00AF1CF8">
        <w:rPr>
          <w:rFonts w:eastAsia="Calibri"/>
          <w:b/>
          <w:bCs/>
          <w:color w:val="000000"/>
        </w:rPr>
        <w:t xml:space="preserve">Contributions to Research, Policy and Practice: </w:t>
      </w:r>
      <w:r w:rsidRPr="00AF1CF8">
        <w:rPr>
          <w:rFonts w:eastAsia="Calibri"/>
          <w:color w:val="000000"/>
        </w:rPr>
        <w:t>While key research has focused on the efficacy</w:t>
      </w:r>
    </w:p>
    <w:p w14:paraId="0BA48478" w14:textId="77777777" w:rsidR="00FE4A41" w:rsidRPr="00AF1CF8" w:rsidRDefault="00FE4A41" w:rsidP="00FE4A41">
      <w:pPr>
        <w:widowControl/>
        <w:adjustRightInd w:val="0"/>
        <w:rPr>
          <w:rFonts w:eastAsia="Calibri"/>
          <w:color w:val="000000"/>
        </w:rPr>
      </w:pPr>
      <w:r w:rsidRPr="00AF1CF8">
        <w:rPr>
          <w:rFonts w:eastAsia="Calibri"/>
          <w:color w:val="000000"/>
        </w:rPr>
        <w:t>of face to face success coaching (Bettinger &amp; Baker, 2011), this project furthers understanding</w:t>
      </w:r>
    </w:p>
    <w:p w14:paraId="417AA6D1" w14:textId="77777777" w:rsidR="00FE4A41" w:rsidRPr="00AF1CF8" w:rsidRDefault="00FE4A41" w:rsidP="00FE4A41">
      <w:pPr>
        <w:widowControl/>
        <w:adjustRightInd w:val="0"/>
        <w:rPr>
          <w:rFonts w:eastAsia="Calibri"/>
          <w:color w:val="000000"/>
        </w:rPr>
      </w:pPr>
      <w:r w:rsidRPr="00AF1CF8">
        <w:rPr>
          <w:rFonts w:eastAsia="Calibri"/>
          <w:color w:val="000000"/>
        </w:rPr>
        <w:t>about the success of virtual success coaching used with online learners (for which there is little</w:t>
      </w:r>
    </w:p>
    <w:p w14:paraId="195E74BF" w14:textId="77777777" w:rsidR="00FE4A41" w:rsidRPr="00AF1CF8" w:rsidRDefault="00FE4A41" w:rsidP="00FE4A41">
      <w:pPr>
        <w:widowControl/>
        <w:adjustRightInd w:val="0"/>
        <w:rPr>
          <w:rFonts w:eastAsia="Calibri"/>
          <w:color w:val="000000"/>
        </w:rPr>
      </w:pPr>
      <w:r w:rsidRPr="00AF1CF8">
        <w:rPr>
          <w:rFonts w:eastAsia="Calibri"/>
          <w:color w:val="000000"/>
        </w:rPr>
        <w:t>research), particularly for Hispanic, low-income, rural and underrepresented students.</w:t>
      </w:r>
    </w:p>
    <w:p w14:paraId="50CEB980" w14:textId="77777777" w:rsidR="00FD3345" w:rsidRDefault="00FD3345" w:rsidP="00FE4A41">
      <w:pPr>
        <w:widowControl/>
        <w:adjustRightInd w:val="0"/>
        <w:rPr>
          <w:rFonts w:eastAsia="Calibri"/>
          <w:b/>
          <w:bCs/>
          <w:color w:val="000000"/>
        </w:rPr>
      </w:pPr>
    </w:p>
    <w:p w14:paraId="57B18E8A" w14:textId="11825A4B" w:rsidR="00FE4A41" w:rsidRPr="00AF1CF8" w:rsidRDefault="00FE4A41" w:rsidP="00FE4A41">
      <w:pPr>
        <w:widowControl/>
        <w:adjustRightInd w:val="0"/>
        <w:rPr>
          <w:rFonts w:eastAsia="Calibri"/>
          <w:b/>
          <w:bCs/>
          <w:color w:val="000000"/>
        </w:rPr>
      </w:pPr>
      <w:r w:rsidRPr="00AF1CF8">
        <w:rPr>
          <w:rFonts w:eastAsia="Calibri"/>
          <w:b/>
          <w:bCs/>
          <w:color w:val="000000"/>
        </w:rPr>
        <w:t>Student Body Characteristics</w:t>
      </w:r>
    </w:p>
    <w:p w14:paraId="17DB35FE" w14:textId="4403329A" w:rsidR="00FE4A41" w:rsidRPr="00BB223B" w:rsidRDefault="00FE4A41" w:rsidP="00FE4A41">
      <w:pPr>
        <w:widowControl/>
        <w:adjustRightInd w:val="0"/>
        <w:rPr>
          <w:rFonts w:eastAsia="Calibri"/>
          <w:color w:val="000000"/>
        </w:rPr>
      </w:pPr>
      <w:r w:rsidRPr="00AF1CF8">
        <w:rPr>
          <w:rFonts w:eastAsia="Calibri"/>
          <w:b/>
          <w:bCs/>
          <w:color w:val="000000"/>
        </w:rPr>
        <w:t xml:space="preserve">Fall 2018 Headcount Enrollment: </w:t>
      </w:r>
      <w:r w:rsidRPr="00AF1CF8">
        <w:rPr>
          <w:rFonts w:eastAsia="Calibri"/>
          <w:color w:val="000000"/>
        </w:rPr>
        <w:t xml:space="preserve">Undergraduate: 3,154. </w:t>
      </w:r>
      <w:r w:rsidRPr="00AF1CF8">
        <w:rPr>
          <w:rFonts w:eastAsia="Calibri"/>
          <w:b/>
          <w:bCs/>
          <w:color w:val="000000"/>
        </w:rPr>
        <w:t>Ethnicity</w:t>
      </w:r>
      <w:r w:rsidRPr="00AF1CF8">
        <w:rPr>
          <w:rFonts w:eastAsia="Calibri"/>
          <w:color w:val="000000"/>
        </w:rPr>
        <w:t>: White-52</w:t>
      </w:r>
      <w:r w:rsidR="00A23357" w:rsidRPr="00AF1CF8">
        <w:rPr>
          <w:rFonts w:eastAsia="Calibri"/>
          <w:color w:val="000000"/>
        </w:rPr>
        <w:t xml:space="preserve"> percent</w:t>
      </w:r>
      <w:r w:rsidRPr="00EB748D">
        <w:rPr>
          <w:rFonts w:eastAsia="Calibri"/>
          <w:color w:val="000000"/>
        </w:rPr>
        <w:t>; Hispani</w:t>
      </w:r>
      <w:r w:rsidRPr="00BB223B">
        <w:rPr>
          <w:rFonts w:eastAsia="Calibri"/>
          <w:color w:val="000000"/>
        </w:rPr>
        <w:t>c/Latino-</w:t>
      </w:r>
      <w:r w:rsidRPr="00AF1CF8">
        <w:rPr>
          <w:rFonts w:eastAsia="Calibri"/>
          <w:color w:val="000000"/>
        </w:rPr>
        <w:t>30</w:t>
      </w:r>
      <w:r w:rsidR="00A23357" w:rsidRPr="00AF1CF8">
        <w:rPr>
          <w:rFonts w:eastAsia="Calibri"/>
          <w:color w:val="000000"/>
        </w:rPr>
        <w:t xml:space="preserve"> percent</w:t>
      </w:r>
      <w:r w:rsidRPr="00EB748D">
        <w:rPr>
          <w:rFonts w:eastAsia="Calibri"/>
          <w:color w:val="000000"/>
        </w:rPr>
        <w:t>; Black or African American-11</w:t>
      </w:r>
      <w:r w:rsidR="00A23357" w:rsidRPr="00AF1CF8">
        <w:rPr>
          <w:rFonts w:eastAsia="Calibri"/>
          <w:color w:val="000000"/>
        </w:rPr>
        <w:t xml:space="preserve"> percent</w:t>
      </w:r>
      <w:r w:rsidRPr="00EB748D">
        <w:rPr>
          <w:rFonts w:eastAsia="Calibri"/>
          <w:color w:val="000000"/>
        </w:rPr>
        <w:t>; Asian-</w:t>
      </w:r>
      <w:r w:rsidR="00A23357" w:rsidRPr="00AF1CF8">
        <w:rPr>
          <w:rFonts w:eastAsia="Calibri"/>
          <w:color w:val="000000"/>
        </w:rPr>
        <w:t>one percent</w:t>
      </w:r>
      <w:r w:rsidRPr="00EB748D">
        <w:rPr>
          <w:rFonts w:eastAsia="Calibri"/>
          <w:color w:val="000000"/>
        </w:rPr>
        <w:t>; American Indian or Alaska Native-</w:t>
      </w:r>
      <w:r w:rsidR="00A23357" w:rsidRPr="00AF1CF8">
        <w:rPr>
          <w:rFonts w:eastAsia="Calibri"/>
          <w:color w:val="000000"/>
        </w:rPr>
        <w:t>one percent</w:t>
      </w:r>
      <w:r w:rsidRPr="00EB748D">
        <w:rPr>
          <w:rFonts w:eastAsia="Calibri"/>
          <w:color w:val="000000"/>
        </w:rPr>
        <w:t xml:space="preserve">; </w:t>
      </w:r>
      <w:r w:rsidR="00A23357" w:rsidRPr="00AF1CF8">
        <w:rPr>
          <w:rFonts w:eastAsia="Calibri"/>
          <w:color w:val="000000"/>
        </w:rPr>
        <w:t xml:space="preserve">Two </w:t>
      </w:r>
      <w:r w:rsidRPr="00EB748D">
        <w:rPr>
          <w:rFonts w:eastAsia="Calibri"/>
          <w:color w:val="000000"/>
        </w:rPr>
        <w:t>or</w:t>
      </w:r>
      <w:r w:rsidR="00A23357" w:rsidRPr="00AF1CF8">
        <w:rPr>
          <w:rFonts w:eastAsia="Calibri"/>
          <w:color w:val="000000"/>
        </w:rPr>
        <w:t xml:space="preserve"> </w:t>
      </w:r>
      <w:r w:rsidRPr="00EB748D">
        <w:rPr>
          <w:rFonts w:eastAsia="Calibri"/>
          <w:color w:val="000000"/>
        </w:rPr>
        <w:t>More Races-2</w:t>
      </w:r>
      <w:r w:rsidR="00A23357" w:rsidRPr="00AF1CF8">
        <w:rPr>
          <w:rFonts w:eastAsia="Calibri"/>
          <w:color w:val="000000"/>
        </w:rPr>
        <w:t xml:space="preserve"> percent</w:t>
      </w:r>
      <w:r w:rsidRPr="00EB748D">
        <w:rPr>
          <w:rFonts w:eastAsia="Calibri"/>
          <w:color w:val="000000"/>
        </w:rPr>
        <w:t xml:space="preserve">; Non-Resident Alien: </w:t>
      </w:r>
      <w:r w:rsidR="00A23357" w:rsidRPr="00AF1CF8">
        <w:rPr>
          <w:rFonts w:eastAsia="Calibri"/>
          <w:color w:val="000000"/>
        </w:rPr>
        <w:t>three percent</w:t>
      </w:r>
      <w:r w:rsidRPr="00EB748D">
        <w:rPr>
          <w:rFonts w:eastAsia="Calibri"/>
          <w:color w:val="000000"/>
        </w:rPr>
        <w:t>.</w:t>
      </w:r>
    </w:p>
    <w:p w14:paraId="4FB31CBA" w14:textId="77777777" w:rsidR="00FE4A41" w:rsidRPr="00AF1CF8" w:rsidRDefault="00FE4A41" w:rsidP="00FE4A41">
      <w:pPr>
        <w:widowControl/>
        <w:adjustRightInd w:val="0"/>
        <w:rPr>
          <w:rFonts w:eastAsia="Calibri"/>
          <w:color w:val="000000"/>
        </w:rPr>
      </w:pPr>
      <w:r w:rsidRPr="00AF1CF8">
        <w:rPr>
          <w:rFonts w:eastAsia="Calibri"/>
          <w:b/>
          <w:bCs/>
          <w:color w:val="000000"/>
        </w:rPr>
        <w:t xml:space="preserve">Faculty Characteristics: </w:t>
      </w:r>
      <w:r w:rsidRPr="00AF1CF8">
        <w:rPr>
          <w:rFonts w:eastAsia="Calibri"/>
          <w:color w:val="000000"/>
        </w:rPr>
        <w:t>Faculty to student ratio: 1: 20. Full-time: 72; Part-time: 93.</w:t>
      </w:r>
    </w:p>
    <w:p w14:paraId="4ED9A3E4" w14:textId="77777777" w:rsidR="00FD3345" w:rsidRDefault="00FD3345" w:rsidP="00FE4A41">
      <w:pPr>
        <w:widowControl/>
        <w:autoSpaceDE/>
        <w:autoSpaceDN/>
        <w:spacing w:after="160" w:line="259" w:lineRule="auto"/>
        <w:rPr>
          <w:rFonts w:eastAsia="Calibri"/>
          <w:b/>
          <w:bCs/>
          <w:color w:val="000000"/>
        </w:rPr>
      </w:pPr>
    </w:p>
    <w:p w14:paraId="2561E20A" w14:textId="25AF3D91" w:rsidR="00FE4A41" w:rsidRPr="00AF1CF8" w:rsidRDefault="00FE4A41" w:rsidP="00FE4A41">
      <w:pPr>
        <w:widowControl/>
        <w:autoSpaceDE/>
        <w:autoSpaceDN/>
        <w:spacing w:after="160" w:line="259" w:lineRule="auto"/>
        <w:rPr>
          <w:rFonts w:eastAsia="Calibri"/>
          <w:color w:val="000000"/>
        </w:rPr>
      </w:pPr>
      <w:r w:rsidRPr="00AF1CF8">
        <w:rPr>
          <w:rFonts w:eastAsia="Calibri"/>
          <w:b/>
          <w:bCs/>
          <w:color w:val="000000"/>
        </w:rPr>
        <w:t>Five-Year Project Budget</w:t>
      </w:r>
      <w:r w:rsidRPr="00AF1CF8">
        <w:rPr>
          <w:rFonts w:eastAsia="Calibri"/>
          <w:color w:val="000000"/>
        </w:rPr>
        <w:t>: $6,000,000.</w:t>
      </w:r>
    </w:p>
    <w:p w14:paraId="372964A3" w14:textId="77777777" w:rsidR="00FE4A41" w:rsidRPr="00AF1CF8" w:rsidRDefault="00FE4A41" w:rsidP="00FE4A41">
      <w:pPr>
        <w:pStyle w:val="Heading2"/>
        <w:rPr>
          <w:rFonts w:cs="Times New Roman"/>
          <w:szCs w:val="22"/>
        </w:rPr>
      </w:pPr>
    </w:p>
    <w:p w14:paraId="4A06943C" w14:textId="77777777" w:rsidR="00FE4A41" w:rsidRPr="00AF1CF8" w:rsidRDefault="00FE4A41" w:rsidP="00FE4A41">
      <w:pPr>
        <w:pStyle w:val="Heading2"/>
        <w:rPr>
          <w:rFonts w:cs="Times New Roman"/>
          <w:szCs w:val="22"/>
        </w:rPr>
      </w:pPr>
    </w:p>
    <w:p w14:paraId="05D93061" w14:textId="414D2266" w:rsidR="00583FDD" w:rsidRPr="00AF1CF8" w:rsidRDefault="00583FDD" w:rsidP="00634CAD">
      <w:pPr>
        <w:pStyle w:val="Heading1"/>
      </w:pPr>
      <w:r w:rsidRPr="00AF1CF8">
        <w:t xml:space="preserve">P031S190252 </w:t>
      </w:r>
      <w:r w:rsidRPr="00AF1CF8">
        <w:br/>
        <w:t>San Jacinto Community College District, TX</w:t>
      </w:r>
    </w:p>
    <w:p w14:paraId="29353108" w14:textId="77777777" w:rsidR="00583FDD" w:rsidRPr="00AF1CF8" w:rsidRDefault="00583FDD" w:rsidP="00EB748D"/>
    <w:p w14:paraId="3CB85380" w14:textId="77777777" w:rsidR="00583FDD" w:rsidRPr="00AF1CF8" w:rsidRDefault="00583FDD" w:rsidP="00583FDD">
      <w:pPr>
        <w:rPr>
          <w:sz w:val="20"/>
          <w:szCs w:val="20"/>
        </w:rPr>
      </w:pPr>
      <w:r w:rsidRPr="00AF1CF8">
        <w:rPr>
          <w:sz w:val="20"/>
          <w:szCs w:val="20"/>
        </w:rPr>
        <w:t>Applicant: San Jacinto College (San Jac) is the Texas gulf coast region’s leader in higher education. Established in 1961 on the east side of Houston, San Jac is the ninth largest community college in Texas, and third largest in the Houston area. Surrounded by monuments of history, industries, and maritime enterprises of today, and the space age of tomorrow, San Jacinto serves more than 41,000 credit and non- credit students annually and offers eight broad pathways which can lead to 128 different degree plans that put students on a path to transfer to a four-year institution or enter the workforce.</w:t>
      </w:r>
    </w:p>
    <w:p w14:paraId="06683124" w14:textId="77777777" w:rsidR="00583FDD" w:rsidRPr="00AF1CF8" w:rsidRDefault="00583FDD" w:rsidP="00583FDD">
      <w:pPr>
        <w:rPr>
          <w:sz w:val="20"/>
          <w:szCs w:val="20"/>
        </w:rPr>
      </w:pPr>
    </w:p>
    <w:p w14:paraId="6631EB2C" w14:textId="77777777" w:rsidR="00583FDD" w:rsidRPr="00AF1CF8" w:rsidRDefault="00583FDD" w:rsidP="00583FDD">
      <w:pPr>
        <w:rPr>
          <w:sz w:val="20"/>
          <w:szCs w:val="20"/>
        </w:rPr>
      </w:pPr>
      <w:r w:rsidRPr="00AF1CF8">
        <w:rPr>
          <w:sz w:val="20"/>
          <w:szCs w:val="20"/>
        </w:rPr>
        <w:t>San Jac is a public, two-year institution with three campuses and a Maritime Center on the east side of greater Houston; a fourth campus, Generation Park opens in Fall 2020. San Jac is under the governance of the San Jacinto College Board of Trustees and offers Associate in Arts degrees, Associate in Science degrees, Associate in Applied Science degrees, University Transfer courses, and career-oriented certificates and training.</w:t>
      </w:r>
    </w:p>
    <w:p w14:paraId="2417E08F" w14:textId="77777777" w:rsidR="00583FDD" w:rsidRPr="00AF1CF8" w:rsidRDefault="00583FDD" w:rsidP="00583FDD">
      <w:pPr>
        <w:rPr>
          <w:sz w:val="20"/>
          <w:szCs w:val="20"/>
        </w:rPr>
      </w:pPr>
    </w:p>
    <w:p w14:paraId="430EA52A" w14:textId="77777777" w:rsidR="00583FDD" w:rsidRPr="00AF1CF8" w:rsidRDefault="00583FDD" w:rsidP="00583FDD">
      <w:pPr>
        <w:rPr>
          <w:sz w:val="20"/>
          <w:szCs w:val="20"/>
        </w:rPr>
      </w:pPr>
      <w:r w:rsidRPr="00AF1CF8">
        <w:rPr>
          <w:sz w:val="20"/>
          <w:szCs w:val="20"/>
        </w:rPr>
        <w:t>In 2018, Hispanic Outlook in Higher Education Magazine ranked San Jacinto as the #6 community college for Hispanics in the U.S. With more than half of San Jac’s student body being of Hispanic or Latino origin, and being a Hispanic Serving Institution, the college continues to position itself as an advocate of Hispanic/Latino student success.</w:t>
      </w:r>
    </w:p>
    <w:p w14:paraId="23E32695" w14:textId="77777777" w:rsidR="00583FDD" w:rsidRPr="00AF1CF8" w:rsidRDefault="00583FDD" w:rsidP="00583FDD">
      <w:pPr>
        <w:rPr>
          <w:sz w:val="20"/>
          <w:szCs w:val="20"/>
        </w:rPr>
      </w:pPr>
    </w:p>
    <w:p w14:paraId="5C4BF24D" w14:textId="1A773BBB" w:rsidR="00583FDD" w:rsidRPr="00AF1CF8" w:rsidRDefault="00583FDD" w:rsidP="00583FDD">
      <w:pPr>
        <w:rPr>
          <w:sz w:val="20"/>
          <w:szCs w:val="20"/>
        </w:rPr>
      </w:pPr>
      <w:r w:rsidRPr="00AF1CF8">
        <w:rPr>
          <w:sz w:val="20"/>
          <w:szCs w:val="20"/>
        </w:rPr>
        <w:t>Over the last 10 years, San Jacinto College has increased the number of certificates and associate degrees awarded by 169</w:t>
      </w:r>
      <w:r w:rsidR="00A23357" w:rsidRPr="00AF1CF8">
        <w:rPr>
          <w:sz w:val="20"/>
          <w:szCs w:val="20"/>
        </w:rPr>
        <w:t xml:space="preserve"> percent</w:t>
      </w:r>
      <w:r w:rsidRPr="00BB223B">
        <w:rPr>
          <w:sz w:val="20"/>
          <w:szCs w:val="20"/>
        </w:rPr>
        <w:t xml:space="preserve">. In 2017-8, 7,019 students earned a certificate </w:t>
      </w:r>
      <w:r w:rsidRPr="00AF1CF8">
        <w:rPr>
          <w:sz w:val="20"/>
          <w:szCs w:val="20"/>
        </w:rPr>
        <w:t>or degree from San Jacinto College. This increase is due to laser focus on student success and the various levels of support students receive along their path from when they first arrive at San Jacinto College through graduation.</w:t>
      </w:r>
    </w:p>
    <w:p w14:paraId="689B5B72" w14:textId="77777777" w:rsidR="00583FDD" w:rsidRPr="00AF1CF8" w:rsidRDefault="00583FDD" w:rsidP="00583FDD">
      <w:pPr>
        <w:rPr>
          <w:sz w:val="20"/>
          <w:szCs w:val="20"/>
        </w:rPr>
      </w:pPr>
    </w:p>
    <w:p w14:paraId="2B101EB3" w14:textId="77777777" w:rsidR="00583FDD" w:rsidRPr="00AF1CF8" w:rsidRDefault="00583FDD" w:rsidP="00583FDD">
      <w:pPr>
        <w:rPr>
          <w:sz w:val="20"/>
          <w:szCs w:val="20"/>
        </w:rPr>
      </w:pPr>
      <w:r w:rsidRPr="00AF1CF8">
        <w:rPr>
          <w:b/>
          <w:sz w:val="20"/>
          <w:szCs w:val="20"/>
        </w:rPr>
        <w:t>Project Goal</w:t>
      </w:r>
      <w:r w:rsidRPr="00AF1CF8">
        <w:rPr>
          <w:sz w:val="20"/>
          <w:szCs w:val="20"/>
        </w:rPr>
        <w:t>: Reform institutional advising capacity and delivery with bilingual and evidence-based intrusive student success strategies underpinned by technology-mediated solutions that streamline communication and access to information across campus to create an integrated planning and advising system (IPAS).</w:t>
      </w:r>
    </w:p>
    <w:p w14:paraId="24767D4A" w14:textId="77777777" w:rsidR="00583FDD" w:rsidRPr="00AF1CF8" w:rsidRDefault="00583FDD" w:rsidP="00583FDD">
      <w:pPr>
        <w:rPr>
          <w:sz w:val="20"/>
          <w:szCs w:val="20"/>
        </w:rPr>
      </w:pPr>
    </w:p>
    <w:p w14:paraId="70B14590" w14:textId="77777777" w:rsidR="00583FDD" w:rsidRPr="00AF1CF8" w:rsidRDefault="00583FDD" w:rsidP="00583FDD">
      <w:pPr>
        <w:rPr>
          <w:sz w:val="20"/>
          <w:szCs w:val="20"/>
        </w:rPr>
      </w:pPr>
      <w:r w:rsidRPr="00AF1CF8">
        <w:rPr>
          <w:b/>
          <w:sz w:val="20"/>
          <w:szCs w:val="20"/>
        </w:rPr>
        <w:t>Project Description</w:t>
      </w:r>
      <w:r w:rsidRPr="00AF1CF8">
        <w:rPr>
          <w:sz w:val="20"/>
          <w:szCs w:val="20"/>
        </w:rPr>
        <w:t>: San Jac is proposing a Title V Developing Hispanic Serving Institutions project that aligns with the college’s new strategic priorities for the next five years, underpins their ability to implement key strategic initiatives and builds overall institutional capacity to improve outcomes for Hispanic and other underrepresented populations (i.e., low-income, first generation, etc.) served by San Jac. Key project activities include:</w:t>
      </w:r>
    </w:p>
    <w:p w14:paraId="5BC6A2AB" w14:textId="77777777" w:rsidR="00583FDD" w:rsidRPr="00AF1CF8" w:rsidRDefault="00583FDD" w:rsidP="00583FDD">
      <w:pPr>
        <w:pStyle w:val="ListParagraph"/>
        <w:numPr>
          <w:ilvl w:val="0"/>
          <w:numId w:val="47"/>
        </w:numPr>
        <w:rPr>
          <w:sz w:val="20"/>
          <w:szCs w:val="20"/>
        </w:rPr>
      </w:pPr>
      <w:r w:rsidRPr="00AF1CF8">
        <w:rPr>
          <w:sz w:val="20"/>
          <w:szCs w:val="20"/>
        </w:rPr>
        <w:t>redesigning the advising model to include virtual advising and hiring additional advisors;</w:t>
      </w:r>
    </w:p>
    <w:p w14:paraId="6E5B4F9D" w14:textId="77777777" w:rsidR="00583FDD" w:rsidRPr="00AF1CF8" w:rsidRDefault="00583FDD" w:rsidP="00583FDD">
      <w:pPr>
        <w:pStyle w:val="ListParagraph"/>
        <w:numPr>
          <w:ilvl w:val="0"/>
          <w:numId w:val="47"/>
        </w:numPr>
        <w:rPr>
          <w:sz w:val="20"/>
          <w:szCs w:val="20"/>
        </w:rPr>
      </w:pPr>
      <w:r w:rsidRPr="00AF1CF8">
        <w:rPr>
          <w:sz w:val="20"/>
          <w:szCs w:val="20"/>
        </w:rPr>
        <w:t>optimizing utility and extending utilization of existing IT and software solutions via a new student portal;</w:t>
      </w:r>
    </w:p>
    <w:p w14:paraId="400A1D8A" w14:textId="27CD1E11" w:rsidR="00583FDD" w:rsidRPr="00AF1CF8" w:rsidRDefault="00583FDD" w:rsidP="00583FDD">
      <w:pPr>
        <w:pStyle w:val="ListParagraph"/>
        <w:numPr>
          <w:ilvl w:val="0"/>
          <w:numId w:val="47"/>
        </w:numPr>
        <w:rPr>
          <w:sz w:val="20"/>
          <w:szCs w:val="20"/>
        </w:rPr>
      </w:pPr>
      <w:r w:rsidRPr="00AF1CF8">
        <w:rPr>
          <w:sz w:val="20"/>
          <w:szCs w:val="20"/>
        </w:rPr>
        <w:t xml:space="preserve">improving student/faculty communication with an </w:t>
      </w:r>
      <w:r w:rsidR="00A357A3" w:rsidRPr="00AF1CF8">
        <w:rPr>
          <w:sz w:val="20"/>
          <w:szCs w:val="20"/>
        </w:rPr>
        <w:t>institutionally-funded</w:t>
      </w:r>
      <w:r w:rsidRPr="00BB223B">
        <w:rPr>
          <w:sz w:val="20"/>
          <w:szCs w:val="20"/>
        </w:rPr>
        <w:t xml:space="preserve"> CRM; and</w:t>
      </w:r>
    </w:p>
    <w:p w14:paraId="5F1C195D" w14:textId="77777777" w:rsidR="00583FDD" w:rsidRPr="00AF1CF8" w:rsidRDefault="00583FDD" w:rsidP="00583FDD">
      <w:pPr>
        <w:pStyle w:val="ListParagraph"/>
        <w:numPr>
          <w:ilvl w:val="0"/>
          <w:numId w:val="47"/>
        </w:numPr>
        <w:rPr>
          <w:sz w:val="20"/>
          <w:szCs w:val="20"/>
        </w:rPr>
      </w:pPr>
      <w:r w:rsidRPr="00AF1CF8">
        <w:rPr>
          <w:sz w:val="20"/>
          <w:szCs w:val="20"/>
        </w:rPr>
        <w:t>facilitating faculty and staff training development around new advising model, curricula restructure (input, SJC funded), and new IT capacities.</w:t>
      </w:r>
    </w:p>
    <w:p w14:paraId="5405E3A5" w14:textId="77777777" w:rsidR="00583FDD" w:rsidRPr="00AF1CF8" w:rsidRDefault="00583FDD" w:rsidP="00583FDD">
      <w:pPr>
        <w:rPr>
          <w:sz w:val="20"/>
          <w:szCs w:val="20"/>
        </w:rPr>
      </w:pPr>
    </w:p>
    <w:p w14:paraId="00FB0923" w14:textId="77777777" w:rsidR="00583FDD" w:rsidRPr="00AF1CF8" w:rsidRDefault="00583FDD" w:rsidP="00583FDD">
      <w:pPr>
        <w:rPr>
          <w:sz w:val="20"/>
          <w:szCs w:val="20"/>
        </w:rPr>
      </w:pPr>
      <w:r w:rsidRPr="00AF1CF8">
        <w:rPr>
          <w:b/>
          <w:sz w:val="20"/>
          <w:szCs w:val="20"/>
        </w:rPr>
        <w:t>Competitive Preference Priority #2</w:t>
      </w:r>
      <w:r w:rsidRPr="00AF1CF8">
        <w:rPr>
          <w:sz w:val="20"/>
          <w:szCs w:val="20"/>
        </w:rPr>
        <w:t>: San Jac IPAS provides students and prospective students with a portal that connects them to relevant campus resources, including San Jac’s suite of financial aid, student loan default prevention, and personal financial literacy resources. The financial aid resources are specific to borrowing and cover the types of aid available (including both federal, state, and private grants, scholarships, and loans); eligibility requirements and documentation; how and when to submit financial aid applications; and borrower rights and responsibilities. Loan default prevention covers required exit counseling, repayment options, deferments, money management, and default resolution options, including loan forgiveness for qualified</w:t>
      </w:r>
      <w:r w:rsidRPr="00AF1CF8">
        <w:rPr>
          <w:spacing w:val="-2"/>
          <w:sz w:val="20"/>
          <w:szCs w:val="20"/>
        </w:rPr>
        <w:t xml:space="preserve"> </w:t>
      </w:r>
      <w:r w:rsidRPr="00AF1CF8">
        <w:rPr>
          <w:sz w:val="20"/>
          <w:szCs w:val="20"/>
        </w:rPr>
        <w:t>borrowers.</w:t>
      </w:r>
    </w:p>
    <w:p w14:paraId="399A2F2D" w14:textId="77777777" w:rsidR="00583FDD" w:rsidRPr="00AF1CF8" w:rsidRDefault="00583FDD" w:rsidP="00583FDD">
      <w:pPr>
        <w:rPr>
          <w:sz w:val="20"/>
          <w:szCs w:val="20"/>
        </w:rPr>
      </w:pPr>
    </w:p>
    <w:p w14:paraId="6B10924F" w14:textId="77777777" w:rsidR="00583FDD" w:rsidRPr="00AF1CF8" w:rsidRDefault="00583FDD" w:rsidP="00583FDD">
      <w:pPr>
        <w:rPr>
          <w:sz w:val="20"/>
          <w:szCs w:val="20"/>
        </w:rPr>
      </w:pPr>
      <w:r w:rsidRPr="00AF1CF8">
        <w:rPr>
          <w:sz w:val="20"/>
          <w:szCs w:val="20"/>
        </w:rPr>
        <w:t>While these resources are already in existence, they are found and accessed on the financial aid website and with the exception of the required exit counseling, are completely optional. Notwithstanding, San Jac’s advisors still work with students on matters related to planning and paying for college and refer students to these resources through the advising process. The advising redesign, coupled with a student communications plan and deployment of the CRM, will guide advisors towards a standard approach that connects every student to the appropriate financial aid and financial literacy resources. With the portal, students will have one click access to these resources through the mobile app and will receive notifications from their advisors reminding them of these resources at key intervals.</w:t>
      </w:r>
    </w:p>
    <w:p w14:paraId="6EE6F660" w14:textId="1502D78E" w:rsidR="00A93D34" w:rsidRPr="00AF1CF8" w:rsidRDefault="00A93D34" w:rsidP="00634CAD">
      <w:pPr>
        <w:pStyle w:val="Heading1"/>
      </w:pPr>
      <w:r w:rsidRPr="00AF1CF8">
        <w:t xml:space="preserve">P031S190118 </w:t>
      </w:r>
      <w:r w:rsidR="0021134E" w:rsidRPr="00AF1CF8">
        <w:br/>
        <w:t>St. Mary's University of San Antonio, TX</w:t>
      </w:r>
    </w:p>
    <w:p w14:paraId="0940F7A6" w14:textId="77777777" w:rsidR="00EB763D" w:rsidRDefault="00EB763D" w:rsidP="00A93D34">
      <w:pPr>
        <w:rPr>
          <w:b/>
        </w:rPr>
      </w:pPr>
    </w:p>
    <w:p w14:paraId="2D86ABF3" w14:textId="66B316AD" w:rsidR="00A93D34" w:rsidRPr="00AF1CF8" w:rsidRDefault="00A93D34" w:rsidP="00A93D34">
      <w:r w:rsidRPr="00EB748D">
        <w:rPr>
          <w:b/>
        </w:rPr>
        <w:t xml:space="preserve">St. </w:t>
      </w:r>
      <w:r w:rsidRPr="00BB223B">
        <w:rPr>
          <w:b/>
          <w:bCs/>
        </w:rPr>
        <w:t>Mary</w:t>
      </w:r>
      <w:r w:rsidRPr="00AF1CF8">
        <w:rPr>
          <w:b/>
          <w:bCs/>
        </w:rPr>
        <w:t>’s</w:t>
      </w:r>
      <w:r w:rsidRPr="00AF1CF8">
        <w:rPr>
          <w:b/>
        </w:rPr>
        <w:t xml:space="preserve"> University (StMU), a </w:t>
      </w:r>
      <w:r w:rsidR="00A357A3" w:rsidRPr="00AF1CF8">
        <w:rPr>
          <w:b/>
        </w:rPr>
        <w:t>four</w:t>
      </w:r>
      <w:r w:rsidRPr="00EB748D">
        <w:rPr>
          <w:b/>
        </w:rPr>
        <w:t xml:space="preserve">-year </w:t>
      </w:r>
      <w:r w:rsidRPr="00BB223B">
        <w:rPr>
          <w:b/>
        </w:rPr>
        <w:t>inst</w:t>
      </w:r>
      <w:r w:rsidRPr="00AF1CF8">
        <w:rPr>
          <w:b/>
        </w:rPr>
        <w:t>itution in San Antonio, Texas and Bexar</w:t>
      </w:r>
      <w:r w:rsidRPr="00AF1CF8" w:rsidDel="00551A2C">
        <w:rPr>
          <w:b/>
        </w:rPr>
        <w:t xml:space="preserve"> </w:t>
      </w:r>
      <w:r w:rsidRPr="00AF1CF8">
        <w:rPr>
          <w:b/>
        </w:rPr>
        <w:t>County</w:t>
      </w:r>
      <w:r w:rsidRPr="00AF1CF8">
        <w:t>,</w:t>
      </w:r>
      <w:r w:rsidRPr="00AF1CF8" w:rsidDel="00551A2C">
        <w:t xml:space="preserve"> </w:t>
      </w:r>
      <w:r w:rsidRPr="00AF1CF8">
        <w:t>was founded</w:t>
      </w:r>
      <w:r w:rsidRPr="00AF1CF8">
        <w:rPr>
          <w:spacing w:val="-8"/>
        </w:rPr>
        <w:t xml:space="preserve"> </w:t>
      </w:r>
      <w:r w:rsidRPr="00AF1CF8">
        <w:t>to</w:t>
      </w:r>
      <w:r w:rsidRPr="00AF1CF8">
        <w:rPr>
          <w:spacing w:val="-7"/>
        </w:rPr>
        <w:t xml:space="preserve"> </w:t>
      </w:r>
      <w:r w:rsidRPr="00AF1CF8">
        <w:t>bring</w:t>
      </w:r>
      <w:r w:rsidRPr="00AF1CF8">
        <w:rPr>
          <w:spacing w:val="-11"/>
        </w:rPr>
        <w:t xml:space="preserve"> </w:t>
      </w:r>
      <w:r w:rsidRPr="00AF1CF8">
        <w:t>education</w:t>
      </w:r>
      <w:r w:rsidRPr="00AF1CF8">
        <w:rPr>
          <w:spacing w:val="-8"/>
        </w:rPr>
        <w:t xml:space="preserve"> </w:t>
      </w:r>
      <w:r w:rsidRPr="00AF1CF8">
        <w:t>to</w:t>
      </w:r>
      <w:r w:rsidRPr="00AF1CF8">
        <w:rPr>
          <w:spacing w:val="-5"/>
        </w:rPr>
        <w:t xml:space="preserve"> </w:t>
      </w:r>
      <w:r w:rsidRPr="00AF1CF8">
        <w:t>the</w:t>
      </w:r>
      <w:r w:rsidRPr="00AF1CF8">
        <w:rPr>
          <w:spacing w:val="-6"/>
        </w:rPr>
        <w:t xml:space="preserve"> </w:t>
      </w:r>
      <w:r w:rsidRPr="00AF1CF8">
        <w:t>underserved</w:t>
      </w:r>
      <w:r w:rsidRPr="00AF1CF8">
        <w:rPr>
          <w:spacing w:val="-9"/>
        </w:rPr>
        <w:t xml:space="preserve"> </w:t>
      </w:r>
      <w:r w:rsidRPr="00AF1CF8">
        <w:t>in</w:t>
      </w:r>
      <w:r w:rsidRPr="00AF1CF8">
        <w:rPr>
          <w:spacing w:val="-9"/>
        </w:rPr>
        <w:t xml:space="preserve"> </w:t>
      </w:r>
      <w:r w:rsidRPr="00AF1CF8">
        <w:t>South</w:t>
      </w:r>
      <w:r w:rsidRPr="00AF1CF8">
        <w:rPr>
          <w:spacing w:val="-10"/>
        </w:rPr>
        <w:t xml:space="preserve"> </w:t>
      </w:r>
      <w:r w:rsidRPr="00AF1CF8">
        <w:t>Texas.</w:t>
      </w:r>
      <w:r w:rsidRPr="00AF1CF8">
        <w:rPr>
          <w:spacing w:val="-7"/>
        </w:rPr>
        <w:t xml:space="preserve"> </w:t>
      </w:r>
      <w:r w:rsidRPr="00AF1CF8">
        <w:rPr>
          <w:spacing w:val="-4"/>
        </w:rPr>
        <w:t>It</w:t>
      </w:r>
      <w:r w:rsidRPr="00AF1CF8">
        <w:rPr>
          <w:spacing w:val="-2"/>
        </w:rPr>
        <w:t xml:space="preserve"> </w:t>
      </w:r>
      <w:r w:rsidRPr="00AF1CF8">
        <w:t>has</w:t>
      </w:r>
      <w:r w:rsidRPr="00AF1CF8">
        <w:rPr>
          <w:spacing w:val="-8"/>
        </w:rPr>
        <w:t xml:space="preserve"> </w:t>
      </w:r>
      <w:r w:rsidRPr="00AF1CF8">
        <w:t>a</w:t>
      </w:r>
      <w:r w:rsidRPr="00AF1CF8">
        <w:rPr>
          <w:spacing w:val="-8"/>
        </w:rPr>
        <w:t xml:space="preserve"> </w:t>
      </w:r>
      <w:r w:rsidRPr="00AF1CF8">
        <w:t>mission</w:t>
      </w:r>
      <w:r w:rsidRPr="00AF1CF8">
        <w:rPr>
          <w:spacing w:val="-7"/>
        </w:rPr>
        <w:t xml:space="preserve"> </w:t>
      </w:r>
      <w:r w:rsidRPr="00AF1CF8">
        <w:t>to</w:t>
      </w:r>
      <w:r w:rsidRPr="00AF1CF8">
        <w:rPr>
          <w:spacing w:val="-8"/>
        </w:rPr>
        <w:t xml:space="preserve"> </w:t>
      </w:r>
      <w:r w:rsidRPr="00AF1CF8">
        <w:t>provide</w:t>
      </w:r>
      <w:r w:rsidRPr="00AF1CF8">
        <w:rPr>
          <w:spacing w:val="-5"/>
        </w:rPr>
        <w:t xml:space="preserve"> </w:t>
      </w:r>
      <w:r w:rsidRPr="00AF1CF8">
        <w:t>a</w:t>
      </w:r>
      <w:r w:rsidRPr="00AF1CF8">
        <w:rPr>
          <w:spacing w:val="-8"/>
        </w:rPr>
        <w:t xml:space="preserve"> </w:t>
      </w:r>
      <w:r w:rsidRPr="00AF1CF8">
        <w:t>quality,</w:t>
      </w:r>
      <w:r w:rsidRPr="00AF1CF8">
        <w:rPr>
          <w:spacing w:val="-8"/>
        </w:rPr>
        <w:t xml:space="preserve"> </w:t>
      </w:r>
      <w:r w:rsidRPr="00AF1CF8">
        <w:t>integral education of liberal arts, STEM, and the Marianist faith tradition, educating for academic excellence, service, justice, and peace, with an emphasis on adaptation and change. The undergraduate student body reflects</w:t>
      </w:r>
      <w:r w:rsidRPr="00AF1CF8">
        <w:rPr>
          <w:spacing w:val="-11"/>
        </w:rPr>
        <w:t xml:space="preserve"> </w:t>
      </w:r>
      <w:r w:rsidRPr="00AF1CF8">
        <w:t>the</w:t>
      </w:r>
      <w:r w:rsidRPr="00AF1CF8">
        <w:rPr>
          <w:spacing w:val="-10"/>
        </w:rPr>
        <w:t xml:space="preserve"> </w:t>
      </w:r>
      <w:r w:rsidRPr="00AF1CF8">
        <w:t>regional</w:t>
      </w:r>
      <w:r w:rsidRPr="00AF1CF8">
        <w:rPr>
          <w:spacing w:val="-9"/>
        </w:rPr>
        <w:t xml:space="preserve"> </w:t>
      </w:r>
      <w:r w:rsidRPr="00AF1CF8">
        <w:t>population:</w:t>
      </w:r>
      <w:r w:rsidRPr="00AF1CF8">
        <w:rPr>
          <w:spacing w:val="-10"/>
        </w:rPr>
        <w:t xml:space="preserve"> </w:t>
      </w:r>
      <w:r w:rsidRPr="00AF1CF8">
        <w:t>48</w:t>
      </w:r>
      <w:r w:rsidR="00A23357" w:rsidRPr="00AF1CF8">
        <w:t xml:space="preserve"> percent</w:t>
      </w:r>
      <w:r w:rsidRPr="00EB748D">
        <w:rPr>
          <w:spacing w:val="-9"/>
        </w:rPr>
        <w:t xml:space="preserve"> </w:t>
      </w:r>
      <w:r w:rsidRPr="00BB223B">
        <w:t>from</w:t>
      </w:r>
      <w:r w:rsidRPr="00AF1CF8">
        <w:rPr>
          <w:spacing w:val="-15"/>
        </w:rPr>
        <w:t xml:space="preserve"> </w:t>
      </w:r>
      <w:r w:rsidRPr="00AF1CF8">
        <w:t>Bexar</w:t>
      </w:r>
      <w:r w:rsidRPr="00AF1CF8">
        <w:rPr>
          <w:spacing w:val="-11"/>
        </w:rPr>
        <w:t xml:space="preserve"> </w:t>
      </w:r>
      <w:r w:rsidRPr="00AF1CF8">
        <w:t>County,</w:t>
      </w:r>
      <w:r w:rsidRPr="00AF1CF8">
        <w:rPr>
          <w:spacing w:val="-11"/>
        </w:rPr>
        <w:t xml:space="preserve"> </w:t>
      </w:r>
      <w:r w:rsidRPr="00AF1CF8">
        <w:t>73</w:t>
      </w:r>
      <w:r w:rsidR="00A23357" w:rsidRPr="00AF1CF8">
        <w:t xml:space="preserve"> percent</w:t>
      </w:r>
      <w:r w:rsidRPr="00EB748D">
        <w:rPr>
          <w:spacing w:val="-9"/>
        </w:rPr>
        <w:t xml:space="preserve"> </w:t>
      </w:r>
      <w:r w:rsidRPr="00BB223B">
        <w:t>minority</w:t>
      </w:r>
      <w:r w:rsidRPr="00AF1CF8">
        <w:rPr>
          <w:spacing w:val="-9"/>
        </w:rPr>
        <w:t xml:space="preserve"> </w:t>
      </w:r>
      <w:r w:rsidRPr="00AF1CF8">
        <w:t>in</w:t>
      </w:r>
      <w:r w:rsidRPr="00AF1CF8">
        <w:rPr>
          <w:spacing w:val="-11"/>
        </w:rPr>
        <w:t xml:space="preserve"> </w:t>
      </w:r>
      <w:r w:rsidRPr="00AF1CF8">
        <w:t>2018</w:t>
      </w:r>
      <w:r w:rsidRPr="00AF1CF8">
        <w:rPr>
          <w:spacing w:val="-10"/>
        </w:rPr>
        <w:t xml:space="preserve"> </w:t>
      </w:r>
      <w:r w:rsidRPr="00AF1CF8">
        <w:t>(66</w:t>
      </w:r>
      <w:r w:rsidR="00A23357" w:rsidRPr="00AF1CF8">
        <w:t xml:space="preserve"> percent</w:t>
      </w:r>
      <w:r w:rsidRPr="00EB748D">
        <w:rPr>
          <w:spacing w:val="-10"/>
        </w:rPr>
        <w:t xml:space="preserve"> </w:t>
      </w:r>
      <w:r w:rsidRPr="00BB223B">
        <w:t>Hispanic),</w:t>
      </w:r>
      <w:r w:rsidRPr="00AF1CF8">
        <w:rPr>
          <w:spacing w:val="-12"/>
        </w:rPr>
        <w:t xml:space="preserve"> </w:t>
      </w:r>
      <w:r w:rsidRPr="00AF1CF8">
        <w:t>44</w:t>
      </w:r>
      <w:r w:rsidR="00A23357" w:rsidRPr="00AF1CF8">
        <w:t xml:space="preserve"> percent</w:t>
      </w:r>
      <w:r w:rsidRPr="00EB748D">
        <w:rPr>
          <w:spacing w:val="-10"/>
        </w:rPr>
        <w:t xml:space="preserve"> </w:t>
      </w:r>
      <w:r w:rsidRPr="00BB223B">
        <w:t>low- income, and 3</w:t>
      </w:r>
      <w:r w:rsidRPr="00AF1CF8">
        <w:t>5</w:t>
      </w:r>
      <w:r w:rsidR="00A23357" w:rsidRPr="00AF1CF8">
        <w:t xml:space="preserve"> percent</w:t>
      </w:r>
      <w:r w:rsidRPr="00EB748D">
        <w:t xml:space="preserve"> first-generat</w:t>
      </w:r>
      <w:r w:rsidRPr="00BB223B">
        <w:t xml:space="preserve">ion college students. Because </w:t>
      </w:r>
      <w:r w:rsidRPr="00AF1CF8">
        <w:t>of the high needs, StMU offers tuition discounts, and its endowment provides scholarships. In 2019, it educated 3,648 students (2,373 undergraduates) in four schools, including the School of Science, Engineering, and Technology (SET), which increased enrollment in 2018 by 13</w:t>
      </w:r>
      <w:r w:rsidR="00A23357" w:rsidRPr="00AF1CF8">
        <w:t xml:space="preserve"> percent</w:t>
      </w:r>
      <w:r w:rsidRPr="00EB748D">
        <w:t xml:space="preserve"> from 2014 (up </w:t>
      </w:r>
      <w:r w:rsidR="00AC1E5E">
        <w:t>seven</w:t>
      </w:r>
      <w:r w:rsidR="00AC1E5E" w:rsidRPr="00AF1CF8">
        <w:t xml:space="preserve"> </w:t>
      </w:r>
      <w:r w:rsidR="00A23357" w:rsidRPr="00AF1CF8">
        <w:t>percent</w:t>
      </w:r>
      <w:r w:rsidRPr="00EB748D">
        <w:t xml:space="preserve"> for Hispanics). This reflects success of the previous federally-funded initiatives to execute the University s Gateway Strategic Plan and SET Vision, which is guiding this proposed project</w:t>
      </w:r>
      <w:r w:rsidRPr="00BB223B">
        <w:t xml:space="preserve">: </w:t>
      </w:r>
      <w:r w:rsidRPr="00AF1CF8">
        <w:rPr>
          <w:b/>
          <w:i/>
        </w:rPr>
        <w:t>Building Capacity for Excellence in STEM</w:t>
      </w:r>
      <w:r w:rsidRPr="00AF1CF8">
        <w:rPr>
          <w:b/>
          <w:i/>
          <w:spacing w:val="41"/>
        </w:rPr>
        <w:t xml:space="preserve"> </w:t>
      </w:r>
      <w:r w:rsidRPr="00AF1CF8">
        <w:rPr>
          <w:b/>
          <w:i/>
        </w:rPr>
        <w:t>Education.</w:t>
      </w:r>
    </w:p>
    <w:p w14:paraId="227F527C" w14:textId="77777777" w:rsidR="00A93D34" w:rsidRPr="00AF1CF8" w:rsidRDefault="00A93D34" w:rsidP="00A93D34">
      <w:pPr>
        <w:pStyle w:val="BodyText"/>
        <w:rPr>
          <w:szCs w:val="22"/>
        </w:rPr>
      </w:pPr>
    </w:p>
    <w:p w14:paraId="098C2449" w14:textId="77777777" w:rsidR="00A93D34" w:rsidRPr="00AF1CF8" w:rsidRDefault="00A93D34" w:rsidP="00A93D34">
      <w:r w:rsidRPr="00AF1CF8">
        <w:t>Through the grant-funded project, StMU proposes: Expanding academic offerings, including new curriculum in Small Unmanned Aerial Vehicles (SUAV) or drone technologies; an enhanced and accreditable Engineering Management (EM) Curriculum; and new Construction Management (CM) Certificate Curriculum. Embedded throughout is faculty development, through a variety of methods: Conferences on student learning outcomes (SLOs) assessment and evaluation through ABET; workshops and</w:t>
      </w:r>
      <w:r w:rsidRPr="00AF1CF8">
        <w:rPr>
          <w:spacing w:val="-9"/>
        </w:rPr>
        <w:t xml:space="preserve"> </w:t>
      </w:r>
      <w:r w:rsidRPr="00AF1CF8">
        <w:t>on-campus</w:t>
      </w:r>
      <w:r w:rsidRPr="00AF1CF8">
        <w:rPr>
          <w:spacing w:val="-5"/>
        </w:rPr>
        <w:t xml:space="preserve"> </w:t>
      </w:r>
      <w:r w:rsidRPr="00AF1CF8">
        <w:t>trainings</w:t>
      </w:r>
      <w:r w:rsidRPr="00AF1CF8">
        <w:rPr>
          <w:spacing w:val="-6"/>
        </w:rPr>
        <w:t xml:space="preserve"> </w:t>
      </w:r>
      <w:r w:rsidRPr="00AF1CF8">
        <w:t>focused</w:t>
      </w:r>
      <w:r w:rsidRPr="00AF1CF8">
        <w:rPr>
          <w:spacing w:val="-6"/>
        </w:rPr>
        <w:t xml:space="preserve"> </w:t>
      </w:r>
      <w:r w:rsidRPr="00AF1CF8">
        <w:t>on</w:t>
      </w:r>
      <w:r w:rsidRPr="00AF1CF8">
        <w:rPr>
          <w:spacing w:val="-9"/>
        </w:rPr>
        <w:t xml:space="preserve"> </w:t>
      </w:r>
      <w:r w:rsidRPr="00AF1CF8">
        <w:t>an</w:t>
      </w:r>
      <w:r w:rsidRPr="00AF1CF8">
        <w:rPr>
          <w:spacing w:val="-6"/>
        </w:rPr>
        <w:t xml:space="preserve"> </w:t>
      </w:r>
      <w:r w:rsidRPr="00AF1CF8">
        <w:t>assets-based</w:t>
      </w:r>
      <w:r w:rsidRPr="00AF1CF8">
        <w:rPr>
          <w:spacing w:val="-7"/>
        </w:rPr>
        <w:t xml:space="preserve"> </w:t>
      </w:r>
      <w:r w:rsidRPr="00AF1CF8">
        <w:t>framework</w:t>
      </w:r>
      <w:r w:rsidRPr="00AF1CF8">
        <w:rPr>
          <w:spacing w:val="-8"/>
        </w:rPr>
        <w:t xml:space="preserve"> </w:t>
      </w:r>
      <w:r w:rsidRPr="00AF1CF8">
        <w:t>for</w:t>
      </w:r>
      <w:r w:rsidRPr="00AF1CF8">
        <w:rPr>
          <w:spacing w:val="-5"/>
        </w:rPr>
        <w:t xml:space="preserve"> </w:t>
      </w:r>
      <w:r w:rsidRPr="00AF1CF8">
        <w:t>pedagogy/student</w:t>
      </w:r>
      <w:r w:rsidRPr="00AF1CF8">
        <w:rPr>
          <w:spacing w:val="-5"/>
        </w:rPr>
        <w:t xml:space="preserve"> </w:t>
      </w:r>
      <w:r w:rsidRPr="00AF1CF8">
        <w:t>support</w:t>
      </w:r>
      <w:r w:rsidRPr="00AF1CF8">
        <w:rPr>
          <w:spacing w:val="-6"/>
        </w:rPr>
        <w:t xml:space="preserve"> </w:t>
      </w:r>
      <w:r w:rsidRPr="00AF1CF8">
        <w:t>for</w:t>
      </w:r>
      <w:r w:rsidRPr="00AF1CF8">
        <w:rPr>
          <w:spacing w:val="-3"/>
        </w:rPr>
        <w:t xml:space="preserve"> </w:t>
      </w:r>
      <w:r w:rsidRPr="00AF1CF8">
        <w:t>inclusion of diverse StMU students in STEM; and connections with industry professionals to develop high-quality academic programs and post-graduation opportunities. To strengthen the pipeline from undergraduate to post-graduate success, StMU will also focus on student leader development and programming for career and post-graduate education exploration and attainment (Competitive Preference Priority</w:t>
      </w:r>
      <w:r w:rsidRPr="00AF1CF8">
        <w:rPr>
          <w:spacing w:val="-12"/>
        </w:rPr>
        <w:t xml:space="preserve"> </w:t>
      </w:r>
      <w:r w:rsidRPr="00AF1CF8">
        <w:t>1).</w:t>
      </w:r>
    </w:p>
    <w:p w14:paraId="6058B1B3" w14:textId="77777777" w:rsidR="00A93D34" w:rsidRPr="00AF1CF8" w:rsidRDefault="00A93D34" w:rsidP="00A93D34">
      <w:pPr>
        <w:pStyle w:val="BodyText"/>
        <w:rPr>
          <w:szCs w:val="22"/>
        </w:rPr>
      </w:pPr>
    </w:p>
    <w:p w14:paraId="45A60E2C" w14:textId="31C62122" w:rsidR="00A93D34" w:rsidRPr="00AF1CF8" w:rsidRDefault="00A93D34" w:rsidP="00A93D34">
      <w:r w:rsidRPr="00AF1CF8">
        <w:t xml:space="preserve">Over the five-years of the grant, StMU intends to: </w:t>
      </w:r>
      <w:r w:rsidRPr="00AF1CF8">
        <w:rPr>
          <w:b/>
        </w:rPr>
        <w:t>A)</w:t>
      </w:r>
      <w:r w:rsidRPr="00AF1CF8">
        <w:t xml:space="preserve"> build capacity through physical improvements and resource development to support curriculum in three Engineering programs; </w:t>
      </w:r>
      <w:r w:rsidRPr="00AF1CF8">
        <w:rPr>
          <w:b/>
        </w:rPr>
        <w:t>B)</w:t>
      </w:r>
      <w:r w:rsidRPr="00AF1CF8">
        <w:t xml:space="preserve"> develop 20 new courses with</w:t>
      </w:r>
      <w:r w:rsidRPr="00AF1CF8">
        <w:rPr>
          <w:spacing w:val="-13"/>
        </w:rPr>
        <w:t xml:space="preserve"> </w:t>
      </w:r>
      <w:r w:rsidRPr="00AF1CF8">
        <w:t>ABET</w:t>
      </w:r>
      <w:r w:rsidRPr="00AF1CF8">
        <w:rPr>
          <w:spacing w:val="-13"/>
        </w:rPr>
        <w:t xml:space="preserve"> </w:t>
      </w:r>
      <w:r w:rsidRPr="00AF1CF8">
        <w:t>SLOs;</w:t>
      </w:r>
      <w:r w:rsidRPr="00AF1CF8">
        <w:rPr>
          <w:spacing w:val="-13"/>
        </w:rPr>
        <w:t xml:space="preserve"> </w:t>
      </w:r>
      <w:r w:rsidRPr="00AF1CF8">
        <w:rPr>
          <w:b/>
        </w:rPr>
        <w:t>C)</w:t>
      </w:r>
      <w:r w:rsidRPr="00AF1CF8">
        <w:rPr>
          <w:spacing w:val="-12"/>
        </w:rPr>
        <w:t xml:space="preserve"> </w:t>
      </w:r>
      <w:r w:rsidRPr="00AF1CF8">
        <w:t>train</w:t>
      </w:r>
      <w:r w:rsidRPr="00AF1CF8">
        <w:rPr>
          <w:spacing w:val="-15"/>
        </w:rPr>
        <w:t xml:space="preserve"> </w:t>
      </w:r>
      <w:r w:rsidRPr="00AF1CF8">
        <w:t>all</w:t>
      </w:r>
      <w:r w:rsidRPr="00AF1CF8">
        <w:rPr>
          <w:spacing w:val="-13"/>
        </w:rPr>
        <w:t xml:space="preserve"> </w:t>
      </w:r>
      <w:r w:rsidRPr="00AF1CF8">
        <w:t>Engineering</w:t>
      </w:r>
      <w:r w:rsidRPr="00AF1CF8">
        <w:rPr>
          <w:spacing w:val="-16"/>
        </w:rPr>
        <w:t xml:space="preserve"> </w:t>
      </w:r>
      <w:r w:rsidRPr="00AF1CF8">
        <w:t>faculty</w:t>
      </w:r>
      <w:r w:rsidRPr="00AF1CF8">
        <w:rPr>
          <w:spacing w:val="-18"/>
        </w:rPr>
        <w:t xml:space="preserve"> </w:t>
      </w:r>
      <w:r w:rsidRPr="00AF1CF8">
        <w:t>for</w:t>
      </w:r>
      <w:r w:rsidRPr="00AF1CF8">
        <w:rPr>
          <w:spacing w:val="-16"/>
        </w:rPr>
        <w:t xml:space="preserve"> </w:t>
      </w:r>
      <w:r w:rsidRPr="00AF1CF8">
        <w:t>new</w:t>
      </w:r>
      <w:r w:rsidRPr="00AF1CF8">
        <w:rPr>
          <w:spacing w:val="-14"/>
        </w:rPr>
        <w:t xml:space="preserve"> </w:t>
      </w:r>
      <w:r w:rsidRPr="00AF1CF8">
        <w:t>curriculum</w:t>
      </w:r>
      <w:r w:rsidRPr="00AF1CF8">
        <w:rPr>
          <w:spacing w:val="-17"/>
        </w:rPr>
        <w:t xml:space="preserve"> </w:t>
      </w:r>
      <w:r w:rsidRPr="00AF1CF8">
        <w:t>and</w:t>
      </w:r>
      <w:r w:rsidRPr="00AF1CF8">
        <w:rPr>
          <w:spacing w:val="-13"/>
        </w:rPr>
        <w:t xml:space="preserve"> </w:t>
      </w:r>
      <w:r w:rsidRPr="00AF1CF8">
        <w:t>student</w:t>
      </w:r>
      <w:r w:rsidRPr="00AF1CF8">
        <w:rPr>
          <w:spacing w:val="-15"/>
        </w:rPr>
        <w:t xml:space="preserve"> </w:t>
      </w:r>
      <w:r w:rsidRPr="00AF1CF8">
        <w:t>programming;</w:t>
      </w:r>
      <w:r w:rsidRPr="00AF1CF8">
        <w:rPr>
          <w:spacing w:val="-14"/>
        </w:rPr>
        <w:t xml:space="preserve"> </w:t>
      </w:r>
      <w:r w:rsidRPr="00AF1CF8">
        <w:rPr>
          <w:b/>
        </w:rPr>
        <w:t>D)</w:t>
      </w:r>
      <w:r w:rsidRPr="00AF1CF8">
        <w:rPr>
          <w:spacing w:val="-13"/>
        </w:rPr>
        <w:t xml:space="preserve"> </w:t>
      </w:r>
      <w:r w:rsidRPr="00AF1CF8">
        <w:t>engage 70</w:t>
      </w:r>
      <w:r w:rsidR="00A23357" w:rsidRPr="00AF1CF8">
        <w:t xml:space="preserve"> percent</w:t>
      </w:r>
      <w:r w:rsidRPr="00EB748D">
        <w:t xml:space="preserve"> of Engineering students (35</w:t>
      </w:r>
      <w:r w:rsidR="00A23357" w:rsidRPr="00AF1CF8">
        <w:t xml:space="preserve"> percent</w:t>
      </w:r>
      <w:r w:rsidRPr="00EB748D">
        <w:t xml:space="preserve"> Hispanic) from each cohort in new programming; </w:t>
      </w:r>
      <w:r w:rsidRPr="00BB223B">
        <w:rPr>
          <w:b/>
        </w:rPr>
        <w:t>E)</w:t>
      </w:r>
      <w:r w:rsidRPr="00AF1CF8">
        <w:t xml:space="preserve"> increase enrollment in SUAV, EM, and CM from AY 17-18 baseline of </w:t>
      </w:r>
      <w:r w:rsidR="00A23357" w:rsidRPr="00AF1CF8">
        <w:t xml:space="preserve">four </w:t>
      </w:r>
      <w:r w:rsidRPr="00EB748D">
        <w:t>students to 108 students (50</w:t>
      </w:r>
      <w:r w:rsidR="00A23357" w:rsidRPr="00AF1CF8">
        <w:t xml:space="preserve"> percent</w:t>
      </w:r>
      <w:r w:rsidRPr="00EB748D">
        <w:rPr>
          <w:spacing w:val="-33"/>
        </w:rPr>
        <w:t xml:space="preserve"> </w:t>
      </w:r>
      <w:r w:rsidRPr="00BB223B">
        <w:t>Hispanic);</w:t>
      </w:r>
    </w:p>
    <w:p w14:paraId="0E7A8847" w14:textId="0EF3257C" w:rsidR="00A93D34" w:rsidRPr="00BB223B" w:rsidRDefault="00A93D34" w:rsidP="00A93D34">
      <w:r w:rsidRPr="00AF1CF8">
        <w:rPr>
          <w:b/>
        </w:rPr>
        <w:t>F)</w:t>
      </w:r>
      <w:r w:rsidRPr="00AF1CF8">
        <w:t xml:space="preserve"> graduate 35</w:t>
      </w:r>
      <w:r w:rsidR="00A23357" w:rsidRPr="00AF1CF8">
        <w:t xml:space="preserve"> percent</w:t>
      </w:r>
      <w:r w:rsidRPr="00EB748D">
        <w:t xml:space="preserve"> of Engineering students (32</w:t>
      </w:r>
      <w:r w:rsidR="00A23357" w:rsidRPr="00AF1CF8">
        <w:t xml:space="preserve"> percent</w:t>
      </w:r>
      <w:r w:rsidRPr="00EB748D">
        <w:t xml:space="preserve"> Hispanic) wi</w:t>
      </w:r>
      <w:r w:rsidRPr="00BB223B">
        <w:t xml:space="preserve">thin </w:t>
      </w:r>
      <w:r w:rsidR="00A23357" w:rsidRPr="00AF1CF8">
        <w:t xml:space="preserve">four </w:t>
      </w:r>
      <w:r w:rsidRPr="00EB748D">
        <w:t>years from 2014 baseline of 27</w:t>
      </w:r>
      <w:r w:rsidR="00A23357" w:rsidRPr="00AF1CF8">
        <w:t xml:space="preserve"> percent</w:t>
      </w:r>
      <w:r w:rsidRPr="00EB748D">
        <w:t xml:space="preserve"> (26</w:t>
      </w:r>
      <w:r w:rsidR="00A23357" w:rsidRPr="00AF1CF8">
        <w:t xml:space="preserve"> percent</w:t>
      </w:r>
      <w:r w:rsidRPr="00EB748D">
        <w:t xml:space="preserve"> Hispanic); </w:t>
      </w:r>
      <w:r w:rsidRPr="00BB223B">
        <w:rPr>
          <w:b/>
        </w:rPr>
        <w:t>G)</w:t>
      </w:r>
      <w:r w:rsidRPr="00AF1CF8">
        <w:t xml:space="preserve"> achieve at least 25 Engineering students (50</w:t>
      </w:r>
      <w:r w:rsidR="00A23357" w:rsidRPr="00AF1CF8">
        <w:t xml:space="preserve"> percent</w:t>
      </w:r>
      <w:r w:rsidRPr="00EB748D">
        <w:t xml:space="preserve"> Hispanic), who apply for graduate or professional school.</w:t>
      </w:r>
    </w:p>
    <w:p w14:paraId="0DCABA8D" w14:textId="77777777" w:rsidR="00A93D34" w:rsidRPr="00AF1CF8" w:rsidRDefault="00A93D34" w:rsidP="00A93D34">
      <w:pPr>
        <w:pStyle w:val="BodyText"/>
        <w:rPr>
          <w:szCs w:val="22"/>
        </w:rPr>
      </w:pPr>
    </w:p>
    <w:p w14:paraId="356373E3" w14:textId="77777777" w:rsidR="00A93D34" w:rsidRPr="00AF1CF8" w:rsidRDefault="00A93D34" w:rsidP="00A93D34">
      <w:r w:rsidRPr="00AF1CF8">
        <w:rPr>
          <w:w w:val="105"/>
        </w:rPr>
        <w:t>StMU</w:t>
      </w:r>
      <w:r w:rsidRPr="00AF1CF8">
        <w:rPr>
          <w:spacing w:val="-23"/>
          <w:w w:val="105"/>
        </w:rPr>
        <w:t xml:space="preserve"> </w:t>
      </w:r>
      <w:r w:rsidRPr="00AF1CF8">
        <w:rPr>
          <w:w w:val="105"/>
        </w:rPr>
        <w:t>requests</w:t>
      </w:r>
      <w:r w:rsidRPr="00AF1CF8">
        <w:rPr>
          <w:spacing w:val="-22"/>
          <w:w w:val="105"/>
        </w:rPr>
        <w:t xml:space="preserve"> </w:t>
      </w:r>
      <w:r w:rsidRPr="00AF1CF8">
        <w:rPr>
          <w:b/>
          <w:w w:val="105"/>
        </w:rPr>
        <w:t>a</w:t>
      </w:r>
      <w:r w:rsidRPr="00AF1CF8">
        <w:rPr>
          <w:b/>
          <w:spacing w:val="-23"/>
          <w:w w:val="105"/>
        </w:rPr>
        <w:t xml:space="preserve"> </w:t>
      </w:r>
      <w:r w:rsidRPr="00AF1CF8">
        <w:rPr>
          <w:b/>
          <w:w w:val="105"/>
        </w:rPr>
        <w:t>five-year</w:t>
      </w:r>
      <w:r w:rsidRPr="00AF1CF8">
        <w:rPr>
          <w:b/>
          <w:spacing w:val="-21"/>
          <w:w w:val="105"/>
        </w:rPr>
        <w:t xml:space="preserve"> </w:t>
      </w:r>
      <w:r w:rsidRPr="00AF1CF8">
        <w:rPr>
          <w:b/>
          <w:w w:val="105"/>
        </w:rPr>
        <w:t>total</w:t>
      </w:r>
      <w:r w:rsidRPr="00AF1CF8">
        <w:rPr>
          <w:b/>
          <w:spacing w:val="-21"/>
          <w:w w:val="105"/>
        </w:rPr>
        <w:t xml:space="preserve"> </w:t>
      </w:r>
      <w:r w:rsidRPr="00AF1CF8">
        <w:rPr>
          <w:b/>
          <w:w w:val="105"/>
        </w:rPr>
        <w:t>of</w:t>
      </w:r>
      <w:r w:rsidRPr="00AF1CF8">
        <w:rPr>
          <w:b/>
          <w:spacing w:val="-20"/>
          <w:w w:val="105"/>
        </w:rPr>
        <w:t xml:space="preserve"> </w:t>
      </w:r>
      <w:r w:rsidRPr="00AF1CF8">
        <w:rPr>
          <w:b/>
          <w:w w:val="105"/>
        </w:rPr>
        <w:t>$2,996,350</w:t>
      </w:r>
      <w:r w:rsidRPr="00AF1CF8">
        <w:rPr>
          <w:spacing w:val="-23"/>
          <w:w w:val="105"/>
        </w:rPr>
        <w:t xml:space="preserve"> </w:t>
      </w:r>
      <w:r w:rsidRPr="00AF1CF8">
        <w:rPr>
          <w:w w:val="105"/>
        </w:rPr>
        <w:t>in</w:t>
      </w:r>
      <w:r w:rsidRPr="00AF1CF8">
        <w:rPr>
          <w:spacing w:val="-23"/>
          <w:w w:val="105"/>
        </w:rPr>
        <w:t xml:space="preserve"> </w:t>
      </w:r>
      <w:r w:rsidRPr="00AF1CF8">
        <w:rPr>
          <w:w w:val="105"/>
        </w:rPr>
        <w:t>Title</w:t>
      </w:r>
      <w:r w:rsidRPr="00AF1CF8">
        <w:rPr>
          <w:spacing w:val="-23"/>
          <w:w w:val="105"/>
        </w:rPr>
        <w:t xml:space="preserve"> </w:t>
      </w:r>
      <w:r w:rsidRPr="00AF1CF8">
        <w:rPr>
          <w:w w:val="105"/>
        </w:rPr>
        <w:t>V</w:t>
      </w:r>
      <w:r w:rsidRPr="00AF1CF8">
        <w:rPr>
          <w:spacing w:val="-20"/>
          <w:w w:val="105"/>
        </w:rPr>
        <w:t xml:space="preserve"> </w:t>
      </w:r>
      <w:r w:rsidRPr="00AF1CF8">
        <w:rPr>
          <w:w w:val="105"/>
        </w:rPr>
        <w:t>funding</w:t>
      </w:r>
      <w:r w:rsidRPr="00AF1CF8">
        <w:rPr>
          <w:spacing w:val="-21"/>
          <w:w w:val="105"/>
        </w:rPr>
        <w:t xml:space="preserve"> </w:t>
      </w:r>
      <w:r w:rsidRPr="00AF1CF8">
        <w:rPr>
          <w:w w:val="105"/>
        </w:rPr>
        <w:t>for</w:t>
      </w:r>
      <w:r w:rsidRPr="00AF1CF8">
        <w:rPr>
          <w:spacing w:val="-21"/>
          <w:w w:val="105"/>
        </w:rPr>
        <w:t xml:space="preserve"> </w:t>
      </w:r>
      <w:r w:rsidRPr="00AF1CF8">
        <w:rPr>
          <w:b/>
          <w:i/>
          <w:w w:val="105"/>
        </w:rPr>
        <w:t>Building</w:t>
      </w:r>
      <w:r w:rsidRPr="00AF1CF8">
        <w:rPr>
          <w:b/>
          <w:i/>
          <w:spacing w:val="-20"/>
          <w:w w:val="105"/>
        </w:rPr>
        <w:t xml:space="preserve"> </w:t>
      </w:r>
      <w:r w:rsidRPr="00AF1CF8">
        <w:rPr>
          <w:b/>
          <w:i/>
          <w:w w:val="105"/>
        </w:rPr>
        <w:t>Capacity</w:t>
      </w:r>
      <w:r w:rsidRPr="00AF1CF8">
        <w:rPr>
          <w:b/>
          <w:i/>
          <w:spacing w:val="-23"/>
          <w:w w:val="105"/>
        </w:rPr>
        <w:t xml:space="preserve"> </w:t>
      </w:r>
      <w:r w:rsidRPr="00AF1CF8">
        <w:rPr>
          <w:b/>
          <w:i/>
          <w:w w:val="105"/>
        </w:rPr>
        <w:t>for</w:t>
      </w:r>
      <w:r w:rsidRPr="00AF1CF8">
        <w:rPr>
          <w:b/>
          <w:i/>
          <w:spacing w:val="-21"/>
          <w:w w:val="105"/>
        </w:rPr>
        <w:t xml:space="preserve"> </w:t>
      </w:r>
      <w:r w:rsidRPr="00AF1CF8">
        <w:rPr>
          <w:b/>
          <w:i/>
          <w:w w:val="105"/>
        </w:rPr>
        <w:t>Excellence</w:t>
      </w:r>
      <w:r w:rsidRPr="00AF1CF8">
        <w:rPr>
          <w:b/>
          <w:i/>
          <w:spacing w:val="-20"/>
          <w:w w:val="105"/>
        </w:rPr>
        <w:t xml:space="preserve"> </w:t>
      </w:r>
      <w:r w:rsidRPr="00AF1CF8">
        <w:rPr>
          <w:b/>
          <w:i/>
          <w:w w:val="105"/>
        </w:rPr>
        <w:t>in STEM</w:t>
      </w:r>
      <w:r w:rsidRPr="00AF1CF8">
        <w:rPr>
          <w:b/>
          <w:i/>
          <w:spacing w:val="-3"/>
          <w:w w:val="105"/>
        </w:rPr>
        <w:t xml:space="preserve"> </w:t>
      </w:r>
      <w:r w:rsidRPr="00AF1CF8">
        <w:rPr>
          <w:b/>
          <w:i/>
          <w:w w:val="105"/>
        </w:rPr>
        <w:t>Education</w:t>
      </w:r>
      <w:r w:rsidRPr="00AF1CF8">
        <w:rPr>
          <w:w w:val="105"/>
        </w:rPr>
        <w:t>.</w:t>
      </w:r>
    </w:p>
    <w:p w14:paraId="7971A586" w14:textId="78A6BB79" w:rsidR="00583FDD" w:rsidRPr="00AF1CF8" w:rsidRDefault="00583FDD" w:rsidP="00FE4A41">
      <w:pPr>
        <w:sectPr w:rsidR="00583FDD" w:rsidRPr="00AF1CF8" w:rsidSect="00A23357">
          <w:footerReference w:type="default" r:id="rId12"/>
          <w:pgSz w:w="12240" w:h="15840" w:code="1"/>
          <w:pgMar w:top="1440" w:right="1440" w:bottom="1440" w:left="1440" w:header="0" w:footer="602" w:gutter="0"/>
          <w:cols w:space="720"/>
          <w:docGrid w:linePitch="299"/>
        </w:sectPr>
      </w:pPr>
    </w:p>
    <w:p w14:paraId="5DB1709E" w14:textId="0DF6CD20" w:rsidR="00A311A7" w:rsidRPr="00AF1CF8" w:rsidRDefault="00A311A7" w:rsidP="00634CAD">
      <w:pPr>
        <w:pStyle w:val="Heading1"/>
      </w:pPr>
      <w:r w:rsidRPr="00AF1CF8">
        <w:t>P031S190304</w:t>
      </w:r>
      <w:r w:rsidR="00760BA4" w:rsidRPr="00AF1CF8">
        <w:t xml:space="preserve"> </w:t>
      </w:r>
      <w:r w:rsidR="00760BA4" w:rsidRPr="00AF1CF8">
        <w:br/>
        <w:t>Texas A&amp;M International University, TX</w:t>
      </w:r>
    </w:p>
    <w:p w14:paraId="2B0E7D30" w14:textId="77777777" w:rsidR="00EB763D" w:rsidRDefault="00EB763D" w:rsidP="00A311A7">
      <w:pPr>
        <w:pStyle w:val="BodyText"/>
        <w:rPr>
          <w:szCs w:val="22"/>
        </w:rPr>
      </w:pPr>
    </w:p>
    <w:p w14:paraId="061D918A" w14:textId="38B5A1D7" w:rsidR="00A311A7" w:rsidRPr="00AF1CF8" w:rsidRDefault="00A311A7" w:rsidP="00A311A7">
      <w:pPr>
        <w:pStyle w:val="BodyText"/>
        <w:rPr>
          <w:szCs w:val="22"/>
        </w:rPr>
      </w:pPr>
      <w:r w:rsidRPr="00BB223B">
        <w:rPr>
          <w:szCs w:val="22"/>
        </w:rPr>
        <w:t xml:space="preserve">The </w:t>
      </w:r>
      <w:r w:rsidRPr="00AF1CF8">
        <w:rPr>
          <w:b/>
          <w:szCs w:val="22"/>
        </w:rPr>
        <w:t>Advanced Curriculum and Research (ARC) Program</w:t>
      </w:r>
      <w:r w:rsidRPr="00AF1CF8">
        <w:rPr>
          <w:szCs w:val="22"/>
        </w:rPr>
        <w:t xml:space="preserve"> at Texas A&amp;M International University (TAMIU) will provide resources and program innovation to a Hispanic Serving Institution with a 94</w:t>
      </w:r>
      <w:r w:rsidR="00A23357" w:rsidRPr="00AF1CF8">
        <w:rPr>
          <w:szCs w:val="22"/>
        </w:rPr>
        <w:t xml:space="preserve"> percent</w:t>
      </w:r>
      <w:r w:rsidRPr="00EB748D">
        <w:rPr>
          <w:szCs w:val="22"/>
        </w:rPr>
        <w:t xml:space="preserve"> Hispanic and 79</w:t>
      </w:r>
      <w:r w:rsidR="00A23357" w:rsidRPr="00AF1CF8">
        <w:rPr>
          <w:szCs w:val="22"/>
        </w:rPr>
        <w:t xml:space="preserve"> percent</w:t>
      </w:r>
      <w:r w:rsidRPr="00EB748D">
        <w:rPr>
          <w:szCs w:val="22"/>
        </w:rPr>
        <w:t xml:space="preserve"> low-income student population. The proposed Title V ini</w:t>
      </w:r>
      <w:r w:rsidRPr="00BB223B">
        <w:rPr>
          <w:szCs w:val="22"/>
        </w:rPr>
        <w:t>tiati</w:t>
      </w:r>
      <w:r w:rsidRPr="00AF1CF8">
        <w:rPr>
          <w:szCs w:val="22"/>
        </w:rPr>
        <w:t xml:space="preserve">ve, </w:t>
      </w:r>
      <w:r w:rsidRPr="00AF1CF8">
        <w:rPr>
          <w:b/>
          <w:szCs w:val="22"/>
        </w:rPr>
        <w:t>The TAMIU ARC Program</w:t>
      </w:r>
      <w:r w:rsidRPr="00AF1CF8">
        <w:rPr>
          <w:szCs w:val="22"/>
        </w:rPr>
        <w:t>, will increase the number and quality of well-prepared Hispanic students completing graduate degrees at TAMIU.</w:t>
      </w:r>
    </w:p>
    <w:p w14:paraId="37650E4F" w14:textId="77777777" w:rsidR="00A311A7" w:rsidRPr="00AF1CF8" w:rsidRDefault="00A311A7" w:rsidP="00A311A7">
      <w:pPr>
        <w:pStyle w:val="BodyText"/>
        <w:rPr>
          <w:szCs w:val="22"/>
        </w:rPr>
      </w:pPr>
    </w:p>
    <w:p w14:paraId="3AE2C8DD" w14:textId="77777777" w:rsidR="00A311A7" w:rsidRPr="00AF1CF8" w:rsidRDefault="00A311A7" w:rsidP="00A311A7">
      <w:pPr>
        <w:pStyle w:val="BodyText"/>
        <w:rPr>
          <w:szCs w:val="22"/>
        </w:rPr>
      </w:pPr>
      <w:r w:rsidRPr="00AF1CF8">
        <w:rPr>
          <w:szCs w:val="22"/>
        </w:rPr>
        <w:t>The primary objective of the TAMIU ARC research program is to conduct rigorous research to explore models of success for TAMIU graduate students. The centerpiece of this research project will be a long-term study of all graduate student program enrollment, retention, graduation, and career placement and/or admission to other post-graduate programs.</w:t>
      </w:r>
    </w:p>
    <w:p w14:paraId="294089CC" w14:textId="77777777" w:rsidR="00A311A7" w:rsidRPr="00AF1CF8" w:rsidRDefault="00A311A7" w:rsidP="00A311A7">
      <w:pPr>
        <w:pStyle w:val="BodyText"/>
        <w:rPr>
          <w:szCs w:val="22"/>
        </w:rPr>
      </w:pPr>
    </w:p>
    <w:p w14:paraId="2BF323D6" w14:textId="77777777" w:rsidR="00A311A7" w:rsidRPr="00AF1CF8" w:rsidRDefault="00A311A7" w:rsidP="00A311A7">
      <w:pPr>
        <w:pStyle w:val="BodyText"/>
        <w:rPr>
          <w:szCs w:val="22"/>
        </w:rPr>
      </w:pPr>
      <w:r w:rsidRPr="00AF1CF8">
        <w:rPr>
          <w:szCs w:val="22"/>
        </w:rPr>
        <w:t xml:space="preserve">Within this framework other specific activities and goals for the </w:t>
      </w:r>
      <w:r w:rsidRPr="00AF1CF8">
        <w:rPr>
          <w:b/>
          <w:szCs w:val="22"/>
        </w:rPr>
        <w:t>TAMIU ARC Program</w:t>
      </w:r>
      <w:r w:rsidRPr="00AF1CF8">
        <w:rPr>
          <w:szCs w:val="22"/>
        </w:rPr>
        <w:t>, which all seek to improve graduate student retention and completion at TAMIU, include the following:</w:t>
      </w:r>
    </w:p>
    <w:p w14:paraId="29B2A295" w14:textId="77777777" w:rsidR="00A311A7" w:rsidRPr="00AF1CF8" w:rsidRDefault="00A311A7" w:rsidP="00A311A7">
      <w:pPr>
        <w:pStyle w:val="BodyText"/>
        <w:numPr>
          <w:ilvl w:val="0"/>
          <w:numId w:val="48"/>
        </w:numPr>
        <w:rPr>
          <w:szCs w:val="22"/>
        </w:rPr>
      </w:pPr>
      <w:r w:rsidRPr="00AF1CF8">
        <w:rPr>
          <w:szCs w:val="22"/>
        </w:rPr>
        <w:t>Offering targeted orientation sessions to promote graduate student success.</w:t>
      </w:r>
    </w:p>
    <w:p w14:paraId="4513FFCD" w14:textId="77777777" w:rsidR="00A311A7" w:rsidRPr="00AF1CF8" w:rsidRDefault="00A311A7" w:rsidP="00A311A7">
      <w:pPr>
        <w:pStyle w:val="BodyText"/>
        <w:numPr>
          <w:ilvl w:val="0"/>
          <w:numId w:val="48"/>
        </w:numPr>
        <w:rPr>
          <w:szCs w:val="22"/>
        </w:rPr>
      </w:pPr>
      <w:r w:rsidRPr="00AF1CF8">
        <w:rPr>
          <w:szCs w:val="22"/>
        </w:rPr>
        <w:t>Developing a first-year program within science and mathematics graduate programs (Mathematics, Sociology, Criminal Justice, Psychology, Communications) to improve student success in quantitatively difficult gateway courses.</w:t>
      </w:r>
    </w:p>
    <w:p w14:paraId="2B4934DD" w14:textId="77777777" w:rsidR="00A311A7" w:rsidRPr="00AF1CF8" w:rsidRDefault="00A311A7" w:rsidP="00A311A7">
      <w:pPr>
        <w:pStyle w:val="BodyText"/>
        <w:numPr>
          <w:ilvl w:val="0"/>
          <w:numId w:val="48"/>
        </w:numPr>
        <w:rPr>
          <w:szCs w:val="22"/>
        </w:rPr>
      </w:pPr>
      <w:r w:rsidRPr="00AF1CF8">
        <w:rPr>
          <w:szCs w:val="22"/>
        </w:rPr>
        <w:t>Providing support for graduate writing both within courses and for theses.</w:t>
      </w:r>
    </w:p>
    <w:p w14:paraId="327DD083" w14:textId="77777777" w:rsidR="00A311A7" w:rsidRPr="00AF1CF8" w:rsidRDefault="00A311A7" w:rsidP="00A311A7">
      <w:pPr>
        <w:pStyle w:val="BodyText"/>
        <w:numPr>
          <w:ilvl w:val="0"/>
          <w:numId w:val="48"/>
        </w:numPr>
        <w:rPr>
          <w:szCs w:val="22"/>
        </w:rPr>
      </w:pPr>
      <w:r w:rsidRPr="00AF1CF8">
        <w:rPr>
          <w:szCs w:val="22"/>
        </w:rPr>
        <w:t>Greatly expanding professional development opportunities for TAMIU faculty, staff, and graduate students.</w:t>
      </w:r>
    </w:p>
    <w:p w14:paraId="1FB4FD58" w14:textId="0D7AA9EE" w:rsidR="00A311A7" w:rsidRPr="00AF1CF8" w:rsidRDefault="00A311A7" w:rsidP="00A311A7">
      <w:pPr>
        <w:pStyle w:val="BodyText"/>
        <w:numPr>
          <w:ilvl w:val="0"/>
          <w:numId w:val="48"/>
        </w:numPr>
        <w:rPr>
          <w:szCs w:val="22"/>
        </w:rPr>
      </w:pPr>
      <w:r w:rsidRPr="00AF1CF8">
        <w:rPr>
          <w:szCs w:val="22"/>
        </w:rPr>
        <w:t>Enhancing support for graduate</w:t>
      </w:r>
      <w:r w:rsidRPr="00AF1CF8">
        <w:rPr>
          <w:spacing w:val="-15"/>
          <w:szCs w:val="22"/>
        </w:rPr>
        <w:t xml:space="preserve"> </w:t>
      </w:r>
      <w:r w:rsidR="00516C5C" w:rsidRPr="00AF1CF8">
        <w:rPr>
          <w:szCs w:val="22"/>
        </w:rPr>
        <w:t xml:space="preserve">research and the master’s biology </w:t>
      </w:r>
      <w:r w:rsidR="00712A8F" w:rsidRPr="00AF1CF8">
        <w:rPr>
          <w:szCs w:val="22"/>
        </w:rPr>
        <w:t>program.</w:t>
      </w:r>
    </w:p>
    <w:p w14:paraId="7D67E4F1" w14:textId="634F2F15" w:rsidR="00A311A7" w:rsidRPr="00BB223B" w:rsidRDefault="00A311A7" w:rsidP="00A311A7">
      <w:pPr>
        <w:pStyle w:val="BodyText"/>
        <w:numPr>
          <w:ilvl w:val="0"/>
          <w:numId w:val="48"/>
        </w:numPr>
        <w:rPr>
          <w:szCs w:val="22"/>
        </w:rPr>
      </w:pPr>
      <w:r w:rsidRPr="00AF1CF8">
        <w:rPr>
          <w:szCs w:val="22"/>
        </w:rPr>
        <w:t xml:space="preserve">Over a five-year period, the </w:t>
      </w:r>
      <w:r w:rsidRPr="00AF1CF8">
        <w:rPr>
          <w:b/>
          <w:szCs w:val="22"/>
        </w:rPr>
        <w:t>TAMIU ARC Program</w:t>
      </w:r>
      <w:r w:rsidRPr="00AF1CF8">
        <w:rPr>
          <w:szCs w:val="22"/>
        </w:rPr>
        <w:t xml:space="preserve"> will act as a catalysis increasing the number of TAMIU graduate students with a target increase 30</w:t>
      </w:r>
      <w:r w:rsidR="00A23357" w:rsidRPr="00AF1CF8">
        <w:rPr>
          <w:szCs w:val="22"/>
        </w:rPr>
        <w:t xml:space="preserve"> percent</w:t>
      </w:r>
      <w:r w:rsidRPr="00EB748D">
        <w:rPr>
          <w:szCs w:val="22"/>
        </w:rPr>
        <w:t>. This project also will increase the number of students completing their degrees in a timelier manner.</w:t>
      </w:r>
    </w:p>
    <w:p w14:paraId="15C6F8CD" w14:textId="77777777" w:rsidR="00A311A7" w:rsidRPr="00AF1CF8" w:rsidRDefault="00A311A7" w:rsidP="00A311A7">
      <w:pPr>
        <w:pStyle w:val="BodyText"/>
        <w:rPr>
          <w:szCs w:val="22"/>
        </w:rPr>
      </w:pPr>
    </w:p>
    <w:p w14:paraId="0D437EB5" w14:textId="77777777" w:rsidR="00A311A7" w:rsidRPr="00AF1CF8" w:rsidRDefault="00A311A7" w:rsidP="00A311A7">
      <w:pPr>
        <w:pStyle w:val="BodyText"/>
        <w:rPr>
          <w:szCs w:val="22"/>
        </w:rPr>
      </w:pPr>
      <w:r w:rsidRPr="00AF1CF8">
        <w:rPr>
          <w:b/>
          <w:szCs w:val="22"/>
        </w:rPr>
        <w:t>Competitive Preference Priority 1</w:t>
      </w:r>
      <w:r w:rsidRPr="00AF1CF8">
        <w:rPr>
          <w:szCs w:val="22"/>
        </w:rPr>
        <w:t xml:space="preserve">: The </w:t>
      </w:r>
      <w:r w:rsidRPr="00AF1CF8">
        <w:rPr>
          <w:b/>
          <w:szCs w:val="22"/>
        </w:rPr>
        <w:t>TAMIU ARC Program</w:t>
      </w:r>
      <w:r w:rsidRPr="00AF1CF8">
        <w:rPr>
          <w:szCs w:val="22"/>
        </w:rPr>
        <w:t xml:space="preserve"> will meet this priority by increasing the number of Hispanic graduate students served by the institution through rigorous research on all aspects of graduate student metrics, expanding and enhancing courses, new academic support services, additional institutional resources, and professional development. Specifically, </w:t>
      </w:r>
      <w:r w:rsidRPr="00AF1CF8">
        <w:rPr>
          <w:b/>
          <w:szCs w:val="22"/>
        </w:rPr>
        <w:t>TAMIU ARC</w:t>
      </w:r>
      <w:r w:rsidRPr="00AF1CF8">
        <w:rPr>
          <w:szCs w:val="22"/>
        </w:rPr>
        <w:t xml:space="preserve"> will add to existing literature on student success by conducting rigorous research that identifies best practices for graduate students within a dominantly</w:t>
      </w:r>
      <w:r w:rsidRPr="00AF1CF8">
        <w:rPr>
          <w:spacing w:val="-38"/>
          <w:szCs w:val="22"/>
        </w:rPr>
        <w:t xml:space="preserve"> </w:t>
      </w:r>
      <w:r w:rsidRPr="00AF1CF8">
        <w:rPr>
          <w:szCs w:val="22"/>
        </w:rPr>
        <w:t>Hispanic population. The first-year program has multiple elements (orientation, technology enhancement, intellectual</w:t>
      </w:r>
      <w:r w:rsidRPr="00AF1CF8">
        <w:rPr>
          <w:spacing w:val="-14"/>
          <w:szCs w:val="22"/>
        </w:rPr>
        <w:t xml:space="preserve"> </w:t>
      </w:r>
      <w:r w:rsidRPr="00AF1CF8">
        <w:rPr>
          <w:szCs w:val="22"/>
        </w:rPr>
        <w:t>resources,</w:t>
      </w:r>
      <w:r w:rsidRPr="00AF1CF8">
        <w:rPr>
          <w:spacing w:val="-14"/>
          <w:szCs w:val="22"/>
        </w:rPr>
        <w:t xml:space="preserve"> </w:t>
      </w:r>
      <w:r w:rsidRPr="00AF1CF8">
        <w:rPr>
          <w:szCs w:val="22"/>
        </w:rPr>
        <w:t>mentorship,</w:t>
      </w:r>
      <w:r w:rsidRPr="00AF1CF8">
        <w:rPr>
          <w:spacing w:val="-13"/>
          <w:szCs w:val="22"/>
        </w:rPr>
        <w:t xml:space="preserve"> </w:t>
      </w:r>
      <w:r w:rsidRPr="00AF1CF8">
        <w:rPr>
          <w:szCs w:val="22"/>
        </w:rPr>
        <w:t>and</w:t>
      </w:r>
      <w:r w:rsidRPr="00AF1CF8">
        <w:rPr>
          <w:spacing w:val="-14"/>
          <w:szCs w:val="22"/>
        </w:rPr>
        <w:t xml:space="preserve"> </w:t>
      </w:r>
      <w:r w:rsidRPr="00AF1CF8">
        <w:rPr>
          <w:szCs w:val="22"/>
        </w:rPr>
        <w:t>professional</w:t>
      </w:r>
      <w:r w:rsidRPr="00AF1CF8">
        <w:rPr>
          <w:spacing w:val="-13"/>
          <w:szCs w:val="22"/>
        </w:rPr>
        <w:t xml:space="preserve"> </w:t>
      </w:r>
      <w:r w:rsidRPr="00AF1CF8">
        <w:rPr>
          <w:szCs w:val="22"/>
        </w:rPr>
        <w:t>development)</w:t>
      </w:r>
      <w:r w:rsidRPr="00AF1CF8">
        <w:rPr>
          <w:spacing w:val="-15"/>
          <w:szCs w:val="22"/>
        </w:rPr>
        <w:t xml:space="preserve"> </w:t>
      </w:r>
      <w:r w:rsidRPr="00AF1CF8">
        <w:rPr>
          <w:szCs w:val="22"/>
        </w:rPr>
        <w:t>that</w:t>
      </w:r>
      <w:r w:rsidRPr="00AF1CF8">
        <w:rPr>
          <w:spacing w:val="-14"/>
          <w:szCs w:val="22"/>
        </w:rPr>
        <w:t xml:space="preserve"> </w:t>
      </w:r>
      <w:r w:rsidRPr="00AF1CF8">
        <w:rPr>
          <w:szCs w:val="22"/>
        </w:rPr>
        <w:t>are</w:t>
      </w:r>
      <w:r w:rsidRPr="00AF1CF8">
        <w:rPr>
          <w:spacing w:val="-14"/>
          <w:szCs w:val="22"/>
        </w:rPr>
        <w:t xml:space="preserve"> </w:t>
      </w:r>
      <w:r w:rsidRPr="00AF1CF8">
        <w:rPr>
          <w:szCs w:val="22"/>
        </w:rPr>
        <w:t>mutually</w:t>
      </w:r>
      <w:r w:rsidRPr="00AF1CF8">
        <w:rPr>
          <w:spacing w:val="-18"/>
          <w:szCs w:val="22"/>
        </w:rPr>
        <w:t xml:space="preserve"> </w:t>
      </w:r>
      <w:r w:rsidRPr="00AF1CF8">
        <w:rPr>
          <w:szCs w:val="22"/>
        </w:rPr>
        <w:t>supportive</w:t>
      </w:r>
      <w:r w:rsidRPr="00AF1CF8">
        <w:rPr>
          <w:spacing w:val="-13"/>
          <w:szCs w:val="22"/>
        </w:rPr>
        <w:t xml:space="preserve"> </w:t>
      </w:r>
      <w:r w:rsidRPr="00AF1CF8">
        <w:rPr>
          <w:szCs w:val="22"/>
        </w:rPr>
        <w:t>and designed to improve success in the targeted science and mathematics graduate programs. Other components will have expanded focus, potentially benefiting all TAMIU graduate students, both current and future, which include coaching to improve graduate writing, summer faculty development, support to increase dissemination of graduate research at professional conferences, and the establishment of an endowment to support future generations of graduate students at TAMIU.</w:t>
      </w:r>
    </w:p>
    <w:p w14:paraId="71609C00" w14:textId="77777777" w:rsidR="00A311A7" w:rsidRPr="00AF1CF8" w:rsidRDefault="00A311A7" w:rsidP="00A311A7">
      <w:pPr>
        <w:pStyle w:val="BodyText"/>
        <w:rPr>
          <w:szCs w:val="22"/>
        </w:rPr>
      </w:pPr>
    </w:p>
    <w:p w14:paraId="224D9953" w14:textId="77777777" w:rsidR="00A311A7" w:rsidRPr="00AF1CF8" w:rsidRDefault="00A311A7" w:rsidP="00A311A7">
      <w:pPr>
        <w:pStyle w:val="BodyText"/>
        <w:rPr>
          <w:szCs w:val="22"/>
        </w:rPr>
      </w:pPr>
      <w:r w:rsidRPr="00AF1CF8">
        <w:rPr>
          <w:szCs w:val="22"/>
        </w:rPr>
        <w:t xml:space="preserve">The impact of this program will be a game changer. TAMIU has the aspiration goal of becoming a highly research active (R2) institution within the South Texas underserved region. The </w:t>
      </w:r>
      <w:r w:rsidRPr="00AF1CF8">
        <w:rPr>
          <w:b/>
          <w:szCs w:val="22"/>
        </w:rPr>
        <w:t>TAMIU ARC</w:t>
      </w:r>
      <w:r w:rsidRPr="00AF1CF8">
        <w:rPr>
          <w:b/>
          <w:spacing w:val="-8"/>
          <w:szCs w:val="22"/>
        </w:rPr>
        <w:t xml:space="preserve"> </w:t>
      </w:r>
      <w:r w:rsidRPr="00AF1CF8">
        <w:rPr>
          <w:b/>
          <w:szCs w:val="22"/>
        </w:rPr>
        <w:t>Program</w:t>
      </w:r>
      <w:r w:rsidRPr="00AF1CF8">
        <w:rPr>
          <w:spacing w:val="-11"/>
          <w:szCs w:val="22"/>
        </w:rPr>
        <w:t xml:space="preserve"> </w:t>
      </w:r>
      <w:r w:rsidRPr="00AF1CF8">
        <w:rPr>
          <w:szCs w:val="22"/>
        </w:rPr>
        <w:t>will</w:t>
      </w:r>
      <w:r w:rsidRPr="00AF1CF8">
        <w:rPr>
          <w:spacing w:val="-9"/>
          <w:szCs w:val="22"/>
        </w:rPr>
        <w:t xml:space="preserve"> </w:t>
      </w:r>
      <w:r w:rsidRPr="00AF1CF8">
        <w:rPr>
          <w:szCs w:val="22"/>
        </w:rPr>
        <w:t>serve</w:t>
      </w:r>
      <w:r w:rsidRPr="00AF1CF8">
        <w:rPr>
          <w:spacing w:val="-11"/>
          <w:szCs w:val="22"/>
        </w:rPr>
        <w:t xml:space="preserve"> </w:t>
      </w:r>
      <w:r w:rsidRPr="00AF1CF8">
        <w:rPr>
          <w:szCs w:val="22"/>
        </w:rPr>
        <w:t>a</w:t>
      </w:r>
      <w:r w:rsidRPr="00AF1CF8">
        <w:rPr>
          <w:spacing w:val="-8"/>
          <w:szCs w:val="22"/>
        </w:rPr>
        <w:t xml:space="preserve"> </w:t>
      </w:r>
      <w:r w:rsidRPr="00AF1CF8">
        <w:rPr>
          <w:szCs w:val="22"/>
        </w:rPr>
        <w:t>vital</w:t>
      </w:r>
      <w:r w:rsidRPr="00AF1CF8">
        <w:rPr>
          <w:spacing w:val="-8"/>
          <w:szCs w:val="22"/>
        </w:rPr>
        <w:t xml:space="preserve"> </w:t>
      </w:r>
      <w:r w:rsidRPr="00AF1CF8">
        <w:rPr>
          <w:szCs w:val="22"/>
        </w:rPr>
        <w:t>role</w:t>
      </w:r>
      <w:r w:rsidRPr="00AF1CF8">
        <w:rPr>
          <w:spacing w:val="-11"/>
          <w:szCs w:val="22"/>
        </w:rPr>
        <w:t xml:space="preserve"> </w:t>
      </w:r>
      <w:r w:rsidRPr="00AF1CF8">
        <w:rPr>
          <w:szCs w:val="22"/>
        </w:rPr>
        <w:t>in</w:t>
      </w:r>
      <w:r w:rsidRPr="00AF1CF8">
        <w:rPr>
          <w:spacing w:val="-7"/>
          <w:szCs w:val="22"/>
        </w:rPr>
        <w:t xml:space="preserve"> </w:t>
      </w:r>
      <w:r w:rsidRPr="00AF1CF8">
        <w:rPr>
          <w:szCs w:val="22"/>
        </w:rPr>
        <w:t>making</w:t>
      </w:r>
      <w:r w:rsidRPr="00AF1CF8">
        <w:rPr>
          <w:spacing w:val="-12"/>
          <w:szCs w:val="22"/>
        </w:rPr>
        <w:t xml:space="preserve"> </w:t>
      </w:r>
      <w:r w:rsidRPr="00AF1CF8">
        <w:rPr>
          <w:szCs w:val="22"/>
        </w:rPr>
        <w:t>this</w:t>
      </w:r>
      <w:r w:rsidRPr="00AF1CF8">
        <w:rPr>
          <w:spacing w:val="-10"/>
          <w:szCs w:val="22"/>
        </w:rPr>
        <w:t xml:space="preserve"> </w:t>
      </w:r>
      <w:r w:rsidRPr="00AF1CF8">
        <w:rPr>
          <w:szCs w:val="22"/>
        </w:rPr>
        <w:t>goal</w:t>
      </w:r>
      <w:r w:rsidRPr="00AF1CF8">
        <w:rPr>
          <w:spacing w:val="-9"/>
          <w:szCs w:val="22"/>
        </w:rPr>
        <w:t xml:space="preserve"> </w:t>
      </w:r>
      <w:r w:rsidRPr="00AF1CF8">
        <w:rPr>
          <w:szCs w:val="22"/>
        </w:rPr>
        <w:t>a</w:t>
      </w:r>
      <w:r w:rsidRPr="00AF1CF8">
        <w:rPr>
          <w:spacing w:val="-7"/>
          <w:szCs w:val="22"/>
        </w:rPr>
        <w:t xml:space="preserve"> </w:t>
      </w:r>
      <w:r w:rsidRPr="00AF1CF8">
        <w:rPr>
          <w:szCs w:val="22"/>
        </w:rPr>
        <w:t>reality</w:t>
      </w:r>
      <w:r w:rsidRPr="00AF1CF8">
        <w:rPr>
          <w:spacing w:val="-13"/>
          <w:szCs w:val="22"/>
        </w:rPr>
        <w:t xml:space="preserve"> </w:t>
      </w:r>
      <w:r w:rsidRPr="00AF1CF8">
        <w:rPr>
          <w:szCs w:val="22"/>
        </w:rPr>
        <w:t>and</w:t>
      </w:r>
      <w:r w:rsidRPr="00AF1CF8">
        <w:rPr>
          <w:spacing w:val="-6"/>
          <w:szCs w:val="22"/>
        </w:rPr>
        <w:t xml:space="preserve"> </w:t>
      </w:r>
      <w:r w:rsidRPr="00AF1CF8">
        <w:rPr>
          <w:szCs w:val="22"/>
        </w:rPr>
        <w:t>at</w:t>
      </w:r>
      <w:r w:rsidRPr="00AF1CF8">
        <w:rPr>
          <w:spacing w:val="-9"/>
          <w:szCs w:val="22"/>
        </w:rPr>
        <w:t xml:space="preserve"> </w:t>
      </w:r>
      <w:r w:rsidRPr="00AF1CF8">
        <w:rPr>
          <w:szCs w:val="22"/>
        </w:rPr>
        <w:t>the</w:t>
      </w:r>
      <w:r w:rsidRPr="00AF1CF8">
        <w:rPr>
          <w:spacing w:val="-8"/>
          <w:szCs w:val="22"/>
        </w:rPr>
        <w:t xml:space="preserve"> </w:t>
      </w:r>
      <w:r w:rsidRPr="00AF1CF8">
        <w:rPr>
          <w:szCs w:val="22"/>
        </w:rPr>
        <w:t>same</w:t>
      </w:r>
      <w:r w:rsidRPr="00AF1CF8">
        <w:rPr>
          <w:spacing w:val="-11"/>
          <w:szCs w:val="22"/>
        </w:rPr>
        <w:t xml:space="preserve"> </w:t>
      </w:r>
      <w:r w:rsidRPr="00AF1CF8">
        <w:rPr>
          <w:szCs w:val="22"/>
        </w:rPr>
        <w:t>time</w:t>
      </w:r>
      <w:r w:rsidRPr="00AF1CF8">
        <w:rPr>
          <w:spacing w:val="-11"/>
          <w:szCs w:val="22"/>
        </w:rPr>
        <w:t xml:space="preserve"> </w:t>
      </w:r>
      <w:r w:rsidRPr="00AF1CF8">
        <w:rPr>
          <w:szCs w:val="22"/>
        </w:rPr>
        <w:t>will</w:t>
      </w:r>
      <w:r w:rsidRPr="00AF1CF8">
        <w:rPr>
          <w:spacing w:val="-3"/>
          <w:szCs w:val="22"/>
        </w:rPr>
        <w:t xml:space="preserve"> </w:t>
      </w:r>
      <w:r w:rsidRPr="00AF1CF8">
        <w:rPr>
          <w:szCs w:val="22"/>
        </w:rPr>
        <w:t>develop the next generation of highly educated minority</w:t>
      </w:r>
      <w:r w:rsidRPr="00AF1CF8">
        <w:rPr>
          <w:spacing w:val="-13"/>
          <w:szCs w:val="22"/>
        </w:rPr>
        <w:t xml:space="preserve"> </w:t>
      </w:r>
      <w:r w:rsidRPr="00AF1CF8">
        <w:rPr>
          <w:szCs w:val="22"/>
        </w:rPr>
        <w:t>professionals.</w:t>
      </w:r>
    </w:p>
    <w:p w14:paraId="628A1469" w14:textId="0AB6E684" w:rsidR="00FE4A41" w:rsidRPr="00AF1CF8" w:rsidRDefault="00FE4A41" w:rsidP="002E5B6E"/>
    <w:p w14:paraId="33369ABB" w14:textId="37365937" w:rsidR="004A0D06" w:rsidRPr="00AF1CF8" w:rsidRDefault="004A0D06" w:rsidP="00634CAD">
      <w:pPr>
        <w:pStyle w:val="Heading1"/>
      </w:pPr>
      <w:r w:rsidRPr="00AF1CF8">
        <w:t xml:space="preserve">P031S190336 </w:t>
      </w:r>
      <w:r w:rsidRPr="00AF1CF8">
        <w:br/>
        <w:t>University of St. Thomas, TX</w:t>
      </w:r>
    </w:p>
    <w:p w14:paraId="7EA01237" w14:textId="77777777" w:rsidR="00EB763D" w:rsidRDefault="00EB763D" w:rsidP="008108A3">
      <w:pPr>
        <w:pStyle w:val="BodyText"/>
        <w:rPr>
          <w:spacing w:val="-7"/>
          <w:szCs w:val="22"/>
        </w:rPr>
      </w:pPr>
    </w:p>
    <w:p w14:paraId="7507B219" w14:textId="0712FDD2" w:rsidR="004A0D06" w:rsidRPr="00AF1CF8" w:rsidRDefault="004A0D06" w:rsidP="00AF1CF8">
      <w:pPr>
        <w:pStyle w:val="BodyText"/>
        <w:rPr>
          <w:spacing w:val="-3"/>
          <w:szCs w:val="22"/>
        </w:rPr>
      </w:pPr>
      <w:r w:rsidRPr="00BB223B">
        <w:rPr>
          <w:spacing w:val="-7"/>
          <w:szCs w:val="22"/>
        </w:rPr>
        <w:t>UST</w:t>
      </w:r>
      <w:r w:rsidRPr="00AF1CF8">
        <w:rPr>
          <w:spacing w:val="-7"/>
          <w:szCs w:val="22"/>
        </w:rPr>
        <w:t xml:space="preserve"> </w:t>
      </w:r>
      <w:r w:rsidRPr="00AF1CF8">
        <w:rPr>
          <w:spacing w:val="4"/>
          <w:szCs w:val="22"/>
        </w:rPr>
        <w:t xml:space="preserve">will </w:t>
      </w:r>
      <w:r w:rsidRPr="00AF1CF8">
        <w:rPr>
          <w:szCs w:val="22"/>
        </w:rPr>
        <w:t xml:space="preserve">develop </w:t>
      </w:r>
      <w:r w:rsidRPr="00AF1CF8">
        <w:rPr>
          <w:spacing w:val="-4"/>
          <w:szCs w:val="22"/>
        </w:rPr>
        <w:t xml:space="preserve">and </w:t>
      </w:r>
      <w:r w:rsidRPr="00AF1CF8">
        <w:rPr>
          <w:szCs w:val="22"/>
        </w:rPr>
        <w:t xml:space="preserve">pilot </w:t>
      </w:r>
      <w:r w:rsidRPr="00AF1CF8">
        <w:rPr>
          <w:spacing w:val="-3"/>
          <w:szCs w:val="22"/>
        </w:rPr>
        <w:t xml:space="preserve">three </w:t>
      </w:r>
      <w:r w:rsidRPr="00AF1CF8">
        <w:rPr>
          <w:spacing w:val="-4"/>
          <w:szCs w:val="22"/>
        </w:rPr>
        <w:t xml:space="preserve">new graduate </w:t>
      </w:r>
      <w:r w:rsidRPr="00AF1CF8">
        <w:rPr>
          <w:szCs w:val="22"/>
        </w:rPr>
        <w:t xml:space="preserve">degree </w:t>
      </w:r>
      <w:r w:rsidRPr="00AF1CF8">
        <w:rPr>
          <w:spacing w:val="-3"/>
          <w:szCs w:val="22"/>
        </w:rPr>
        <w:t>programs</w:t>
      </w:r>
      <w:r w:rsidRPr="00AF1CF8" w:rsidDel="004A2D34">
        <w:rPr>
          <w:spacing w:val="-3"/>
          <w:szCs w:val="22"/>
        </w:rPr>
        <w:t xml:space="preserve"> </w:t>
      </w:r>
      <w:r w:rsidRPr="00AF1CF8">
        <w:rPr>
          <w:spacing w:val="2"/>
          <w:szCs w:val="22"/>
        </w:rPr>
        <w:t xml:space="preserve">in </w:t>
      </w:r>
      <w:r w:rsidRPr="00AF1CF8">
        <w:rPr>
          <w:spacing w:val="-7"/>
          <w:szCs w:val="22"/>
        </w:rPr>
        <w:t xml:space="preserve">the </w:t>
      </w:r>
      <w:r w:rsidRPr="00AF1CF8">
        <w:rPr>
          <w:spacing w:val="-3"/>
          <w:szCs w:val="22"/>
        </w:rPr>
        <w:t xml:space="preserve">School </w:t>
      </w:r>
      <w:r w:rsidRPr="00AF1CF8">
        <w:rPr>
          <w:szCs w:val="22"/>
        </w:rPr>
        <w:t xml:space="preserve">of </w:t>
      </w:r>
      <w:r w:rsidRPr="00AF1CF8">
        <w:rPr>
          <w:spacing w:val="-4"/>
          <w:szCs w:val="22"/>
        </w:rPr>
        <w:t xml:space="preserve">Nursing, MSN </w:t>
      </w:r>
      <w:r w:rsidRPr="00AF1CF8">
        <w:rPr>
          <w:szCs w:val="22"/>
        </w:rPr>
        <w:t xml:space="preserve">degrees </w:t>
      </w:r>
      <w:r w:rsidRPr="00AF1CF8">
        <w:rPr>
          <w:spacing w:val="2"/>
          <w:szCs w:val="22"/>
        </w:rPr>
        <w:t xml:space="preserve">in </w:t>
      </w:r>
      <w:r w:rsidRPr="00AF1CF8">
        <w:rPr>
          <w:szCs w:val="22"/>
        </w:rPr>
        <w:t xml:space="preserve">Healthcare </w:t>
      </w:r>
      <w:r w:rsidRPr="00AF1CF8">
        <w:rPr>
          <w:spacing w:val="-4"/>
          <w:szCs w:val="22"/>
        </w:rPr>
        <w:t xml:space="preserve">and </w:t>
      </w:r>
      <w:r w:rsidRPr="00AF1CF8">
        <w:rPr>
          <w:spacing w:val="-3"/>
          <w:szCs w:val="22"/>
        </w:rPr>
        <w:t xml:space="preserve">Nursing </w:t>
      </w:r>
      <w:r w:rsidRPr="00AF1CF8">
        <w:rPr>
          <w:spacing w:val="-4"/>
          <w:szCs w:val="22"/>
        </w:rPr>
        <w:t>Simulation,</w:t>
      </w:r>
      <w:r w:rsidRPr="00AF1CF8" w:rsidDel="004A2D34">
        <w:rPr>
          <w:spacing w:val="-4"/>
          <w:szCs w:val="22"/>
        </w:rPr>
        <w:t xml:space="preserve"> </w:t>
      </w:r>
      <w:r w:rsidRPr="00AF1CF8">
        <w:rPr>
          <w:spacing w:val="-3"/>
          <w:szCs w:val="22"/>
        </w:rPr>
        <w:t xml:space="preserve">Nursing </w:t>
      </w:r>
      <w:r w:rsidRPr="00AF1CF8">
        <w:rPr>
          <w:szCs w:val="22"/>
        </w:rPr>
        <w:t xml:space="preserve">Leadership </w:t>
      </w:r>
      <w:r w:rsidRPr="00AF1CF8">
        <w:rPr>
          <w:spacing w:val="-4"/>
          <w:szCs w:val="22"/>
        </w:rPr>
        <w:t xml:space="preserve">and </w:t>
      </w:r>
      <w:r w:rsidRPr="00AF1CF8">
        <w:rPr>
          <w:spacing w:val="-3"/>
          <w:szCs w:val="22"/>
        </w:rPr>
        <w:t xml:space="preserve">Education. </w:t>
      </w:r>
      <w:r w:rsidRPr="00AF1CF8">
        <w:rPr>
          <w:szCs w:val="22"/>
        </w:rPr>
        <w:t xml:space="preserve">Additionally, </w:t>
      </w:r>
      <w:r w:rsidRPr="00AF1CF8">
        <w:rPr>
          <w:spacing w:val="-7"/>
          <w:szCs w:val="22"/>
        </w:rPr>
        <w:t xml:space="preserve">UST </w:t>
      </w:r>
      <w:r w:rsidRPr="00AF1CF8">
        <w:rPr>
          <w:spacing w:val="4"/>
          <w:szCs w:val="22"/>
        </w:rPr>
        <w:t xml:space="preserve">will </w:t>
      </w:r>
      <w:r w:rsidRPr="00AF1CF8">
        <w:rPr>
          <w:szCs w:val="22"/>
        </w:rPr>
        <w:t xml:space="preserve">create a </w:t>
      </w:r>
      <w:r w:rsidRPr="00AF1CF8">
        <w:rPr>
          <w:spacing w:val="-4"/>
          <w:szCs w:val="22"/>
        </w:rPr>
        <w:t xml:space="preserve">new </w:t>
      </w:r>
      <w:r w:rsidRPr="00AF1CF8">
        <w:rPr>
          <w:szCs w:val="22"/>
        </w:rPr>
        <w:t xml:space="preserve">access point on </w:t>
      </w:r>
      <w:r w:rsidRPr="00AF1CF8">
        <w:rPr>
          <w:spacing w:val="-7"/>
          <w:szCs w:val="22"/>
        </w:rPr>
        <w:t xml:space="preserve">the </w:t>
      </w:r>
      <w:r w:rsidRPr="00AF1CF8">
        <w:rPr>
          <w:spacing w:val="-4"/>
          <w:szCs w:val="22"/>
        </w:rPr>
        <w:t xml:space="preserve">nursing </w:t>
      </w:r>
      <w:r w:rsidRPr="00AF1CF8">
        <w:rPr>
          <w:szCs w:val="22"/>
        </w:rPr>
        <w:t xml:space="preserve">pipeline by developing </w:t>
      </w:r>
      <w:r w:rsidRPr="00AF1CF8">
        <w:rPr>
          <w:spacing w:val="-4"/>
          <w:szCs w:val="22"/>
        </w:rPr>
        <w:t xml:space="preserve">and </w:t>
      </w:r>
      <w:r w:rsidRPr="00AF1CF8">
        <w:rPr>
          <w:szCs w:val="22"/>
        </w:rPr>
        <w:t xml:space="preserve">piloting a </w:t>
      </w:r>
      <w:r w:rsidRPr="00AF1CF8">
        <w:rPr>
          <w:spacing w:val="-4"/>
          <w:szCs w:val="22"/>
        </w:rPr>
        <w:t xml:space="preserve">new </w:t>
      </w:r>
      <w:r w:rsidRPr="00AF1CF8">
        <w:rPr>
          <w:spacing w:val="-3"/>
          <w:szCs w:val="22"/>
        </w:rPr>
        <w:t xml:space="preserve">RN-to-MSN </w:t>
      </w:r>
      <w:r w:rsidRPr="00AF1CF8">
        <w:rPr>
          <w:szCs w:val="22"/>
        </w:rPr>
        <w:t xml:space="preserve">program </w:t>
      </w:r>
      <w:r w:rsidRPr="00AF1CF8">
        <w:rPr>
          <w:spacing w:val="-3"/>
          <w:szCs w:val="22"/>
        </w:rPr>
        <w:t xml:space="preserve">for </w:t>
      </w:r>
      <w:r w:rsidRPr="00AF1CF8">
        <w:rPr>
          <w:szCs w:val="22"/>
        </w:rPr>
        <w:t xml:space="preserve">licensed </w:t>
      </w:r>
      <w:r w:rsidRPr="00AF1CF8">
        <w:rPr>
          <w:spacing w:val="-4"/>
          <w:szCs w:val="22"/>
        </w:rPr>
        <w:t xml:space="preserve">RNs </w:t>
      </w:r>
      <w:r w:rsidRPr="00AF1CF8">
        <w:rPr>
          <w:szCs w:val="22"/>
        </w:rPr>
        <w:t xml:space="preserve">with Associate degrees. </w:t>
      </w:r>
      <w:r w:rsidRPr="00AF1CF8">
        <w:rPr>
          <w:spacing w:val="-3"/>
          <w:szCs w:val="22"/>
        </w:rPr>
        <w:t xml:space="preserve">These </w:t>
      </w:r>
      <w:r w:rsidRPr="00AF1CF8">
        <w:rPr>
          <w:spacing w:val="-4"/>
          <w:szCs w:val="22"/>
        </w:rPr>
        <w:t xml:space="preserve">new </w:t>
      </w:r>
      <w:r w:rsidRPr="00AF1CF8">
        <w:rPr>
          <w:spacing w:val="-3"/>
          <w:szCs w:val="22"/>
        </w:rPr>
        <w:t xml:space="preserve">programs </w:t>
      </w:r>
      <w:r w:rsidRPr="00AF1CF8">
        <w:rPr>
          <w:spacing w:val="4"/>
          <w:szCs w:val="22"/>
        </w:rPr>
        <w:t xml:space="preserve">will </w:t>
      </w:r>
      <w:r w:rsidRPr="00AF1CF8">
        <w:rPr>
          <w:szCs w:val="22"/>
        </w:rPr>
        <w:t xml:space="preserve">increase </w:t>
      </w:r>
      <w:r w:rsidRPr="00AF1CF8">
        <w:rPr>
          <w:spacing w:val="-7"/>
          <w:szCs w:val="22"/>
        </w:rPr>
        <w:t xml:space="preserve">the </w:t>
      </w:r>
      <w:r w:rsidRPr="00AF1CF8">
        <w:rPr>
          <w:spacing w:val="-8"/>
          <w:szCs w:val="22"/>
        </w:rPr>
        <w:t xml:space="preserve">number </w:t>
      </w:r>
      <w:r w:rsidRPr="00AF1CF8">
        <w:rPr>
          <w:szCs w:val="22"/>
        </w:rPr>
        <w:t xml:space="preserve">of Hispanic </w:t>
      </w:r>
      <w:r w:rsidRPr="00AF1CF8">
        <w:rPr>
          <w:spacing w:val="-4"/>
          <w:szCs w:val="22"/>
        </w:rPr>
        <w:t xml:space="preserve">and  </w:t>
      </w:r>
      <w:r w:rsidRPr="00AF1CF8">
        <w:rPr>
          <w:szCs w:val="22"/>
        </w:rPr>
        <w:t xml:space="preserve">underrepresented  </w:t>
      </w:r>
      <w:r w:rsidRPr="00AF1CF8">
        <w:rPr>
          <w:spacing w:val="-4"/>
          <w:szCs w:val="22"/>
        </w:rPr>
        <w:t xml:space="preserve">graduate </w:t>
      </w:r>
      <w:r w:rsidRPr="00AF1CF8">
        <w:rPr>
          <w:spacing w:val="-5"/>
          <w:szCs w:val="22"/>
        </w:rPr>
        <w:t xml:space="preserve">students  </w:t>
      </w:r>
      <w:r w:rsidRPr="00AF1CF8">
        <w:rPr>
          <w:szCs w:val="22"/>
        </w:rPr>
        <w:t xml:space="preserve">served by </w:t>
      </w:r>
      <w:r w:rsidRPr="00AF1CF8">
        <w:rPr>
          <w:spacing w:val="-6"/>
          <w:szCs w:val="22"/>
        </w:rPr>
        <w:t xml:space="preserve">UST,  </w:t>
      </w:r>
      <w:r w:rsidRPr="00AF1CF8">
        <w:rPr>
          <w:spacing w:val="-5"/>
          <w:szCs w:val="22"/>
        </w:rPr>
        <w:t xml:space="preserve">meeting  </w:t>
      </w:r>
      <w:r w:rsidRPr="00AF1CF8">
        <w:rPr>
          <w:spacing w:val="-7"/>
          <w:szCs w:val="22"/>
        </w:rPr>
        <w:t xml:space="preserve">the  </w:t>
      </w:r>
      <w:r w:rsidRPr="00AF1CF8">
        <w:rPr>
          <w:b/>
          <w:spacing w:val="-3"/>
          <w:szCs w:val="22"/>
        </w:rPr>
        <w:t>Competitive</w:t>
      </w:r>
      <w:r w:rsidRPr="00AF1CF8" w:rsidDel="00BD1C92">
        <w:rPr>
          <w:b/>
          <w:spacing w:val="-3"/>
          <w:szCs w:val="22"/>
        </w:rPr>
        <w:t xml:space="preserve"> </w:t>
      </w:r>
      <w:r w:rsidRPr="00AF1CF8">
        <w:rPr>
          <w:b/>
          <w:szCs w:val="22"/>
        </w:rPr>
        <w:t>Preference</w:t>
      </w:r>
      <w:r w:rsidRPr="00AF1CF8" w:rsidDel="00BD1C92">
        <w:rPr>
          <w:b/>
          <w:spacing w:val="57"/>
          <w:szCs w:val="22"/>
        </w:rPr>
        <w:t xml:space="preserve"> </w:t>
      </w:r>
      <w:r w:rsidRPr="00AF1CF8">
        <w:rPr>
          <w:b/>
          <w:spacing w:val="-5"/>
          <w:szCs w:val="22"/>
        </w:rPr>
        <w:t xml:space="preserve">Priority </w:t>
      </w:r>
      <w:r w:rsidRPr="00AF1CF8">
        <w:rPr>
          <w:b/>
          <w:szCs w:val="22"/>
        </w:rPr>
        <w:t>1</w:t>
      </w:r>
      <w:r w:rsidRPr="00AF1CF8">
        <w:rPr>
          <w:szCs w:val="22"/>
        </w:rPr>
        <w:t xml:space="preserve">: </w:t>
      </w:r>
      <w:r w:rsidRPr="00AF1CF8">
        <w:rPr>
          <w:i/>
          <w:szCs w:val="22"/>
        </w:rPr>
        <w:t xml:space="preserve">“Projects that are designed </w:t>
      </w:r>
      <w:r w:rsidRPr="00AF1CF8">
        <w:rPr>
          <w:i/>
          <w:spacing w:val="2"/>
          <w:szCs w:val="22"/>
        </w:rPr>
        <w:t xml:space="preserve">to </w:t>
      </w:r>
      <w:r w:rsidRPr="00AF1CF8">
        <w:rPr>
          <w:i/>
          <w:szCs w:val="22"/>
        </w:rPr>
        <w:t xml:space="preserve">expand the number of Hispanic and other underrepresented graduate and professional students that can be served by the </w:t>
      </w:r>
      <w:r w:rsidRPr="00AF1CF8">
        <w:rPr>
          <w:i/>
          <w:spacing w:val="2"/>
          <w:szCs w:val="22"/>
        </w:rPr>
        <w:t xml:space="preserve">institution </w:t>
      </w:r>
      <w:r w:rsidRPr="00AF1CF8">
        <w:rPr>
          <w:i/>
          <w:szCs w:val="22"/>
        </w:rPr>
        <w:t>by expanding courses and</w:t>
      </w:r>
      <w:r w:rsidRPr="00AF1CF8">
        <w:rPr>
          <w:i/>
          <w:spacing w:val="-8"/>
          <w:szCs w:val="22"/>
        </w:rPr>
        <w:t xml:space="preserve"> </w:t>
      </w:r>
      <w:r w:rsidRPr="00AF1CF8">
        <w:rPr>
          <w:i/>
          <w:spacing w:val="2"/>
          <w:szCs w:val="22"/>
        </w:rPr>
        <w:t>institutional resources.”</w:t>
      </w:r>
    </w:p>
    <w:p w14:paraId="434871AD" w14:textId="77777777" w:rsidR="004A0D06" w:rsidRPr="00AF1CF8" w:rsidRDefault="004A0D06" w:rsidP="00EB748D">
      <w:pPr>
        <w:pStyle w:val="BodyText"/>
        <w:rPr>
          <w:spacing w:val="-3"/>
          <w:szCs w:val="22"/>
        </w:rPr>
      </w:pPr>
    </w:p>
    <w:p w14:paraId="4D3DD8C8" w14:textId="7463FD2A" w:rsidR="004A0D06" w:rsidRPr="00AF1CF8" w:rsidRDefault="004A0D06" w:rsidP="00BB223B">
      <w:pPr>
        <w:pStyle w:val="BodyText"/>
        <w:rPr>
          <w:szCs w:val="22"/>
        </w:rPr>
      </w:pPr>
      <w:r w:rsidRPr="00AF1CF8">
        <w:rPr>
          <w:spacing w:val="-3"/>
          <w:szCs w:val="22"/>
        </w:rPr>
        <w:t xml:space="preserve">This </w:t>
      </w:r>
      <w:r w:rsidRPr="00AF1CF8">
        <w:rPr>
          <w:szCs w:val="22"/>
        </w:rPr>
        <w:t xml:space="preserve">project </w:t>
      </w:r>
      <w:r w:rsidRPr="00AF1CF8">
        <w:rPr>
          <w:spacing w:val="4"/>
          <w:szCs w:val="22"/>
        </w:rPr>
        <w:t xml:space="preserve">will </w:t>
      </w:r>
      <w:r w:rsidRPr="00AF1CF8">
        <w:rPr>
          <w:szCs w:val="22"/>
        </w:rPr>
        <w:t xml:space="preserve">create a </w:t>
      </w:r>
      <w:r w:rsidRPr="00AF1CF8">
        <w:rPr>
          <w:spacing w:val="-3"/>
          <w:szCs w:val="22"/>
        </w:rPr>
        <w:t xml:space="preserve">Graduate Nursing </w:t>
      </w:r>
      <w:r w:rsidRPr="00AF1CF8">
        <w:rPr>
          <w:spacing w:val="-5"/>
          <w:szCs w:val="22"/>
        </w:rPr>
        <w:t xml:space="preserve">Student </w:t>
      </w:r>
      <w:r w:rsidRPr="00AF1CF8">
        <w:rPr>
          <w:szCs w:val="22"/>
        </w:rPr>
        <w:t xml:space="preserve">Success </w:t>
      </w:r>
      <w:r w:rsidRPr="00AF1CF8">
        <w:rPr>
          <w:spacing w:val="-4"/>
          <w:szCs w:val="22"/>
        </w:rPr>
        <w:t xml:space="preserve">Center </w:t>
      </w:r>
      <w:r w:rsidRPr="00AF1CF8">
        <w:rPr>
          <w:spacing w:val="-3"/>
          <w:szCs w:val="22"/>
        </w:rPr>
        <w:t xml:space="preserve">(GNSSC) </w:t>
      </w:r>
      <w:r w:rsidRPr="00AF1CF8">
        <w:rPr>
          <w:spacing w:val="-4"/>
          <w:szCs w:val="22"/>
        </w:rPr>
        <w:t xml:space="preserve">to </w:t>
      </w:r>
      <w:r w:rsidRPr="00AF1CF8">
        <w:rPr>
          <w:szCs w:val="22"/>
        </w:rPr>
        <w:t xml:space="preserve">provide face-to-face </w:t>
      </w:r>
      <w:r w:rsidRPr="00AF1CF8">
        <w:rPr>
          <w:spacing w:val="-4"/>
          <w:szCs w:val="22"/>
        </w:rPr>
        <w:t xml:space="preserve">and </w:t>
      </w:r>
      <w:r w:rsidRPr="00AF1CF8">
        <w:rPr>
          <w:spacing w:val="-3"/>
          <w:szCs w:val="22"/>
        </w:rPr>
        <w:t xml:space="preserve">online </w:t>
      </w:r>
      <w:r w:rsidRPr="00AF1CF8">
        <w:rPr>
          <w:spacing w:val="-4"/>
          <w:szCs w:val="22"/>
        </w:rPr>
        <w:t xml:space="preserve">student </w:t>
      </w:r>
      <w:r w:rsidRPr="00AF1CF8">
        <w:rPr>
          <w:szCs w:val="22"/>
        </w:rPr>
        <w:t xml:space="preserve">support services </w:t>
      </w:r>
      <w:r w:rsidRPr="00AF1CF8">
        <w:rPr>
          <w:spacing w:val="-4"/>
          <w:szCs w:val="22"/>
        </w:rPr>
        <w:t>to graduate students.</w:t>
      </w:r>
      <w:r w:rsidRPr="00AF1CF8">
        <w:rPr>
          <w:spacing w:val="52"/>
          <w:szCs w:val="22"/>
        </w:rPr>
        <w:t xml:space="preserve"> </w:t>
      </w:r>
      <w:r w:rsidRPr="00AF1CF8">
        <w:rPr>
          <w:szCs w:val="22"/>
        </w:rPr>
        <w:t xml:space="preserve">Services </w:t>
      </w:r>
      <w:r w:rsidRPr="00AF1CF8">
        <w:rPr>
          <w:spacing w:val="4"/>
          <w:szCs w:val="22"/>
        </w:rPr>
        <w:t xml:space="preserve">will </w:t>
      </w:r>
      <w:r w:rsidRPr="00AF1CF8">
        <w:rPr>
          <w:spacing w:val="-3"/>
          <w:szCs w:val="22"/>
        </w:rPr>
        <w:t xml:space="preserve">include </w:t>
      </w:r>
      <w:r w:rsidRPr="00AF1CF8">
        <w:rPr>
          <w:szCs w:val="22"/>
        </w:rPr>
        <w:t xml:space="preserve">specialized </w:t>
      </w:r>
      <w:r w:rsidRPr="00AF1CF8">
        <w:rPr>
          <w:spacing w:val="-4"/>
          <w:szCs w:val="22"/>
        </w:rPr>
        <w:t xml:space="preserve">student coaching, </w:t>
      </w:r>
      <w:r w:rsidRPr="00AF1CF8">
        <w:rPr>
          <w:szCs w:val="22"/>
        </w:rPr>
        <w:t xml:space="preserve">coaching </w:t>
      </w:r>
      <w:r w:rsidRPr="00AF1CF8">
        <w:rPr>
          <w:spacing w:val="-5"/>
          <w:szCs w:val="22"/>
        </w:rPr>
        <w:t xml:space="preserve">and </w:t>
      </w:r>
      <w:r w:rsidRPr="00AF1CF8">
        <w:rPr>
          <w:szCs w:val="22"/>
        </w:rPr>
        <w:t xml:space="preserve">advising </w:t>
      </w:r>
      <w:r w:rsidRPr="00AF1CF8">
        <w:rPr>
          <w:spacing w:val="-3"/>
          <w:szCs w:val="22"/>
        </w:rPr>
        <w:t xml:space="preserve">training </w:t>
      </w:r>
      <w:r w:rsidRPr="00AF1CF8">
        <w:rPr>
          <w:spacing w:val="-4"/>
          <w:szCs w:val="22"/>
        </w:rPr>
        <w:t xml:space="preserve">and </w:t>
      </w:r>
      <w:r w:rsidRPr="00AF1CF8">
        <w:rPr>
          <w:spacing w:val="-3"/>
          <w:szCs w:val="22"/>
        </w:rPr>
        <w:t xml:space="preserve">cultural </w:t>
      </w:r>
      <w:r w:rsidRPr="00AF1CF8">
        <w:rPr>
          <w:szCs w:val="22"/>
        </w:rPr>
        <w:t xml:space="preserve">diversity </w:t>
      </w:r>
      <w:r w:rsidRPr="00AF1CF8">
        <w:rPr>
          <w:spacing w:val="-3"/>
          <w:szCs w:val="22"/>
        </w:rPr>
        <w:t xml:space="preserve">training for faculty </w:t>
      </w:r>
      <w:r w:rsidRPr="00AF1CF8">
        <w:rPr>
          <w:spacing w:val="-4"/>
          <w:szCs w:val="22"/>
        </w:rPr>
        <w:t xml:space="preserve">members, </w:t>
      </w:r>
      <w:r w:rsidRPr="00AF1CF8">
        <w:rPr>
          <w:szCs w:val="22"/>
        </w:rPr>
        <w:t xml:space="preserve">peer </w:t>
      </w:r>
      <w:r w:rsidRPr="00AF1CF8">
        <w:rPr>
          <w:spacing w:val="-5"/>
          <w:szCs w:val="22"/>
        </w:rPr>
        <w:t xml:space="preserve">mentoring </w:t>
      </w:r>
      <w:r w:rsidRPr="00AF1CF8">
        <w:rPr>
          <w:spacing w:val="-4"/>
          <w:szCs w:val="22"/>
        </w:rPr>
        <w:t xml:space="preserve">and </w:t>
      </w:r>
      <w:r w:rsidRPr="00AF1CF8">
        <w:rPr>
          <w:spacing w:val="-5"/>
          <w:szCs w:val="22"/>
        </w:rPr>
        <w:t>on-demand tutoring.  The</w:t>
      </w:r>
      <w:r w:rsidRPr="00AF1CF8" w:rsidDel="004A2D34">
        <w:rPr>
          <w:spacing w:val="-5"/>
          <w:szCs w:val="22"/>
        </w:rPr>
        <w:t xml:space="preserve"> </w:t>
      </w:r>
      <w:r w:rsidRPr="00AF1CF8">
        <w:rPr>
          <w:spacing w:val="-4"/>
          <w:szCs w:val="22"/>
        </w:rPr>
        <w:t>GNSSC</w:t>
      </w:r>
      <w:r w:rsidRPr="00AF1CF8" w:rsidDel="004A2D34">
        <w:rPr>
          <w:spacing w:val="-4"/>
          <w:szCs w:val="22"/>
        </w:rPr>
        <w:t xml:space="preserve"> </w:t>
      </w:r>
      <w:r w:rsidRPr="00AF1CF8">
        <w:rPr>
          <w:spacing w:val="4"/>
          <w:szCs w:val="22"/>
        </w:rPr>
        <w:t xml:space="preserve">will </w:t>
      </w:r>
      <w:r w:rsidRPr="00AF1CF8">
        <w:rPr>
          <w:szCs w:val="22"/>
        </w:rPr>
        <w:t xml:space="preserve">also provide </w:t>
      </w:r>
      <w:r w:rsidRPr="00AF1CF8">
        <w:rPr>
          <w:spacing w:val="-3"/>
          <w:szCs w:val="22"/>
        </w:rPr>
        <w:t xml:space="preserve">focused </w:t>
      </w:r>
      <w:r w:rsidRPr="00AF1CF8">
        <w:rPr>
          <w:szCs w:val="22"/>
        </w:rPr>
        <w:t xml:space="preserve">coaching </w:t>
      </w:r>
      <w:r w:rsidRPr="00AF1CF8">
        <w:rPr>
          <w:spacing w:val="-4"/>
          <w:szCs w:val="22"/>
        </w:rPr>
        <w:t xml:space="preserve">and </w:t>
      </w:r>
      <w:r w:rsidRPr="00AF1CF8">
        <w:rPr>
          <w:szCs w:val="22"/>
        </w:rPr>
        <w:t xml:space="preserve">advising support </w:t>
      </w:r>
      <w:r w:rsidRPr="00AF1CF8">
        <w:rPr>
          <w:spacing w:val="-3"/>
          <w:szCs w:val="22"/>
        </w:rPr>
        <w:t xml:space="preserve">for RN-to-MSN </w:t>
      </w:r>
      <w:r w:rsidRPr="00AF1CF8">
        <w:rPr>
          <w:spacing w:val="-5"/>
          <w:szCs w:val="22"/>
        </w:rPr>
        <w:t xml:space="preserve">students </w:t>
      </w:r>
      <w:r w:rsidRPr="00AF1CF8">
        <w:rPr>
          <w:szCs w:val="22"/>
        </w:rPr>
        <w:t>transferring directly from a two-</w:t>
      </w:r>
      <w:r w:rsidRPr="00AF1CF8">
        <w:rPr>
          <w:spacing w:val="-3"/>
          <w:szCs w:val="22"/>
        </w:rPr>
        <w:t xml:space="preserve">year </w:t>
      </w:r>
      <w:r w:rsidRPr="00AF1CF8">
        <w:rPr>
          <w:szCs w:val="22"/>
        </w:rPr>
        <w:t xml:space="preserve">school or </w:t>
      </w:r>
      <w:r w:rsidRPr="00AF1CF8">
        <w:rPr>
          <w:spacing w:val="-5"/>
          <w:szCs w:val="22"/>
        </w:rPr>
        <w:t xml:space="preserve">coming </w:t>
      </w:r>
      <w:r w:rsidRPr="00AF1CF8">
        <w:rPr>
          <w:szCs w:val="22"/>
        </w:rPr>
        <w:t xml:space="preserve">from </w:t>
      </w:r>
      <w:r w:rsidRPr="00AF1CF8">
        <w:rPr>
          <w:spacing w:val="-7"/>
          <w:szCs w:val="22"/>
        </w:rPr>
        <w:t xml:space="preserve">the </w:t>
      </w:r>
      <w:r w:rsidRPr="00AF1CF8">
        <w:rPr>
          <w:szCs w:val="22"/>
        </w:rPr>
        <w:t xml:space="preserve">workforce </w:t>
      </w:r>
      <w:r w:rsidRPr="00AF1CF8">
        <w:rPr>
          <w:spacing w:val="2"/>
          <w:szCs w:val="22"/>
        </w:rPr>
        <w:t xml:space="preserve">in </w:t>
      </w:r>
      <w:r w:rsidRPr="00AF1CF8">
        <w:rPr>
          <w:szCs w:val="22"/>
        </w:rPr>
        <w:t xml:space="preserve">order </w:t>
      </w:r>
      <w:r w:rsidRPr="00AF1CF8">
        <w:rPr>
          <w:spacing w:val="-4"/>
          <w:szCs w:val="22"/>
        </w:rPr>
        <w:t xml:space="preserve">to </w:t>
      </w:r>
      <w:r w:rsidRPr="00AF1CF8">
        <w:rPr>
          <w:spacing w:val="-8"/>
          <w:szCs w:val="22"/>
        </w:rPr>
        <w:t xml:space="preserve">make </w:t>
      </w:r>
      <w:r w:rsidRPr="00AF1CF8">
        <w:rPr>
          <w:spacing w:val="-3"/>
          <w:szCs w:val="22"/>
        </w:rPr>
        <w:t xml:space="preserve">their challenging </w:t>
      </w:r>
      <w:r w:rsidRPr="00AF1CF8">
        <w:rPr>
          <w:szCs w:val="22"/>
        </w:rPr>
        <w:t xml:space="preserve">transition </w:t>
      </w:r>
      <w:r w:rsidRPr="00AF1CF8">
        <w:rPr>
          <w:spacing w:val="-4"/>
          <w:szCs w:val="22"/>
        </w:rPr>
        <w:t xml:space="preserve">to </w:t>
      </w:r>
      <w:r w:rsidRPr="00AF1CF8">
        <w:rPr>
          <w:szCs w:val="22"/>
        </w:rPr>
        <w:t xml:space="preserve">upper-level </w:t>
      </w:r>
      <w:r w:rsidRPr="00AF1CF8">
        <w:rPr>
          <w:spacing w:val="-4"/>
          <w:szCs w:val="22"/>
        </w:rPr>
        <w:t xml:space="preserve">and </w:t>
      </w:r>
      <w:r w:rsidRPr="00AF1CF8">
        <w:rPr>
          <w:spacing w:val="-3"/>
          <w:szCs w:val="22"/>
        </w:rPr>
        <w:t xml:space="preserve">graduate </w:t>
      </w:r>
      <w:r w:rsidRPr="00AF1CF8">
        <w:rPr>
          <w:szCs w:val="22"/>
        </w:rPr>
        <w:t xml:space="preserve">coursework a successful transition. Services </w:t>
      </w:r>
      <w:r w:rsidRPr="00AF1CF8">
        <w:rPr>
          <w:spacing w:val="4"/>
          <w:szCs w:val="22"/>
        </w:rPr>
        <w:t xml:space="preserve">will </w:t>
      </w:r>
      <w:r w:rsidRPr="00AF1CF8">
        <w:rPr>
          <w:szCs w:val="22"/>
        </w:rPr>
        <w:t xml:space="preserve">also be offered </w:t>
      </w:r>
      <w:r w:rsidRPr="00AF1CF8">
        <w:rPr>
          <w:spacing w:val="-4"/>
          <w:szCs w:val="22"/>
        </w:rPr>
        <w:t>to MSN students.</w:t>
      </w:r>
      <w:r w:rsidRPr="00AF1CF8">
        <w:rPr>
          <w:spacing w:val="52"/>
          <w:szCs w:val="22"/>
        </w:rPr>
        <w:t xml:space="preserve"> </w:t>
      </w:r>
      <w:r w:rsidRPr="00AF1CF8">
        <w:rPr>
          <w:spacing w:val="-3"/>
          <w:szCs w:val="22"/>
        </w:rPr>
        <w:t xml:space="preserve">These </w:t>
      </w:r>
      <w:r w:rsidRPr="00AF1CF8">
        <w:rPr>
          <w:szCs w:val="22"/>
        </w:rPr>
        <w:t xml:space="preserve">focused, wrap-around support services </w:t>
      </w:r>
      <w:r w:rsidRPr="00AF1CF8">
        <w:rPr>
          <w:spacing w:val="-3"/>
          <w:szCs w:val="22"/>
        </w:rPr>
        <w:t xml:space="preserve">for </w:t>
      </w:r>
      <w:r w:rsidRPr="00AF1CF8">
        <w:rPr>
          <w:spacing w:val="-7"/>
          <w:szCs w:val="22"/>
        </w:rPr>
        <w:t xml:space="preserve">the </w:t>
      </w:r>
      <w:r w:rsidRPr="00AF1CF8">
        <w:rPr>
          <w:spacing w:val="-3"/>
          <w:szCs w:val="22"/>
        </w:rPr>
        <w:t xml:space="preserve">RN-to-MSN </w:t>
      </w:r>
      <w:r w:rsidRPr="00AF1CF8">
        <w:rPr>
          <w:szCs w:val="22"/>
        </w:rPr>
        <w:t>candidates</w:t>
      </w:r>
      <w:r w:rsidRPr="00AF1CF8">
        <w:rPr>
          <w:spacing w:val="8"/>
          <w:szCs w:val="22"/>
        </w:rPr>
        <w:t xml:space="preserve"> </w:t>
      </w:r>
      <w:r w:rsidRPr="00AF1CF8">
        <w:rPr>
          <w:spacing w:val="4"/>
          <w:szCs w:val="22"/>
        </w:rPr>
        <w:t>will feature proactive counseling focused on the best practices from Betting and Baker’s coaching</w:t>
      </w:r>
    </w:p>
    <w:p w14:paraId="58B24FD0" w14:textId="77777777" w:rsidR="004A0D06" w:rsidRPr="00AF1CF8" w:rsidRDefault="004A0D06" w:rsidP="00AF1CF8">
      <w:pPr>
        <w:pStyle w:val="BodyText"/>
        <w:rPr>
          <w:szCs w:val="22"/>
        </w:rPr>
      </w:pPr>
      <w:r w:rsidRPr="00AF1CF8">
        <w:rPr>
          <w:szCs w:val="22"/>
        </w:rPr>
        <w:t xml:space="preserve">theory (2011), a theory that meets the evidence of “moderate evidence of effectiveness” by the </w:t>
      </w:r>
      <w:r w:rsidRPr="00AF1CF8">
        <w:rPr>
          <w:spacing w:val="-6"/>
          <w:szCs w:val="22"/>
        </w:rPr>
        <w:t>What</w:t>
      </w:r>
      <w:r w:rsidRPr="00AF1CF8">
        <w:rPr>
          <w:spacing w:val="19"/>
          <w:szCs w:val="22"/>
        </w:rPr>
        <w:t xml:space="preserve"> </w:t>
      </w:r>
      <w:r w:rsidRPr="00AF1CF8">
        <w:rPr>
          <w:spacing w:val="-4"/>
          <w:szCs w:val="22"/>
        </w:rPr>
        <w:t>Works</w:t>
      </w:r>
      <w:r w:rsidRPr="00AF1CF8">
        <w:rPr>
          <w:spacing w:val="27"/>
          <w:szCs w:val="22"/>
        </w:rPr>
        <w:t xml:space="preserve"> </w:t>
      </w:r>
      <w:r w:rsidRPr="00AF1CF8">
        <w:rPr>
          <w:spacing w:val="-3"/>
          <w:szCs w:val="22"/>
        </w:rPr>
        <w:t xml:space="preserve">Clearinghouse. </w:t>
      </w:r>
      <w:r w:rsidRPr="00AF1CF8">
        <w:rPr>
          <w:szCs w:val="22"/>
        </w:rPr>
        <w:t xml:space="preserve">Faculty </w:t>
      </w:r>
      <w:r w:rsidRPr="00AF1CF8">
        <w:rPr>
          <w:spacing w:val="-4"/>
          <w:szCs w:val="22"/>
        </w:rPr>
        <w:t xml:space="preserve">and </w:t>
      </w:r>
      <w:r w:rsidRPr="00AF1CF8">
        <w:rPr>
          <w:szCs w:val="22"/>
        </w:rPr>
        <w:t xml:space="preserve">program </w:t>
      </w:r>
      <w:r w:rsidRPr="00AF1CF8">
        <w:rPr>
          <w:spacing w:val="-3"/>
          <w:szCs w:val="22"/>
        </w:rPr>
        <w:t xml:space="preserve">staff </w:t>
      </w:r>
      <w:r w:rsidRPr="00AF1CF8">
        <w:rPr>
          <w:spacing w:val="3"/>
          <w:szCs w:val="22"/>
        </w:rPr>
        <w:t xml:space="preserve">will </w:t>
      </w:r>
      <w:r w:rsidRPr="00AF1CF8">
        <w:rPr>
          <w:szCs w:val="22"/>
        </w:rPr>
        <w:t xml:space="preserve">be trained </w:t>
      </w:r>
      <w:r w:rsidRPr="00AF1CF8">
        <w:rPr>
          <w:spacing w:val="-4"/>
          <w:szCs w:val="22"/>
        </w:rPr>
        <w:t xml:space="preserve">to </w:t>
      </w:r>
      <w:r w:rsidRPr="00AF1CF8">
        <w:rPr>
          <w:szCs w:val="22"/>
        </w:rPr>
        <w:t xml:space="preserve">deliver </w:t>
      </w:r>
      <w:r w:rsidRPr="00AF1CF8">
        <w:rPr>
          <w:spacing w:val="-4"/>
          <w:szCs w:val="22"/>
        </w:rPr>
        <w:t xml:space="preserve">these </w:t>
      </w:r>
      <w:r w:rsidRPr="00AF1CF8">
        <w:rPr>
          <w:spacing w:val="2"/>
          <w:szCs w:val="22"/>
        </w:rPr>
        <w:t xml:space="preserve">wrap- </w:t>
      </w:r>
      <w:r w:rsidRPr="00AF1CF8">
        <w:rPr>
          <w:spacing w:val="-4"/>
          <w:szCs w:val="22"/>
        </w:rPr>
        <w:t xml:space="preserve">around </w:t>
      </w:r>
      <w:r w:rsidRPr="00AF1CF8">
        <w:rPr>
          <w:spacing w:val="-3"/>
          <w:szCs w:val="22"/>
        </w:rPr>
        <w:t xml:space="preserve">coaching </w:t>
      </w:r>
      <w:r w:rsidRPr="00AF1CF8">
        <w:rPr>
          <w:spacing w:val="-4"/>
          <w:szCs w:val="22"/>
        </w:rPr>
        <w:t xml:space="preserve">techniques to students, </w:t>
      </w:r>
      <w:r w:rsidRPr="00AF1CF8">
        <w:rPr>
          <w:szCs w:val="22"/>
        </w:rPr>
        <w:t xml:space="preserve">providing culturally-appropriate advising </w:t>
      </w:r>
      <w:r w:rsidRPr="00AF1CF8">
        <w:rPr>
          <w:spacing w:val="-4"/>
          <w:szCs w:val="22"/>
        </w:rPr>
        <w:t xml:space="preserve">and </w:t>
      </w:r>
      <w:r w:rsidRPr="00AF1CF8">
        <w:rPr>
          <w:spacing w:val="-5"/>
          <w:szCs w:val="22"/>
        </w:rPr>
        <w:t xml:space="preserve">impactful </w:t>
      </w:r>
      <w:r w:rsidRPr="00AF1CF8">
        <w:rPr>
          <w:szCs w:val="22"/>
        </w:rPr>
        <w:t>coaching</w:t>
      </w:r>
      <w:r w:rsidRPr="00AF1CF8">
        <w:rPr>
          <w:spacing w:val="11"/>
          <w:szCs w:val="22"/>
        </w:rPr>
        <w:t xml:space="preserve"> </w:t>
      </w:r>
      <w:r w:rsidRPr="00AF1CF8">
        <w:rPr>
          <w:szCs w:val="22"/>
        </w:rPr>
        <w:t>support.</w:t>
      </w:r>
    </w:p>
    <w:p w14:paraId="4BACD2A0" w14:textId="77777777" w:rsidR="004A0D06" w:rsidRPr="00AF1CF8" w:rsidRDefault="004A0D06" w:rsidP="00AF1CF8">
      <w:pPr>
        <w:pStyle w:val="BodyText"/>
        <w:rPr>
          <w:spacing w:val="-5"/>
          <w:szCs w:val="22"/>
        </w:rPr>
      </w:pPr>
    </w:p>
    <w:p w14:paraId="40192BD3" w14:textId="77777777" w:rsidR="004A0D06" w:rsidRPr="00AF1CF8" w:rsidRDefault="004A0D06" w:rsidP="00AF1CF8">
      <w:pPr>
        <w:pStyle w:val="BodyText"/>
        <w:rPr>
          <w:szCs w:val="22"/>
        </w:rPr>
      </w:pPr>
      <w:r w:rsidRPr="00AF1CF8">
        <w:rPr>
          <w:spacing w:val="-5"/>
          <w:szCs w:val="22"/>
        </w:rPr>
        <w:t xml:space="preserve">The </w:t>
      </w:r>
      <w:r w:rsidRPr="00AF1CF8">
        <w:rPr>
          <w:spacing w:val="-4"/>
          <w:szCs w:val="22"/>
        </w:rPr>
        <w:t xml:space="preserve">EGNP </w:t>
      </w:r>
      <w:r w:rsidRPr="00AF1CF8">
        <w:rPr>
          <w:szCs w:val="22"/>
        </w:rPr>
        <w:t xml:space="preserve">program </w:t>
      </w:r>
      <w:r w:rsidRPr="00AF1CF8">
        <w:rPr>
          <w:spacing w:val="3"/>
          <w:szCs w:val="22"/>
        </w:rPr>
        <w:t xml:space="preserve">will </w:t>
      </w:r>
      <w:r w:rsidRPr="00AF1CF8">
        <w:rPr>
          <w:szCs w:val="22"/>
        </w:rPr>
        <w:t xml:space="preserve">also enrich </w:t>
      </w:r>
      <w:r w:rsidRPr="00AF1CF8">
        <w:rPr>
          <w:spacing w:val="-4"/>
          <w:szCs w:val="22"/>
        </w:rPr>
        <w:t xml:space="preserve">and </w:t>
      </w:r>
      <w:r w:rsidRPr="00AF1CF8">
        <w:rPr>
          <w:spacing w:val="-3"/>
          <w:szCs w:val="22"/>
        </w:rPr>
        <w:t xml:space="preserve">upgrade </w:t>
      </w:r>
      <w:r w:rsidRPr="00AF1CF8">
        <w:rPr>
          <w:spacing w:val="-4"/>
          <w:szCs w:val="22"/>
        </w:rPr>
        <w:t xml:space="preserve">technology </w:t>
      </w:r>
      <w:r w:rsidRPr="00AF1CF8">
        <w:rPr>
          <w:spacing w:val="2"/>
          <w:szCs w:val="22"/>
        </w:rPr>
        <w:t xml:space="preserve">in </w:t>
      </w:r>
      <w:r w:rsidRPr="00AF1CF8">
        <w:rPr>
          <w:spacing w:val="-7"/>
          <w:szCs w:val="22"/>
        </w:rPr>
        <w:t xml:space="preserve">the </w:t>
      </w:r>
      <w:r w:rsidRPr="00AF1CF8">
        <w:rPr>
          <w:spacing w:val="-3"/>
          <w:szCs w:val="22"/>
        </w:rPr>
        <w:t xml:space="preserve">School </w:t>
      </w:r>
      <w:r w:rsidRPr="00AF1CF8">
        <w:rPr>
          <w:szCs w:val="22"/>
        </w:rPr>
        <w:t xml:space="preserve">of </w:t>
      </w:r>
      <w:r w:rsidRPr="00AF1CF8">
        <w:rPr>
          <w:spacing w:val="-4"/>
          <w:szCs w:val="22"/>
        </w:rPr>
        <w:t xml:space="preserve">Nursing. </w:t>
      </w:r>
      <w:r w:rsidRPr="00AF1CF8">
        <w:rPr>
          <w:spacing w:val="-3"/>
          <w:szCs w:val="22"/>
        </w:rPr>
        <w:t xml:space="preserve">Upgraded simulation </w:t>
      </w:r>
      <w:r w:rsidRPr="00AF1CF8">
        <w:rPr>
          <w:spacing w:val="-6"/>
          <w:szCs w:val="22"/>
        </w:rPr>
        <w:t xml:space="preserve">mannequins, </w:t>
      </w:r>
      <w:r w:rsidRPr="00AF1CF8">
        <w:rPr>
          <w:szCs w:val="22"/>
        </w:rPr>
        <w:t xml:space="preserve">video </w:t>
      </w:r>
      <w:r w:rsidRPr="00AF1CF8">
        <w:rPr>
          <w:spacing w:val="-4"/>
          <w:szCs w:val="22"/>
        </w:rPr>
        <w:t xml:space="preserve">equipment </w:t>
      </w:r>
      <w:r w:rsidRPr="00AF1CF8">
        <w:rPr>
          <w:spacing w:val="-5"/>
          <w:szCs w:val="22"/>
        </w:rPr>
        <w:t xml:space="preserve">that </w:t>
      </w:r>
      <w:r w:rsidRPr="00AF1CF8">
        <w:rPr>
          <w:spacing w:val="-3"/>
          <w:szCs w:val="22"/>
        </w:rPr>
        <w:t xml:space="preserve">permits faculty </w:t>
      </w:r>
      <w:r w:rsidRPr="00AF1CF8">
        <w:rPr>
          <w:spacing w:val="-4"/>
          <w:szCs w:val="22"/>
        </w:rPr>
        <w:t xml:space="preserve">to </w:t>
      </w:r>
      <w:r w:rsidRPr="00AF1CF8">
        <w:rPr>
          <w:szCs w:val="22"/>
        </w:rPr>
        <w:t xml:space="preserve">record simulation scenarios </w:t>
      </w:r>
      <w:r w:rsidRPr="00AF1CF8">
        <w:rPr>
          <w:spacing w:val="-4"/>
          <w:szCs w:val="22"/>
        </w:rPr>
        <w:t xml:space="preserve">and </w:t>
      </w:r>
      <w:r w:rsidRPr="00AF1CF8">
        <w:rPr>
          <w:spacing w:val="-3"/>
          <w:szCs w:val="22"/>
        </w:rPr>
        <w:t xml:space="preserve">teaching </w:t>
      </w:r>
      <w:r w:rsidRPr="00AF1CF8">
        <w:rPr>
          <w:spacing w:val="-4"/>
          <w:szCs w:val="22"/>
        </w:rPr>
        <w:t xml:space="preserve">modules and </w:t>
      </w:r>
      <w:r w:rsidRPr="00AF1CF8">
        <w:rPr>
          <w:szCs w:val="22"/>
        </w:rPr>
        <w:t xml:space="preserve">broadcast </w:t>
      </w:r>
      <w:r w:rsidRPr="00AF1CF8">
        <w:rPr>
          <w:spacing w:val="-3"/>
          <w:szCs w:val="22"/>
        </w:rPr>
        <w:t xml:space="preserve">for online </w:t>
      </w:r>
      <w:r w:rsidRPr="00AF1CF8">
        <w:rPr>
          <w:szCs w:val="22"/>
        </w:rPr>
        <w:t xml:space="preserve">course or </w:t>
      </w:r>
      <w:r w:rsidRPr="00AF1CF8">
        <w:rPr>
          <w:spacing w:val="2"/>
          <w:szCs w:val="22"/>
        </w:rPr>
        <w:t xml:space="preserve">web access, </w:t>
      </w:r>
      <w:r w:rsidRPr="00AF1CF8">
        <w:rPr>
          <w:spacing w:val="-4"/>
          <w:szCs w:val="22"/>
        </w:rPr>
        <w:t xml:space="preserve">and </w:t>
      </w:r>
      <w:r w:rsidRPr="00AF1CF8">
        <w:rPr>
          <w:szCs w:val="22"/>
        </w:rPr>
        <w:t xml:space="preserve">a </w:t>
      </w:r>
      <w:r w:rsidRPr="00AF1CF8">
        <w:rPr>
          <w:spacing w:val="-3"/>
          <w:szCs w:val="22"/>
        </w:rPr>
        <w:t xml:space="preserve">teleconferencing </w:t>
      </w:r>
      <w:r w:rsidRPr="00AF1CF8">
        <w:rPr>
          <w:szCs w:val="22"/>
        </w:rPr>
        <w:t xml:space="preserve">system </w:t>
      </w:r>
      <w:r w:rsidRPr="00AF1CF8">
        <w:rPr>
          <w:spacing w:val="-3"/>
          <w:szCs w:val="22"/>
        </w:rPr>
        <w:t xml:space="preserve">for </w:t>
      </w:r>
      <w:r w:rsidRPr="00AF1CF8">
        <w:rPr>
          <w:szCs w:val="22"/>
        </w:rPr>
        <w:t xml:space="preserve">better </w:t>
      </w:r>
      <w:r w:rsidRPr="00AF1CF8">
        <w:rPr>
          <w:spacing w:val="-3"/>
          <w:szCs w:val="22"/>
        </w:rPr>
        <w:t xml:space="preserve">online </w:t>
      </w:r>
      <w:r w:rsidRPr="00AF1CF8">
        <w:rPr>
          <w:szCs w:val="22"/>
        </w:rPr>
        <w:t xml:space="preserve">course delivery </w:t>
      </w:r>
      <w:r w:rsidRPr="00AF1CF8">
        <w:rPr>
          <w:spacing w:val="3"/>
          <w:szCs w:val="22"/>
        </w:rPr>
        <w:t xml:space="preserve">will </w:t>
      </w:r>
      <w:r w:rsidRPr="00AF1CF8">
        <w:rPr>
          <w:szCs w:val="22"/>
        </w:rPr>
        <w:t xml:space="preserve">be obtained. </w:t>
      </w:r>
      <w:r w:rsidRPr="00AF1CF8">
        <w:rPr>
          <w:spacing w:val="-4"/>
          <w:szCs w:val="22"/>
        </w:rPr>
        <w:t xml:space="preserve">Funding </w:t>
      </w:r>
      <w:r w:rsidRPr="00AF1CF8">
        <w:rPr>
          <w:spacing w:val="-3"/>
          <w:szCs w:val="22"/>
        </w:rPr>
        <w:t xml:space="preserve">for </w:t>
      </w:r>
      <w:r w:rsidRPr="00AF1CF8">
        <w:rPr>
          <w:szCs w:val="22"/>
        </w:rPr>
        <w:t xml:space="preserve">peer </w:t>
      </w:r>
      <w:r w:rsidRPr="00AF1CF8">
        <w:rPr>
          <w:spacing w:val="-5"/>
          <w:szCs w:val="22"/>
        </w:rPr>
        <w:t xml:space="preserve">mentors and </w:t>
      </w:r>
      <w:r w:rsidRPr="00AF1CF8">
        <w:rPr>
          <w:spacing w:val="-4"/>
          <w:szCs w:val="22"/>
        </w:rPr>
        <w:t xml:space="preserve">tutors </w:t>
      </w:r>
      <w:r w:rsidRPr="00AF1CF8">
        <w:rPr>
          <w:spacing w:val="4"/>
          <w:szCs w:val="22"/>
        </w:rPr>
        <w:t xml:space="preserve">will </w:t>
      </w:r>
      <w:r w:rsidRPr="00AF1CF8">
        <w:rPr>
          <w:szCs w:val="22"/>
        </w:rPr>
        <w:t xml:space="preserve">also be provided </w:t>
      </w:r>
      <w:r w:rsidRPr="00AF1CF8">
        <w:rPr>
          <w:spacing w:val="-6"/>
          <w:szCs w:val="22"/>
        </w:rPr>
        <w:t xml:space="preserve">through </w:t>
      </w:r>
      <w:r w:rsidRPr="00AF1CF8">
        <w:rPr>
          <w:spacing w:val="-4"/>
          <w:szCs w:val="22"/>
        </w:rPr>
        <w:t>this grant program.</w:t>
      </w:r>
      <w:r w:rsidRPr="00AF1CF8">
        <w:rPr>
          <w:spacing w:val="52"/>
          <w:szCs w:val="22"/>
        </w:rPr>
        <w:t xml:space="preserve"> </w:t>
      </w:r>
      <w:r w:rsidRPr="00AF1CF8">
        <w:rPr>
          <w:szCs w:val="22"/>
        </w:rPr>
        <w:t xml:space="preserve">Five classroom-based </w:t>
      </w:r>
      <w:r w:rsidRPr="00AF1CF8">
        <w:rPr>
          <w:spacing w:val="-4"/>
          <w:szCs w:val="22"/>
        </w:rPr>
        <w:t xml:space="preserve">and </w:t>
      </w:r>
      <w:r w:rsidRPr="00AF1CF8">
        <w:rPr>
          <w:spacing w:val="-3"/>
          <w:szCs w:val="22"/>
        </w:rPr>
        <w:t xml:space="preserve">online </w:t>
      </w:r>
      <w:r w:rsidRPr="00AF1CF8">
        <w:rPr>
          <w:szCs w:val="22"/>
        </w:rPr>
        <w:t xml:space="preserve">courses </w:t>
      </w:r>
      <w:r w:rsidRPr="00AF1CF8">
        <w:rPr>
          <w:spacing w:val="4"/>
          <w:szCs w:val="22"/>
        </w:rPr>
        <w:t xml:space="preserve">will </w:t>
      </w:r>
      <w:r w:rsidRPr="00AF1CF8">
        <w:rPr>
          <w:szCs w:val="22"/>
        </w:rPr>
        <w:t xml:space="preserve">be developed </w:t>
      </w:r>
      <w:r w:rsidRPr="00AF1CF8">
        <w:rPr>
          <w:spacing w:val="-4"/>
          <w:szCs w:val="22"/>
        </w:rPr>
        <w:t xml:space="preserve">and </w:t>
      </w:r>
      <w:r w:rsidRPr="00AF1CF8">
        <w:rPr>
          <w:szCs w:val="22"/>
        </w:rPr>
        <w:t xml:space="preserve">piloted </w:t>
      </w:r>
      <w:r w:rsidRPr="00AF1CF8">
        <w:rPr>
          <w:spacing w:val="2"/>
          <w:szCs w:val="22"/>
        </w:rPr>
        <w:t xml:space="preserve">in </w:t>
      </w:r>
      <w:r w:rsidRPr="00AF1CF8">
        <w:rPr>
          <w:szCs w:val="22"/>
        </w:rPr>
        <w:t xml:space="preserve">both Years </w:t>
      </w:r>
      <w:r w:rsidRPr="00AF1CF8">
        <w:rPr>
          <w:spacing w:val="-6"/>
          <w:szCs w:val="22"/>
        </w:rPr>
        <w:t xml:space="preserve">One </w:t>
      </w:r>
      <w:r w:rsidRPr="00AF1CF8">
        <w:rPr>
          <w:spacing w:val="-4"/>
          <w:szCs w:val="22"/>
        </w:rPr>
        <w:t xml:space="preserve">and </w:t>
      </w:r>
      <w:r w:rsidRPr="00AF1CF8">
        <w:rPr>
          <w:szCs w:val="22"/>
        </w:rPr>
        <w:t xml:space="preserve">Five, </w:t>
      </w:r>
      <w:r w:rsidRPr="00AF1CF8">
        <w:rPr>
          <w:spacing w:val="-4"/>
          <w:szCs w:val="22"/>
        </w:rPr>
        <w:t xml:space="preserve">and </w:t>
      </w:r>
      <w:r w:rsidRPr="00AF1CF8">
        <w:rPr>
          <w:szCs w:val="22"/>
        </w:rPr>
        <w:t xml:space="preserve">seven classroom </w:t>
      </w:r>
      <w:r w:rsidRPr="00AF1CF8">
        <w:rPr>
          <w:spacing w:val="-4"/>
          <w:szCs w:val="22"/>
        </w:rPr>
        <w:t xml:space="preserve">and </w:t>
      </w:r>
      <w:r w:rsidRPr="00AF1CF8">
        <w:rPr>
          <w:spacing w:val="-3"/>
          <w:szCs w:val="22"/>
        </w:rPr>
        <w:t xml:space="preserve">online </w:t>
      </w:r>
      <w:r w:rsidRPr="00AF1CF8">
        <w:rPr>
          <w:szCs w:val="22"/>
        </w:rPr>
        <w:t xml:space="preserve">courses </w:t>
      </w:r>
      <w:r w:rsidRPr="00AF1CF8">
        <w:rPr>
          <w:spacing w:val="4"/>
          <w:szCs w:val="22"/>
        </w:rPr>
        <w:t xml:space="preserve">will </w:t>
      </w:r>
      <w:r w:rsidRPr="00AF1CF8">
        <w:rPr>
          <w:szCs w:val="22"/>
        </w:rPr>
        <w:t xml:space="preserve">be developed </w:t>
      </w:r>
      <w:r w:rsidRPr="00AF1CF8">
        <w:rPr>
          <w:spacing w:val="-4"/>
          <w:szCs w:val="22"/>
        </w:rPr>
        <w:t xml:space="preserve">and </w:t>
      </w:r>
      <w:r w:rsidRPr="00AF1CF8">
        <w:rPr>
          <w:szCs w:val="22"/>
        </w:rPr>
        <w:t xml:space="preserve">piloted each </w:t>
      </w:r>
      <w:r w:rsidRPr="00AF1CF8">
        <w:rPr>
          <w:spacing w:val="-3"/>
          <w:szCs w:val="22"/>
        </w:rPr>
        <w:t xml:space="preserve">year </w:t>
      </w:r>
      <w:r w:rsidRPr="00AF1CF8">
        <w:rPr>
          <w:spacing w:val="2"/>
          <w:szCs w:val="22"/>
        </w:rPr>
        <w:t xml:space="preserve">in </w:t>
      </w:r>
      <w:r w:rsidRPr="00AF1CF8">
        <w:rPr>
          <w:szCs w:val="22"/>
        </w:rPr>
        <w:t xml:space="preserve">Years Two </w:t>
      </w:r>
      <w:r w:rsidRPr="00AF1CF8">
        <w:rPr>
          <w:spacing w:val="-6"/>
          <w:szCs w:val="22"/>
        </w:rPr>
        <w:t xml:space="preserve">through </w:t>
      </w:r>
      <w:r w:rsidRPr="00AF1CF8">
        <w:rPr>
          <w:spacing w:val="-4"/>
          <w:szCs w:val="22"/>
        </w:rPr>
        <w:t xml:space="preserve">Four </w:t>
      </w:r>
      <w:r w:rsidRPr="00AF1CF8">
        <w:rPr>
          <w:szCs w:val="22"/>
        </w:rPr>
        <w:t xml:space="preserve">of </w:t>
      </w:r>
      <w:r w:rsidRPr="00AF1CF8">
        <w:rPr>
          <w:spacing w:val="-7"/>
          <w:szCs w:val="22"/>
        </w:rPr>
        <w:t xml:space="preserve">the </w:t>
      </w:r>
      <w:r w:rsidRPr="00AF1CF8">
        <w:rPr>
          <w:spacing w:val="-5"/>
          <w:szCs w:val="22"/>
        </w:rPr>
        <w:t xml:space="preserve">grant. </w:t>
      </w:r>
      <w:r w:rsidRPr="00AF1CF8">
        <w:rPr>
          <w:spacing w:val="-3"/>
          <w:szCs w:val="22"/>
        </w:rPr>
        <w:t xml:space="preserve">An </w:t>
      </w:r>
      <w:r w:rsidRPr="00AF1CF8">
        <w:rPr>
          <w:spacing w:val="-4"/>
          <w:szCs w:val="22"/>
        </w:rPr>
        <w:t xml:space="preserve">endowment </w:t>
      </w:r>
      <w:r w:rsidRPr="00AF1CF8">
        <w:rPr>
          <w:spacing w:val="-5"/>
          <w:szCs w:val="22"/>
        </w:rPr>
        <w:t xml:space="preserve">component requiring a 1:1 match will create UST’s first </w:t>
      </w:r>
      <w:r w:rsidRPr="00AF1CF8">
        <w:rPr>
          <w:spacing w:val="-4"/>
          <w:szCs w:val="22"/>
        </w:rPr>
        <w:t xml:space="preserve">graduate nursing </w:t>
      </w:r>
      <w:r w:rsidRPr="00AF1CF8">
        <w:rPr>
          <w:szCs w:val="22"/>
        </w:rPr>
        <w:t xml:space="preserve">scholarship </w:t>
      </w:r>
      <w:r w:rsidRPr="00AF1CF8">
        <w:rPr>
          <w:spacing w:val="-8"/>
          <w:szCs w:val="22"/>
        </w:rPr>
        <w:t xml:space="preserve">fund </w:t>
      </w:r>
      <w:r w:rsidRPr="00AF1CF8">
        <w:rPr>
          <w:spacing w:val="-3"/>
          <w:szCs w:val="22"/>
        </w:rPr>
        <w:t xml:space="preserve">for </w:t>
      </w:r>
      <w:r w:rsidRPr="00AF1CF8">
        <w:rPr>
          <w:szCs w:val="22"/>
        </w:rPr>
        <w:t xml:space="preserve">Hispanic </w:t>
      </w:r>
      <w:r w:rsidRPr="00AF1CF8">
        <w:rPr>
          <w:spacing w:val="-5"/>
          <w:szCs w:val="22"/>
        </w:rPr>
        <w:t xml:space="preserve">and </w:t>
      </w:r>
      <w:r w:rsidRPr="00AF1CF8">
        <w:rPr>
          <w:szCs w:val="22"/>
        </w:rPr>
        <w:t>low-income</w:t>
      </w:r>
      <w:r w:rsidRPr="00AF1CF8">
        <w:rPr>
          <w:spacing w:val="-39"/>
          <w:szCs w:val="22"/>
        </w:rPr>
        <w:t xml:space="preserve"> </w:t>
      </w:r>
      <w:r w:rsidRPr="00AF1CF8">
        <w:rPr>
          <w:spacing w:val="-4"/>
          <w:szCs w:val="22"/>
        </w:rPr>
        <w:t>students.</w:t>
      </w:r>
    </w:p>
    <w:p w14:paraId="20B3267B" w14:textId="77777777" w:rsidR="004A0D06" w:rsidRPr="00AF1CF8" w:rsidRDefault="004A0D06" w:rsidP="00EB748D">
      <w:pPr>
        <w:pStyle w:val="BodyText"/>
        <w:rPr>
          <w:spacing w:val="-3"/>
          <w:szCs w:val="22"/>
        </w:rPr>
      </w:pPr>
    </w:p>
    <w:p w14:paraId="3C7FC99D" w14:textId="77777777" w:rsidR="004A0D06" w:rsidRPr="00AF1CF8" w:rsidRDefault="004A0D06" w:rsidP="00AF1CF8">
      <w:pPr>
        <w:pStyle w:val="BodyText"/>
        <w:rPr>
          <w:szCs w:val="22"/>
        </w:rPr>
      </w:pPr>
      <w:r w:rsidRPr="00AF1CF8">
        <w:rPr>
          <w:b/>
          <w:szCs w:val="22"/>
        </w:rPr>
        <w:t>Strong Supporting Theory Used:</w:t>
      </w:r>
      <w:r w:rsidRPr="00AF1CF8">
        <w:rPr>
          <w:szCs w:val="22"/>
        </w:rPr>
        <w:t xml:space="preserve"> Bettinger and Baker (March 2011). </w:t>
      </w:r>
      <w:r w:rsidRPr="00AF1CF8">
        <w:rPr>
          <w:i/>
          <w:szCs w:val="22"/>
        </w:rPr>
        <w:t>The effects of</w:t>
      </w:r>
      <w:r w:rsidRPr="00AF1CF8">
        <w:rPr>
          <w:i/>
          <w:w w:val="83"/>
          <w:szCs w:val="22"/>
        </w:rPr>
        <w:t xml:space="preserve"> </w:t>
      </w:r>
      <w:r w:rsidRPr="00AF1CF8">
        <w:rPr>
          <w:i/>
          <w:szCs w:val="22"/>
        </w:rPr>
        <w:t>student coaching in college: An evaluation of a randomized experiment in student mentoring.</w:t>
      </w:r>
    </w:p>
    <w:p w14:paraId="0D66705E" w14:textId="77777777" w:rsidR="004A0D06" w:rsidRPr="00AF1CF8" w:rsidRDefault="004A0D06" w:rsidP="00AF1CF8">
      <w:pPr>
        <w:pStyle w:val="BodyText"/>
        <w:rPr>
          <w:szCs w:val="22"/>
        </w:rPr>
      </w:pPr>
    </w:p>
    <w:p w14:paraId="2DF181F1" w14:textId="77777777" w:rsidR="004A0D06" w:rsidRPr="00AF1CF8" w:rsidRDefault="004A0D06" w:rsidP="00AF1CF8">
      <w:pPr>
        <w:pStyle w:val="BodyText"/>
        <w:rPr>
          <w:szCs w:val="22"/>
        </w:rPr>
      </w:pPr>
      <w:r w:rsidRPr="00AF1CF8">
        <w:rPr>
          <w:b/>
          <w:szCs w:val="22"/>
        </w:rPr>
        <w:t>Total number of students served by this project:</w:t>
      </w:r>
      <w:r w:rsidRPr="00AF1CF8">
        <w:rPr>
          <w:szCs w:val="22"/>
        </w:rPr>
        <w:t xml:space="preserve"> By September 2024, at least 776 students will participate in this grant, at an average of $773 per student per year.</w:t>
      </w:r>
    </w:p>
    <w:p w14:paraId="25B60383" w14:textId="77777777" w:rsidR="004A0D06" w:rsidRPr="00AF1CF8" w:rsidRDefault="004A0D06" w:rsidP="00AF1CF8">
      <w:pPr>
        <w:pStyle w:val="BodyText"/>
        <w:rPr>
          <w:szCs w:val="22"/>
        </w:rPr>
      </w:pPr>
    </w:p>
    <w:sectPr w:rsidR="004A0D06" w:rsidRPr="00AF1CF8" w:rsidSect="005A433D">
      <w:footerReference w:type="default" r:id="rId13"/>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32414" w14:textId="77777777" w:rsidR="00C06977" w:rsidRDefault="00C06977">
      <w:r>
        <w:separator/>
      </w:r>
    </w:p>
  </w:endnote>
  <w:endnote w:type="continuationSeparator" w:id="0">
    <w:p w14:paraId="5BC1125B" w14:textId="77777777" w:rsidR="00C06977" w:rsidRDefault="00C06977">
      <w:r>
        <w:continuationSeparator/>
      </w:r>
    </w:p>
  </w:endnote>
  <w:endnote w:type="continuationNotice" w:id="1">
    <w:p w14:paraId="6941E73F" w14:textId="77777777" w:rsidR="00C06977" w:rsidRDefault="00C069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873284"/>
      <w:docPartObj>
        <w:docPartGallery w:val="Page Numbers (Bottom of Page)"/>
        <w:docPartUnique/>
      </w:docPartObj>
    </w:sdtPr>
    <w:sdtEndPr>
      <w:rPr>
        <w:noProof/>
      </w:rPr>
    </w:sdtEndPr>
    <w:sdtContent>
      <w:p w14:paraId="54024DE9" w14:textId="30837556" w:rsidR="001E4D1B" w:rsidRDefault="001E4D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C39B91" w14:textId="77777777" w:rsidR="001E4D1B" w:rsidRDefault="001E4D1B">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140690"/>
      <w:docPartObj>
        <w:docPartGallery w:val="Page Numbers (Bottom of Page)"/>
        <w:docPartUnique/>
      </w:docPartObj>
    </w:sdtPr>
    <w:sdtEndPr>
      <w:rPr>
        <w:noProof/>
      </w:rPr>
    </w:sdtEndPr>
    <w:sdtContent>
      <w:p w14:paraId="5D0FF401" w14:textId="4418D24D" w:rsidR="001E4D1B" w:rsidRDefault="001E4D1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E7FCD2" w14:textId="77777777" w:rsidR="001E4D1B" w:rsidRDefault="001E4D1B">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201602"/>
      <w:docPartObj>
        <w:docPartGallery w:val="Page Numbers (Bottom of Page)"/>
        <w:docPartUnique/>
      </w:docPartObj>
    </w:sdtPr>
    <w:sdtEndPr>
      <w:rPr>
        <w:noProof/>
      </w:rPr>
    </w:sdtEndPr>
    <w:sdtContent>
      <w:p w14:paraId="74DD56B5" w14:textId="3DFC3BE9" w:rsidR="00556D96" w:rsidRDefault="00556D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11BEA4" w14:textId="77777777" w:rsidR="001E4D1B" w:rsidRDefault="001E4D1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7F5CD" w14:textId="77777777" w:rsidR="00C06977" w:rsidRDefault="00C06977">
      <w:r>
        <w:separator/>
      </w:r>
    </w:p>
  </w:footnote>
  <w:footnote w:type="continuationSeparator" w:id="0">
    <w:p w14:paraId="2970BB7C" w14:textId="77777777" w:rsidR="00C06977" w:rsidRDefault="00C06977">
      <w:r>
        <w:continuationSeparator/>
      </w:r>
    </w:p>
  </w:footnote>
  <w:footnote w:type="continuationNotice" w:id="1">
    <w:p w14:paraId="63CB3553" w14:textId="77777777" w:rsidR="00C06977" w:rsidRDefault="00C069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49D9"/>
    <w:multiLevelType w:val="hybridMultilevel"/>
    <w:tmpl w:val="B85E9058"/>
    <w:lvl w:ilvl="0" w:tplc="5AA27888">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831CC"/>
    <w:multiLevelType w:val="hybridMultilevel"/>
    <w:tmpl w:val="E83E4810"/>
    <w:lvl w:ilvl="0" w:tplc="7A964C14">
      <w:start w:val="1"/>
      <w:numFmt w:val="decimal"/>
      <w:lvlText w:val="(%1)"/>
      <w:lvlJc w:val="left"/>
      <w:pPr>
        <w:ind w:left="360" w:hanging="360"/>
      </w:pPr>
      <w:rPr>
        <w:rFonts w:ascii="Times New Roman" w:eastAsia="Times New Roman" w:hAnsi="Times New Roman" w:cs="Times New Roman" w:hint="default"/>
        <w:color w:val="231F20"/>
        <w:w w:val="99"/>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795720"/>
    <w:multiLevelType w:val="hybridMultilevel"/>
    <w:tmpl w:val="3A4A7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0F4942"/>
    <w:multiLevelType w:val="hybridMultilevel"/>
    <w:tmpl w:val="5DC6D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0343CE"/>
    <w:multiLevelType w:val="hybridMultilevel"/>
    <w:tmpl w:val="EB325ADE"/>
    <w:lvl w:ilvl="0" w:tplc="5AA27888">
      <w:numFmt w:val="bullet"/>
      <w:lvlText w:val=""/>
      <w:lvlJc w:val="left"/>
      <w:pPr>
        <w:ind w:left="1900" w:hanging="360"/>
      </w:pPr>
      <w:rPr>
        <w:rFonts w:ascii="Wingdings" w:eastAsia="Wingdings" w:hAnsi="Wingdings" w:cs="Wingdings" w:hint="default"/>
        <w:w w:val="99"/>
        <w:sz w:val="24"/>
        <w:szCs w:val="24"/>
      </w:rPr>
    </w:lvl>
    <w:lvl w:ilvl="1" w:tplc="8A94C092">
      <w:numFmt w:val="bullet"/>
      <w:lvlText w:val="•"/>
      <w:lvlJc w:val="left"/>
      <w:pPr>
        <w:ind w:left="2908" w:hanging="360"/>
      </w:pPr>
      <w:rPr>
        <w:rFonts w:hint="default"/>
      </w:rPr>
    </w:lvl>
    <w:lvl w:ilvl="2" w:tplc="2CAAF398">
      <w:numFmt w:val="bullet"/>
      <w:lvlText w:val="•"/>
      <w:lvlJc w:val="left"/>
      <w:pPr>
        <w:ind w:left="3916" w:hanging="360"/>
      </w:pPr>
      <w:rPr>
        <w:rFonts w:hint="default"/>
      </w:rPr>
    </w:lvl>
    <w:lvl w:ilvl="3" w:tplc="9336F7C6">
      <w:numFmt w:val="bullet"/>
      <w:lvlText w:val="•"/>
      <w:lvlJc w:val="left"/>
      <w:pPr>
        <w:ind w:left="4924" w:hanging="360"/>
      </w:pPr>
      <w:rPr>
        <w:rFonts w:hint="default"/>
      </w:rPr>
    </w:lvl>
    <w:lvl w:ilvl="4" w:tplc="FD381B70">
      <w:numFmt w:val="bullet"/>
      <w:lvlText w:val="•"/>
      <w:lvlJc w:val="left"/>
      <w:pPr>
        <w:ind w:left="5932" w:hanging="360"/>
      </w:pPr>
      <w:rPr>
        <w:rFonts w:hint="default"/>
      </w:rPr>
    </w:lvl>
    <w:lvl w:ilvl="5" w:tplc="D68EBC56">
      <w:numFmt w:val="bullet"/>
      <w:lvlText w:val="•"/>
      <w:lvlJc w:val="left"/>
      <w:pPr>
        <w:ind w:left="6940" w:hanging="360"/>
      </w:pPr>
      <w:rPr>
        <w:rFonts w:hint="default"/>
      </w:rPr>
    </w:lvl>
    <w:lvl w:ilvl="6" w:tplc="BDB8D48E">
      <w:numFmt w:val="bullet"/>
      <w:lvlText w:val="•"/>
      <w:lvlJc w:val="left"/>
      <w:pPr>
        <w:ind w:left="7948" w:hanging="360"/>
      </w:pPr>
      <w:rPr>
        <w:rFonts w:hint="default"/>
      </w:rPr>
    </w:lvl>
    <w:lvl w:ilvl="7" w:tplc="EFCE6E04">
      <w:numFmt w:val="bullet"/>
      <w:lvlText w:val="•"/>
      <w:lvlJc w:val="left"/>
      <w:pPr>
        <w:ind w:left="8956" w:hanging="360"/>
      </w:pPr>
      <w:rPr>
        <w:rFonts w:hint="default"/>
      </w:rPr>
    </w:lvl>
    <w:lvl w:ilvl="8" w:tplc="0DE099BC">
      <w:numFmt w:val="bullet"/>
      <w:lvlText w:val="•"/>
      <w:lvlJc w:val="left"/>
      <w:pPr>
        <w:ind w:left="9964" w:hanging="360"/>
      </w:pPr>
      <w:rPr>
        <w:rFonts w:hint="default"/>
      </w:rPr>
    </w:lvl>
  </w:abstractNum>
  <w:abstractNum w:abstractNumId="5" w15:restartNumberingAfterBreak="0">
    <w:nsid w:val="08DC0520"/>
    <w:multiLevelType w:val="hybridMultilevel"/>
    <w:tmpl w:val="8E40C7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4E20C0"/>
    <w:multiLevelType w:val="hybridMultilevel"/>
    <w:tmpl w:val="4FC4715A"/>
    <w:lvl w:ilvl="0" w:tplc="14AA3CB0">
      <w:start w:val="1"/>
      <w:numFmt w:val="decimal"/>
      <w:lvlText w:val="%1."/>
      <w:lvlJc w:val="left"/>
      <w:pPr>
        <w:ind w:left="1540" w:hanging="360"/>
      </w:pPr>
      <w:rPr>
        <w:rFonts w:ascii="Times New Roman" w:eastAsia="Times New Roman" w:hAnsi="Times New Roman" w:cs="Times New Roman" w:hint="default"/>
        <w:spacing w:val="-6"/>
        <w:w w:val="99"/>
        <w:sz w:val="24"/>
        <w:szCs w:val="24"/>
      </w:rPr>
    </w:lvl>
    <w:lvl w:ilvl="1" w:tplc="7440328C">
      <w:numFmt w:val="bullet"/>
      <w:lvlText w:val="•"/>
      <w:lvlJc w:val="left"/>
      <w:pPr>
        <w:ind w:left="2584" w:hanging="360"/>
      </w:pPr>
      <w:rPr>
        <w:rFonts w:hint="default"/>
      </w:rPr>
    </w:lvl>
    <w:lvl w:ilvl="2" w:tplc="75E6646E">
      <w:numFmt w:val="bullet"/>
      <w:lvlText w:val="•"/>
      <w:lvlJc w:val="left"/>
      <w:pPr>
        <w:ind w:left="3628" w:hanging="360"/>
      </w:pPr>
      <w:rPr>
        <w:rFonts w:hint="default"/>
      </w:rPr>
    </w:lvl>
    <w:lvl w:ilvl="3" w:tplc="2662EC14">
      <w:numFmt w:val="bullet"/>
      <w:lvlText w:val="•"/>
      <w:lvlJc w:val="left"/>
      <w:pPr>
        <w:ind w:left="4672" w:hanging="360"/>
      </w:pPr>
      <w:rPr>
        <w:rFonts w:hint="default"/>
      </w:rPr>
    </w:lvl>
    <w:lvl w:ilvl="4" w:tplc="8346A48C">
      <w:numFmt w:val="bullet"/>
      <w:lvlText w:val="•"/>
      <w:lvlJc w:val="left"/>
      <w:pPr>
        <w:ind w:left="5716" w:hanging="360"/>
      </w:pPr>
      <w:rPr>
        <w:rFonts w:hint="default"/>
      </w:rPr>
    </w:lvl>
    <w:lvl w:ilvl="5" w:tplc="F6CA6566">
      <w:numFmt w:val="bullet"/>
      <w:lvlText w:val="•"/>
      <w:lvlJc w:val="left"/>
      <w:pPr>
        <w:ind w:left="6760" w:hanging="360"/>
      </w:pPr>
      <w:rPr>
        <w:rFonts w:hint="default"/>
      </w:rPr>
    </w:lvl>
    <w:lvl w:ilvl="6" w:tplc="7870EE02">
      <w:numFmt w:val="bullet"/>
      <w:lvlText w:val="•"/>
      <w:lvlJc w:val="left"/>
      <w:pPr>
        <w:ind w:left="7804" w:hanging="360"/>
      </w:pPr>
      <w:rPr>
        <w:rFonts w:hint="default"/>
      </w:rPr>
    </w:lvl>
    <w:lvl w:ilvl="7" w:tplc="581ED9B0">
      <w:numFmt w:val="bullet"/>
      <w:lvlText w:val="•"/>
      <w:lvlJc w:val="left"/>
      <w:pPr>
        <w:ind w:left="8848" w:hanging="360"/>
      </w:pPr>
      <w:rPr>
        <w:rFonts w:hint="default"/>
      </w:rPr>
    </w:lvl>
    <w:lvl w:ilvl="8" w:tplc="AF8ACDD0">
      <w:numFmt w:val="bullet"/>
      <w:lvlText w:val="•"/>
      <w:lvlJc w:val="left"/>
      <w:pPr>
        <w:ind w:left="9892" w:hanging="360"/>
      </w:pPr>
      <w:rPr>
        <w:rFonts w:hint="default"/>
      </w:rPr>
    </w:lvl>
  </w:abstractNum>
  <w:abstractNum w:abstractNumId="7" w15:restartNumberingAfterBreak="0">
    <w:nsid w:val="09715D30"/>
    <w:multiLevelType w:val="hybridMultilevel"/>
    <w:tmpl w:val="7F0671C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5F7A94"/>
    <w:multiLevelType w:val="hybridMultilevel"/>
    <w:tmpl w:val="8A6E3FBA"/>
    <w:lvl w:ilvl="0" w:tplc="5AA27888">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446040"/>
    <w:multiLevelType w:val="hybridMultilevel"/>
    <w:tmpl w:val="A6521D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FE2115B"/>
    <w:multiLevelType w:val="hybridMultilevel"/>
    <w:tmpl w:val="E7FEA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4676021"/>
    <w:multiLevelType w:val="hybridMultilevel"/>
    <w:tmpl w:val="58E6D84A"/>
    <w:lvl w:ilvl="0" w:tplc="0812FB5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A655B2"/>
    <w:multiLevelType w:val="hybridMultilevel"/>
    <w:tmpl w:val="9D507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EF2410"/>
    <w:multiLevelType w:val="hybridMultilevel"/>
    <w:tmpl w:val="86B0A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8A51C40"/>
    <w:multiLevelType w:val="hybridMultilevel"/>
    <w:tmpl w:val="D0CCB206"/>
    <w:lvl w:ilvl="0" w:tplc="5AA27888">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846C75"/>
    <w:multiLevelType w:val="hybridMultilevel"/>
    <w:tmpl w:val="0EB22E34"/>
    <w:lvl w:ilvl="0" w:tplc="0812FB5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866F30"/>
    <w:multiLevelType w:val="hybridMultilevel"/>
    <w:tmpl w:val="882ED180"/>
    <w:lvl w:ilvl="0" w:tplc="BC6616C4">
      <w:numFmt w:val="bullet"/>
      <w:lvlText w:val=""/>
      <w:lvlJc w:val="left"/>
      <w:pPr>
        <w:ind w:left="1540" w:hanging="360"/>
      </w:pPr>
      <w:rPr>
        <w:rFonts w:hint="default"/>
        <w:w w:val="100"/>
      </w:rPr>
    </w:lvl>
    <w:lvl w:ilvl="1" w:tplc="A130271E">
      <w:numFmt w:val="bullet"/>
      <w:lvlText w:val="o"/>
      <w:lvlJc w:val="left"/>
      <w:pPr>
        <w:ind w:left="2260" w:hanging="360"/>
      </w:pPr>
      <w:rPr>
        <w:rFonts w:ascii="Courier New" w:eastAsia="Courier New" w:hAnsi="Courier New" w:cs="Courier New" w:hint="default"/>
        <w:w w:val="100"/>
        <w:sz w:val="22"/>
        <w:szCs w:val="22"/>
      </w:rPr>
    </w:lvl>
    <w:lvl w:ilvl="2" w:tplc="FE6884B4">
      <w:numFmt w:val="bullet"/>
      <w:lvlText w:val="•"/>
      <w:lvlJc w:val="left"/>
      <w:pPr>
        <w:ind w:left="3340" w:hanging="360"/>
      </w:pPr>
      <w:rPr>
        <w:rFonts w:hint="default"/>
      </w:rPr>
    </w:lvl>
    <w:lvl w:ilvl="3" w:tplc="50123E3C">
      <w:numFmt w:val="bullet"/>
      <w:lvlText w:val="•"/>
      <w:lvlJc w:val="left"/>
      <w:pPr>
        <w:ind w:left="4420" w:hanging="360"/>
      </w:pPr>
      <w:rPr>
        <w:rFonts w:hint="default"/>
      </w:rPr>
    </w:lvl>
    <w:lvl w:ilvl="4" w:tplc="CE74D680">
      <w:numFmt w:val="bullet"/>
      <w:lvlText w:val="•"/>
      <w:lvlJc w:val="left"/>
      <w:pPr>
        <w:ind w:left="5500" w:hanging="360"/>
      </w:pPr>
      <w:rPr>
        <w:rFonts w:hint="default"/>
      </w:rPr>
    </w:lvl>
    <w:lvl w:ilvl="5" w:tplc="A300DBB6">
      <w:numFmt w:val="bullet"/>
      <w:lvlText w:val="•"/>
      <w:lvlJc w:val="left"/>
      <w:pPr>
        <w:ind w:left="6580" w:hanging="360"/>
      </w:pPr>
      <w:rPr>
        <w:rFonts w:hint="default"/>
      </w:rPr>
    </w:lvl>
    <w:lvl w:ilvl="6" w:tplc="892CD730">
      <w:numFmt w:val="bullet"/>
      <w:lvlText w:val="•"/>
      <w:lvlJc w:val="left"/>
      <w:pPr>
        <w:ind w:left="7660" w:hanging="360"/>
      </w:pPr>
      <w:rPr>
        <w:rFonts w:hint="default"/>
      </w:rPr>
    </w:lvl>
    <w:lvl w:ilvl="7" w:tplc="CC22B3CC">
      <w:numFmt w:val="bullet"/>
      <w:lvlText w:val="•"/>
      <w:lvlJc w:val="left"/>
      <w:pPr>
        <w:ind w:left="8740" w:hanging="360"/>
      </w:pPr>
      <w:rPr>
        <w:rFonts w:hint="default"/>
      </w:rPr>
    </w:lvl>
    <w:lvl w:ilvl="8" w:tplc="2C3C731C">
      <w:numFmt w:val="bullet"/>
      <w:lvlText w:val="•"/>
      <w:lvlJc w:val="left"/>
      <w:pPr>
        <w:ind w:left="9820" w:hanging="360"/>
      </w:pPr>
      <w:rPr>
        <w:rFonts w:hint="default"/>
      </w:rPr>
    </w:lvl>
  </w:abstractNum>
  <w:abstractNum w:abstractNumId="17" w15:restartNumberingAfterBreak="0">
    <w:nsid w:val="2331471C"/>
    <w:multiLevelType w:val="hybridMultilevel"/>
    <w:tmpl w:val="09C0542C"/>
    <w:lvl w:ilvl="0" w:tplc="83F0EE22">
      <w:start w:val="1"/>
      <w:numFmt w:val="decimal"/>
      <w:lvlText w:val="%1)"/>
      <w:lvlJc w:val="left"/>
      <w:pPr>
        <w:ind w:left="360" w:hanging="360"/>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4E35E9C"/>
    <w:multiLevelType w:val="hybridMultilevel"/>
    <w:tmpl w:val="C2665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4D0FCE"/>
    <w:multiLevelType w:val="hybridMultilevel"/>
    <w:tmpl w:val="16D09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605019"/>
    <w:multiLevelType w:val="hybridMultilevel"/>
    <w:tmpl w:val="4082494E"/>
    <w:lvl w:ilvl="0" w:tplc="AC28E824">
      <w:start w:val="1"/>
      <w:numFmt w:val="decimal"/>
      <w:lvlText w:val="%1."/>
      <w:lvlJc w:val="left"/>
      <w:pPr>
        <w:ind w:left="1901" w:hanging="361"/>
      </w:pPr>
      <w:rPr>
        <w:rFonts w:ascii="Times New Roman" w:eastAsia="Times New Roman" w:hAnsi="Times New Roman" w:cs="Times New Roman" w:hint="default"/>
        <w:spacing w:val="-10"/>
        <w:w w:val="99"/>
        <w:sz w:val="24"/>
        <w:szCs w:val="24"/>
      </w:rPr>
    </w:lvl>
    <w:lvl w:ilvl="1" w:tplc="70A27870">
      <w:numFmt w:val="bullet"/>
      <w:lvlText w:val="•"/>
      <w:lvlJc w:val="left"/>
      <w:pPr>
        <w:ind w:left="2908" w:hanging="361"/>
      </w:pPr>
      <w:rPr>
        <w:rFonts w:hint="default"/>
      </w:rPr>
    </w:lvl>
    <w:lvl w:ilvl="2" w:tplc="039E0204">
      <w:numFmt w:val="bullet"/>
      <w:lvlText w:val="•"/>
      <w:lvlJc w:val="left"/>
      <w:pPr>
        <w:ind w:left="3916" w:hanging="361"/>
      </w:pPr>
      <w:rPr>
        <w:rFonts w:hint="default"/>
      </w:rPr>
    </w:lvl>
    <w:lvl w:ilvl="3" w:tplc="AC60953E">
      <w:numFmt w:val="bullet"/>
      <w:lvlText w:val="•"/>
      <w:lvlJc w:val="left"/>
      <w:pPr>
        <w:ind w:left="4924" w:hanging="361"/>
      </w:pPr>
      <w:rPr>
        <w:rFonts w:hint="default"/>
      </w:rPr>
    </w:lvl>
    <w:lvl w:ilvl="4" w:tplc="E90E4214">
      <w:numFmt w:val="bullet"/>
      <w:lvlText w:val="•"/>
      <w:lvlJc w:val="left"/>
      <w:pPr>
        <w:ind w:left="5932" w:hanging="361"/>
      </w:pPr>
      <w:rPr>
        <w:rFonts w:hint="default"/>
      </w:rPr>
    </w:lvl>
    <w:lvl w:ilvl="5" w:tplc="65DE75B0">
      <w:numFmt w:val="bullet"/>
      <w:lvlText w:val="•"/>
      <w:lvlJc w:val="left"/>
      <w:pPr>
        <w:ind w:left="6940" w:hanging="361"/>
      </w:pPr>
      <w:rPr>
        <w:rFonts w:hint="default"/>
      </w:rPr>
    </w:lvl>
    <w:lvl w:ilvl="6" w:tplc="496293CA">
      <w:numFmt w:val="bullet"/>
      <w:lvlText w:val="•"/>
      <w:lvlJc w:val="left"/>
      <w:pPr>
        <w:ind w:left="7948" w:hanging="361"/>
      </w:pPr>
      <w:rPr>
        <w:rFonts w:hint="default"/>
      </w:rPr>
    </w:lvl>
    <w:lvl w:ilvl="7" w:tplc="4BF2FAAE">
      <w:numFmt w:val="bullet"/>
      <w:lvlText w:val="•"/>
      <w:lvlJc w:val="left"/>
      <w:pPr>
        <w:ind w:left="8956" w:hanging="361"/>
      </w:pPr>
      <w:rPr>
        <w:rFonts w:hint="default"/>
      </w:rPr>
    </w:lvl>
    <w:lvl w:ilvl="8" w:tplc="9BCC6C20">
      <w:numFmt w:val="bullet"/>
      <w:lvlText w:val="•"/>
      <w:lvlJc w:val="left"/>
      <w:pPr>
        <w:ind w:left="9964" w:hanging="361"/>
      </w:pPr>
      <w:rPr>
        <w:rFonts w:hint="default"/>
      </w:rPr>
    </w:lvl>
  </w:abstractNum>
  <w:abstractNum w:abstractNumId="21" w15:restartNumberingAfterBreak="0">
    <w:nsid w:val="28033D32"/>
    <w:multiLevelType w:val="hybridMultilevel"/>
    <w:tmpl w:val="5608F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2B7153"/>
    <w:multiLevelType w:val="hybridMultilevel"/>
    <w:tmpl w:val="8B0E2F8E"/>
    <w:lvl w:ilvl="0" w:tplc="45E61450">
      <w:start w:val="1"/>
      <w:numFmt w:val="decimal"/>
      <w:lvlText w:val="%1."/>
      <w:lvlJc w:val="left"/>
      <w:pPr>
        <w:ind w:left="360" w:hanging="360"/>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D8E6A89"/>
    <w:multiLevelType w:val="hybridMultilevel"/>
    <w:tmpl w:val="BC1E4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DCF0D3D"/>
    <w:multiLevelType w:val="hybridMultilevel"/>
    <w:tmpl w:val="FC0E6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ED83DB5"/>
    <w:multiLevelType w:val="hybridMultilevel"/>
    <w:tmpl w:val="E05A807A"/>
    <w:lvl w:ilvl="0" w:tplc="26F2981E">
      <w:start w:val="2"/>
      <w:numFmt w:val="lowerLetter"/>
      <w:lvlText w:val="%1)"/>
      <w:lvlJc w:val="left"/>
      <w:pPr>
        <w:ind w:left="1180" w:hanging="295"/>
      </w:pPr>
      <w:rPr>
        <w:rFonts w:ascii="Times New Roman" w:eastAsia="Times New Roman" w:hAnsi="Times New Roman" w:cs="Times New Roman" w:hint="default"/>
        <w:spacing w:val="-27"/>
        <w:w w:val="99"/>
        <w:sz w:val="24"/>
        <w:szCs w:val="24"/>
      </w:rPr>
    </w:lvl>
    <w:lvl w:ilvl="1" w:tplc="4C50F492">
      <w:numFmt w:val="bullet"/>
      <w:lvlText w:val="•"/>
      <w:lvlJc w:val="left"/>
      <w:pPr>
        <w:ind w:left="1746" w:hanging="140"/>
      </w:pPr>
      <w:rPr>
        <w:rFonts w:hint="default"/>
        <w:spacing w:val="28"/>
        <w:w w:val="100"/>
        <w:sz w:val="24"/>
        <w:szCs w:val="24"/>
        <w:lang w:val="en-US" w:eastAsia="en-US" w:bidi="en-US"/>
      </w:rPr>
    </w:lvl>
    <w:lvl w:ilvl="2" w:tplc="D2B06566">
      <w:numFmt w:val="bullet"/>
      <w:lvlText w:val="•"/>
      <w:lvlJc w:val="left"/>
      <w:pPr>
        <w:ind w:left="2791" w:hanging="140"/>
      </w:pPr>
      <w:rPr>
        <w:rFonts w:hint="default"/>
      </w:rPr>
    </w:lvl>
    <w:lvl w:ilvl="3" w:tplc="68B698A4">
      <w:numFmt w:val="bullet"/>
      <w:lvlText w:val="•"/>
      <w:lvlJc w:val="left"/>
      <w:pPr>
        <w:ind w:left="3842" w:hanging="140"/>
      </w:pPr>
      <w:rPr>
        <w:rFonts w:hint="default"/>
      </w:rPr>
    </w:lvl>
    <w:lvl w:ilvl="4" w:tplc="69E63F0E">
      <w:numFmt w:val="bullet"/>
      <w:lvlText w:val="•"/>
      <w:lvlJc w:val="left"/>
      <w:pPr>
        <w:ind w:left="4893" w:hanging="140"/>
      </w:pPr>
      <w:rPr>
        <w:rFonts w:hint="default"/>
      </w:rPr>
    </w:lvl>
    <w:lvl w:ilvl="5" w:tplc="470ACA48">
      <w:numFmt w:val="bullet"/>
      <w:lvlText w:val="•"/>
      <w:lvlJc w:val="left"/>
      <w:pPr>
        <w:ind w:left="5944" w:hanging="140"/>
      </w:pPr>
      <w:rPr>
        <w:rFonts w:hint="default"/>
      </w:rPr>
    </w:lvl>
    <w:lvl w:ilvl="6" w:tplc="A7700C80">
      <w:numFmt w:val="bullet"/>
      <w:lvlText w:val="•"/>
      <w:lvlJc w:val="left"/>
      <w:pPr>
        <w:ind w:left="6995" w:hanging="140"/>
      </w:pPr>
      <w:rPr>
        <w:rFonts w:hint="default"/>
      </w:rPr>
    </w:lvl>
    <w:lvl w:ilvl="7" w:tplc="C6A40666">
      <w:numFmt w:val="bullet"/>
      <w:lvlText w:val="•"/>
      <w:lvlJc w:val="left"/>
      <w:pPr>
        <w:ind w:left="8046" w:hanging="140"/>
      </w:pPr>
      <w:rPr>
        <w:rFonts w:hint="default"/>
      </w:rPr>
    </w:lvl>
    <w:lvl w:ilvl="8" w:tplc="E86C18CC">
      <w:numFmt w:val="bullet"/>
      <w:lvlText w:val="•"/>
      <w:lvlJc w:val="left"/>
      <w:pPr>
        <w:ind w:left="9097" w:hanging="140"/>
      </w:pPr>
      <w:rPr>
        <w:rFonts w:hint="default"/>
      </w:rPr>
    </w:lvl>
  </w:abstractNum>
  <w:abstractNum w:abstractNumId="26" w15:restartNumberingAfterBreak="0">
    <w:nsid w:val="2F396595"/>
    <w:multiLevelType w:val="hybridMultilevel"/>
    <w:tmpl w:val="CDD60162"/>
    <w:lvl w:ilvl="0" w:tplc="F3F6E6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6A2AE0"/>
    <w:multiLevelType w:val="hybridMultilevel"/>
    <w:tmpl w:val="023E5A2A"/>
    <w:lvl w:ilvl="0" w:tplc="04090011">
      <w:start w:val="1"/>
      <w:numFmt w:val="decimal"/>
      <w:lvlText w:val="%1)"/>
      <w:lvlJc w:val="left"/>
      <w:pPr>
        <w:ind w:left="340" w:hanging="340"/>
      </w:pPr>
      <w:rPr>
        <w:rFonts w:hint="default"/>
        <w:spacing w:val="-2"/>
        <w:w w:val="99"/>
        <w:sz w:val="24"/>
        <w:szCs w:val="24"/>
      </w:rPr>
    </w:lvl>
    <w:lvl w:ilvl="1" w:tplc="3488A4B4">
      <w:numFmt w:val="bullet"/>
      <w:lvlText w:val="•"/>
      <w:lvlJc w:val="left"/>
      <w:pPr>
        <w:ind w:left="1306" w:hanging="340"/>
      </w:pPr>
      <w:rPr>
        <w:rFonts w:hint="default"/>
      </w:rPr>
    </w:lvl>
    <w:lvl w:ilvl="2" w:tplc="2EF25816">
      <w:numFmt w:val="bullet"/>
      <w:lvlText w:val="•"/>
      <w:lvlJc w:val="left"/>
      <w:pPr>
        <w:ind w:left="2272" w:hanging="340"/>
      </w:pPr>
      <w:rPr>
        <w:rFonts w:hint="default"/>
      </w:rPr>
    </w:lvl>
    <w:lvl w:ilvl="3" w:tplc="A0348A84">
      <w:numFmt w:val="bullet"/>
      <w:lvlText w:val="•"/>
      <w:lvlJc w:val="left"/>
      <w:pPr>
        <w:ind w:left="3238" w:hanging="340"/>
      </w:pPr>
      <w:rPr>
        <w:rFonts w:hint="default"/>
      </w:rPr>
    </w:lvl>
    <w:lvl w:ilvl="4" w:tplc="5670593A">
      <w:numFmt w:val="bullet"/>
      <w:lvlText w:val="•"/>
      <w:lvlJc w:val="left"/>
      <w:pPr>
        <w:ind w:left="4204" w:hanging="340"/>
      </w:pPr>
      <w:rPr>
        <w:rFonts w:hint="default"/>
      </w:rPr>
    </w:lvl>
    <w:lvl w:ilvl="5" w:tplc="84A412CE">
      <w:numFmt w:val="bullet"/>
      <w:lvlText w:val="•"/>
      <w:lvlJc w:val="left"/>
      <w:pPr>
        <w:ind w:left="5170" w:hanging="340"/>
      </w:pPr>
      <w:rPr>
        <w:rFonts w:hint="default"/>
      </w:rPr>
    </w:lvl>
    <w:lvl w:ilvl="6" w:tplc="D7BA9B54">
      <w:numFmt w:val="bullet"/>
      <w:lvlText w:val="•"/>
      <w:lvlJc w:val="left"/>
      <w:pPr>
        <w:ind w:left="6136" w:hanging="340"/>
      </w:pPr>
      <w:rPr>
        <w:rFonts w:hint="default"/>
      </w:rPr>
    </w:lvl>
    <w:lvl w:ilvl="7" w:tplc="6E5C2C46">
      <w:numFmt w:val="bullet"/>
      <w:lvlText w:val="•"/>
      <w:lvlJc w:val="left"/>
      <w:pPr>
        <w:ind w:left="7102" w:hanging="340"/>
      </w:pPr>
      <w:rPr>
        <w:rFonts w:hint="default"/>
      </w:rPr>
    </w:lvl>
    <w:lvl w:ilvl="8" w:tplc="050E3656">
      <w:numFmt w:val="bullet"/>
      <w:lvlText w:val="•"/>
      <w:lvlJc w:val="left"/>
      <w:pPr>
        <w:ind w:left="8068" w:hanging="340"/>
      </w:pPr>
      <w:rPr>
        <w:rFonts w:hint="default"/>
      </w:rPr>
    </w:lvl>
  </w:abstractNum>
  <w:abstractNum w:abstractNumId="28" w15:restartNumberingAfterBreak="0">
    <w:nsid w:val="316D617E"/>
    <w:multiLevelType w:val="hybridMultilevel"/>
    <w:tmpl w:val="F5B4B338"/>
    <w:lvl w:ilvl="0" w:tplc="0D141D56">
      <w:start w:val="4"/>
      <w:numFmt w:val="decimal"/>
      <w:lvlText w:val="(%1)"/>
      <w:lvlJc w:val="left"/>
      <w:pPr>
        <w:ind w:left="1180" w:hanging="339"/>
      </w:pPr>
      <w:rPr>
        <w:rFonts w:ascii="Times New Roman" w:eastAsia="Times New Roman" w:hAnsi="Times New Roman" w:cs="Times New Roman" w:hint="default"/>
        <w:spacing w:val="-1"/>
        <w:w w:val="100"/>
        <w:sz w:val="24"/>
        <w:szCs w:val="24"/>
      </w:rPr>
    </w:lvl>
    <w:lvl w:ilvl="1" w:tplc="CA222FB6">
      <w:start w:val="1"/>
      <w:numFmt w:val="decimal"/>
      <w:lvlText w:val="(%2)"/>
      <w:lvlJc w:val="left"/>
      <w:pPr>
        <w:ind w:left="1180" w:hanging="358"/>
      </w:pPr>
      <w:rPr>
        <w:rFonts w:ascii="Times New Roman" w:eastAsia="Times New Roman" w:hAnsi="Times New Roman" w:cs="Times New Roman" w:hint="default"/>
        <w:w w:val="99"/>
        <w:sz w:val="24"/>
        <w:szCs w:val="24"/>
      </w:rPr>
    </w:lvl>
    <w:lvl w:ilvl="2" w:tplc="DC6245DE">
      <w:numFmt w:val="bullet"/>
      <w:lvlText w:val="•"/>
      <w:lvlJc w:val="left"/>
      <w:pPr>
        <w:ind w:left="3340" w:hanging="358"/>
      </w:pPr>
      <w:rPr>
        <w:rFonts w:hint="default"/>
      </w:rPr>
    </w:lvl>
    <w:lvl w:ilvl="3" w:tplc="CC7C56FC">
      <w:numFmt w:val="bullet"/>
      <w:lvlText w:val="•"/>
      <w:lvlJc w:val="left"/>
      <w:pPr>
        <w:ind w:left="4420" w:hanging="358"/>
      </w:pPr>
      <w:rPr>
        <w:rFonts w:hint="default"/>
      </w:rPr>
    </w:lvl>
    <w:lvl w:ilvl="4" w:tplc="5DFE4916">
      <w:numFmt w:val="bullet"/>
      <w:lvlText w:val="•"/>
      <w:lvlJc w:val="left"/>
      <w:pPr>
        <w:ind w:left="5500" w:hanging="358"/>
      </w:pPr>
      <w:rPr>
        <w:rFonts w:hint="default"/>
      </w:rPr>
    </w:lvl>
    <w:lvl w:ilvl="5" w:tplc="4A9222C2">
      <w:numFmt w:val="bullet"/>
      <w:lvlText w:val="•"/>
      <w:lvlJc w:val="left"/>
      <w:pPr>
        <w:ind w:left="6580" w:hanging="358"/>
      </w:pPr>
      <w:rPr>
        <w:rFonts w:hint="default"/>
      </w:rPr>
    </w:lvl>
    <w:lvl w:ilvl="6" w:tplc="DC80A1BE">
      <w:numFmt w:val="bullet"/>
      <w:lvlText w:val="•"/>
      <w:lvlJc w:val="left"/>
      <w:pPr>
        <w:ind w:left="7660" w:hanging="358"/>
      </w:pPr>
      <w:rPr>
        <w:rFonts w:hint="default"/>
      </w:rPr>
    </w:lvl>
    <w:lvl w:ilvl="7" w:tplc="9FD4F3A2">
      <w:numFmt w:val="bullet"/>
      <w:lvlText w:val="•"/>
      <w:lvlJc w:val="left"/>
      <w:pPr>
        <w:ind w:left="8740" w:hanging="358"/>
      </w:pPr>
      <w:rPr>
        <w:rFonts w:hint="default"/>
      </w:rPr>
    </w:lvl>
    <w:lvl w:ilvl="8" w:tplc="30C2EFFC">
      <w:numFmt w:val="bullet"/>
      <w:lvlText w:val="•"/>
      <w:lvlJc w:val="left"/>
      <w:pPr>
        <w:ind w:left="9820" w:hanging="358"/>
      </w:pPr>
      <w:rPr>
        <w:rFonts w:hint="default"/>
      </w:rPr>
    </w:lvl>
  </w:abstractNum>
  <w:abstractNum w:abstractNumId="29" w15:restartNumberingAfterBreak="0">
    <w:nsid w:val="37C41BC3"/>
    <w:multiLevelType w:val="hybridMultilevel"/>
    <w:tmpl w:val="824E6E42"/>
    <w:lvl w:ilvl="0" w:tplc="0812FB5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DD3B5F"/>
    <w:multiLevelType w:val="hybridMultilevel"/>
    <w:tmpl w:val="DF6AA03C"/>
    <w:lvl w:ilvl="0" w:tplc="0812FB5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064B6C"/>
    <w:multiLevelType w:val="hybridMultilevel"/>
    <w:tmpl w:val="681A3E68"/>
    <w:lvl w:ilvl="0" w:tplc="5AA27888">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44C5014"/>
    <w:multiLevelType w:val="hybridMultilevel"/>
    <w:tmpl w:val="94A89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9631A3B"/>
    <w:multiLevelType w:val="hybridMultilevel"/>
    <w:tmpl w:val="1AC66C94"/>
    <w:lvl w:ilvl="0" w:tplc="26F2981E">
      <w:start w:val="2"/>
      <w:numFmt w:val="lowerLetter"/>
      <w:lvlText w:val="%1)"/>
      <w:lvlJc w:val="left"/>
      <w:pPr>
        <w:ind w:left="1180" w:hanging="295"/>
      </w:pPr>
      <w:rPr>
        <w:rFonts w:ascii="Times New Roman" w:eastAsia="Times New Roman" w:hAnsi="Times New Roman" w:cs="Times New Roman" w:hint="default"/>
        <w:spacing w:val="-27"/>
        <w:w w:val="99"/>
        <w:sz w:val="24"/>
        <w:szCs w:val="24"/>
      </w:rPr>
    </w:lvl>
    <w:lvl w:ilvl="1" w:tplc="4C50F492">
      <w:numFmt w:val="bullet"/>
      <w:lvlText w:val="•"/>
      <w:lvlJc w:val="left"/>
      <w:pPr>
        <w:ind w:left="1746" w:hanging="140"/>
      </w:pPr>
      <w:rPr>
        <w:rFonts w:hint="default"/>
        <w:spacing w:val="28"/>
        <w:w w:val="100"/>
        <w:sz w:val="24"/>
        <w:szCs w:val="24"/>
        <w:lang w:val="en-US" w:eastAsia="en-US" w:bidi="en-US"/>
      </w:rPr>
    </w:lvl>
    <w:lvl w:ilvl="2" w:tplc="D2B06566">
      <w:numFmt w:val="bullet"/>
      <w:lvlText w:val="•"/>
      <w:lvlJc w:val="left"/>
      <w:pPr>
        <w:ind w:left="2791" w:hanging="140"/>
      </w:pPr>
      <w:rPr>
        <w:rFonts w:hint="default"/>
      </w:rPr>
    </w:lvl>
    <w:lvl w:ilvl="3" w:tplc="68B698A4">
      <w:numFmt w:val="bullet"/>
      <w:lvlText w:val="•"/>
      <w:lvlJc w:val="left"/>
      <w:pPr>
        <w:ind w:left="3842" w:hanging="140"/>
      </w:pPr>
      <w:rPr>
        <w:rFonts w:hint="default"/>
      </w:rPr>
    </w:lvl>
    <w:lvl w:ilvl="4" w:tplc="69E63F0E">
      <w:numFmt w:val="bullet"/>
      <w:lvlText w:val="•"/>
      <w:lvlJc w:val="left"/>
      <w:pPr>
        <w:ind w:left="4893" w:hanging="140"/>
      </w:pPr>
      <w:rPr>
        <w:rFonts w:hint="default"/>
      </w:rPr>
    </w:lvl>
    <w:lvl w:ilvl="5" w:tplc="470ACA48">
      <w:numFmt w:val="bullet"/>
      <w:lvlText w:val="•"/>
      <w:lvlJc w:val="left"/>
      <w:pPr>
        <w:ind w:left="5944" w:hanging="140"/>
      </w:pPr>
      <w:rPr>
        <w:rFonts w:hint="default"/>
      </w:rPr>
    </w:lvl>
    <w:lvl w:ilvl="6" w:tplc="A7700C80">
      <w:numFmt w:val="bullet"/>
      <w:lvlText w:val="•"/>
      <w:lvlJc w:val="left"/>
      <w:pPr>
        <w:ind w:left="6995" w:hanging="140"/>
      </w:pPr>
      <w:rPr>
        <w:rFonts w:hint="default"/>
      </w:rPr>
    </w:lvl>
    <w:lvl w:ilvl="7" w:tplc="C6A40666">
      <w:numFmt w:val="bullet"/>
      <w:lvlText w:val="•"/>
      <w:lvlJc w:val="left"/>
      <w:pPr>
        <w:ind w:left="8046" w:hanging="140"/>
      </w:pPr>
      <w:rPr>
        <w:rFonts w:hint="default"/>
      </w:rPr>
    </w:lvl>
    <w:lvl w:ilvl="8" w:tplc="E86C18CC">
      <w:numFmt w:val="bullet"/>
      <w:lvlText w:val="•"/>
      <w:lvlJc w:val="left"/>
      <w:pPr>
        <w:ind w:left="9097" w:hanging="140"/>
      </w:pPr>
      <w:rPr>
        <w:rFonts w:hint="default"/>
      </w:rPr>
    </w:lvl>
  </w:abstractNum>
  <w:abstractNum w:abstractNumId="34" w15:restartNumberingAfterBreak="0">
    <w:nsid w:val="4A1E330E"/>
    <w:multiLevelType w:val="hybridMultilevel"/>
    <w:tmpl w:val="B6DCCC0E"/>
    <w:lvl w:ilvl="0" w:tplc="4DD8CAE4">
      <w:start w:val="1"/>
      <w:numFmt w:val="decimal"/>
      <w:lvlText w:val="%1."/>
      <w:lvlJc w:val="left"/>
      <w:pPr>
        <w:ind w:left="1180" w:hanging="243"/>
      </w:pPr>
      <w:rPr>
        <w:rFonts w:hint="default"/>
        <w:w w:val="100"/>
        <w:sz w:val="24"/>
        <w:szCs w:val="24"/>
      </w:rPr>
    </w:lvl>
    <w:lvl w:ilvl="1" w:tplc="C47EAB00">
      <w:numFmt w:val="bullet"/>
      <w:lvlText w:val="·"/>
      <w:lvlJc w:val="left"/>
      <w:pPr>
        <w:ind w:left="1455" w:hanging="192"/>
      </w:pPr>
      <w:rPr>
        <w:rFonts w:ascii="Arial" w:eastAsia="Arial" w:hAnsi="Arial" w:cs="Arial" w:hint="default"/>
        <w:b/>
        <w:bCs/>
        <w:w w:val="100"/>
        <w:position w:val="-3"/>
        <w:sz w:val="32"/>
        <w:szCs w:val="32"/>
      </w:rPr>
    </w:lvl>
    <w:lvl w:ilvl="2" w:tplc="97F2994C">
      <w:numFmt w:val="bullet"/>
      <w:lvlText w:val="•"/>
      <w:lvlJc w:val="left"/>
      <w:pPr>
        <w:ind w:left="2542" w:hanging="192"/>
      </w:pPr>
      <w:rPr>
        <w:rFonts w:hint="default"/>
      </w:rPr>
    </w:lvl>
    <w:lvl w:ilvl="3" w:tplc="A85E9B5E">
      <w:numFmt w:val="bullet"/>
      <w:lvlText w:val="•"/>
      <w:lvlJc w:val="left"/>
      <w:pPr>
        <w:ind w:left="3624" w:hanging="192"/>
      </w:pPr>
      <w:rPr>
        <w:rFonts w:hint="default"/>
      </w:rPr>
    </w:lvl>
    <w:lvl w:ilvl="4" w:tplc="D018E05C">
      <w:numFmt w:val="bullet"/>
      <w:lvlText w:val="•"/>
      <w:lvlJc w:val="left"/>
      <w:pPr>
        <w:ind w:left="4706" w:hanging="192"/>
      </w:pPr>
      <w:rPr>
        <w:rFonts w:hint="default"/>
      </w:rPr>
    </w:lvl>
    <w:lvl w:ilvl="5" w:tplc="E146F424">
      <w:numFmt w:val="bullet"/>
      <w:lvlText w:val="•"/>
      <w:lvlJc w:val="left"/>
      <w:pPr>
        <w:ind w:left="5788" w:hanging="192"/>
      </w:pPr>
      <w:rPr>
        <w:rFonts w:hint="default"/>
      </w:rPr>
    </w:lvl>
    <w:lvl w:ilvl="6" w:tplc="C15C6E6C">
      <w:numFmt w:val="bullet"/>
      <w:lvlText w:val="•"/>
      <w:lvlJc w:val="left"/>
      <w:pPr>
        <w:ind w:left="6871" w:hanging="192"/>
      </w:pPr>
      <w:rPr>
        <w:rFonts w:hint="default"/>
      </w:rPr>
    </w:lvl>
    <w:lvl w:ilvl="7" w:tplc="8286B486">
      <w:numFmt w:val="bullet"/>
      <w:lvlText w:val="•"/>
      <w:lvlJc w:val="left"/>
      <w:pPr>
        <w:ind w:left="7953" w:hanging="192"/>
      </w:pPr>
      <w:rPr>
        <w:rFonts w:hint="default"/>
      </w:rPr>
    </w:lvl>
    <w:lvl w:ilvl="8" w:tplc="00F88338">
      <w:numFmt w:val="bullet"/>
      <w:lvlText w:val="•"/>
      <w:lvlJc w:val="left"/>
      <w:pPr>
        <w:ind w:left="9035" w:hanging="192"/>
      </w:pPr>
      <w:rPr>
        <w:rFonts w:hint="default"/>
      </w:rPr>
    </w:lvl>
  </w:abstractNum>
  <w:abstractNum w:abstractNumId="35" w15:restartNumberingAfterBreak="0">
    <w:nsid w:val="51C36F2F"/>
    <w:multiLevelType w:val="hybridMultilevel"/>
    <w:tmpl w:val="5650A5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2CE7292"/>
    <w:multiLevelType w:val="hybridMultilevel"/>
    <w:tmpl w:val="4B80FA2E"/>
    <w:lvl w:ilvl="0" w:tplc="4C50F492">
      <w:numFmt w:val="bullet"/>
      <w:lvlText w:val="•"/>
      <w:lvlJc w:val="left"/>
      <w:pPr>
        <w:ind w:left="1015" w:hanging="295"/>
      </w:pPr>
      <w:rPr>
        <w:rFonts w:hint="default"/>
        <w:spacing w:val="-27"/>
        <w:w w:val="99"/>
        <w:sz w:val="24"/>
        <w:szCs w:val="24"/>
        <w:lang w:val="en-US" w:eastAsia="en-US" w:bidi="en-US"/>
      </w:rPr>
    </w:lvl>
    <w:lvl w:ilvl="1" w:tplc="4C50F492">
      <w:numFmt w:val="bullet"/>
      <w:lvlText w:val="•"/>
      <w:lvlJc w:val="left"/>
      <w:pPr>
        <w:ind w:left="1581" w:hanging="140"/>
      </w:pPr>
      <w:rPr>
        <w:rFonts w:hint="default"/>
        <w:spacing w:val="28"/>
        <w:w w:val="100"/>
        <w:sz w:val="24"/>
        <w:szCs w:val="24"/>
        <w:lang w:val="en-US" w:eastAsia="en-US" w:bidi="en-US"/>
      </w:rPr>
    </w:lvl>
    <w:lvl w:ilvl="2" w:tplc="D2B06566">
      <w:numFmt w:val="bullet"/>
      <w:lvlText w:val="•"/>
      <w:lvlJc w:val="left"/>
      <w:pPr>
        <w:ind w:left="2626" w:hanging="140"/>
      </w:pPr>
      <w:rPr>
        <w:rFonts w:hint="default"/>
      </w:rPr>
    </w:lvl>
    <w:lvl w:ilvl="3" w:tplc="68B698A4">
      <w:numFmt w:val="bullet"/>
      <w:lvlText w:val="•"/>
      <w:lvlJc w:val="left"/>
      <w:pPr>
        <w:ind w:left="3677" w:hanging="140"/>
      </w:pPr>
      <w:rPr>
        <w:rFonts w:hint="default"/>
      </w:rPr>
    </w:lvl>
    <w:lvl w:ilvl="4" w:tplc="69E63F0E">
      <w:numFmt w:val="bullet"/>
      <w:lvlText w:val="•"/>
      <w:lvlJc w:val="left"/>
      <w:pPr>
        <w:ind w:left="4728" w:hanging="140"/>
      </w:pPr>
      <w:rPr>
        <w:rFonts w:hint="default"/>
      </w:rPr>
    </w:lvl>
    <w:lvl w:ilvl="5" w:tplc="470ACA48">
      <w:numFmt w:val="bullet"/>
      <w:lvlText w:val="•"/>
      <w:lvlJc w:val="left"/>
      <w:pPr>
        <w:ind w:left="5779" w:hanging="140"/>
      </w:pPr>
      <w:rPr>
        <w:rFonts w:hint="default"/>
      </w:rPr>
    </w:lvl>
    <w:lvl w:ilvl="6" w:tplc="A7700C80">
      <w:numFmt w:val="bullet"/>
      <w:lvlText w:val="•"/>
      <w:lvlJc w:val="left"/>
      <w:pPr>
        <w:ind w:left="6830" w:hanging="140"/>
      </w:pPr>
      <w:rPr>
        <w:rFonts w:hint="default"/>
      </w:rPr>
    </w:lvl>
    <w:lvl w:ilvl="7" w:tplc="C6A40666">
      <w:numFmt w:val="bullet"/>
      <w:lvlText w:val="•"/>
      <w:lvlJc w:val="left"/>
      <w:pPr>
        <w:ind w:left="7881" w:hanging="140"/>
      </w:pPr>
      <w:rPr>
        <w:rFonts w:hint="default"/>
      </w:rPr>
    </w:lvl>
    <w:lvl w:ilvl="8" w:tplc="E86C18CC">
      <w:numFmt w:val="bullet"/>
      <w:lvlText w:val="•"/>
      <w:lvlJc w:val="left"/>
      <w:pPr>
        <w:ind w:left="8932" w:hanging="140"/>
      </w:pPr>
      <w:rPr>
        <w:rFonts w:hint="default"/>
      </w:rPr>
    </w:lvl>
  </w:abstractNum>
  <w:abstractNum w:abstractNumId="37" w15:restartNumberingAfterBreak="0">
    <w:nsid w:val="5C1E261E"/>
    <w:multiLevelType w:val="hybridMultilevel"/>
    <w:tmpl w:val="F3CA4782"/>
    <w:lvl w:ilvl="0" w:tplc="0812FB5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4162D0"/>
    <w:multiLevelType w:val="hybridMultilevel"/>
    <w:tmpl w:val="48CC1980"/>
    <w:lvl w:ilvl="0" w:tplc="45E61450">
      <w:start w:val="1"/>
      <w:numFmt w:val="decimal"/>
      <w:lvlText w:val="%1."/>
      <w:lvlJc w:val="left"/>
      <w:pPr>
        <w:ind w:left="240" w:hanging="240"/>
      </w:pPr>
      <w:rPr>
        <w:rFonts w:ascii="Times New Roman" w:eastAsia="Times New Roman" w:hAnsi="Times New Roman" w:cs="Times New Roman" w:hint="default"/>
        <w:b w:val="0"/>
        <w:bCs/>
        <w:color w:val="010202"/>
        <w:spacing w:val="-1"/>
        <w:w w:val="100"/>
        <w:sz w:val="22"/>
        <w:szCs w:val="22"/>
      </w:rPr>
    </w:lvl>
    <w:lvl w:ilvl="1" w:tplc="46BCF594">
      <w:numFmt w:val="bullet"/>
      <w:lvlText w:val="•"/>
      <w:lvlJc w:val="left"/>
      <w:pPr>
        <w:ind w:left="1175" w:hanging="240"/>
      </w:pPr>
      <w:rPr>
        <w:rFonts w:hint="default"/>
      </w:rPr>
    </w:lvl>
    <w:lvl w:ilvl="2" w:tplc="C804F3E2">
      <w:numFmt w:val="bullet"/>
      <w:lvlText w:val="•"/>
      <w:lvlJc w:val="left"/>
      <w:pPr>
        <w:ind w:left="2101" w:hanging="240"/>
      </w:pPr>
      <w:rPr>
        <w:rFonts w:hint="default"/>
      </w:rPr>
    </w:lvl>
    <w:lvl w:ilvl="3" w:tplc="AE64C878">
      <w:numFmt w:val="bullet"/>
      <w:lvlText w:val="•"/>
      <w:lvlJc w:val="left"/>
      <w:pPr>
        <w:ind w:left="3027" w:hanging="240"/>
      </w:pPr>
      <w:rPr>
        <w:rFonts w:hint="default"/>
      </w:rPr>
    </w:lvl>
    <w:lvl w:ilvl="4" w:tplc="5A90A6DE">
      <w:numFmt w:val="bullet"/>
      <w:lvlText w:val="•"/>
      <w:lvlJc w:val="left"/>
      <w:pPr>
        <w:ind w:left="3953" w:hanging="240"/>
      </w:pPr>
      <w:rPr>
        <w:rFonts w:hint="default"/>
      </w:rPr>
    </w:lvl>
    <w:lvl w:ilvl="5" w:tplc="3B101CC6">
      <w:numFmt w:val="bullet"/>
      <w:lvlText w:val="•"/>
      <w:lvlJc w:val="left"/>
      <w:pPr>
        <w:ind w:left="4879" w:hanging="240"/>
      </w:pPr>
      <w:rPr>
        <w:rFonts w:hint="default"/>
      </w:rPr>
    </w:lvl>
    <w:lvl w:ilvl="6" w:tplc="26C81DCE">
      <w:numFmt w:val="bullet"/>
      <w:lvlText w:val="•"/>
      <w:lvlJc w:val="left"/>
      <w:pPr>
        <w:ind w:left="5805" w:hanging="240"/>
      </w:pPr>
      <w:rPr>
        <w:rFonts w:hint="default"/>
      </w:rPr>
    </w:lvl>
    <w:lvl w:ilvl="7" w:tplc="C77453EA">
      <w:numFmt w:val="bullet"/>
      <w:lvlText w:val="•"/>
      <w:lvlJc w:val="left"/>
      <w:pPr>
        <w:ind w:left="6731" w:hanging="240"/>
      </w:pPr>
      <w:rPr>
        <w:rFonts w:hint="default"/>
      </w:rPr>
    </w:lvl>
    <w:lvl w:ilvl="8" w:tplc="958C98A0">
      <w:numFmt w:val="bullet"/>
      <w:lvlText w:val="•"/>
      <w:lvlJc w:val="left"/>
      <w:pPr>
        <w:ind w:left="7657" w:hanging="240"/>
      </w:pPr>
      <w:rPr>
        <w:rFonts w:hint="default"/>
      </w:rPr>
    </w:lvl>
  </w:abstractNum>
  <w:abstractNum w:abstractNumId="39" w15:restartNumberingAfterBreak="0">
    <w:nsid w:val="62174B81"/>
    <w:multiLevelType w:val="hybridMultilevel"/>
    <w:tmpl w:val="9086F4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2A0F7B"/>
    <w:multiLevelType w:val="hybridMultilevel"/>
    <w:tmpl w:val="3FB45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7BE353B"/>
    <w:multiLevelType w:val="hybridMultilevel"/>
    <w:tmpl w:val="CE680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DB43BD"/>
    <w:multiLevelType w:val="hybridMultilevel"/>
    <w:tmpl w:val="BB58B30E"/>
    <w:lvl w:ilvl="0" w:tplc="0812FB52">
      <w:numFmt w:val="bullet"/>
      <w:lvlText w:val="•"/>
      <w:lvlJc w:val="left"/>
      <w:pPr>
        <w:ind w:left="1015" w:hanging="295"/>
      </w:pPr>
      <w:rPr>
        <w:rFonts w:hint="default"/>
        <w:spacing w:val="-27"/>
        <w:w w:val="99"/>
        <w:sz w:val="24"/>
        <w:szCs w:val="24"/>
      </w:rPr>
    </w:lvl>
    <w:lvl w:ilvl="1" w:tplc="4C50F492">
      <w:numFmt w:val="bullet"/>
      <w:lvlText w:val="•"/>
      <w:lvlJc w:val="left"/>
      <w:pPr>
        <w:ind w:left="1581" w:hanging="140"/>
      </w:pPr>
      <w:rPr>
        <w:rFonts w:hint="default"/>
        <w:spacing w:val="28"/>
        <w:w w:val="100"/>
        <w:sz w:val="24"/>
        <w:szCs w:val="24"/>
        <w:lang w:val="en-US" w:eastAsia="en-US" w:bidi="en-US"/>
      </w:rPr>
    </w:lvl>
    <w:lvl w:ilvl="2" w:tplc="D2B06566">
      <w:numFmt w:val="bullet"/>
      <w:lvlText w:val="•"/>
      <w:lvlJc w:val="left"/>
      <w:pPr>
        <w:ind w:left="2626" w:hanging="140"/>
      </w:pPr>
      <w:rPr>
        <w:rFonts w:hint="default"/>
      </w:rPr>
    </w:lvl>
    <w:lvl w:ilvl="3" w:tplc="68B698A4">
      <w:numFmt w:val="bullet"/>
      <w:lvlText w:val="•"/>
      <w:lvlJc w:val="left"/>
      <w:pPr>
        <w:ind w:left="3677" w:hanging="140"/>
      </w:pPr>
      <w:rPr>
        <w:rFonts w:hint="default"/>
      </w:rPr>
    </w:lvl>
    <w:lvl w:ilvl="4" w:tplc="69E63F0E">
      <w:numFmt w:val="bullet"/>
      <w:lvlText w:val="•"/>
      <w:lvlJc w:val="left"/>
      <w:pPr>
        <w:ind w:left="4728" w:hanging="140"/>
      </w:pPr>
      <w:rPr>
        <w:rFonts w:hint="default"/>
      </w:rPr>
    </w:lvl>
    <w:lvl w:ilvl="5" w:tplc="470ACA48">
      <w:numFmt w:val="bullet"/>
      <w:lvlText w:val="•"/>
      <w:lvlJc w:val="left"/>
      <w:pPr>
        <w:ind w:left="5779" w:hanging="140"/>
      </w:pPr>
      <w:rPr>
        <w:rFonts w:hint="default"/>
      </w:rPr>
    </w:lvl>
    <w:lvl w:ilvl="6" w:tplc="A7700C80">
      <w:numFmt w:val="bullet"/>
      <w:lvlText w:val="•"/>
      <w:lvlJc w:val="left"/>
      <w:pPr>
        <w:ind w:left="6830" w:hanging="140"/>
      </w:pPr>
      <w:rPr>
        <w:rFonts w:hint="default"/>
      </w:rPr>
    </w:lvl>
    <w:lvl w:ilvl="7" w:tplc="C6A40666">
      <w:numFmt w:val="bullet"/>
      <w:lvlText w:val="•"/>
      <w:lvlJc w:val="left"/>
      <w:pPr>
        <w:ind w:left="7881" w:hanging="140"/>
      </w:pPr>
      <w:rPr>
        <w:rFonts w:hint="default"/>
      </w:rPr>
    </w:lvl>
    <w:lvl w:ilvl="8" w:tplc="E86C18CC">
      <w:numFmt w:val="bullet"/>
      <w:lvlText w:val="•"/>
      <w:lvlJc w:val="left"/>
      <w:pPr>
        <w:ind w:left="8932" w:hanging="140"/>
      </w:pPr>
      <w:rPr>
        <w:rFonts w:hint="default"/>
      </w:rPr>
    </w:lvl>
  </w:abstractNum>
  <w:abstractNum w:abstractNumId="43" w15:restartNumberingAfterBreak="0">
    <w:nsid w:val="76F1495F"/>
    <w:multiLevelType w:val="hybridMultilevel"/>
    <w:tmpl w:val="F552EA2E"/>
    <w:lvl w:ilvl="0" w:tplc="04090011">
      <w:start w:val="1"/>
      <w:numFmt w:val="decimal"/>
      <w:lvlText w:val="%1)"/>
      <w:lvlJc w:val="left"/>
      <w:pPr>
        <w:ind w:left="1900" w:hanging="360"/>
      </w:pPr>
      <w:rPr>
        <w:rFonts w:hint="default"/>
        <w:w w:val="99"/>
        <w:sz w:val="24"/>
        <w:szCs w:val="24"/>
      </w:rPr>
    </w:lvl>
    <w:lvl w:ilvl="1" w:tplc="35FA238C">
      <w:numFmt w:val="bullet"/>
      <w:lvlText w:val="•"/>
      <w:lvlJc w:val="left"/>
      <w:pPr>
        <w:ind w:left="2830" w:hanging="360"/>
      </w:pPr>
      <w:rPr>
        <w:rFonts w:hint="default"/>
      </w:rPr>
    </w:lvl>
    <w:lvl w:ilvl="2" w:tplc="176E2516">
      <w:numFmt w:val="bullet"/>
      <w:lvlText w:val="•"/>
      <w:lvlJc w:val="left"/>
      <w:pPr>
        <w:ind w:left="3760" w:hanging="360"/>
      </w:pPr>
      <w:rPr>
        <w:rFonts w:hint="default"/>
      </w:rPr>
    </w:lvl>
    <w:lvl w:ilvl="3" w:tplc="1D468796">
      <w:numFmt w:val="bullet"/>
      <w:lvlText w:val="•"/>
      <w:lvlJc w:val="left"/>
      <w:pPr>
        <w:ind w:left="4690" w:hanging="360"/>
      </w:pPr>
      <w:rPr>
        <w:rFonts w:hint="default"/>
      </w:rPr>
    </w:lvl>
    <w:lvl w:ilvl="4" w:tplc="ED82321E">
      <w:numFmt w:val="bullet"/>
      <w:lvlText w:val="•"/>
      <w:lvlJc w:val="left"/>
      <w:pPr>
        <w:ind w:left="5620" w:hanging="360"/>
      </w:pPr>
      <w:rPr>
        <w:rFonts w:hint="default"/>
      </w:rPr>
    </w:lvl>
    <w:lvl w:ilvl="5" w:tplc="2D2C3ACA">
      <w:numFmt w:val="bullet"/>
      <w:lvlText w:val="•"/>
      <w:lvlJc w:val="left"/>
      <w:pPr>
        <w:ind w:left="6550" w:hanging="360"/>
      </w:pPr>
      <w:rPr>
        <w:rFonts w:hint="default"/>
      </w:rPr>
    </w:lvl>
    <w:lvl w:ilvl="6" w:tplc="BC50C9E6">
      <w:numFmt w:val="bullet"/>
      <w:lvlText w:val="•"/>
      <w:lvlJc w:val="left"/>
      <w:pPr>
        <w:ind w:left="7480" w:hanging="360"/>
      </w:pPr>
      <w:rPr>
        <w:rFonts w:hint="default"/>
      </w:rPr>
    </w:lvl>
    <w:lvl w:ilvl="7" w:tplc="F13AE418">
      <w:numFmt w:val="bullet"/>
      <w:lvlText w:val="•"/>
      <w:lvlJc w:val="left"/>
      <w:pPr>
        <w:ind w:left="8410" w:hanging="360"/>
      </w:pPr>
      <w:rPr>
        <w:rFonts w:hint="default"/>
      </w:rPr>
    </w:lvl>
    <w:lvl w:ilvl="8" w:tplc="30A221CC">
      <w:numFmt w:val="bullet"/>
      <w:lvlText w:val="•"/>
      <w:lvlJc w:val="left"/>
      <w:pPr>
        <w:ind w:left="9340" w:hanging="360"/>
      </w:pPr>
      <w:rPr>
        <w:rFonts w:hint="default"/>
      </w:rPr>
    </w:lvl>
  </w:abstractNum>
  <w:abstractNum w:abstractNumId="44" w15:restartNumberingAfterBreak="0">
    <w:nsid w:val="773D3ACC"/>
    <w:multiLevelType w:val="hybridMultilevel"/>
    <w:tmpl w:val="CD3C1E8A"/>
    <w:lvl w:ilvl="0" w:tplc="0812FB5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2D0EBA"/>
    <w:multiLevelType w:val="hybridMultilevel"/>
    <w:tmpl w:val="2B026156"/>
    <w:lvl w:ilvl="0" w:tplc="45E61450">
      <w:start w:val="1"/>
      <w:numFmt w:val="decimal"/>
      <w:lvlText w:val="%1."/>
      <w:lvlJc w:val="left"/>
      <w:pPr>
        <w:ind w:left="240" w:hanging="240"/>
      </w:pPr>
      <w:rPr>
        <w:rFonts w:ascii="Times New Roman" w:eastAsia="Times New Roman" w:hAnsi="Times New Roman" w:cs="Times New Roman" w:hint="default"/>
        <w:w w:val="100"/>
        <w:sz w:val="22"/>
        <w:szCs w:val="22"/>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46" w15:restartNumberingAfterBreak="0">
    <w:nsid w:val="7CD541FE"/>
    <w:multiLevelType w:val="hybridMultilevel"/>
    <w:tmpl w:val="E404181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F5E004A"/>
    <w:multiLevelType w:val="hybridMultilevel"/>
    <w:tmpl w:val="AFE42B1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26"/>
  </w:num>
  <w:num w:numId="3">
    <w:abstractNumId w:val="20"/>
  </w:num>
  <w:num w:numId="4">
    <w:abstractNumId w:val="6"/>
  </w:num>
  <w:num w:numId="5">
    <w:abstractNumId w:val="21"/>
  </w:num>
  <w:num w:numId="6">
    <w:abstractNumId w:val="17"/>
  </w:num>
  <w:num w:numId="7">
    <w:abstractNumId w:val="4"/>
  </w:num>
  <w:num w:numId="8">
    <w:abstractNumId w:val="0"/>
  </w:num>
  <w:num w:numId="9">
    <w:abstractNumId w:val="16"/>
  </w:num>
  <w:num w:numId="10">
    <w:abstractNumId w:val="31"/>
  </w:num>
  <w:num w:numId="11">
    <w:abstractNumId w:val="41"/>
  </w:num>
  <w:num w:numId="12">
    <w:abstractNumId w:val="45"/>
  </w:num>
  <w:num w:numId="13">
    <w:abstractNumId w:val="29"/>
  </w:num>
  <w:num w:numId="14">
    <w:abstractNumId w:val="37"/>
  </w:num>
  <w:num w:numId="15">
    <w:abstractNumId w:val="15"/>
  </w:num>
  <w:num w:numId="16">
    <w:abstractNumId w:val="11"/>
  </w:num>
  <w:num w:numId="17">
    <w:abstractNumId w:val="30"/>
  </w:num>
  <w:num w:numId="18">
    <w:abstractNumId w:val="44"/>
  </w:num>
  <w:num w:numId="19">
    <w:abstractNumId w:val="9"/>
  </w:num>
  <w:num w:numId="20">
    <w:abstractNumId w:val="42"/>
  </w:num>
  <w:num w:numId="21">
    <w:abstractNumId w:val="25"/>
  </w:num>
  <w:num w:numId="22">
    <w:abstractNumId w:val="33"/>
  </w:num>
  <w:num w:numId="23">
    <w:abstractNumId w:val="36"/>
  </w:num>
  <w:num w:numId="24">
    <w:abstractNumId w:val="8"/>
  </w:num>
  <w:num w:numId="25">
    <w:abstractNumId w:val="14"/>
  </w:num>
  <w:num w:numId="26">
    <w:abstractNumId w:val="27"/>
  </w:num>
  <w:num w:numId="27">
    <w:abstractNumId w:val="34"/>
  </w:num>
  <w:num w:numId="28">
    <w:abstractNumId w:val="43"/>
  </w:num>
  <w:num w:numId="29">
    <w:abstractNumId w:val="19"/>
  </w:num>
  <w:num w:numId="30">
    <w:abstractNumId w:val="5"/>
  </w:num>
  <w:num w:numId="31">
    <w:abstractNumId w:val="12"/>
  </w:num>
  <w:num w:numId="32">
    <w:abstractNumId w:val="39"/>
  </w:num>
  <w:num w:numId="33">
    <w:abstractNumId w:val="7"/>
  </w:num>
  <w:num w:numId="34">
    <w:abstractNumId w:val="38"/>
  </w:num>
  <w:num w:numId="35">
    <w:abstractNumId w:val="22"/>
  </w:num>
  <w:num w:numId="36">
    <w:abstractNumId w:val="1"/>
  </w:num>
  <w:num w:numId="37">
    <w:abstractNumId w:val="35"/>
  </w:num>
  <w:num w:numId="38">
    <w:abstractNumId w:val="46"/>
  </w:num>
  <w:num w:numId="39">
    <w:abstractNumId w:val="40"/>
  </w:num>
  <w:num w:numId="40">
    <w:abstractNumId w:val="18"/>
  </w:num>
  <w:num w:numId="41">
    <w:abstractNumId w:val="10"/>
  </w:num>
  <w:num w:numId="42">
    <w:abstractNumId w:val="23"/>
  </w:num>
  <w:num w:numId="43">
    <w:abstractNumId w:val="2"/>
  </w:num>
  <w:num w:numId="44">
    <w:abstractNumId w:val="13"/>
  </w:num>
  <w:num w:numId="45">
    <w:abstractNumId w:val="47"/>
  </w:num>
  <w:num w:numId="46">
    <w:abstractNumId w:val="32"/>
  </w:num>
  <w:num w:numId="47">
    <w:abstractNumId w:val="24"/>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zNDE0tbCwMDc2NDRU0lEKTi0uzszPAykwqgUALxFZzCwAAAA="/>
  </w:docVars>
  <w:rsids>
    <w:rsidRoot w:val="00AC7BB3"/>
    <w:rsid w:val="000031CD"/>
    <w:rsid w:val="0002143E"/>
    <w:rsid w:val="000256F3"/>
    <w:rsid w:val="000327A5"/>
    <w:rsid w:val="0003396E"/>
    <w:rsid w:val="000404DA"/>
    <w:rsid w:val="000406C5"/>
    <w:rsid w:val="00042F03"/>
    <w:rsid w:val="0004459D"/>
    <w:rsid w:val="00047E19"/>
    <w:rsid w:val="000533D5"/>
    <w:rsid w:val="00054563"/>
    <w:rsid w:val="0006066B"/>
    <w:rsid w:val="000628C7"/>
    <w:rsid w:val="000659F2"/>
    <w:rsid w:val="00071BCF"/>
    <w:rsid w:val="000819D8"/>
    <w:rsid w:val="000853B1"/>
    <w:rsid w:val="00090B01"/>
    <w:rsid w:val="00092C93"/>
    <w:rsid w:val="000A503A"/>
    <w:rsid w:val="000B06C5"/>
    <w:rsid w:val="000B0D0C"/>
    <w:rsid w:val="000B5D13"/>
    <w:rsid w:val="000B783D"/>
    <w:rsid w:val="000C4F8F"/>
    <w:rsid w:val="000D0D89"/>
    <w:rsid w:val="000D2346"/>
    <w:rsid w:val="000D3A40"/>
    <w:rsid w:val="000D4D0A"/>
    <w:rsid w:val="000D7FEE"/>
    <w:rsid w:val="000E0F1C"/>
    <w:rsid w:val="000E2D37"/>
    <w:rsid w:val="000E34BE"/>
    <w:rsid w:val="000F1F4A"/>
    <w:rsid w:val="000F491E"/>
    <w:rsid w:val="00111D29"/>
    <w:rsid w:val="0011368F"/>
    <w:rsid w:val="0011499F"/>
    <w:rsid w:val="00121024"/>
    <w:rsid w:val="0012133C"/>
    <w:rsid w:val="00121463"/>
    <w:rsid w:val="001224EB"/>
    <w:rsid w:val="00122A7E"/>
    <w:rsid w:val="001250DD"/>
    <w:rsid w:val="00125670"/>
    <w:rsid w:val="0013300E"/>
    <w:rsid w:val="00140AE2"/>
    <w:rsid w:val="00141BBE"/>
    <w:rsid w:val="00142EA0"/>
    <w:rsid w:val="00143167"/>
    <w:rsid w:val="00146215"/>
    <w:rsid w:val="001529EC"/>
    <w:rsid w:val="001549A0"/>
    <w:rsid w:val="00156BB8"/>
    <w:rsid w:val="00162C02"/>
    <w:rsid w:val="001679E2"/>
    <w:rsid w:val="00171055"/>
    <w:rsid w:val="0017128D"/>
    <w:rsid w:val="00172BBA"/>
    <w:rsid w:val="00173B78"/>
    <w:rsid w:val="0018083C"/>
    <w:rsid w:val="00180FAE"/>
    <w:rsid w:val="00186118"/>
    <w:rsid w:val="001A0927"/>
    <w:rsid w:val="001A3573"/>
    <w:rsid w:val="001B0620"/>
    <w:rsid w:val="001B1A93"/>
    <w:rsid w:val="001B5747"/>
    <w:rsid w:val="001B72B7"/>
    <w:rsid w:val="001C0110"/>
    <w:rsid w:val="001C7B63"/>
    <w:rsid w:val="001D023E"/>
    <w:rsid w:val="001D712F"/>
    <w:rsid w:val="001E2C10"/>
    <w:rsid w:val="001E4D1B"/>
    <w:rsid w:val="001E5D96"/>
    <w:rsid w:val="001F125B"/>
    <w:rsid w:val="001F2677"/>
    <w:rsid w:val="001F27CD"/>
    <w:rsid w:val="001F5B79"/>
    <w:rsid w:val="002043CE"/>
    <w:rsid w:val="002052AB"/>
    <w:rsid w:val="0020716F"/>
    <w:rsid w:val="0021134E"/>
    <w:rsid w:val="00215B28"/>
    <w:rsid w:val="002210CD"/>
    <w:rsid w:val="0022175E"/>
    <w:rsid w:val="00233CBB"/>
    <w:rsid w:val="00234247"/>
    <w:rsid w:val="00235D44"/>
    <w:rsid w:val="002367F0"/>
    <w:rsid w:val="002418AE"/>
    <w:rsid w:val="00244CF5"/>
    <w:rsid w:val="002460C0"/>
    <w:rsid w:val="002574BE"/>
    <w:rsid w:val="00260D16"/>
    <w:rsid w:val="0026218A"/>
    <w:rsid w:val="002636A0"/>
    <w:rsid w:val="0026498F"/>
    <w:rsid w:val="00265E76"/>
    <w:rsid w:val="002671D6"/>
    <w:rsid w:val="0029785E"/>
    <w:rsid w:val="002A11FC"/>
    <w:rsid w:val="002A169B"/>
    <w:rsid w:val="002A52D8"/>
    <w:rsid w:val="002A5BF9"/>
    <w:rsid w:val="002B694E"/>
    <w:rsid w:val="002B6D41"/>
    <w:rsid w:val="002B765B"/>
    <w:rsid w:val="002C2BD2"/>
    <w:rsid w:val="002C63E1"/>
    <w:rsid w:val="002C6C9C"/>
    <w:rsid w:val="002D0EED"/>
    <w:rsid w:val="002D40BB"/>
    <w:rsid w:val="002E138A"/>
    <w:rsid w:val="002E1696"/>
    <w:rsid w:val="002E2668"/>
    <w:rsid w:val="002E5B6E"/>
    <w:rsid w:val="002E72B2"/>
    <w:rsid w:val="002F040D"/>
    <w:rsid w:val="002F33B3"/>
    <w:rsid w:val="00300473"/>
    <w:rsid w:val="00304605"/>
    <w:rsid w:val="0030742E"/>
    <w:rsid w:val="0030762C"/>
    <w:rsid w:val="00307FD8"/>
    <w:rsid w:val="00312E54"/>
    <w:rsid w:val="003213C3"/>
    <w:rsid w:val="00323512"/>
    <w:rsid w:val="00323F19"/>
    <w:rsid w:val="00327E68"/>
    <w:rsid w:val="003351F7"/>
    <w:rsid w:val="00340158"/>
    <w:rsid w:val="00344C30"/>
    <w:rsid w:val="003452E7"/>
    <w:rsid w:val="00345805"/>
    <w:rsid w:val="00355755"/>
    <w:rsid w:val="00367417"/>
    <w:rsid w:val="00383218"/>
    <w:rsid w:val="00383FA4"/>
    <w:rsid w:val="00385616"/>
    <w:rsid w:val="003B17FA"/>
    <w:rsid w:val="003B1EAA"/>
    <w:rsid w:val="003B2825"/>
    <w:rsid w:val="003B5121"/>
    <w:rsid w:val="003C04DB"/>
    <w:rsid w:val="003C2C31"/>
    <w:rsid w:val="003C60F1"/>
    <w:rsid w:val="003D1AE6"/>
    <w:rsid w:val="003D1D8C"/>
    <w:rsid w:val="003D3368"/>
    <w:rsid w:val="003D5D5B"/>
    <w:rsid w:val="003E03E7"/>
    <w:rsid w:val="003F0653"/>
    <w:rsid w:val="00415B24"/>
    <w:rsid w:val="004218D4"/>
    <w:rsid w:val="00424B42"/>
    <w:rsid w:val="004345D4"/>
    <w:rsid w:val="00435558"/>
    <w:rsid w:val="00435568"/>
    <w:rsid w:val="00446482"/>
    <w:rsid w:val="00450967"/>
    <w:rsid w:val="00463AF2"/>
    <w:rsid w:val="00474F34"/>
    <w:rsid w:val="00493BEB"/>
    <w:rsid w:val="00493F5D"/>
    <w:rsid w:val="004A0D06"/>
    <w:rsid w:val="004B0F3C"/>
    <w:rsid w:val="004B21DB"/>
    <w:rsid w:val="004B32A3"/>
    <w:rsid w:val="004B7647"/>
    <w:rsid w:val="004C0DF0"/>
    <w:rsid w:val="004C4E6C"/>
    <w:rsid w:val="004C5593"/>
    <w:rsid w:val="004C6FD1"/>
    <w:rsid w:val="004D5462"/>
    <w:rsid w:val="004E46B4"/>
    <w:rsid w:val="004E4F2D"/>
    <w:rsid w:val="004E5F6A"/>
    <w:rsid w:val="004F0431"/>
    <w:rsid w:val="004F2B6D"/>
    <w:rsid w:val="004F7F01"/>
    <w:rsid w:val="005043DC"/>
    <w:rsid w:val="005057FF"/>
    <w:rsid w:val="005065A1"/>
    <w:rsid w:val="00510365"/>
    <w:rsid w:val="00513AAD"/>
    <w:rsid w:val="00514D2F"/>
    <w:rsid w:val="00515C2A"/>
    <w:rsid w:val="00516C5C"/>
    <w:rsid w:val="00517BB6"/>
    <w:rsid w:val="00520F62"/>
    <w:rsid w:val="0052115F"/>
    <w:rsid w:val="00522805"/>
    <w:rsid w:val="00527528"/>
    <w:rsid w:val="005328E4"/>
    <w:rsid w:val="0053340D"/>
    <w:rsid w:val="00534668"/>
    <w:rsid w:val="005358D9"/>
    <w:rsid w:val="00546731"/>
    <w:rsid w:val="00552DE2"/>
    <w:rsid w:val="00556D96"/>
    <w:rsid w:val="00560D34"/>
    <w:rsid w:val="00566C39"/>
    <w:rsid w:val="0057242C"/>
    <w:rsid w:val="005739C6"/>
    <w:rsid w:val="00583FDD"/>
    <w:rsid w:val="005955A6"/>
    <w:rsid w:val="005A1F3B"/>
    <w:rsid w:val="005A3852"/>
    <w:rsid w:val="005A433D"/>
    <w:rsid w:val="005A4AF1"/>
    <w:rsid w:val="005A6B82"/>
    <w:rsid w:val="005B0A16"/>
    <w:rsid w:val="005B28BB"/>
    <w:rsid w:val="005B6ACA"/>
    <w:rsid w:val="005C0D33"/>
    <w:rsid w:val="005C265E"/>
    <w:rsid w:val="005C5952"/>
    <w:rsid w:val="005C5D86"/>
    <w:rsid w:val="005D1BD9"/>
    <w:rsid w:val="005D2FFD"/>
    <w:rsid w:val="005D52C3"/>
    <w:rsid w:val="005D567E"/>
    <w:rsid w:val="005E73A6"/>
    <w:rsid w:val="005F683A"/>
    <w:rsid w:val="00600D37"/>
    <w:rsid w:val="00611985"/>
    <w:rsid w:val="006135EE"/>
    <w:rsid w:val="006145F4"/>
    <w:rsid w:val="0061792B"/>
    <w:rsid w:val="006200F3"/>
    <w:rsid w:val="00621147"/>
    <w:rsid w:val="006327E6"/>
    <w:rsid w:val="006336A1"/>
    <w:rsid w:val="00634CAD"/>
    <w:rsid w:val="00637C99"/>
    <w:rsid w:val="00650287"/>
    <w:rsid w:val="00653EFF"/>
    <w:rsid w:val="0065752C"/>
    <w:rsid w:val="00657B75"/>
    <w:rsid w:val="00667125"/>
    <w:rsid w:val="00667BCA"/>
    <w:rsid w:val="0067242E"/>
    <w:rsid w:val="006766CA"/>
    <w:rsid w:val="00681D93"/>
    <w:rsid w:val="00682508"/>
    <w:rsid w:val="00691DFF"/>
    <w:rsid w:val="006920AA"/>
    <w:rsid w:val="006A5759"/>
    <w:rsid w:val="006A7F0D"/>
    <w:rsid w:val="006B0308"/>
    <w:rsid w:val="006B5F0D"/>
    <w:rsid w:val="006C1AB3"/>
    <w:rsid w:val="006C6E61"/>
    <w:rsid w:val="006E14A6"/>
    <w:rsid w:val="006E21BB"/>
    <w:rsid w:val="006E3A67"/>
    <w:rsid w:val="006F0861"/>
    <w:rsid w:val="006F4590"/>
    <w:rsid w:val="00703279"/>
    <w:rsid w:val="00712A8F"/>
    <w:rsid w:val="007260F6"/>
    <w:rsid w:val="00733436"/>
    <w:rsid w:val="00736319"/>
    <w:rsid w:val="007402DD"/>
    <w:rsid w:val="0074363F"/>
    <w:rsid w:val="00744D9B"/>
    <w:rsid w:val="0074585D"/>
    <w:rsid w:val="00760BA4"/>
    <w:rsid w:val="007630EF"/>
    <w:rsid w:val="007712E5"/>
    <w:rsid w:val="007876D2"/>
    <w:rsid w:val="00790E03"/>
    <w:rsid w:val="00792F09"/>
    <w:rsid w:val="00794A9A"/>
    <w:rsid w:val="0079615F"/>
    <w:rsid w:val="007973B1"/>
    <w:rsid w:val="007A1A48"/>
    <w:rsid w:val="007A53CA"/>
    <w:rsid w:val="007A6746"/>
    <w:rsid w:val="007B507B"/>
    <w:rsid w:val="007C42E0"/>
    <w:rsid w:val="007C4948"/>
    <w:rsid w:val="007C7CEE"/>
    <w:rsid w:val="007D22E7"/>
    <w:rsid w:val="007D44B3"/>
    <w:rsid w:val="007F1983"/>
    <w:rsid w:val="007F464F"/>
    <w:rsid w:val="00801A98"/>
    <w:rsid w:val="00803643"/>
    <w:rsid w:val="008108A3"/>
    <w:rsid w:val="00817F7E"/>
    <w:rsid w:val="00822AEB"/>
    <w:rsid w:val="00827A3D"/>
    <w:rsid w:val="008356FE"/>
    <w:rsid w:val="00840B9A"/>
    <w:rsid w:val="00840C9D"/>
    <w:rsid w:val="00842A2C"/>
    <w:rsid w:val="00844190"/>
    <w:rsid w:val="00844534"/>
    <w:rsid w:val="008447C0"/>
    <w:rsid w:val="00850119"/>
    <w:rsid w:val="008520BB"/>
    <w:rsid w:val="0085297A"/>
    <w:rsid w:val="00854738"/>
    <w:rsid w:val="008648D0"/>
    <w:rsid w:val="00864F75"/>
    <w:rsid w:val="00871552"/>
    <w:rsid w:val="00873CAD"/>
    <w:rsid w:val="0087428D"/>
    <w:rsid w:val="00877C6F"/>
    <w:rsid w:val="00881918"/>
    <w:rsid w:val="00881EED"/>
    <w:rsid w:val="0088603F"/>
    <w:rsid w:val="00891411"/>
    <w:rsid w:val="00897172"/>
    <w:rsid w:val="008A0454"/>
    <w:rsid w:val="008A57AD"/>
    <w:rsid w:val="008B4370"/>
    <w:rsid w:val="008B6661"/>
    <w:rsid w:val="008C0C95"/>
    <w:rsid w:val="008D2DC8"/>
    <w:rsid w:val="008E6D0A"/>
    <w:rsid w:val="008F12B7"/>
    <w:rsid w:val="008F275D"/>
    <w:rsid w:val="008F7404"/>
    <w:rsid w:val="00903992"/>
    <w:rsid w:val="00903FC9"/>
    <w:rsid w:val="0092148C"/>
    <w:rsid w:val="00922F91"/>
    <w:rsid w:val="0094111B"/>
    <w:rsid w:val="0094508F"/>
    <w:rsid w:val="00945548"/>
    <w:rsid w:val="009465D0"/>
    <w:rsid w:val="00947C89"/>
    <w:rsid w:val="009531BA"/>
    <w:rsid w:val="00955E72"/>
    <w:rsid w:val="0095766D"/>
    <w:rsid w:val="00962C62"/>
    <w:rsid w:val="00962F31"/>
    <w:rsid w:val="0096456B"/>
    <w:rsid w:val="0097338E"/>
    <w:rsid w:val="00975DFC"/>
    <w:rsid w:val="00990875"/>
    <w:rsid w:val="00990D78"/>
    <w:rsid w:val="00991310"/>
    <w:rsid w:val="00997401"/>
    <w:rsid w:val="00997D5D"/>
    <w:rsid w:val="009B099B"/>
    <w:rsid w:val="009B15AE"/>
    <w:rsid w:val="009B7E8C"/>
    <w:rsid w:val="009C10A9"/>
    <w:rsid w:val="009D1B83"/>
    <w:rsid w:val="009D2E7C"/>
    <w:rsid w:val="009D55D8"/>
    <w:rsid w:val="009F2DCF"/>
    <w:rsid w:val="009F7DFF"/>
    <w:rsid w:val="00A050CF"/>
    <w:rsid w:val="00A07A8E"/>
    <w:rsid w:val="00A133A3"/>
    <w:rsid w:val="00A142B5"/>
    <w:rsid w:val="00A16953"/>
    <w:rsid w:val="00A2164D"/>
    <w:rsid w:val="00A22CEA"/>
    <w:rsid w:val="00A23357"/>
    <w:rsid w:val="00A240BF"/>
    <w:rsid w:val="00A311A7"/>
    <w:rsid w:val="00A322E8"/>
    <w:rsid w:val="00A339A3"/>
    <w:rsid w:val="00A347F3"/>
    <w:rsid w:val="00A34A03"/>
    <w:rsid w:val="00A357A3"/>
    <w:rsid w:val="00A418FF"/>
    <w:rsid w:val="00A4776D"/>
    <w:rsid w:val="00A516D5"/>
    <w:rsid w:val="00A6087C"/>
    <w:rsid w:val="00A63F93"/>
    <w:rsid w:val="00A836AA"/>
    <w:rsid w:val="00A84F8C"/>
    <w:rsid w:val="00A8619D"/>
    <w:rsid w:val="00A868B9"/>
    <w:rsid w:val="00A93D34"/>
    <w:rsid w:val="00A9419F"/>
    <w:rsid w:val="00A94D9C"/>
    <w:rsid w:val="00A9548D"/>
    <w:rsid w:val="00A956CA"/>
    <w:rsid w:val="00A963C1"/>
    <w:rsid w:val="00AA689E"/>
    <w:rsid w:val="00AA6D93"/>
    <w:rsid w:val="00AA7113"/>
    <w:rsid w:val="00AB3144"/>
    <w:rsid w:val="00AC1E5E"/>
    <w:rsid w:val="00AC7BB3"/>
    <w:rsid w:val="00AD52C5"/>
    <w:rsid w:val="00AE1D42"/>
    <w:rsid w:val="00AE4F10"/>
    <w:rsid w:val="00AE4F4E"/>
    <w:rsid w:val="00AE7BB6"/>
    <w:rsid w:val="00AF1CF8"/>
    <w:rsid w:val="00AF3277"/>
    <w:rsid w:val="00AF7656"/>
    <w:rsid w:val="00B01D00"/>
    <w:rsid w:val="00B04401"/>
    <w:rsid w:val="00B05749"/>
    <w:rsid w:val="00B068FE"/>
    <w:rsid w:val="00B1261E"/>
    <w:rsid w:val="00B207BA"/>
    <w:rsid w:val="00B21094"/>
    <w:rsid w:val="00B32908"/>
    <w:rsid w:val="00B32EE0"/>
    <w:rsid w:val="00B32F44"/>
    <w:rsid w:val="00B37576"/>
    <w:rsid w:val="00B37985"/>
    <w:rsid w:val="00B425A9"/>
    <w:rsid w:val="00B45040"/>
    <w:rsid w:val="00B467DE"/>
    <w:rsid w:val="00B616B4"/>
    <w:rsid w:val="00B663D8"/>
    <w:rsid w:val="00B853A5"/>
    <w:rsid w:val="00B859EC"/>
    <w:rsid w:val="00B963ED"/>
    <w:rsid w:val="00BA1842"/>
    <w:rsid w:val="00BA19FF"/>
    <w:rsid w:val="00BB071A"/>
    <w:rsid w:val="00BB1ADC"/>
    <w:rsid w:val="00BB1D14"/>
    <w:rsid w:val="00BB223B"/>
    <w:rsid w:val="00BB6336"/>
    <w:rsid w:val="00BC51D8"/>
    <w:rsid w:val="00BC780C"/>
    <w:rsid w:val="00BD305A"/>
    <w:rsid w:val="00BD667C"/>
    <w:rsid w:val="00BE527A"/>
    <w:rsid w:val="00BE5D09"/>
    <w:rsid w:val="00BE7827"/>
    <w:rsid w:val="00C0542F"/>
    <w:rsid w:val="00C06977"/>
    <w:rsid w:val="00C12BB7"/>
    <w:rsid w:val="00C3480B"/>
    <w:rsid w:val="00C40A2B"/>
    <w:rsid w:val="00C41AEE"/>
    <w:rsid w:val="00C445C7"/>
    <w:rsid w:val="00C54B30"/>
    <w:rsid w:val="00C55B8E"/>
    <w:rsid w:val="00C56BFF"/>
    <w:rsid w:val="00C62E0C"/>
    <w:rsid w:val="00C66854"/>
    <w:rsid w:val="00C71EFE"/>
    <w:rsid w:val="00C81B05"/>
    <w:rsid w:val="00C90787"/>
    <w:rsid w:val="00CA69AF"/>
    <w:rsid w:val="00CA6F53"/>
    <w:rsid w:val="00CC0DB4"/>
    <w:rsid w:val="00CD57AC"/>
    <w:rsid w:val="00CD74EC"/>
    <w:rsid w:val="00CE273F"/>
    <w:rsid w:val="00CE6953"/>
    <w:rsid w:val="00CF18E3"/>
    <w:rsid w:val="00CF5660"/>
    <w:rsid w:val="00D07B39"/>
    <w:rsid w:val="00D11A6C"/>
    <w:rsid w:val="00D143E8"/>
    <w:rsid w:val="00D15B60"/>
    <w:rsid w:val="00D24FF7"/>
    <w:rsid w:val="00D256E9"/>
    <w:rsid w:val="00D26A83"/>
    <w:rsid w:val="00D36193"/>
    <w:rsid w:val="00D71AFC"/>
    <w:rsid w:val="00D80BD1"/>
    <w:rsid w:val="00D90158"/>
    <w:rsid w:val="00D914A2"/>
    <w:rsid w:val="00D91B27"/>
    <w:rsid w:val="00D91FD0"/>
    <w:rsid w:val="00D9219C"/>
    <w:rsid w:val="00D934D8"/>
    <w:rsid w:val="00D947A8"/>
    <w:rsid w:val="00D95380"/>
    <w:rsid w:val="00D96587"/>
    <w:rsid w:val="00DA289E"/>
    <w:rsid w:val="00DB1D68"/>
    <w:rsid w:val="00DB2A17"/>
    <w:rsid w:val="00DB54B7"/>
    <w:rsid w:val="00DB6258"/>
    <w:rsid w:val="00DD4C7C"/>
    <w:rsid w:val="00DE11F4"/>
    <w:rsid w:val="00DE2962"/>
    <w:rsid w:val="00DE521A"/>
    <w:rsid w:val="00DF7A88"/>
    <w:rsid w:val="00E14AEF"/>
    <w:rsid w:val="00E2047A"/>
    <w:rsid w:val="00E21CE6"/>
    <w:rsid w:val="00E40210"/>
    <w:rsid w:val="00E41D51"/>
    <w:rsid w:val="00E42224"/>
    <w:rsid w:val="00E53F92"/>
    <w:rsid w:val="00E60DAE"/>
    <w:rsid w:val="00E614E6"/>
    <w:rsid w:val="00E73D38"/>
    <w:rsid w:val="00E750CB"/>
    <w:rsid w:val="00E83A94"/>
    <w:rsid w:val="00E93B18"/>
    <w:rsid w:val="00EA39CA"/>
    <w:rsid w:val="00EA401D"/>
    <w:rsid w:val="00EB13BE"/>
    <w:rsid w:val="00EB1D5C"/>
    <w:rsid w:val="00EB4F33"/>
    <w:rsid w:val="00EB748D"/>
    <w:rsid w:val="00EB763D"/>
    <w:rsid w:val="00EB7979"/>
    <w:rsid w:val="00EC1541"/>
    <w:rsid w:val="00EC6D22"/>
    <w:rsid w:val="00ED3C46"/>
    <w:rsid w:val="00EE7F49"/>
    <w:rsid w:val="00EF2C6D"/>
    <w:rsid w:val="00F02664"/>
    <w:rsid w:val="00F1721C"/>
    <w:rsid w:val="00F30ACC"/>
    <w:rsid w:val="00F3240D"/>
    <w:rsid w:val="00F44E2E"/>
    <w:rsid w:val="00F4539A"/>
    <w:rsid w:val="00F552D4"/>
    <w:rsid w:val="00F57101"/>
    <w:rsid w:val="00F57A04"/>
    <w:rsid w:val="00F6033C"/>
    <w:rsid w:val="00F640CB"/>
    <w:rsid w:val="00F76FDA"/>
    <w:rsid w:val="00F834EE"/>
    <w:rsid w:val="00F85B73"/>
    <w:rsid w:val="00F86715"/>
    <w:rsid w:val="00FA649F"/>
    <w:rsid w:val="00FA67CE"/>
    <w:rsid w:val="00FB0D0C"/>
    <w:rsid w:val="00FB2953"/>
    <w:rsid w:val="00FC5A63"/>
    <w:rsid w:val="00FC774A"/>
    <w:rsid w:val="00FD3345"/>
    <w:rsid w:val="00FD5B64"/>
    <w:rsid w:val="00FE49C0"/>
    <w:rsid w:val="00FE4A41"/>
    <w:rsid w:val="00FE57B4"/>
    <w:rsid w:val="00FE6948"/>
    <w:rsid w:val="00FE6CDC"/>
    <w:rsid w:val="00FF4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513DE4"/>
  <w15:chartTrackingRefBased/>
  <w15:docId w15:val="{B825C49E-36F7-4F52-AFD0-B3322B2F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7BB3"/>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634CAD"/>
    <w:pPr>
      <w:keepNext/>
      <w:keepLines/>
      <w:pageBreakBefore/>
      <w:jc w:val="right"/>
      <w:outlineLvl w:val="0"/>
    </w:pPr>
    <w:rPr>
      <w:rFonts w:eastAsiaTheme="majorEastAsia"/>
      <w:b/>
      <w:bCs/>
    </w:rPr>
  </w:style>
  <w:style w:type="paragraph" w:styleId="Heading2">
    <w:name w:val="heading 2"/>
    <w:basedOn w:val="Normal"/>
    <w:next w:val="Normal"/>
    <w:link w:val="Heading2Char"/>
    <w:uiPriority w:val="9"/>
    <w:unhideWhenUsed/>
    <w:qFormat/>
    <w:rsid w:val="00AF3277"/>
    <w:pPr>
      <w:keepNext/>
      <w:keepLines/>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0D7FEE"/>
    <w:pPr>
      <w:keepNext/>
      <w:keepLines/>
      <w:jc w:val="center"/>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4CAD"/>
    <w:rPr>
      <w:rFonts w:ascii="Times New Roman" w:eastAsiaTheme="majorEastAsia" w:hAnsi="Times New Roman" w:cs="Times New Roman"/>
      <w:b/>
      <w:bCs/>
    </w:rPr>
  </w:style>
  <w:style w:type="paragraph" w:styleId="BodyText">
    <w:name w:val="Body Text"/>
    <w:basedOn w:val="Normal"/>
    <w:link w:val="BodyTextChar"/>
    <w:uiPriority w:val="1"/>
    <w:qFormat/>
    <w:rsid w:val="005A433D"/>
    <w:rPr>
      <w:szCs w:val="24"/>
    </w:rPr>
  </w:style>
  <w:style w:type="character" w:customStyle="1" w:styleId="BodyTextChar">
    <w:name w:val="Body Text Char"/>
    <w:basedOn w:val="DefaultParagraphFont"/>
    <w:link w:val="BodyText"/>
    <w:uiPriority w:val="1"/>
    <w:rsid w:val="005A433D"/>
    <w:rPr>
      <w:rFonts w:ascii="Times New Roman" w:eastAsia="Times New Roman" w:hAnsi="Times New Roman" w:cs="Times New Roman"/>
      <w:szCs w:val="24"/>
    </w:rPr>
  </w:style>
  <w:style w:type="character" w:customStyle="1" w:styleId="Heading2Char">
    <w:name w:val="Heading 2 Char"/>
    <w:basedOn w:val="DefaultParagraphFont"/>
    <w:link w:val="Heading2"/>
    <w:uiPriority w:val="9"/>
    <w:rsid w:val="00AF3277"/>
    <w:rPr>
      <w:rFonts w:ascii="Times New Roman" w:eastAsiaTheme="majorEastAsia" w:hAnsi="Times New Roman" w:cstheme="majorBidi"/>
      <w:szCs w:val="26"/>
    </w:rPr>
  </w:style>
  <w:style w:type="paragraph" w:styleId="TOCHeading">
    <w:name w:val="TOC Heading"/>
    <w:basedOn w:val="Heading1"/>
    <w:next w:val="Normal"/>
    <w:uiPriority w:val="39"/>
    <w:unhideWhenUsed/>
    <w:qFormat/>
    <w:rsid w:val="00AF3277"/>
    <w:pPr>
      <w:widowControl/>
      <w:autoSpaceDE/>
      <w:autoSpaceDN/>
      <w:spacing w:before="240" w:line="259" w:lineRule="auto"/>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EB13BE"/>
    <w:pPr>
      <w:tabs>
        <w:tab w:val="right" w:leader="dot" w:pos="9350"/>
      </w:tabs>
      <w:spacing w:after="100"/>
    </w:pPr>
  </w:style>
  <w:style w:type="character" w:styleId="Hyperlink">
    <w:name w:val="Hyperlink"/>
    <w:basedOn w:val="DefaultParagraphFont"/>
    <w:uiPriority w:val="99"/>
    <w:unhideWhenUsed/>
    <w:rsid w:val="00AF3277"/>
    <w:rPr>
      <w:color w:val="0563C1" w:themeColor="hyperlink"/>
      <w:u w:val="single"/>
    </w:rPr>
  </w:style>
  <w:style w:type="paragraph" w:styleId="TOC2">
    <w:name w:val="toc 2"/>
    <w:basedOn w:val="Normal"/>
    <w:next w:val="Normal"/>
    <w:autoRedefine/>
    <w:uiPriority w:val="39"/>
    <w:unhideWhenUsed/>
    <w:rsid w:val="00C62E0C"/>
    <w:pPr>
      <w:tabs>
        <w:tab w:val="right" w:leader="dot" w:pos="9350"/>
      </w:tabs>
      <w:spacing w:after="100"/>
      <w:ind w:left="220"/>
    </w:pPr>
    <w:rPr>
      <w:i/>
      <w:iCs/>
    </w:rPr>
  </w:style>
  <w:style w:type="paragraph" w:styleId="TOC3">
    <w:name w:val="toc 3"/>
    <w:basedOn w:val="Normal"/>
    <w:next w:val="Normal"/>
    <w:autoRedefine/>
    <w:uiPriority w:val="39"/>
    <w:unhideWhenUsed/>
    <w:rsid w:val="00EB13BE"/>
    <w:pPr>
      <w:widowControl/>
      <w:autoSpaceDE/>
      <w:autoSpaceDN/>
      <w:spacing w:after="100" w:line="259" w:lineRule="auto"/>
      <w:ind w:left="440"/>
    </w:pPr>
    <w:rPr>
      <w:rFonts w:eastAsiaTheme="minorEastAsia"/>
    </w:rPr>
  </w:style>
  <w:style w:type="paragraph" w:styleId="BalloonText">
    <w:name w:val="Balloon Text"/>
    <w:basedOn w:val="Normal"/>
    <w:link w:val="BalloonTextChar"/>
    <w:uiPriority w:val="99"/>
    <w:semiHidden/>
    <w:unhideWhenUsed/>
    <w:rsid w:val="005A4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33D"/>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0D7FEE"/>
    <w:rPr>
      <w:rFonts w:ascii="Times New Roman" w:eastAsiaTheme="majorEastAsia" w:hAnsi="Times New Roman" w:cstheme="majorBidi"/>
      <w:szCs w:val="24"/>
    </w:rPr>
  </w:style>
  <w:style w:type="paragraph" w:styleId="ListParagraph">
    <w:name w:val="List Paragraph"/>
    <w:basedOn w:val="Normal"/>
    <w:uiPriority w:val="1"/>
    <w:qFormat/>
    <w:rsid w:val="005358D9"/>
    <w:pPr>
      <w:ind w:left="1900" w:hanging="360"/>
    </w:pPr>
  </w:style>
  <w:style w:type="character" w:styleId="CommentReference">
    <w:name w:val="annotation reference"/>
    <w:basedOn w:val="DefaultParagraphFont"/>
    <w:uiPriority w:val="99"/>
    <w:semiHidden/>
    <w:unhideWhenUsed/>
    <w:rsid w:val="00864F75"/>
    <w:rPr>
      <w:sz w:val="16"/>
      <w:szCs w:val="16"/>
    </w:rPr>
  </w:style>
  <w:style w:type="paragraph" w:styleId="CommentText">
    <w:name w:val="annotation text"/>
    <w:basedOn w:val="Normal"/>
    <w:link w:val="CommentTextChar"/>
    <w:uiPriority w:val="99"/>
    <w:semiHidden/>
    <w:unhideWhenUsed/>
    <w:rsid w:val="00864F75"/>
    <w:rPr>
      <w:sz w:val="20"/>
      <w:szCs w:val="20"/>
    </w:rPr>
  </w:style>
  <w:style w:type="character" w:customStyle="1" w:styleId="CommentTextChar">
    <w:name w:val="Comment Text Char"/>
    <w:basedOn w:val="DefaultParagraphFont"/>
    <w:link w:val="CommentText"/>
    <w:uiPriority w:val="99"/>
    <w:semiHidden/>
    <w:rsid w:val="00864F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4F75"/>
    <w:rPr>
      <w:b/>
      <w:bCs/>
    </w:rPr>
  </w:style>
  <w:style w:type="character" w:customStyle="1" w:styleId="CommentSubjectChar">
    <w:name w:val="Comment Subject Char"/>
    <w:basedOn w:val="CommentTextChar"/>
    <w:link w:val="CommentSubject"/>
    <w:uiPriority w:val="99"/>
    <w:semiHidden/>
    <w:rsid w:val="00864F75"/>
    <w:rPr>
      <w:rFonts w:ascii="Times New Roman" w:eastAsia="Times New Roman" w:hAnsi="Times New Roman" w:cs="Times New Roman"/>
      <w:b/>
      <w:bCs/>
      <w:sz w:val="20"/>
      <w:szCs w:val="20"/>
    </w:rPr>
  </w:style>
  <w:style w:type="paragraph" w:customStyle="1" w:styleId="TableParagraph">
    <w:name w:val="Table Paragraph"/>
    <w:basedOn w:val="Normal"/>
    <w:uiPriority w:val="1"/>
    <w:qFormat/>
    <w:rsid w:val="00D26A83"/>
    <w:pPr>
      <w:ind w:left="107"/>
    </w:pPr>
    <w:rPr>
      <w:rFonts w:ascii="Arial" w:eastAsia="Arial" w:hAnsi="Arial" w:cs="Arial"/>
    </w:rPr>
  </w:style>
  <w:style w:type="paragraph" w:styleId="TOC4">
    <w:name w:val="toc 4"/>
    <w:basedOn w:val="Normal"/>
    <w:next w:val="Normal"/>
    <w:autoRedefine/>
    <w:uiPriority w:val="39"/>
    <w:unhideWhenUsed/>
    <w:rsid w:val="004B21DB"/>
    <w:pPr>
      <w:widowControl/>
      <w:autoSpaceDE/>
      <w:autoSpaceDN/>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4B21DB"/>
    <w:pPr>
      <w:widowControl/>
      <w:autoSpaceDE/>
      <w:autoSpaceDN/>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4B21DB"/>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4B21DB"/>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4B21DB"/>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4B21DB"/>
    <w:pPr>
      <w:widowControl/>
      <w:autoSpaceDE/>
      <w:autoSpaceDN/>
      <w:spacing w:after="100" w:line="259" w:lineRule="auto"/>
      <w:ind w:left="1760"/>
    </w:pPr>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4B21DB"/>
    <w:rPr>
      <w:color w:val="605E5C"/>
      <w:shd w:val="clear" w:color="auto" w:fill="E1DFDD"/>
    </w:rPr>
  </w:style>
  <w:style w:type="paragraph" w:styleId="Header">
    <w:name w:val="header"/>
    <w:basedOn w:val="Normal"/>
    <w:link w:val="HeaderChar"/>
    <w:uiPriority w:val="99"/>
    <w:unhideWhenUsed/>
    <w:rsid w:val="00F86715"/>
    <w:pPr>
      <w:tabs>
        <w:tab w:val="center" w:pos="4680"/>
        <w:tab w:val="right" w:pos="9360"/>
      </w:tabs>
    </w:pPr>
  </w:style>
  <w:style w:type="character" w:customStyle="1" w:styleId="HeaderChar">
    <w:name w:val="Header Char"/>
    <w:basedOn w:val="DefaultParagraphFont"/>
    <w:link w:val="Header"/>
    <w:uiPriority w:val="99"/>
    <w:rsid w:val="00F86715"/>
    <w:rPr>
      <w:rFonts w:ascii="Times New Roman" w:eastAsia="Times New Roman" w:hAnsi="Times New Roman" w:cs="Times New Roman"/>
    </w:rPr>
  </w:style>
  <w:style w:type="paragraph" w:styleId="Footer">
    <w:name w:val="footer"/>
    <w:basedOn w:val="Normal"/>
    <w:link w:val="FooterChar"/>
    <w:uiPriority w:val="99"/>
    <w:unhideWhenUsed/>
    <w:rsid w:val="00F86715"/>
    <w:pPr>
      <w:tabs>
        <w:tab w:val="center" w:pos="4680"/>
        <w:tab w:val="right" w:pos="9360"/>
      </w:tabs>
    </w:pPr>
  </w:style>
  <w:style w:type="character" w:customStyle="1" w:styleId="FooterChar">
    <w:name w:val="Footer Char"/>
    <w:basedOn w:val="DefaultParagraphFont"/>
    <w:link w:val="Footer"/>
    <w:uiPriority w:val="99"/>
    <w:rsid w:val="00F86715"/>
    <w:rPr>
      <w:rFonts w:ascii="Times New Roman" w:eastAsia="Times New Roman" w:hAnsi="Times New Roman" w:cs="Times New Roman"/>
    </w:rPr>
  </w:style>
  <w:style w:type="table" w:styleId="TableGrid">
    <w:name w:val="Table Grid"/>
    <w:basedOn w:val="TableNormal"/>
    <w:uiPriority w:val="39"/>
    <w:rsid w:val="00BB633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C7CEE"/>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9975">
      <w:bodyDiv w:val="1"/>
      <w:marLeft w:val="0"/>
      <w:marRight w:val="0"/>
      <w:marTop w:val="0"/>
      <w:marBottom w:val="0"/>
      <w:divBdr>
        <w:top w:val="none" w:sz="0" w:space="0" w:color="auto"/>
        <w:left w:val="none" w:sz="0" w:space="0" w:color="auto"/>
        <w:bottom w:val="none" w:sz="0" w:space="0" w:color="auto"/>
        <w:right w:val="none" w:sz="0" w:space="0" w:color="auto"/>
      </w:divBdr>
    </w:div>
    <w:div w:id="626590542">
      <w:bodyDiv w:val="1"/>
      <w:marLeft w:val="0"/>
      <w:marRight w:val="0"/>
      <w:marTop w:val="0"/>
      <w:marBottom w:val="0"/>
      <w:divBdr>
        <w:top w:val="none" w:sz="0" w:space="0" w:color="auto"/>
        <w:left w:val="none" w:sz="0" w:space="0" w:color="auto"/>
        <w:bottom w:val="none" w:sz="0" w:space="0" w:color="auto"/>
        <w:right w:val="none" w:sz="0" w:space="0" w:color="auto"/>
      </w:divBdr>
    </w:div>
    <w:div w:id="938024574">
      <w:bodyDiv w:val="1"/>
      <w:marLeft w:val="0"/>
      <w:marRight w:val="0"/>
      <w:marTop w:val="0"/>
      <w:marBottom w:val="0"/>
      <w:divBdr>
        <w:top w:val="none" w:sz="0" w:space="0" w:color="auto"/>
        <w:left w:val="none" w:sz="0" w:space="0" w:color="auto"/>
        <w:bottom w:val="none" w:sz="0" w:space="0" w:color="auto"/>
        <w:right w:val="none" w:sz="0" w:space="0" w:color="auto"/>
      </w:divBdr>
    </w:div>
    <w:div w:id="943458269">
      <w:bodyDiv w:val="1"/>
      <w:marLeft w:val="0"/>
      <w:marRight w:val="0"/>
      <w:marTop w:val="0"/>
      <w:marBottom w:val="0"/>
      <w:divBdr>
        <w:top w:val="none" w:sz="0" w:space="0" w:color="auto"/>
        <w:left w:val="none" w:sz="0" w:space="0" w:color="auto"/>
        <w:bottom w:val="none" w:sz="0" w:space="0" w:color="auto"/>
        <w:right w:val="none" w:sz="0" w:space="0" w:color="auto"/>
      </w:divBdr>
    </w:div>
    <w:div w:id="1549105061">
      <w:bodyDiv w:val="1"/>
      <w:marLeft w:val="0"/>
      <w:marRight w:val="0"/>
      <w:marTop w:val="0"/>
      <w:marBottom w:val="0"/>
      <w:divBdr>
        <w:top w:val="none" w:sz="0" w:space="0" w:color="auto"/>
        <w:left w:val="none" w:sz="0" w:space="0" w:color="auto"/>
        <w:bottom w:val="none" w:sz="0" w:space="0" w:color="auto"/>
        <w:right w:val="none" w:sz="0" w:space="0" w:color="auto"/>
      </w:divBdr>
    </w:div>
    <w:div w:id="1750345388">
      <w:bodyDiv w:val="1"/>
      <w:marLeft w:val="0"/>
      <w:marRight w:val="0"/>
      <w:marTop w:val="0"/>
      <w:marBottom w:val="0"/>
      <w:divBdr>
        <w:top w:val="none" w:sz="0" w:space="0" w:color="auto"/>
        <w:left w:val="none" w:sz="0" w:space="0" w:color="auto"/>
        <w:bottom w:val="none" w:sz="0" w:space="0" w:color="auto"/>
        <w:right w:val="none" w:sz="0" w:space="0" w:color="auto"/>
      </w:divBdr>
    </w:div>
    <w:div w:id="193655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da4029c5bc074d21701652aaf434247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9f22e0fc4bbea3a3f57c0917fdd3b0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6F314-4838-4C1C-9D76-CC0E4010CAA8}">
  <ds:schemaRefs>
    <ds:schemaRef ds:uri="http://schemas.microsoft.com/office/2006/documentManagement/types"/>
    <ds:schemaRef ds:uri="http://www.w3.org/XML/1998/namespace"/>
    <ds:schemaRef ds:uri="http://schemas.openxmlformats.org/package/2006/metadata/core-properties"/>
    <ds:schemaRef ds:uri="f87c7b8b-c0e7-4b77-a067-2c707fd1239f"/>
    <ds:schemaRef ds:uri="http://schemas.microsoft.com/office/2006/metadata/properties"/>
    <ds:schemaRef ds:uri="http://purl.org/dc/elements/1.1/"/>
    <ds:schemaRef ds:uri="http://purl.org/dc/dcmitype/"/>
    <ds:schemaRef ds:uri="http://schemas.microsoft.com/office/infopath/2007/PartnerControls"/>
    <ds:schemaRef ds:uri="02e41e38-1731-4866-b09a-6257d8bc047f"/>
    <ds:schemaRef ds:uri="http://purl.org/dc/terms/"/>
  </ds:schemaRefs>
</ds:datastoreItem>
</file>

<file path=customXml/itemProps2.xml><?xml version="1.0" encoding="utf-8"?>
<ds:datastoreItem xmlns:ds="http://schemas.openxmlformats.org/officeDocument/2006/customXml" ds:itemID="{73170CC6-75D8-43C2-86C7-73E426EB1B86}">
  <ds:schemaRefs>
    <ds:schemaRef ds:uri="http://schemas.microsoft.com/sharepoint/v3/contenttype/forms"/>
  </ds:schemaRefs>
</ds:datastoreItem>
</file>

<file path=customXml/itemProps3.xml><?xml version="1.0" encoding="utf-8"?>
<ds:datastoreItem xmlns:ds="http://schemas.openxmlformats.org/officeDocument/2006/customXml" ds:itemID="{142066A8-9819-440B-9CCB-EE17F39C7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2671B4-4149-4107-A6B2-147BEFDF6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17440</Words>
  <Characters>115808</Characters>
  <Application>Microsoft Office Word</Application>
  <DocSecurity>4</DocSecurity>
  <Lines>3406</Lines>
  <Paragraphs>1800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131448</CharactersWithSpaces>
  <SharedDoc>false</SharedDoc>
  <HLinks>
    <vt:vector size="642" baseType="variant">
      <vt:variant>
        <vt:i4>1114161</vt:i4>
      </vt:variant>
      <vt:variant>
        <vt:i4>638</vt:i4>
      </vt:variant>
      <vt:variant>
        <vt:i4>0</vt:i4>
      </vt:variant>
      <vt:variant>
        <vt:i4>5</vt:i4>
      </vt:variant>
      <vt:variant>
        <vt:lpwstr/>
      </vt:variant>
      <vt:variant>
        <vt:lpwstr>_Toc17714737</vt:lpwstr>
      </vt:variant>
      <vt:variant>
        <vt:i4>1048625</vt:i4>
      </vt:variant>
      <vt:variant>
        <vt:i4>632</vt:i4>
      </vt:variant>
      <vt:variant>
        <vt:i4>0</vt:i4>
      </vt:variant>
      <vt:variant>
        <vt:i4>5</vt:i4>
      </vt:variant>
      <vt:variant>
        <vt:lpwstr/>
      </vt:variant>
      <vt:variant>
        <vt:lpwstr>_Toc17714736</vt:lpwstr>
      </vt:variant>
      <vt:variant>
        <vt:i4>1245233</vt:i4>
      </vt:variant>
      <vt:variant>
        <vt:i4>626</vt:i4>
      </vt:variant>
      <vt:variant>
        <vt:i4>0</vt:i4>
      </vt:variant>
      <vt:variant>
        <vt:i4>5</vt:i4>
      </vt:variant>
      <vt:variant>
        <vt:lpwstr/>
      </vt:variant>
      <vt:variant>
        <vt:lpwstr>_Toc17714735</vt:lpwstr>
      </vt:variant>
      <vt:variant>
        <vt:i4>1179697</vt:i4>
      </vt:variant>
      <vt:variant>
        <vt:i4>620</vt:i4>
      </vt:variant>
      <vt:variant>
        <vt:i4>0</vt:i4>
      </vt:variant>
      <vt:variant>
        <vt:i4>5</vt:i4>
      </vt:variant>
      <vt:variant>
        <vt:lpwstr/>
      </vt:variant>
      <vt:variant>
        <vt:lpwstr>_Toc17714734</vt:lpwstr>
      </vt:variant>
      <vt:variant>
        <vt:i4>1376305</vt:i4>
      </vt:variant>
      <vt:variant>
        <vt:i4>614</vt:i4>
      </vt:variant>
      <vt:variant>
        <vt:i4>0</vt:i4>
      </vt:variant>
      <vt:variant>
        <vt:i4>5</vt:i4>
      </vt:variant>
      <vt:variant>
        <vt:lpwstr/>
      </vt:variant>
      <vt:variant>
        <vt:lpwstr>_Toc17714733</vt:lpwstr>
      </vt:variant>
      <vt:variant>
        <vt:i4>1310769</vt:i4>
      </vt:variant>
      <vt:variant>
        <vt:i4>608</vt:i4>
      </vt:variant>
      <vt:variant>
        <vt:i4>0</vt:i4>
      </vt:variant>
      <vt:variant>
        <vt:i4>5</vt:i4>
      </vt:variant>
      <vt:variant>
        <vt:lpwstr/>
      </vt:variant>
      <vt:variant>
        <vt:lpwstr>_Toc17714732</vt:lpwstr>
      </vt:variant>
      <vt:variant>
        <vt:i4>1507377</vt:i4>
      </vt:variant>
      <vt:variant>
        <vt:i4>602</vt:i4>
      </vt:variant>
      <vt:variant>
        <vt:i4>0</vt:i4>
      </vt:variant>
      <vt:variant>
        <vt:i4>5</vt:i4>
      </vt:variant>
      <vt:variant>
        <vt:lpwstr/>
      </vt:variant>
      <vt:variant>
        <vt:lpwstr>_Toc17714731</vt:lpwstr>
      </vt:variant>
      <vt:variant>
        <vt:i4>1441841</vt:i4>
      </vt:variant>
      <vt:variant>
        <vt:i4>596</vt:i4>
      </vt:variant>
      <vt:variant>
        <vt:i4>0</vt:i4>
      </vt:variant>
      <vt:variant>
        <vt:i4>5</vt:i4>
      </vt:variant>
      <vt:variant>
        <vt:lpwstr/>
      </vt:variant>
      <vt:variant>
        <vt:lpwstr>_Toc17714730</vt:lpwstr>
      </vt:variant>
      <vt:variant>
        <vt:i4>2031664</vt:i4>
      </vt:variant>
      <vt:variant>
        <vt:i4>590</vt:i4>
      </vt:variant>
      <vt:variant>
        <vt:i4>0</vt:i4>
      </vt:variant>
      <vt:variant>
        <vt:i4>5</vt:i4>
      </vt:variant>
      <vt:variant>
        <vt:lpwstr/>
      </vt:variant>
      <vt:variant>
        <vt:lpwstr>_Toc17714729</vt:lpwstr>
      </vt:variant>
      <vt:variant>
        <vt:i4>1966128</vt:i4>
      </vt:variant>
      <vt:variant>
        <vt:i4>584</vt:i4>
      </vt:variant>
      <vt:variant>
        <vt:i4>0</vt:i4>
      </vt:variant>
      <vt:variant>
        <vt:i4>5</vt:i4>
      </vt:variant>
      <vt:variant>
        <vt:lpwstr/>
      </vt:variant>
      <vt:variant>
        <vt:lpwstr>_Toc17714728</vt:lpwstr>
      </vt:variant>
      <vt:variant>
        <vt:i4>1114160</vt:i4>
      </vt:variant>
      <vt:variant>
        <vt:i4>578</vt:i4>
      </vt:variant>
      <vt:variant>
        <vt:i4>0</vt:i4>
      </vt:variant>
      <vt:variant>
        <vt:i4>5</vt:i4>
      </vt:variant>
      <vt:variant>
        <vt:lpwstr/>
      </vt:variant>
      <vt:variant>
        <vt:lpwstr>_Toc17714727</vt:lpwstr>
      </vt:variant>
      <vt:variant>
        <vt:i4>1048624</vt:i4>
      </vt:variant>
      <vt:variant>
        <vt:i4>572</vt:i4>
      </vt:variant>
      <vt:variant>
        <vt:i4>0</vt:i4>
      </vt:variant>
      <vt:variant>
        <vt:i4>5</vt:i4>
      </vt:variant>
      <vt:variant>
        <vt:lpwstr/>
      </vt:variant>
      <vt:variant>
        <vt:lpwstr>_Toc17714726</vt:lpwstr>
      </vt:variant>
      <vt:variant>
        <vt:i4>1245232</vt:i4>
      </vt:variant>
      <vt:variant>
        <vt:i4>566</vt:i4>
      </vt:variant>
      <vt:variant>
        <vt:i4>0</vt:i4>
      </vt:variant>
      <vt:variant>
        <vt:i4>5</vt:i4>
      </vt:variant>
      <vt:variant>
        <vt:lpwstr/>
      </vt:variant>
      <vt:variant>
        <vt:lpwstr>_Toc17714725</vt:lpwstr>
      </vt:variant>
      <vt:variant>
        <vt:i4>1179696</vt:i4>
      </vt:variant>
      <vt:variant>
        <vt:i4>560</vt:i4>
      </vt:variant>
      <vt:variant>
        <vt:i4>0</vt:i4>
      </vt:variant>
      <vt:variant>
        <vt:i4>5</vt:i4>
      </vt:variant>
      <vt:variant>
        <vt:lpwstr/>
      </vt:variant>
      <vt:variant>
        <vt:lpwstr>_Toc17714724</vt:lpwstr>
      </vt:variant>
      <vt:variant>
        <vt:i4>1376304</vt:i4>
      </vt:variant>
      <vt:variant>
        <vt:i4>554</vt:i4>
      </vt:variant>
      <vt:variant>
        <vt:i4>0</vt:i4>
      </vt:variant>
      <vt:variant>
        <vt:i4>5</vt:i4>
      </vt:variant>
      <vt:variant>
        <vt:lpwstr/>
      </vt:variant>
      <vt:variant>
        <vt:lpwstr>_Toc17714723</vt:lpwstr>
      </vt:variant>
      <vt:variant>
        <vt:i4>1310768</vt:i4>
      </vt:variant>
      <vt:variant>
        <vt:i4>548</vt:i4>
      </vt:variant>
      <vt:variant>
        <vt:i4>0</vt:i4>
      </vt:variant>
      <vt:variant>
        <vt:i4>5</vt:i4>
      </vt:variant>
      <vt:variant>
        <vt:lpwstr/>
      </vt:variant>
      <vt:variant>
        <vt:lpwstr>_Toc17714722</vt:lpwstr>
      </vt:variant>
      <vt:variant>
        <vt:i4>1507376</vt:i4>
      </vt:variant>
      <vt:variant>
        <vt:i4>542</vt:i4>
      </vt:variant>
      <vt:variant>
        <vt:i4>0</vt:i4>
      </vt:variant>
      <vt:variant>
        <vt:i4>5</vt:i4>
      </vt:variant>
      <vt:variant>
        <vt:lpwstr/>
      </vt:variant>
      <vt:variant>
        <vt:lpwstr>_Toc17714721</vt:lpwstr>
      </vt:variant>
      <vt:variant>
        <vt:i4>1441840</vt:i4>
      </vt:variant>
      <vt:variant>
        <vt:i4>536</vt:i4>
      </vt:variant>
      <vt:variant>
        <vt:i4>0</vt:i4>
      </vt:variant>
      <vt:variant>
        <vt:i4>5</vt:i4>
      </vt:variant>
      <vt:variant>
        <vt:lpwstr/>
      </vt:variant>
      <vt:variant>
        <vt:lpwstr>_Toc17714720</vt:lpwstr>
      </vt:variant>
      <vt:variant>
        <vt:i4>2031667</vt:i4>
      </vt:variant>
      <vt:variant>
        <vt:i4>530</vt:i4>
      </vt:variant>
      <vt:variant>
        <vt:i4>0</vt:i4>
      </vt:variant>
      <vt:variant>
        <vt:i4>5</vt:i4>
      </vt:variant>
      <vt:variant>
        <vt:lpwstr/>
      </vt:variant>
      <vt:variant>
        <vt:lpwstr>_Toc17714719</vt:lpwstr>
      </vt:variant>
      <vt:variant>
        <vt:i4>1966131</vt:i4>
      </vt:variant>
      <vt:variant>
        <vt:i4>524</vt:i4>
      </vt:variant>
      <vt:variant>
        <vt:i4>0</vt:i4>
      </vt:variant>
      <vt:variant>
        <vt:i4>5</vt:i4>
      </vt:variant>
      <vt:variant>
        <vt:lpwstr/>
      </vt:variant>
      <vt:variant>
        <vt:lpwstr>_Toc17714718</vt:lpwstr>
      </vt:variant>
      <vt:variant>
        <vt:i4>1114163</vt:i4>
      </vt:variant>
      <vt:variant>
        <vt:i4>518</vt:i4>
      </vt:variant>
      <vt:variant>
        <vt:i4>0</vt:i4>
      </vt:variant>
      <vt:variant>
        <vt:i4>5</vt:i4>
      </vt:variant>
      <vt:variant>
        <vt:lpwstr/>
      </vt:variant>
      <vt:variant>
        <vt:lpwstr>_Toc17714717</vt:lpwstr>
      </vt:variant>
      <vt:variant>
        <vt:i4>1048627</vt:i4>
      </vt:variant>
      <vt:variant>
        <vt:i4>512</vt:i4>
      </vt:variant>
      <vt:variant>
        <vt:i4>0</vt:i4>
      </vt:variant>
      <vt:variant>
        <vt:i4>5</vt:i4>
      </vt:variant>
      <vt:variant>
        <vt:lpwstr/>
      </vt:variant>
      <vt:variant>
        <vt:lpwstr>_Toc17714716</vt:lpwstr>
      </vt:variant>
      <vt:variant>
        <vt:i4>1245235</vt:i4>
      </vt:variant>
      <vt:variant>
        <vt:i4>506</vt:i4>
      </vt:variant>
      <vt:variant>
        <vt:i4>0</vt:i4>
      </vt:variant>
      <vt:variant>
        <vt:i4>5</vt:i4>
      </vt:variant>
      <vt:variant>
        <vt:lpwstr/>
      </vt:variant>
      <vt:variant>
        <vt:lpwstr>_Toc17714715</vt:lpwstr>
      </vt:variant>
      <vt:variant>
        <vt:i4>1179699</vt:i4>
      </vt:variant>
      <vt:variant>
        <vt:i4>500</vt:i4>
      </vt:variant>
      <vt:variant>
        <vt:i4>0</vt:i4>
      </vt:variant>
      <vt:variant>
        <vt:i4>5</vt:i4>
      </vt:variant>
      <vt:variant>
        <vt:lpwstr/>
      </vt:variant>
      <vt:variant>
        <vt:lpwstr>_Toc17714714</vt:lpwstr>
      </vt:variant>
      <vt:variant>
        <vt:i4>1376307</vt:i4>
      </vt:variant>
      <vt:variant>
        <vt:i4>494</vt:i4>
      </vt:variant>
      <vt:variant>
        <vt:i4>0</vt:i4>
      </vt:variant>
      <vt:variant>
        <vt:i4>5</vt:i4>
      </vt:variant>
      <vt:variant>
        <vt:lpwstr/>
      </vt:variant>
      <vt:variant>
        <vt:lpwstr>_Toc17714713</vt:lpwstr>
      </vt:variant>
      <vt:variant>
        <vt:i4>1310771</vt:i4>
      </vt:variant>
      <vt:variant>
        <vt:i4>488</vt:i4>
      </vt:variant>
      <vt:variant>
        <vt:i4>0</vt:i4>
      </vt:variant>
      <vt:variant>
        <vt:i4>5</vt:i4>
      </vt:variant>
      <vt:variant>
        <vt:lpwstr/>
      </vt:variant>
      <vt:variant>
        <vt:lpwstr>_Toc17714712</vt:lpwstr>
      </vt:variant>
      <vt:variant>
        <vt:i4>1507379</vt:i4>
      </vt:variant>
      <vt:variant>
        <vt:i4>482</vt:i4>
      </vt:variant>
      <vt:variant>
        <vt:i4>0</vt:i4>
      </vt:variant>
      <vt:variant>
        <vt:i4>5</vt:i4>
      </vt:variant>
      <vt:variant>
        <vt:lpwstr/>
      </vt:variant>
      <vt:variant>
        <vt:lpwstr>_Toc17714711</vt:lpwstr>
      </vt:variant>
      <vt:variant>
        <vt:i4>1441843</vt:i4>
      </vt:variant>
      <vt:variant>
        <vt:i4>476</vt:i4>
      </vt:variant>
      <vt:variant>
        <vt:i4>0</vt:i4>
      </vt:variant>
      <vt:variant>
        <vt:i4>5</vt:i4>
      </vt:variant>
      <vt:variant>
        <vt:lpwstr/>
      </vt:variant>
      <vt:variant>
        <vt:lpwstr>_Toc17714710</vt:lpwstr>
      </vt:variant>
      <vt:variant>
        <vt:i4>2031666</vt:i4>
      </vt:variant>
      <vt:variant>
        <vt:i4>470</vt:i4>
      </vt:variant>
      <vt:variant>
        <vt:i4>0</vt:i4>
      </vt:variant>
      <vt:variant>
        <vt:i4>5</vt:i4>
      </vt:variant>
      <vt:variant>
        <vt:lpwstr/>
      </vt:variant>
      <vt:variant>
        <vt:lpwstr>_Toc17714709</vt:lpwstr>
      </vt:variant>
      <vt:variant>
        <vt:i4>1966130</vt:i4>
      </vt:variant>
      <vt:variant>
        <vt:i4>464</vt:i4>
      </vt:variant>
      <vt:variant>
        <vt:i4>0</vt:i4>
      </vt:variant>
      <vt:variant>
        <vt:i4>5</vt:i4>
      </vt:variant>
      <vt:variant>
        <vt:lpwstr/>
      </vt:variant>
      <vt:variant>
        <vt:lpwstr>_Toc17714708</vt:lpwstr>
      </vt:variant>
      <vt:variant>
        <vt:i4>1114162</vt:i4>
      </vt:variant>
      <vt:variant>
        <vt:i4>458</vt:i4>
      </vt:variant>
      <vt:variant>
        <vt:i4>0</vt:i4>
      </vt:variant>
      <vt:variant>
        <vt:i4>5</vt:i4>
      </vt:variant>
      <vt:variant>
        <vt:lpwstr/>
      </vt:variant>
      <vt:variant>
        <vt:lpwstr>_Toc17714707</vt:lpwstr>
      </vt:variant>
      <vt:variant>
        <vt:i4>1048626</vt:i4>
      </vt:variant>
      <vt:variant>
        <vt:i4>452</vt:i4>
      </vt:variant>
      <vt:variant>
        <vt:i4>0</vt:i4>
      </vt:variant>
      <vt:variant>
        <vt:i4>5</vt:i4>
      </vt:variant>
      <vt:variant>
        <vt:lpwstr/>
      </vt:variant>
      <vt:variant>
        <vt:lpwstr>_Toc17714706</vt:lpwstr>
      </vt:variant>
      <vt:variant>
        <vt:i4>1245234</vt:i4>
      </vt:variant>
      <vt:variant>
        <vt:i4>446</vt:i4>
      </vt:variant>
      <vt:variant>
        <vt:i4>0</vt:i4>
      </vt:variant>
      <vt:variant>
        <vt:i4>5</vt:i4>
      </vt:variant>
      <vt:variant>
        <vt:lpwstr/>
      </vt:variant>
      <vt:variant>
        <vt:lpwstr>_Toc17714705</vt:lpwstr>
      </vt:variant>
      <vt:variant>
        <vt:i4>1179698</vt:i4>
      </vt:variant>
      <vt:variant>
        <vt:i4>440</vt:i4>
      </vt:variant>
      <vt:variant>
        <vt:i4>0</vt:i4>
      </vt:variant>
      <vt:variant>
        <vt:i4>5</vt:i4>
      </vt:variant>
      <vt:variant>
        <vt:lpwstr/>
      </vt:variant>
      <vt:variant>
        <vt:lpwstr>_Toc17714704</vt:lpwstr>
      </vt:variant>
      <vt:variant>
        <vt:i4>1376306</vt:i4>
      </vt:variant>
      <vt:variant>
        <vt:i4>434</vt:i4>
      </vt:variant>
      <vt:variant>
        <vt:i4>0</vt:i4>
      </vt:variant>
      <vt:variant>
        <vt:i4>5</vt:i4>
      </vt:variant>
      <vt:variant>
        <vt:lpwstr/>
      </vt:variant>
      <vt:variant>
        <vt:lpwstr>_Toc17714703</vt:lpwstr>
      </vt:variant>
      <vt:variant>
        <vt:i4>1310770</vt:i4>
      </vt:variant>
      <vt:variant>
        <vt:i4>428</vt:i4>
      </vt:variant>
      <vt:variant>
        <vt:i4>0</vt:i4>
      </vt:variant>
      <vt:variant>
        <vt:i4>5</vt:i4>
      </vt:variant>
      <vt:variant>
        <vt:lpwstr/>
      </vt:variant>
      <vt:variant>
        <vt:lpwstr>_Toc17714702</vt:lpwstr>
      </vt:variant>
      <vt:variant>
        <vt:i4>1507378</vt:i4>
      </vt:variant>
      <vt:variant>
        <vt:i4>422</vt:i4>
      </vt:variant>
      <vt:variant>
        <vt:i4>0</vt:i4>
      </vt:variant>
      <vt:variant>
        <vt:i4>5</vt:i4>
      </vt:variant>
      <vt:variant>
        <vt:lpwstr/>
      </vt:variant>
      <vt:variant>
        <vt:lpwstr>_Toc17714701</vt:lpwstr>
      </vt:variant>
      <vt:variant>
        <vt:i4>1441842</vt:i4>
      </vt:variant>
      <vt:variant>
        <vt:i4>416</vt:i4>
      </vt:variant>
      <vt:variant>
        <vt:i4>0</vt:i4>
      </vt:variant>
      <vt:variant>
        <vt:i4>5</vt:i4>
      </vt:variant>
      <vt:variant>
        <vt:lpwstr/>
      </vt:variant>
      <vt:variant>
        <vt:lpwstr>_Toc17714700</vt:lpwstr>
      </vt:variant>
      <vt:variant>
        <vt:i4>1966139</vt:i4>
      </vt:variant>
      <vt:variant>
        <vt:i4>410</vt:i4>
      </vt:variant>
      <vt:variant>
        <vt:i4>0</vt:i4>
      </vt:variant>
      <vt:variant>
        <vt:i4>5</vt:i4>
      </vt:variant>
      <vt:variant>
        <vt:lpwstr/>
      </vt:variant>
      <vt:variant>
        <vt:lpwstr>_Toc17714699</vt:lpwstr>
      </vt:variant>
      <vt:variant>
        <vt:i4>2031675</vt:i4>
      </vt:variant>
      <vt:variant>
        <vt:i4>404</vt:i4>
      </vt:variant>
      <vt:variant>
        <vt:i4>0</vt:i4>
      </vt:variant>
      <vt:variant>
        <vt:i4>5</vt:i4>
      </vt:variant>
      <vt:variant>
        <vt:lpwstr/>
      </vt:variant>
      <vt:variant>
        <vt:lpwstr>_Toc17714698</vt:lpwstr>
      </vt:variant>
      <vt:variant>
        <vt:i4>1048635</vt:i4>
      </vt:variant>
      <vt:variant>
        <vt:i4>398</vt:i4>
      </vt:variant>
      <vt:variant>
        <vt:i4>0</vt:i4>
      </vt:variant>
      <vt:variant>
        <vt:i4>5</vt:i4>
      </vt:variant>
      <vt:variant>
        <vt:lpwstr/>
      </vt:variant>
      <vt:variant>
        <vt:lpwstr>_Toc17714697</vt:lpwstr>
      </vt:variant>
      <vt:variant>
        <vt:i4>1114171</vt:i4>
      </vt:variant>
      <vt:variant>
        <vt:i4>392</vt:i4>
      </vt:variant>
      <vt:variant>
        <vt:i4>0</vt:i4>
      </vt:variant>
      <vt:variant>
        <vt:i4>5</vt:i4>
      </vt:variant>
      <vt:variant>
        <vt:lpwstr/>
      </vt:variant>
      <vt:variant>
        <vt:lpwstr>_Toc17714696</vt:lpwstr>
      </vt:variant>
      <vt:variant>
        <vt:i4>1179707</vt:i4>
      </vt:variant>
      <vt:variant>
        <vt:i4>386</vt:i4>
      </vt:variant>
      <vt:variant>
        <vt:i4>0</vt:i4>
      </vt:variant>
      <vt:variant>
        <vt:i4>5</vt:i4>
      </vt:variant>
      <vt:variant>
        <vt:lpwstr/>
      </vt:variant>
      <vt:variant>
        <vt:lpwstr>_Toc17714695</vt:lpwstr>
      </vt:variant>
      <vt:variant>
        <vt:i4>1245243</vt:i4>
      </vt:variant>
      <vt:variant>
        <vt:i4>380</vt:i4>
      </vt:variant>
      <vt:variant>
        <vt:i4>0</vt:i4>
      </vt:variant>
      <vt:variant>
        <vt:i4>5</vt:i4>
      </vt:variant>
      <vt:variant>
        <vt:lpwstr/>
      </vt:variant>
      <vt:variant>
        <vt:lpwstr>_Toc17714694</vt:lpwstr>
      </vt:variant>
      <vt:variant>
        <vt:i4>1310779</vt:i4>
      </vt:variant>
      <vt:variant>
        <vt:i4>374</vt:i4>
      </vt:variant>
      <vt:variant>
        <vt:i4>0</vt:i4>
      </vt:variant>
      <vt:variant>
        <vt:i4>5</vt:i4>
      </vt:variant>
      <vt:variant>
        <vt:lpwstr/>
      </vt:variant>
      <vt:variant>
        <vt:lpwstr>_Toc17714693</vt:lpwstr>
      </vt:variant>
      <vt:variant>
        <vt:i4>1376315</vt:i4>
      </vt:variant>
      <vt:variant>
        <vt:i4>368</vt:i4>
      </vt:variant>
      <vt:variant>
        <vt:i4>0</vt:i4>
      </vt:variant>
      <vt:variant>
        <vt:i4>5</vt:i4>
      </vt:variant>
      <vt:variant>
        <vt:lpwstr/>
      </vt:variant>
      <vt:variant>
        <vt:lpwstr>_Toc17714692</vt:lpwstr>
      </vt:variant>
      <vt:variant>
        <vt:i4>1441851</vt:i4>
      </vt:variant>
      <vt:variant>
        <vt:i4>362</vt:i4>
      </vt:variant>
      <vt:variant>
        <vt:i4>0</vt:i4>
      </vt:variant>
      <vt:variant>
        <vt:i4>5</vt:i4>
      </vt:variant>
      <vt:variant>
        <vt:lpwstr/>
      </vt:variant>
      <vt:variant>
        <vt:lpwstr>_Toc17714691</vt:lpwstr>
      </vt:variant>
      <vt:variant>
        <vt:i4>1507387</vt:i4>
      </vt:variant>
      <vt:variant>
        <vt:i4>356</vt:i4>
      </vt:variant>
      <vt:variant>
        <vt:i4>0</vt:i4>
      </vt:variant>
      <vt:variant>
        <vt:i4>5</vt:i4>
      </vt:variant>
      <vt:variant>
        <vt:lpwstr/>
      </vt:variant>
      <vt:variant>
        <vt:lpwstr>_Toc17714690</vt:lpwstr>
      </vt:variant>
      <vt:variant>
        <vt:i4>1966138</vt:i4>
      </vt:variant>
      <vt:variant>
        <vt:i4>350</vt:i4>
      </vt:variant>
      <vt:variant>
        <vt:i4>0</vt:i4>
      </vt:variant>
      <vt:variant>
        <vt:i4>5</vt:i4>
      </vt:variant>
      <vt:variant>
        <vt:lpwstr/>
      </vt:variant>
      <vt:variant>
        <vt:lpwstr>_Toc17714689</vt:lpwstr>
      </vt:variant>
      <vt:variant>
        <vt:i4>2031674</vt:i4>
      </vt:variant>
      <vt:variant>
        <vt:i4>344</vt:i4>
      </vt:variant>
      <vt:variant>
        <vt:i4>0</vt:i4>
      </vt:variant>
      <vt:variant>
        <vt:i4>5</vt:i4>
      </vt:variant>
      <vt:variant>
        <vt:lpwstr/>
      </vt:variant>
      <vt:variant>
        <vt:lpwstr>_Toc17714688</vt:lpwstr>
      </vt:variant>
      <vt:variant>
        <vt:i4>1048634</vt:i4>
      </vt:variant>
      <vt:variant>
        <vt:i4>338</vt:i4>
      </vt:variant>
      <vt:variant>
        <vt:i4>0</vt:i4>
      </vt:variant>
      <vt:variant>
        <vt:i4>5</vt:i4>
      </vt:variant>
      <vt:variant>
        <vt:lpwstr/>
      </vt:variant>
      <vt:variant>
        <vt:lpwstr>_Toc17714687</vt:lpwstr>
      </vt:variant>
      <vt:variant>
        <vt:i4>1114170</vt:i4>
      </vt:variant>
      <vt:variant>
        <vt:i4>332</vt:i4>
      </vt:variant>
      <vt:variant>
        <vt:i4>0</vt:i4>
      </vt:variant>
      <vt:variant>
        <vt:i4>5</vt:i4>
      </vt:variant>
      <vt:variant>
        <vt:lpwstr/>
      </vt:variant>
      <vt:variant>
        <vt:lpwstr>_Toc17714686</vt:lpwstr>
      </vt:variant>
      <vt:variant>
        <vt:i4>1179706</vt:i4>
      </vt:variant>
      <vt:variant>
        <vt:i4>326</vt:i4>
      </vt:variant>
      <vt:variant>
        <vt:i4>0</vt:i4>
      </vt:variant>
      <vt:variant>
        <vt:i4>5</vt:i4>
      </vt:variant>
      <vt:variant>
        <vt:lpwstr/>
      </vt:variant>
      <vt:variant>
        <vt:lpwstr>_Toc17714685</vt:lpwstr>
      </vt:variant>
      <vt:variant>
        <vt:i4>1245242</vt:i4>
      </vt:variant>
      <vt:variant>
        <vt:i4>320</vt:i4>
      </vt:variant>
      <vt:variant>
        <vt:i4>0</vt:i4>
      </vt:variant>
      <vt:variant>
        <vt:i4>5</vt:i4>
      </vt:variant>
      <vt:variant>
        <vt:lpwstr/>
      </vt:variant>
      <vt:variant>
        <vt:lpwstr>_Toc17714684</vt:lpwstr>
      </vt:variant>
      <vt:variant>
        <vt:i4>1310778</vt:i4>
      </vt:variant>
      <vt:variant>
        <vt:i4>314</vt:i4>
      </vt:variant>
      <vt:variant>
        <vt:i4>0</vt:i4>
      </vt:variant>
      <vt:variant>
        <vt:i4>5</vt:i4>
      </vt:variant>
      <vt:variant>
        <vt:lpwstr/>
      </vt:variant>
      <vt:variant>
        <vt:lpwstr>_Toc17714683</vt:lpwstr>
      </vt:variant>
      <vt:variant>
        <vt:i4>1376314</vt:i4>
      </vt:variant>
      <vt:variant>
        <vt:i4>308</vt:i4>
      </vt:variant>
      <vt:variant>
        <vt:i4>0</vt:i4>
      </vt:variant>
      <vt:variant>
        <vt:i4>5</vt:i4>
      </vt:variant>
      <vt:variant>
        <vt:lpwstr/>
      </vt:variant>
      <vt:variant>
        <vt:lpwstr>_Toc17714682</vt:lpwstr>
      </vt:variant>
      <vt:variant>
        <vt:i4>1441850</vt:i4>
      </vt:variant>
      <vt:variant>
        <vt:i4>302</vt:i4>
      </vt:variant>
      <vt:variant>
        <vt:i4>0</vt:i4>
      </vt:variant>
      <vt:variant>
        <vt:i4>5</vt:i4>
      </vt:variant>
      <vt:variant>
        <vt:lpwstr/>
      </vt:variant>
      <vt:variant>
        <vt:lpwstr>_Toc17714681</vt:lpwstr>
      </vt:variant>
      <vt:variant>
        <vt:i4>1507386</vt:i4>
      </vt:variant>
      <vt:variant>
        <vt:i4>296</vt:i4>
      </vt:variant>
      <vt:variant>
        <vt:i4>0</vt:i4>
      </vt:variant>
      <vt:variant>
        <vt:i4>5</vt:i4>
      </vt:variant>
      <vt:variant>
        <vt:lpwstr/>
      </vt:variant>
      <vt:variant>
        <vt:lpwstr>_Toc17714680</vt:lpwstr>
      </vt:variant>
      <vt:variant>
        <vt:i4>1966133</vt:i4>
      </vt:variant>
      <vt:variant>
        <vt:i4>290</vt:i4>
      </vt:variant>
      <vt:variant>
        <vt:i4>0</vt:i4>
      </vt:variant>
      <vt:variant>
        <vt:i4>5</vt:i4>
      </vt:variant>
      <vt:variant>
        <vt:lpwstr/>
      </vt:variant>
      <vt:variant>
        <vt:lpwstr>_Toc17714679</vt:lpwstr>
      </vt:variant>
      <vt:variant>
        <vt:i4>2031669</vt:i4>
      </vt:variant>
      <vt:variant>
        <vt:i4>284</vt:i4>
      </vt:variant>
      <vt:variant>
        <vt:i4>0</vt:i4>
      </vt:variant>
      <vt:variant>
        <vt:i4>5</vt:i4>
      </vt:variant>
      <vt:variant>
        <vt:lpwstr/>
      </vt:variant>
      <vt:variant>
        <vt:lpwstr>_Toc17714678</vt:lpwstr>
      </vt:variant>
      <vt:variant>
        <vt:i4>1048629</vt:i4>
      </vt:variant>
      <vt:variant>
        <vt:i4>278</vt:i4>
      </vt:variant>
      <vt:variant>
        <vt:i4>0</vt:i4>
      </vt:variant>
      <vt:variant>
        <vt:i4>5</vt:i4>
      </vt:variant>
      <vt:variant>
        <vt:lpwstr/>
      </vt:variant>
      <vt:variant>
        <vt:lpwstr>_Toc17714677</vt:lpwstr>
      </vt:variant>
      <vt:variant>
        <vt:i4>1114165</vt:i4>
      </vt:variant>
      <vt:variant>
        <vt:i4>272</vt:i4>
      </vt:variant>
      <vt:variant>
        <vt:i4>0</vt:i4>
      </vt:variant>
      <vt:variant>
        <vt:i4>5</vt:i4>
      </vt:variant>
      <vt:variant>
        <vt:lpwstr/>
      </vt:variant>
      <vt:variant>
        <vt:lpwstr>_Toc17714676</vt:lpwstr>
      </vt:variant>
      <vt:variant>
        <vt:i4>1179701</vt:i4>
      </vt:variant>
      <vt:variant>
        <vt:i4>266</vt:i4>
      </vt:variant>
      <vt:variant>
        <vt:i4>0</vt:i4>
      </vt:variant>
      <vt:variant>
        <vt:i4>5</vt:i4>
      </vt:variant>
      <vt:variant>
        <vt:lpwstr/>
      </vt:variant>
      <vt:variant>
        <vt:lpwstr>_Toc17714675</vt:lpwstr>
      </vt:variant>
      <vt:variant>
        <vt:i4>1245237</vt:i4>
      </vt:variant>
      <vt:variant>
        <vt:i4>260</vt:i4>
      </vt:variant>
      <vt:variant>
        <vt:i4>0</vt:i4>
      </vt:variant>
      <vt:variant>
        <vt:i4>5</vt:i4>
      </vt:variant>
      <vt:variant>
        <vt:lpwstr/>
      </vt:variant>
      <vt:variant>
        <vt:lpwstr>_Toc17714674</vt:lpwstr>
      </vt:variant>
      <vt:variant>
        <vt:i4>1310773</vt:i4>
      </vt:variant>
      <vt:variant>
        <vt:i4>254</vt:i4>
      </vt:variant>
      <vt:variant>
        <vt:i4>0</vt:i4>
      </vt:variant>
      <vt:variant>
        <vt:i4>5</vt:i4>
      </vt:variant>
      <vt:variant>
        <vt:lpwstr/>
      </vt:variant>
      <vt:variant>
        <vt:lpwstr>_Toc17714673</vt:lpwstr>
      </vt:variant>
      <vt:variant>
        <vt:i4>1376309</vt:i4>
      </vt:variant>
      <vt:variant>
        <vt:i4>248</vt:i4>
      </vt:variant>
      <vt:variant>
        <vt:i4>0</vt:i4>
      </vt:variant>
      <vt:variant>
        <vt:i4>5</vt:i4>
      </vt:variant>
      <vt:variant>
        <vt:lpwstr/>
      </vt:variant>
      <vt:variant>
        <vt:lpwstr>_Toc17714672</vt:lpwstr>
      </vt:variant>
      <vt:variant>
        <vt:i4>1441845</vt:i4>
      </vt:variant>
      <vt:variant>
        <vt:i4>242</vt:i4>
      </vt:variant>
      <vt:variant>
        <vt:i4>0</vt:i4>
      </vt:variant>
      <vt:variant>
        <vt:i4>5</vt:i4>
      </vt:variant>
      <vt:variant>
        <vt:lpwstr/>
      </vt:variant>
      <vt:variant>
        <vt:lpwstr>_Toc17714671</vt:lpwstr>
      </vt:variant>
      <vt:variant>
        <vt:i4>1507381</vt:i4>
      </vt:variant>
      <vt:variant>
        <vt:i4>236</vt:i4>
      </vt:variant>
      <vt:variant>
        <vt:i4>0</vt:i4>
      </vt:variant>
      <vt:variant>
        <vt:i4>5</vt:i4>
      </vt:variant>
      <vt:variant>
        <vt:lpwstr/>
      </vt:variant>
      <vt:variant>
        <vt:lpwstr>_Toc17714670</vt:lpwstr>
      </vt:variant>
      <vt:variant>
        <vt:i4>1966132</vt:i4>
      </vt:variant>
      <vt:variant>
        <vt:i4>230</vt:i4>
      </vt:variant>
      <vt:variant>
        <vt:i4>0</vt:i4>
      </vt:variant>
      <vt:variant>
        <vt:i4>5</vt:i4>
      </vt:variant>
      <vt:variant>
        <vt:lpwstr/>
      </vt:variant>
      <vt:variant>
        <vt:lpwstr>_Toc17714669</vt:lpwstr>
      </vt:variant>
      <vt:variant>
        <vt:i4>2031668</vt:i4>
      </vt:variant>
      <vt:variant>
        <vt:i4>224</vt:i4>
      </vt:variant>
      <vt:variant>
        <vt:i4>0</vt:i4>
      </vt:variant>
      <vt:variant>
        <vt:i4>5</vt:i4>
      </vt:variant>
      <vt:variant>
        <vt:lpwstr/>
      </vt:variant>
      <vt:variant>
        <vt:lpwstr>_Toc17714668</vt:lpwstr>
      </vt:variant>
      <vt:variant>
        <vt:i4>1048628</vt:i4>
      </vt:variant>
      <vt:variant>
        <vt:i4>218</vt:i4>
      </vt:variant>
      <vt:variant>
        <vt:i4>0</vt:i4>
      </vt:variant>
      <vt:variant>
        <vt:i4>5</vt:i4>
      </vt:variant>
      <vt:variant>
        <vt:lpwstr/>
      </vt:variant>
      <vt:variant>
        <vt:lpwstr>_Toc17714667</vt:lpwstr>
      </vt:variant>
      <vt:variant>
        <vt:i4>1114164</vt:i4>
      </vt:variant>
      <vt:variant>
        <vt:i4>212</vt:i4>
      </vt:variant>
      <vt:variant>
        <vt:i4>0</vt:i4>
      </vt:variant>
      <vt:variant>
        <vt:i4>5</vt:i4>
      </vt:variant>
      <vt:variant>
        <vt:lpwstr/>
      </vt:variant>
      <vt:variant>
        <vt:lpwstr>_Toc17714666</vt:lpwstr>
      </vt:variant>
      <vt:variant>
        <vt:i4>1179700</vt:i4>
      </vt:variant>
      <vt:variant>
        <vt:i4>206</vt:i4>
      </vt:variant>
      <vt:variant>
        <vt:i4>0</vt:i4>
      </vt:variant>
      <vt:variant>
        <vt:i4>5</vt:i4>
      </vt:variant>
      <vt:variant>
        <vt:lpwstr/>
      </vt:variant>
      <vt:variant>
        <vt:lpwstr>_Toc17714665</vt:lpwstr>
      </vt:variant>
      <vt:variant>
        <vt:i4>1245236</vt:i4>
      </vt:variant>
      <vt:variant>
        <vt:i4>200</vt:i4>
      </vt:variant>
      <vt:variant>
        <vt:i4>0</vt:i4>
      </vt:variant>
      <vt:variant>
        <vt:i4>5</vt:i4>
      </vt:variant>
      <vt:variant>
        <vt:lpwstr/>
      </vt:variant>
      <vt:variant>
        <vt:lpwstr>_Toc17714664</vt:lpwstr>
      </vt:variant>
      <vt:variant>
        <vt:i4>1310772</vt:i4>
      </vt:variant>
      <vt:variant>
        <vt:i4>194</vt:i4>
      </vt:variant>
      <vt:variant>
        <vt:i4>0</vt:i4>
      </vt:variant>
      <vt:variant>
        <vt:i4>5</vt:i4>
      </vt:variant>
      <vt:variant>
        <vt:lpwstr/>
      </vt:variant>
      <vt:variant>
        <vt:lpwstr>_Toc17714663</vt:lpwstr>
      </vt:variant>
      <vt:variant>
        <vt:i4>1376308</vt:i4>
      </vt:variant>
      <vt:variant>
        <vt:i4>188</vt:i4>
      </vt:variant>
      <vt:variant>
        <vt:i4>0</vt:i4>
      </vt:variant>
      <vt:variant>
        <vt:i4>5</vt:i4>
      </vt:variant>
      <vt:variant>
        <vt:lpwstr/>
      </vt:variant>
      <vt:variant>
        <vt:lpwstr>_Toc17714662</vt:lpwstr>
      </vt:variant>
      <vt:variant>
        <vt:i4>1441844</vt:i4>
      </vt:variant>
      <vt:variant>
        <vt:i4>182</vt:i4>
      </vt:variant>
      <vt:variant>
        <vt:i4>0</vt:i4>
      </vt:variant>
      <vt:variant>
        <vt:i4>5</vt:i4>
      </vt:variant>
      <vt:variant>
        <vt:lpwstr/>
      </vt:variant>
      <vt:variant>
        <vt:lpwstr>_Toc17714661</vt:lpwstr>
      </vt:variant>
      <vt:variant>
        <vt:i4>1507380</vt:i4>
      </vt:variant>
      <vt:variant>
        <vt:i4>176</vt:i4>
      </vt:variant>
      <vt:variant>
        <vt:i4>0</vt:i4>
      </vt:variant>
      <vt:variant>
        <vt:i4>5</vt:i4>
      </vt:variant>
      <vt:variant>
        <vt:lpwstr/>
      </vt:variant>
      <vt:variant>
        <vt:lpwstr>_Toc17714660</vt:lpwstr>
      </vt:variant>
      <vt:variant>
        <vt:i4>1966135</vt:i4>
      </vt:variant>
      <vt:variant>
        <vt:i4>170</vt:i4>
      </vt:variant>
      <vt:variant>
        <vt:i4>0</vt:i4>
      </vt:variant>
      <vt:variant>
        <vt:i4>5</vt:i4>
      </vt:variant>
      <vt:variant>
        <vt:lpwstr/>
      </vt:variant>
      <vt:variant>
        <vt:lpwstr>_Toc17714659</vt:lpwstr>
      </vt:variant>
      <vt:variant>
        <vt:i4>2031671</vt:i4>
      </vt:variant>
      <vt:variant>
        <vt:i4>164</vt:i4>
      </vt:variant>
      <vt:variant>
        <vt:i4>0</vt:i4>
      </vt:variant>
      <vt:variant>
        <vt:i4>5</vt:i4>
      </vt:variant>
      <vt:variant>
        <vt:lpwstr/>
      </vt:variant>
      <vt:variant>
        <vt:lpwstr>_Toc17714658</vt:lpwstr>
      </vt:variant>
      <vt:variant>
        <vt:i4>1048631</vt:i4>
      </vt:variant>
      <vt:variant>
        <vt:i4>158</vt:i4>
      </vt:variant>
      <vt:variant>
        <vt:i4>0</vt:i4>
      </vt:variant>
      <vt:variant>
        <vt:i4>5</vt:i4>
      </vt:variant>
      <vt:variant>
        <vt:lpwstr/>
      </vt:variant>
      <vt:variant>
        <vt:lpwstr>_Toc17714657</vt:lpwstr>
      </vt:variant>
      <vt:variant>
        <vt:i4>1114167</vt:i4>
      </vt:variant>
      <vt:variant>
        <vt:i4>152</vt:i4>
      </vt:variant>
      <vt:variant>
        <vt:i4>0</vt:i4>
      </vt:variant>
      <vt:variant>
        <vt:i4>5</vt:i4>
      </vt:variant>
      <vt:variant>
        <vt:lpwstr/>
      </vt:variant>
      <vt:variant>
        <vt:lpwstr>_Toc17714656</vt:lpwstr>
      </vt:variant>
      <vt:variant>
        <vt:i4>1179703</vt:i4>
      </vt:variant>
      <vt:variant>
        <vt:i4>146</vt:i4>
      </vt:variant>
      <vt:variant>
        <vt:i4>0</vt:i4>
      </vt:variant>
      <vt:variant>
        <vt:i4>5</vt:i4>
      </vt:variant>
      <vt:variant>
        <vt:lpwstr/>
      </vt:variant>
      <vt:variant>
        <vt:lpwstr>_Toc17714655</vt:lpwstr>
      </vt:variant>
      <vt:variant>
        <vt:i4>1245239</vt:i4>
      </vt:variant>
      <vt:variant>
        <vt:i4>140</vt:i4>
      </vt:variant>
      <vt:variant>
        <vt:i4>0</vt:i4>
      </vt:variant>
      <vt:variant>
        <vt:i4>5</vt:i4>
      </vt:variant>
      <vt:variant>
        <vt:lpwstr/>
      </vt:variant>
      <vt:variant>
        <vt:lpwstr>_Toc17714654</vt:lpwstr>
      </vt:variant>
      <vt:variant>
        <vt:i4>1310775</vt:i4>
      </vt:variant>
      <vt:variant>
        <vt:i4>134</vt:i4>
      </vt:variant>
      <vt:variant>
        <vt:i4>0</vt:i4>
      </vt:variant>
      <vt:variant>
        <vt:i4>5</vt:i4>
      </vt:variant>
      <vt:variant>
        <vt:lpwstr/>
      </vt:variant>
      <vt:variant>
        <vt:lpwstr>_Toc17714653</vt:lpwstr>
      </vt:variant>
      <vt:variant>
        <vt:i4>1376311</vt:i4>
      </vt:variant>
      <vt:variant>
        <vt:i4>128</vt:i4>
      </vt:variant>
      <vt:variant>
        <vt:i4>0</vt:i4>
      </vt:variant>
      <vt:variant>
        <vt:i4>5</vt:i4>
      </vt:variant>
      <vt:variant>
        <vt:lpwstr/>
      </vt:variant>
      <vt:variant>
        <vt:lpwstr>_Toc17714652</vt:lpwstr>
      </vt:variant>
      <vt:variant>
        <vt:i4>1441847</vt:i4>
      </vt:variant>
      <vt:variant>
        <vt:i4>122</vt:i4>
      </vt:variant>
      <vt:variant>
        <vt:i4>0</vt:i4>
      </vt:variant>
      <vt:variant>
        <vt:i4>5</vt:i4>
      </vt:variant>
      <vt:variant>
        <vt:lpwstr/>
      </vt:variant>
      <vt:variant>
        <vt:lpwstr>_Toc17714651</vt:lpwstr>
      </vt:variant>
      <vt:variant>
        <vt:i4>1507383</vt:i4>
      </vt:variant>
      <vt:variant>
        <vt:i4>116</vt:i4>
      </vt:variant>
      <vt:variant>
        <vt:i4>0</vt:i4>
      </vt:variant>
      <vt:variant>
        <vt:i4>5</vt:i4>
      </vt:variant>
      <vt:variant>
        <vt:lpwstr/>
      </vt:variant>
      <vt:variant>
        <vt:lpwstr>_Toc17714650</vt:lpwstr>
      </vt:variant>
      <vt:variant>
        <vt:i4>1966134</vt:i4>
      </vt:variant>
      <vt:variant>
        <vt:i4>110</vt:i4>
      </vt:variant>
      <vt:variant>
        <vt:i4>0</vt:i4>
      </vt:variant>
      <vt:variant>
        <vt:i4>5</vt:i4>
      </vt:variant>
      <vt:variant>
        <vt:lpwstr/>
      </vt:variant>
      <vt:variant>
        <vt:lpwstr>_Toc17714649</vt:lpwstr>
      </vt:variant>
      <vt:variant>
        <vt:i4>2031670</vt:i4>
      </vt:variant>
      <vt:variant>
        <vt:i4>104</vt:i4>
      </vt:variant>
      <vt:variant>
        <vt:i4>0</vt:i4>
      </vt:variant>
      <vt:variant>
        <vt:i4>5</vt:i4>
      </vt:variant>
      <vt:variant>
        <vt:lpwstr/>
      </vt:variant>
      <vt:variant>
        <vt:lpwstr>_Toc17714648</vt:lpwstr>
      </vt:variant>
      <vt:variant>
        <vt:i4>1048630</vt:i4>
      </vt:variant>
      <vt:variant>
        <vt:i4>98</vt:i4>
      </vt:variant>
      <vt:variant>
        <vt:i4>0</vt:i4>
      </vt:variant>
      <vt:variant>
        <vt:i4>5</vt:i4>
      </vt:variant>
      <vt:variant>
        <vt:lpwstr/>
      </vt:variant>
      <vt:variant>
        <vt:lpwstr>_Toc17714647</vt:lpwstr>
      </vt:variant>
      <vt:variant>
        <vt:i4>1114166</vt:i4>
      </vt:variant>
      <vt:variant>
        <vt:i4>92</vt:i4>
      </vt:variant>
      <vt:variant>
        <vt:i4>0</vt:i4>
      </vt:variant>
      <vt:variant>
        <vt:i4>5</vt:i4>
      </vt:variant>
      <vt:variant>
        <vt:lpwstr/>
      </vt:variant>
      <vt:variant>
        <vt:lpwstr>_Toc17714646</vt:lpwstr>
      </vt:variant>
      <vt:variant>
        <vt:i4>1179702</vt:i4>
      </vt:variant>
      <vt:variant>
        <vt:i4>86</vt:i4>
      </vt:variant>
      <vt:variant>
        <vt:i4>0</vt:i4>
      </vt:variant>
      <vt:variant>
        <vt:i4>5</vt:i4>
      </vt:variant>
      <vt:variant>
        <vt:lpwstr/>
      </vt:variant>
      <vt:variant>
        <vt:lpwstr>_Toc17714645</vt:lpwstr>
      </vt:variant>
      <vt:variant>
        <vt:i4>1245238</vt:i4>
      </vt:variant>
      <vt:variant>
        <vt:i4>80</vt:i4>
      </vt:variant>
      <vt:variant>
        <vt:i4>0</vt:i4>
      </vt:variant>
      <vt:variant>
        <vt:i4>5</vt:i4>
      </vt:variant>
      <vt:variant>
        <vt:lpwstr/>
      </vt:variant>
      <vt:variant>
        <vt:lpwstr>_Toc17714644</vt:lpwstr>
      </vt:variant>
      <vt:variant>
        <vt:i4>1310774</vt:i4>
      </vt:variant>
      <vt:variant>
        <vt:i4>74</vt:i4>
      </vt:variant>
      <vt:variant>
        <vt:i4>0</vt:i4>
      </vt:variant>
      <vt:variant>
        <vt:i4>5</vt:i4>
      </vt:variant>
      <vt:variant>
        <vt:lpwstr/>
      </vt:variant>
      <vt:variant>
        <vt:lpwstr>_Toc17714643</vt:lpwstr>
      </vt:variant>
      <vt:variant>
        <vt:i4>1376310</vt:i4>
      </vt:variant>
      <vt:variant>
        <vt:i4>68</vt:i4>
      </vt:variant>
      <vt:variant>
        <vt:i4>0</vt:i4>
      </vt:variant>
      <vt:variant>
        <vt:i4>5</vt:i4>
      </vt:variant>
      <vt:variant>
        <vt:lpwstr/>
      </vt:variant>
      <vt:variant>
        <vt:lpwstr>_Toc17714642</vt:lpwstr>
      </vt:variant>
      <vt:variant>
        <vt:i4>1441846</vt:i4>
      </vt:variant>
      <vt:variant>
        <vt:i4>62</vt:i4>
      </vt:variant>
      <vt:variant>
        <vt:i4>0</vt:i4>
      </vt:variant>
      <vt:variant>
        <vt:i4>5</vt:i4>
      </vt:variant>
      <vt:variant>
        <vt:lpwstr/>
      </vt:variant>
      <vt:variant>
        <vt:lpwstr>_Toc17714641</vt:lpwstr>
      </vt:variant>
      <vt:variant>
        <vt:i4>1507382</vt:i4>
      </vt:variant>
      <vt:variant>
        <vt:i4>56</vt:i4>
      </vt:variant>
      <vt:variant>
        <vt:i4>0</vt:i4>
      </vt:variant>
      <vt:variant>
        <vt:i4>5</vt:i4>
      </vt:variant>
      <vt:variant>
        <vt:lpwstr/>
      </vt:variant>
      <vt:variant>
        <vt:lpwstr>_Toc17714640</vt:lpwstr>
      </vt:variant>
      <vt:variant>
        <vt:i4>1966129</vt:i4>
      </vt:variant>
      <vt:variant>
        <vt:i4>50</vt:i4>
      </vt:variant>
      <vt:variant>
        <vt:i4>0</vt:i4>
      </vt:variant>
      <vt:variant>
        <vt:i4>5</vt:i4>
      </vt:variant>
      <vt:variant>
        <vt:lpwstr/>
      </vt:variant>
      <vt:variant>
        <vt:lpwstr>_Toc17714639</vt:lpwstr>
      </vt:variant>
      <vt:variant>
        <vt:i4>2031665</vt:i4>
      </vt:variant>
      <vt:variant>
        <vt:i4>44</vt:i4>
      </vt:variant>
      <vt:variant>
        <vt:i4>0</vt:i4>
      </vt:variant>
      <vt:variant>
        <vt:i4>5</vt:i4>
      </vt:variant>
      <vt:variant>
        <vt:lpwstr/>
      </vt:variant>
      <vt:variant>
        <vt:lpwstr>_Toc17714638</vt:lpwstr>
      </vt:variant>
      <vt:variant>
        <vt:i4>1048625</vt:i4>
      </vt:variant>
      <vt:variant>
        <vt:i4>38</vt:i4>
      </vt:variant>
      <vt:variant>
        <vt:i4>0</vt:i4>
      </vt:variant>
      <vt:variant>
        <vt:i4>5</vt:i4>
      </vt:variant>
      <vt:variant>
        <vt:lpwstr/>
      </vt:variant>
      <vt:variant>
        <vt:lpwstr>_Toc17714637</vt:lpwstr>
      </vt:variant>
      <vt:variant>
        <vt:i4>1114161</vt:i4>
      </vt:variant>
      <vt:variant>
        <vt:i4>32</vt:i4>
      </vt:variant>
      <vt:variant>
        <vt:i4>0</vt:i4>
      </vt:variant>
      <vt:variant>
        <vt:i4>5</vt:i4>
      </vt:variant>
      <vt:variant>
        <vt:lpwstr/>
      </vt:variant>
      <vt:variant>
        <vt:lpwstr>_Toc17714636</vt:lpwstr>
      </vt:variant>
      <vt:variant>
        <vt:i4>1179697</vt:i4>
      </vt:variant>
      <vt:variant>
        <vt:i4>26</vt:i4>
      </vt:variant>
      <vt:variant>
        <vt:i4>0</vt:i4>
      </vt:variant>
      <vt:variant>
        <vt:i4>5</vt:i4>
      </vt:variant>
      <vt:variant>
        <vt:lpwstr/>
      </vt:variant>
      <vt:variant>
        <vt:lpwstr>_Toc17714635</vt:lpwstr>
      </vt:variant>
      <vt:variant>
        <vt:i4>1245233</vt:i4>
      </vt:variant>
      <vt:variant>
        <vt:i4>20</vt:i4>
      </vt:variant>
      <vt:variant>
        <vt:i4>0</vt:i4>
      </vt:variant>
      <vt:variant>
        <vt:i4>5</vt:i4>
      </vt:variant>
      <vt:variant>
        <vt:lpwstr/>
      </vt:variant>
      <vt:variant>
        <vt:lpwstr>_Toc17714634</vt:lpwstr>
      </vt:variant>
      <vt:variant>
        <vt:i4>1310769</vt:i4>
      </vt:variant>
      <vt:variant>
        <vt:i4>14</vt:i4>
      </vt:variant>
      <vt:variant>
        <vt:i4>0</vt:i4>
      </vt:variant>
      <vt:variant>
        <vt:i4>5</vt:i4>
      </vt:variant>
      <vt:variant>
        <vt:lpwstr/>
      </vt:variant>
      <vt:variant>
        <vt:lpwstr>_Toc17714633</vt:lpwstr>
      </vt:variant>
      <vt:variant>
        <vt:i4>1376305</vt:i4>
      </vt:variant>
      <vt:variant>
        <vt:i4>8</vt:i4>
      </vt:variant>
      <vt:variant>
        <vt:i4>0</vt:i4>
      </vt:variant>
      <vt:variant>
        <vt:i4>5</vt:i4>
      </vt:variant>
      <vt:variant>
        <vt:lpwstr/>
      </vt:variant>
      <vt:variant>
        <vt:lpwstr>_Toc17714632</vt:lpwstr>
      </vt:variant>
      <vt:variant>
        <vt:i4>1441841</vt:i4>
      </vt:variant>
      <vt:variant>
        <vt:i4>2</vt:i4>
      </vt:variant>
      <vt:variant>
        <vt:i4>0</vt:i4>
      </vt:variant>
      <vt:variant>
        <vt:i4>5</vt:i4>
      </vt:variant>
      <vt:variant>
        <vt:lpwstr/>
      </vt:variant>
      <vt:variant>
        <vt:lpwstr>_Toc17714631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Ware</dc:creator>
  <cp:keywords/>
  <dc:description/>
  <cp:lastModifiedBy>Myers, Terri L.</cp:lastModifiedBy>
  <cp:revision>2</cp:revision>
  <dcterms:created xsi:type="dcterms:W3CDTF">2019-10-15T14:02:00Z</dcterms:created>
  <dcterms:modified xsi:type="dcterms:W3CDTF">2019-10-15T14:02:00Z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