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2C" w:rsidRDefault="004B7B2C" w:rsidP="00F21B10">
      <w:pPr>
        <w:spacing w:before="960"/>
        <w:jc w:val="center"/>
        <w:rPr>
          <w:rFonts w:ascii="Arial" w:hAnsi="Arial" w:cs="Arial"/>
          <w:bCs/>
          <w:color w:val="000000"/>
          <w:sz w:val="48"/>
          <w:szCs w:val="48"/>
        </w:rPr>
      </w:pPr>
      <w:r w:rsidRPr="00684B75">
        <w:rPr>
          <w:rFonts w:ascii="Arial" w:hAnsi="Arial" w:cs="Arial"/>
          <w:bCs/>
          <w:color w:val="000000"/>
          <w:sz w:val="48"/>
          <w:szCs w:val="48"/>
        </w:rPr>
        <w:t xml:space="preserve">21st Century Community Learning Centers (21st CCLC) </w:t>
      </w:r>
    </w:p>
    <w:p w:rsidR="004B7B2C" w:rsidRPr="0051643D" w:rsidRDefault="004B7B2C" w:rsidP="00D2392C">
      <w:pPr>
        <w:jc w:val="center"/>
        <w:rPr>
          <w:rFonts w:ascii="Times New Roman" w:hAnsi="Times New Roman"/>
          <w:bCs/>
          <w:color w:val="000000"/>
          <w:sz w:val="24"/>
          <w:szCs w:val="24"/>
        </w:rPr>
      </w:pPr>
      <w:r w:rsidRPr="00684B75">
        <w:rPr>
          <w:rFonts w:ascii="Arial" w:hAnsi="Arial" w:cs="Arial"/>
          <w:bCs/>
          <w:color w:val="000000"/>
          <w:sz w:val="48"/>
          <w:szCs w:val="48"/>
        </w:rPr>
        <w:t>Analytic Support for Evaluation and Program Monitoring:</w:t>
      </w:r>
    </w:p>
    <w:p w:rsidR="004B7B2C" w:rsidRPr="00684B75" w:rsidRDefault="004B7B2C" w:rsidP="004B7B2C">
      <w:pPr>
        <w:spacing w:after="0" w:line="240" w:lineRule="auto"/>
        <w:jc w:val="center"/>
        <w:rPr>
          <w:rFonts w:ascii="Arial" w:hAnsi="Arial" w:cs="Arial"/>
          <w:sz w:val="48"/>
          <w:szCs w:val="48"/>
        </w:rPr>
      </w:pPr>
      <w:r w:rsidRPr="00684B75">
        <w:rPr>
          <w:rFonts w:ascii="Arial" w:hAnsi="Arial" w:cs="Arial"/>
          <w:bCs/>
          <w:color w:val="000000"/>
          <w:sz w:val="48"/>
          <w:szCs w:val="48"/>
        </w:rPr>
        <w:t xml:space="preserve">An Overview of the </w:t>
      </w:r>
      <w:r w:rsidRPr="00684B75">
        <w:rPr>
          <w:rFonts w:ascii="Arial" w:hAnsi="Arial" w:cs="Arial"/>
          <w:bCs/>
          <w:color w:val="000000"/>
          <w:sz w:val="48"/>
          <w:szCs w:val="48"/>
        </w:rPr>
        <w:br/>
        <w:t>21st CCLC Performance Data: 2013–14</w:t>
      </w:r>
    </w:p>
    <w:p w:rsidR="004B7B2C" w:rsidRPr="00684B75" w:rsidRDefault="004B7B2C" w:rsidP="004B7B2C">
      <w:pPr>
        <w:spacing w:after="240" w:line="240" w:lineRule="auto"/>
        <w:rPr>
          <w:rFonts w:ascii="Arial" w:eastAsia="Times New Roman" w:hAnsi="Arial" w:cs="Arial"/>
          <w:sz w:val="20"/>
          <w:szCs w:val="20"/>
        </w:rPr>
      </w:pPr>
      <w:r w:rsidRPr="004B7B2C">
        <w:rPr>
          <w:rFonts w:ascii="Times New Roman" w:eastAsia="Times New Roman" w:hAnsi="Times New Roman" w:cs="Times New Roman"/>
          <w:sz w:val="20"/>
          <w:szCs w:val="20"/>
        </w:rPr>
        <w:br/>
      </w:r>
    </w:p>
    <w:p w:rsidR="004B7B2C" w:rsidRPr="00FA3D12" w:rsidRDefault="004B7B2C" w:rsidP="00FA3D12">
      <w:pPr>
        <w:spacing w:after="0" w:line="240" w:lineRule="auto"/>
        <w:jc w:val="center"/>
        <w:rPr>
          <w:rFonts w:ascii="Arial" w:hAnsi="Arial" w:cs="Arial"/>
          <w:sz w:val="28"/>
          <w:szCs w:val="28"/>
        </w:rPr>
      </w:pPr>
      <w:r w:rsidRPr="00FA3D12">
        <w:rPr>
          <w:rFonts w:ascii="Arial" w:hAnsi="Arial" w:cs="Arial"/>
          <w:bCs/>
          <w:color w:val="000000"/>
          <w:sz w:val="28"/>
          <w:szCs w:val="28"/>
        </w:rPr>
        <w:t>U.S. Department of Education</w:t>
      </w:r>
    </w:p>
    <w:p w:rsidR="004B7B2C" w:rsidRPr="00FA3D12" w:rsidRDefault="004B7B2C" w:rsidP="00FA3D12">
      <w:pPr>
        <w:spacing w:after="0" w:line="240" w:lineRule="auto"/>
        <w:jc w:val="center"/>
        <w:rPr>
          <w:rFonts w:ascii="Arial" w:hAnsi="Arial" w:cs="Arial"/>
          <w:sz w:val="28"/>
          <w:szCs w:val="28"/>
        </w:rPr>
      </w:pPr>
      <w:r w:rsidRPr="00FA3D12">
        <w:rPr>
          <w:rFonts w:ascii="Arial" w:hAnsi="Arial" w:cs="Arial"/>
          <w:bCs/>
          <w:color w:val="000000"/>
          <w:sz w:val="28"/>
          <w:szCs w:val="28"/>
        </w:rPr>
        <w:t>Office of Elementary and Secondary Education</w:t>
      </w:r>
    </w:p>
    <w:p w:rsidR="004B7B2C" w:rsidRPr="00FA3D12" w:rsidRDefault="004B7B2C" w:rsidP="00FA3D12">
      <w:pPr>
        <w:jc w:val="center"/>
        <w:rPr>
          <w:rFonts w:ascii="Arial" w:hAnsi="Arial" w:cs="Arial"/>
          <w:sz w:val="28"/>
          <w:szCs w:val="28"/>
        </w:rPr>
      </w:pPr>
      <w:r w:rsidRPr="00FA3D12">
        <w:rPr>
          <w:rFonts w:ascii="Arial" w:hAnsi="Arial" w:cs="Arial"/>
          <w:sz w:val="28"/>
          <w:szCs w:val="28"/>
        </w:rPr>
        <w:t>21st Century Community Learning Centers</w:t>
      </w:r>
    </w:p>
    <w:p w:rsidR="004B7B2C" w:rsidRPr="00684B75" w:rsidRDefault="004B7B2C" w:rsidP="00F21B10">
      <w:pPr>
        <w:spacing w:before="240" w:after="5280" w:line="240" w:lineRule="auto"/>
        <w:jc w:val="center"/>
        <w:rPr>
          <w:rFonts w:ascii="Arial" w:hAnsi="Arial" w:cs="Arial"/>
          <w:sz w:val="20"/>
          <w:szCs w:val="20"/>
        </w:rPr>
      </w:pPr>
      <w:r w:rsidRPr="00684B75">
        <w:rPr>
          <w:rFonts w:ascii="Arial" w:hAnsi="Arial" w:cs="Arial"/>
          <w:bCs/>
          <w:color w:val="000000"/>
          <w:sz w:val="29"/>
          <w:szCs w:val="29"/>
        </w:rPr>
        <w:t>Dr. Sylvia Lyles, Program Director, Academic Improvement and Teacher Quality</w:t>
      </w:r>
    </w:p>
    <w:p w:rsidR="004B7B2C" w:rsidRPr="004B7B2C" w:rsidRDefault="004B7B2C" w:rsidP="004B7B2C">
      <w:pPr>
        <w:pStyle w:val="NormalWeb"/>
        <w:spacing w:before="0" w:beforeAutospacing="0" w:after="0" w:afterAutospacing="0"/>
      </w:pPr>
      <w:r w:rsidRPr="004B7B2C">
        <w:rPr>
          <w:rFonts w:ascii="Times New Roman" w:hAnsi="Times New Roman"/>
          <w:color w:val="000000"/>
          <w:sz w:val="24"/>
          <w:szCs w:val="24"/>
        </w:rPr>
        <w:lastRenderedPageBreak/>
        <w:t xml:space="preserve">This report was prepared for the U.S. Department of Education under contract number </w:t>
      </w:r>
      <w:r w:rsidR="008753EC">
        <w:rPr>
          <w:rFonts w:ascii="Times New Roman" w:hAnsi="Times New Roman"/>
          <w:color w:val="000000"/>
          <w:sz w:val="24"/>
          <w:szCs w:val="24"/>
        </w:rPr>
        <w:t>ED-ESE-14-C-0120</w:t>
      </w:r>
      <w:r w:rsidRPr="004B7B2C">
        <w:rPr>
          <w:rFonts w:ascii="Times New Roman" w:hAnsi="Times New Roman"/>
          <w:color w:val="000000"/>
          <w:sz w:val="24"/>
          <w:szCs w:val="24"/>
        </w:rPr>
        <w:t xml:space="preserve">. The contracting officer representative is </w:t>
      </w:r>
      <w:r>
        <w:rPr>
          <w:rFonts w:ascii="Times New Roman" w:hAnsi="Times New Roman"/>
          <w:color w:val="000000"/>
          <w:sz w:val="24"/>
          <w:szCs w:val="24"/>
        </w:rPr>
        <w:t>Daryn Hedlun</w:t>
      </w:r>
      <w:r w:rsidR="008753EC">
        <w:rPr>
          <w:rFonts w:ascii="Times New Roman" w:hAnsi="Times New Roman"/>
          <w:color w:val="000000"/>
          <w:sz w:val="24"/>
          <w:szCs w:val="24"/>
        </w:rPr>
        <w:t>d</w:t>
      </w:r>
      <w:r w:rsidRPr="004B7B2C">
        <w:rPr>
          <w:rFonts w:ascii="Times New Roman" w:hAnsi="Times New Roman"/>
          <w:color w:val="000000"/>
          <w:sz w:val="24"/>
          <w:szCs w:val="24"/>
        </w:rPr>
        <w:t xml:space="preserve"> of the Academic Improvement and Teacher Quality Programs.</w:t>
      </w:r>
    </w:p>
    <w:p w:rsidR="004B7B2C" w:rsidRPr="004B7B2C" w:rsidRDefault="004B7B2C" w:rsidP="004B7B2C">
      <w:pPr>
        <w:spacing w:after="0" w:line="240" w:lineRule="auto"/>
        <w:rPr>
          <w:rFonts w:ascii="Times" w:eastAsia="Times New Roman" w:hAnsi="Times" w:cs="Times New Roman"/>
          <w:sz w:val="20"/>
          <w:szCs w:val="20"/>
        </w:rPr>
      </w:pPr>
    </w:p>
    <w:p w:rsidR="004B7B2C" w:rsidRPr="004B7B2C" w:rsidRDefault="004B7B2C" w:rsidP="004B7B2C">
      <w:pPr>
        <w:spacing w:after="0" w:line="240" w:lineRule="auto"/>
        <w:rPr>
          <w:rFonts w:ascii="Times" w:hAnsi="Times" w:cs="Times New Roman"/>
          <w:sz w:val="20"/>
          <w:szCs w:val="20"/>
        </w:rPr>
      </w:pPr>
      <w:r w:rsidRPr="004B7B2C">
        <w:rPr>
          <w:rFonts w:ascii="Times New Roman" w:hAnsi="Times New Roman" w:cs="Times New Roman"/>
          <w:color w:val="000000"/>
          <w:sz w:val="24"/>
          <w:szCs w:val="24"/>
        </w:rPr>
        <w:t>This report is in the public domain. Authorization to reproduce it in whole or in part is granted. While permission to reprint this publication is not necessary, the suggested citation is as follows:</w:t>
      </w:r>
    </w:p>
    <w:p w:rsidR="004B7B2C" w:rsidRDefault="004B7B2C" w:rsidP="00D472CD">
      <w:pPr>
        <w:spacing w:after="9720"/>
        <w:rPr>
          <w:rFonts w:ascii="Times New Roman" w:hAnsi="Times New Roman" w:cs="Times New Roman"/>
          <w:b/>
          <w:bCs/>
          <w:sz w:val="24"/>
          <w:szCs w:val="24"/>
        </w:rPr>
      </w:pPr>
      <w:r w:rsidRPr="004B7B2C">
        <w:rPr>
          <w:rFonts w:ascii="Times" w:eastAsia="Times New Roman" w:hAnsi="Times" w:cs="Times New Roman"/>
          <w:sz w:val="20"/>
          <w:szCs w:val="20"/>
        </w:rPr>
        <w:br/>
      </w:r>
      <w:proofErr w:type="gramStart"/>
      <w:r w:rsidRPr="004B7B2C">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S. Department of Education (2015</w:t>
      </w:r>
      <w:r w:rsidRPr="004B7B2C">
        <w:rPr>
          <w:rFonts w:ascii="Times New Roman" w:eastAsia="Times New Roman" w:hAnsi="Times New Roman" w:cs="Times New Roman"/>
          <w:color w:val="000000"/>
          <w:sz w:val="24"/>
          <w:szCs w:val="24"/>
        </w:rPr>
        <w:t>).</w:t>
      </w:r>
      <w:proofErr w:type="gramEnd"/>
      <w:r w:rsidRPr="004B7B2C">
        <w:rPr>
          <w:rFonts w:ascii="Times New Roman" w:eastAsia="Times New Roman" w:hAnsi="Times New Roman" w:cs="Times New Roman"/>
          <w:color w:val="000000"/>
          <w:sz w:val="24"/>
          <w:szCs w:val="24"/>
        </w:rPr>
        <w:t xml:space="preserve">  </w:t>
      </w:r>
      <w:r w:rsidRPr="004B7B2C">
        <w:rPr>
          <w:rFonts w:ascii="Times New Roman" w:eastAsia="Times New Roman" w:hAnsi="Times New Roman" w:cs="Times New Roman"/>
          <w:i/>
          <w:iCs/>
          <w:color w:val="000000"/>
          <w:sz w:val="24"/>
          <w:szCs w:val="24"/>
        </w:rPr>
        <w:t>21st Century Community Learning Centers (21st CCLC) analytic support for evaluation and program monitoring: An overview of the 21st CCLC perf</w:t>
      </w:r>
      <w:r>
        <w:rPr>
          <w:rFonts w:ascii="Times New Roman" w:eastAsia="Times New Roman" w:hAnsi="Times New Roman" w:cs="Times New Roman"/>
          <w:i/>
          <w:iCs/>
          <w:color w:val="000000"/>
          <w:sz w:val="24"/>
          <w:szCs w:val="24"/>
        </w:rPr>
        <w:t>ormance data: 2013</w:t>
      </w:r>
      <w:r w:rsidRPr="004B7B2C">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4</w:t>
      </w:r>
      <w:r w:rsidRPr="004B7B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Pr="004B7B2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report</w:t>
      </w:r>
      <w:r w:rsidRPr="004B7B2C">
        <w:rPr>
          <w:rFonts w:ascii="Times New Roman" w:eastAsia="Times New Roman" w:hAnsi="Times New Roman" w:cs="Times New Roman"/>
          <w:color w:val="000000"/>
          <w:sz w:val="24"/>
          <w:szCs w:val="24"/>
        </w:rPr>
        <w:t>). Washington, DC:</w:t>
      </w:r>
    </w:p>
    <w:sdt>
      <w:sdtPr>
        <w:rPr>
          <w:rFonts w:asciiTheme="minorHAnsi" w:eastAsiaTheme="minorHAnsi" w:hAnsiTheme="minorHAnsi" w:cstheme="minorBidi"/>
          <w:color w:val="auto"/>
          <w:sz w:val="22"/>
          <w:szCs w:val="22"/>
        </w:rPr>
        <w:id w:val="2101522628"/>
        <w:docPartObj>
          <w:docPartGallery w:val="Table of Contents"/>
          <w:docPartUnique/>
        </w:docPartObj>
      </w:sdtPr>
      <w:sdtEndPr>
        <w:rPr>
          <w:b/>
          <w:bCs/>
          <w:noProof/>
        </w:rPr>
      </w:sdtEndPr>
      <w:sdtContent>
        <w:p w:rsidR="000C2501" w:rsidRPr="00E432FA" w:rsidRDefault="00E56A39" w:rsidP="00E432FA">
          <w:pPr>
            <w:pStyle w:val="TOCHeading"/>
            <w:jc w:val="center"/>
            <w:rPr>
              <w:rStyle w:val="Heading1Char"/>
              <w:color w:val="auto"/>
            </w:rPr>
          </w:pPr>
          <w:r>
            <w:rPr>
              <w:rStyle w:val="Heading1Char"/>
              <w:color w:val="auto"/>
            </w:rPr>
            <w:t>Content</w:t>
          </w:r>
        </w:p>
        <w:p w:rsidR="00E432FA" w:rsidRPr="00E432FA" w:rsidRDefault="00E432FA" w:rsidP="00E432FA"/>
        <w:p w:rsidR="00FA3D12" w:rsidRDefault="000C250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579691" w:history="1">
            <w:r w:rsidR="00FA3D12" w:rsidRPr="002F2B71">
              <w:rPr>
                <w:rStyle w:val="Hyperlink"/>
                <w:noProof/>
              </w:rPr>
              <w:t>Figures</w:t>
            </w:r>
            <w:r w:rsidR="00FA3D12">
              <w:rPr>
                <w:noProof/>
                <w:webHidden/>
              </w:rPr>
              <w:tab/>
            </w:r>
            <w:r w:rsidR="00FA3D12">
              <w:rPr>
                <w:noProof/>
                <w:webHidden/>
              </w:rPr>
              <w:fldChar w:fldCharType="begin"/>
            </w:r>
            <w:r w:rsidR="00FA3D12">
              <w:rPr>
                <w:noProof/>
                <w:webHidden/>
              </w:rPr>
              <w:instrText xml:space="preserve"> PAGEREF _Toc446579691 \h </w:instrText>
            </w:r>
            <w:r w:rsidR="00FA3D12">
              <w:rPr>
                <w:noProof/>
                <w:webHidden/>
              </w:rPr>
            </w:r>
            <w:r w:rsidR="00FA3D12">
              <w:rPr>
                <w:noProof/>
                <w:webHidden/>
              </w:rPr>
              <w:fldChar w:fldCharType="separate"/>
            </w:r>
            <w:r w:rsidR="00FA3D12">
              <w:rPr>
                <w:noProof/>
                <w:webHidden/>
              </w:rPr>
              <w:t>5</w:t>
            </w:r>
            <w:r w:rsidR="00FA3D12">
              <w:rPr>
                <w:noProof/>
                <w:webHidden/>
              </w:rPr>
              <w:fldChar w:fldCharType="end"/>
            </w:r>
          </w:hyperlink>
        </w:p>
        <w:p w:rsidR="00FA3D12" w:rsidRDefault="00FA3D12">
          <w:pPr>
            <w:pStyle w:val="TOC1"/>
            <w:tabs>
              <w:tab w:val="right" w:leader="dot" w:pos="9350"/>
            </w:tabs>
            <w:rPr>
              <w:rFonts w:asciiTheme="minorHAnsi" w:eastAsiaTheme="minorEastAsia" w:hAnsiTheme="minorHAnsi" w:cstheme="minorBidi"/>
              <w:noProof/>
              <w:sz w:val="22"/>
              <w:szCs w:val="22"/>
            </w:rPr>
          </w:pPr>
          <w:hyperlink w:anchor="_Toc446579692" w:history="1">
            <w:r w:rsidRPr="002F2B71">
              <w:rPr>
                <w:rStyle w:val="Hyperlink"/>
                <w:noProof/>
              </w:rPr>
              <w:t>EXECUTIVE SUMMARY</w:t>
            </w:r>
            <w:r>
              <w:rPr>
                <w:noProof/>
                <w:webHidden/>
              </w:rPr>
              <w:tab/>
            </w:r>
            <w:r>
              <w:rPr>
                <w:noProof/>
                <w:webHidden/>
              </w:rPr>
              <w:fldChar w:fldCharType="begin"/>
            </w:r>
            <w:r>
              <w:rPr>
                <w:noProof/>
                <w:webHidden/>
              </w:rPr>
              <w:instrText xml:space="preserve"> PAGEREF _Toc446579692 \h </w:instrText>
            </w:r>
            <w:r>
              <w:rPr>
                <w:noProof/>
                <w:webHidden/>
              </w:rPr>
            </w:r>
            <w:r>
              <w:rPr>
                <w:noProof/>
                <w:webHidden/>
              </w:rPr>
              <w:fldChar w:fldCharType="separate"/>
            </w:r>
            <w:r>
              <w:rPr>
                <w:noProof/>
                <w:webHidden/>
              </w:rPr>
              <w:t>6</w:t>
            </w:r>
            <w:r>
              <w:rPr>
                <w:noProof/>
                <w:webHidden/>
              </w:rPr>
              <w:fldChar w:fldCharType="end"/>
            </w:r>
          </w:hyperlink>
        </w:p>
        <w:p w:rsidR="00FA3D12" w:rsidRDefault="00FA3D12">
          <w:pPr>
            <w:pStyle w:val="TOC1"/>
            <w:tabs>
              <w:tab w:val="right" w:leader="dot" w:pos="9350"/>
            </w:tabs>
            <w:rPr>
              <w:rFonts w:asciiTheme="minorHAnsi" w:eastAsiaTheme="minorEastAsia" w:hAnsiTheme="minorHAnsi" w:cstheme="minorBidi"/>
              <w:noProof/>
              <w:sz w:val="22"/>
              <w:szCs w:val="22"/>
            </w:rPr>
          </w:pPr>
          <w:hyperlink w:anchor="_Toc446579693" w:history="1">
            <w:r w:rsidRPr="002F2B71">
              <w:rPr>
                <w:rStyle w:val="Hyperlink"/>
                <w:noProof/>
              </w:rPr>
              <w:t>INTRODUCTION</w:t>
            </w:r>
            <w:r>
              <w:rPr>
                <w:noProof/>
                <w:webHidden/>
              </w:rPr>
              <w:tab/>
            </w:r>
            <w:r>
              <w:rPr>
                <w:noProof/>
                <w:webHidden/>
              </w:rPr>
              <w:fldChar w:fldCharType="begin"/>
            </w:r>
            <w:r>
              <w:rPr>
                <w:noProof/>
                <w:webHidden/>
              </w:rPr>
              <w:instrText xml:space="preserve"> PAGEREF _Toc446579693 \h </w:instrText>
            </w:r>
            <w:r>
              <w:rPr>
                <w:noProof/>
                <w:webHidden/>
              </w:rPr>
            </w:r>
            <w:r>
              <w:rPr>
                <w:noProof/>
                <w:webHidden/>
              </w:rPr>
              <w:fldChar w:fldCharType="separate"/>
            </w:r>
            <w:r>
              <w:rPr>
                <w:noProof/>
                <w:webHidden/>
              </w:rPr>
              <w:t>8</w:t>
            </w:r>
            <w:r>
              <w:rPr>
                <w:noProof/>
                <w:webHidden/>
              </w:rPr>
              <w:fldChar w:fldCharType="end"/>
            </w:r>
          </w:hyperlink>
        </w:p>
        <w:p w:rsidR="00FA3D12" w:rsidRDefault="00FA3D12">
          <w:pPr>
            <w:pStyle w:val="TOC1"/>
            <w:tabs>
              <w:tab w:val="right" w:leader="dot" w:pos="9350"/>
            </w:tabs>
            <w:rPr>
              <w:rFonts w:asciiTheme="minorHAnsi" w:eastAsiaTheme="minorEastAsia" w:hAnsiTheme="minorHAnsi" w:cstheme="minorBidi"/>
              <w:noProof/>
              <w:sz w:val="22"/>
              <w:szCs w:val="22"/>
            </w:rPr>
          </w:pPr>
          <w:hyperlink w:anchor="_Toc446579694" w:history="1">
            <w:r w:rsidRPr="002F2B71">
              <w:rPr>
                <w:rStyle w:val="Hyperlink"/>
                <w:noProof/>
              </w:rPr>
              <w:t>SECTION 1:  GPRA RESULTS</w:t>
            </w:r>
            <w:r>
              <w:rPr>
                <w:noProof/>
                <w:webHidden/>
              </w:rPr>
              <w:tab/>
            </w:r>
            <w:r>
              <w:rPr>
                <w:noProof/>
                <w:webHidden/>
              </w:rPr>
              <w:fldChar w:fldCharType="begin"/>
            </w:r>
            <w:r>
              <w:rPr>
                <w:noProof/>
                <w:webHidden/>
              </w:rPr>
              <w:instrText xml:space="preserve"> PAGEREF _Toc446579694 \h </w:instrText>
            </w:r>
            <w:r>
              <w:rPr>
                <w:noProof/>
                <w:webHidden/>
              </w:rPr>
            </w:r>
            <w:r>
              <w:rPr>
                <w:noProof/>
                <w:webHidden/>
              </w:rPr>
              <w:fldChar w:fldCharType="separate"/>
            </w:r>
            <w:r>
              <w:rPr>
                <w:noProof/>
                <w:webHidden/>
              </w:rPr>
              <w:t>10</w:t>
            </w:r>
            <w:r>
              <w:rPr>
                <w:noProof/>
                <w:webHidden/>
              </w:rPr>
              <w:fldChar w:fldCharType="end"/>
            </w:r>
          </w:hyperlink>
        </w:p>
        <w:p w:rsidR="00FA3D12" w:rsidRDefault="00FA3D12">
          <w:pPr>
            <w:pStyle w:val="TOC2"/>
            <w:tabs>
              <w:tab w:val="right" w:leader="dot" w:pos="9350"/>
            </w:tabs>
            <w:rPr>
              <w:rFonts w:eastAsiaTheme="minorEastAsia"/>
              <w:noProof/>
            </w:rPr>
          </w:pPr>
          <w:hyperlink w:anchor="_Toc446579695" w:history="1">
            <w:r w:rsidRPr="002F2B71">
              <w:rPr>
                <w:rStyle w:val="Hyperlink"/>
                <w:noProof/>
              </w:rPr>
              <w:t>A.  GPRA Measures #1-3: % Improvement in Mathematics Grades</w:t>
            </w:r>
            <w:r>
              <w:rPr>
                <w:noProof/>
                <w:webHidden/>
              </w:rPr>
              <w:tab/>
            </w:r>
            <w:r>
              <w:rPr>
                <w:noProof/>
                <w:webHidden/>
              </w:rPr>
              <w:fldChar w:fldCharType="begin"/>
            </w:r>
            <w:r>
              <w:rPr>
                <w:noProof/>
                <w:webHidden/>
              </w:rPr>
              <w:instrText xml:space="preserve"> PAGEREF _Toc446579695 \h </w:instrText>
            </w:r>
            <w:r>
              <w:rPr>
                <w:noProof/>
                <w:webHidden/>
              </w:rPr>
            </w:r>
            <w:r>
              <w:rPr>
                <w:noProof/>
                <w:webHidden/>
              </w:rPr>
              <w:fldChar w:fldCharType="separate"/>
            </w:r>
            <w:r>
              <w:rPr>
                <w:noProof/>
                <w:webHidden/>
              </w:rPr>
              <w:t>10</w:t>
            </w:r>
            <w:r>
              <w:rPr>
                <w:noProof/>
                <w:webHidden/>
              </w:rPr>
              <w:fldChar w:fldCharType="end"/>
            </w:r>
          </w:hyperlink>
        </w:p>
        <w:p w:rsidR="00FA3D12" w:rsidRDefault="00FA3D12">
          <w:pPr>
            <w:pStyle w:val="TOC3"/>
            <w:tabs>
              <w:tab w:val="right" w:leader="dot" w:pos="9350"/>
            </w:tabs>
            <w:rPr>
              <w:rFonts w:eastAsiaTheme="minorEastAsia"/>
              <w:noProof/>
            </w:rPr>
          </w:pPr>
          <w:hyperlink w:anchor="_Toc446579696" w:history="1">
            <w:r w:rsidRPr="002F2B71">
              <w:rPr>
                <w:rStyle w:val="Hyperlink"/>
                <w:noProof/>
              </w:rPr>
              <w:t>Table 1. Regular Attendees % Improved in Mathematics Grades</w:t>
            </w:r>
            <w:r>
              <w:rPr>
                <w:noProof/>
                <w:webHidden/>
              </w:rPr>
              <w:tab/>
            </w:r>
            <w:r>
              <w:rPr>
                <w:noProof/>
                <w:webHidden/>
              </w:rPr>
              <w:fldChar w:fldCharType="begin"/>
            </w:r>
            <w:r>
              <w:rPr>
                <w:noProof/>
                <w:webHidden/>
              </w:rPr>
              <w:instrText xml:space="preserve"> PAGEREF _Toc446579696 \h </w:instrText>
            </w:r>
            <w:r>
              <w:rPr>
                <w:noProof/>
                <w:webHidden/>
              </w:rPr>
            </w:r>
            <w:r>
              <w:rPr>
                <w:noProof/>
                <w:webHidden/>
              </w:rPr>
              <w:fldChar w:fldCharType="separate"/>
            </w:r>
            <w:r>
              <w:rPr>
                <w:noProof/>
                <w:webHidden/>
              </w:rPr>
              <w:t>10</w:t>
            </w:r>
            <w:r>
              <w:rPr>
                <w:noProof/>
                <w:webHidden/>
              </w:rPr>
              <w:fldChar w:fldCharType="end"/>
            </w:r>
          </w:hyperlink>
        </w:p>
        <w:p w:rsidR="00FA3D12" w:rsidRDefault="00FA3D12">
          <w:pPr>
            <w:pStyle w:val="TOC2"/>
            <w:tabs>
              <w:tab w:val="right" w:leader="dot" w:pos="9350"/>
            </w:tabs>
            <w:rPr>
              <w:rFonts w:eastAsiaTheme="minorEastAsia"/>
              <w:noProof/>
            </w:rPr>
          </w:pPr>
          <w:hyperlink w:anchor="_Toc446579697" w:history="1">
            <w:r w:rsidRPr="002F2B71">
              <w:rPr>
                <w:rStyle w:val="Hyperlink"/>
                <w:noProof/>
              </w:rPr>
              <w:t>B.  GPRA Measures #4-6: % Improvement in English Grades</w:t>
            </w:r>
            <w:r>
              <w:rPr>
                <w:noProof/>
                <w:webHidden/>
              </w:rPr>
              <w:tab/>
            </w:r>
            <w:r>
              <w:rPr>
                <w:noProof/>
                <w:webHidden/>
              </w:rPr>
              <w:fldChar w:fldCharType="begin"/>
            </w:r>
            <w:r>
              <w:rPr>
                <w:noProof/>
                <w:webHidden/>
              </w:rPr>
              <w:instrText xml:space="preserve"> PAGEREF _Toc446579697 \h </w:instrText>
            </w:r>
            <w:r>
              <w:rPr>
                <w:noProof/>
                <w:webHidden/>
              </w:rPr>
            </w:r>
            <w:r>
              <w:rPr>
                <w:noProof/>
                <w:webHidden/>
              </w:rPr>
              <w:fldChar w:fldCharType="separate"/>
            </w:r>
            <w:r>
              <w:rPr>
                <w:noProof/>
                <w:webHidden/>
              </w:rPr>
              <w:t>10</w:t>
            </w:r>
            <w:r>
              <w:rPr>
                <w:noProof/>
                <w:webHidden/>
              </w:rPr>
              <w:fldChar w:fldCharType="end"/>
            </w:r>
          </w:hyperlink>
        </w:p>
        <w:p w:rsidR="00FA3D12" w:rsidRDefault="00FA3D12">
          <w:pPr>
            <w:pStyle w:val="TOC3"/>
            <w:tabs>
              <w:tab w:val="right" w:leader="dot" w:pos="9350"/>
            </w:tabs>
            <w:rPr>
              <w:rFonts w:eastAsiaTheme="minorEastAsia"/>
              <w:noProof/>
            </w:rPr>
          </w:pPr>
          <w:hyperlink w:anchor="_Toc446579698" w:history="1">
            <w:r w:rsidRPr="002F2B71">
              <w:rPr>
                <w:rStyle w:val="Hyperlink"/>
                <w:noProof/>
              </w:rPr>
              <w:t>Table 2. Regular Attendees % Improved in English Grades</w:t>
            </w:r>
            <w:r>
              <w:rPr>
                <w:noProof/>
                <w:webHidden/>
              </w:rPr>
              <w:tab/>
            </w:r>
            <w:r>
              <w:rPr>
                <w:noProof/>
                <w:webHidden/>
              </w:rPr>
              <w:fldChar w:fldCharType="begin"/>
            </w:r>
            <w:r>
              <w:rPr>
                <w:noProof/>
                <w:webHidden/>
              </w:rPr>
              <w:instrText xml:space="preserve"> PAGEREF _Toc446579698 \h </w:instrText>
            </w:r>
            <w:r>
              <w:rPr>
                <w:noProof/>
                <w:webHidden/>
              </w:rPr>
            </w:r>
            <w:r>
              <w:rPr>
                <w:noProof/>
                <w:webHidden/>
              </w:rPr>
              <w:fldChar w:fldCharType="separate"/>
            </w:r>
            <w:r>
              <w:rPr>
                <w:noProof/>
                <w:webHidden/>
              </w:rPr>
              <w:t>11</w:t>
            </w:r>
            <w:r>
              <w:rPr>
                <w:noProof/>
                <w:webHidden/>
              </w:rPr>
              <w:fldChar w:fldCharType="end"/>
            </w:r>
          </w:hyperlink>
        </w:p>
        <w:p w:rsidR="00FA3D12" w:rsidRDefault="00FA3D12">
          <w:pPr>
            <w:pStyle w:val="TOC2"/>
            <w:tabs>
              <w:tab w:val="right" w:leader="dot" w:pos="9350"/>
            </w:tabs>
            <w:rPr>
              <w:rFonts w:eastAsiaTheme="minorEastAsia"/>
              <w:noProof/>
            </w:rPr>
          </w:pPr>
          <w:hyperlink w:anchor="_Toc446579699" w:history="1">
            <w:r w:rsidRPr="002F2B71">
              <w:rPr>
                <w:rStyle w:val="Hyperlink"/>
                <w:noProof/>
              </w:rPr>
              <w:t>C. GPRA Measures #7-8: % Improvement on Reading and Mathematics State Assessments</w:t>
            </w:r>
            <w:r>
              <w:rPr>
                <w:noProof/>
                <w:webHidden/>
              </w:rPr>
              <w:tab/>
            </w:r>
            <w:r>
              <w:rPr>
                <w:noProof/>
                <w:webHidden/>
              </w:rPr>
              <w:fldChar w:fldCharType="begin"/>
            </w:r>
            <w:r>
              <w:rPr>
                <w:noProof/>
                <w:webHidden/>
              </w:rPr>
              <w:instrText xml:space="preserve"> PAGEREF _Toc446579699 \h </w:instrText>
            </w:r>
            <w:r>
              <w:rPr>
                <w:noProof/>
                <w:webHidden/>
              </w:rPr>
            </w:r>
            <w:r>
              <w:rPr>
                <w:noProof/>
                <w:webHidden/>
              </w:rPr>
              <w:fldChar w:fldCharType="separate"/>
            </w:r>
            <w:r>
              <w:rPr>
                <w:noProof/>
                <w:webHidden/>
              </w:rPr>
              <w:t>11</w:t>
            </w:r>
            <w:r>
              <w:rPr>
                <w:noProof/>
                <w:webHidden/>
              </w:rPr>
              <w:fldChar w:fldCharType="end"/>
            </w:r>
          </w:hyperlink>
        </w:p>
        <w:p w:rsidR="00FA3D12" w:rsidRDefault="00FA3D12">
          <w:pPr>
            <w:pStyle w:val="TOC3"/>
            <w:tabs>
              <w:tab w:val="right" w:leader="dot" w:pos="9350"/>
            </w:tabs>
            <w:rPr>
              <w:rFonts w:eastAsiaTheme="minorEastAsia"/>
              <w:noProof/>
            </w:rPr>
          </w:pPr>
          <w:hyperlink w:anchor="_Toc446579700" w:history="1">
            <w:r w:rsidRPr="002F2B71">
              <w:rPr>
                <w:rStyle w:val="Hyperlink"/>
                <w:noProof/>
              </w:rPr>
              <w:t>Table 3. Regular Attendees % Improved on Reading/Mathematics State Assessments</w:t>
            </w:r>
            <w:r>
              <w:rPr>
                <w:noProof/>
                <w:webHidden/>
              </w:rPr>
              <w:tab/>
            </w:r>
            <w:r>
              <w:rPr>
                <w:noProof/>
                <w:webHidden/>
              </w:rPr>
              <w:fldChar w:fldCharType="begin"/>
            </w:r>
            <w:r>
              <w:rPr>
                <w:noProof/>
                <w:webHidden/>
              </w:rPr>
              <w:instrText xml:space="preserve"> PAGEREF _Toc446579700 \h </w:instrText>
            </w:r>
            <w:r>
              <w:rPr>
                <w:noProof/>
                <w:webHidden/>
              </w:rPr>
            </w:r>
            <w:r>
              <w:rPr>
                <w:noProof/>
                <w:webHidden/>
              </w:rPr>
              <w:fldChar w:fldCharType="separate"/>
            </w:r>
            <w:r>
              <w:rPr>
                <w:noProof/>
                <w:webHidden/>
              </w:rPr>
              <w:t>11</w:t>
            </w:r>
            <w:r>
              <w:rPr>
                <w:noProof/>
                <w:webHidden/>
              </w:rPr>
              <w:fldChar w:fldCharType="end"/>
            </w:r>
          </w:hyperlink>
        </w:p>
        <w:p w:rsidR="00FA3D12" w:rsidRDefault="00FA3D12">
          <w:pPr>
            <w:pStyle w:val="TOC2"/>
            <w:tabs>
              <w:tab w:val="right" w:leader="dot" w:pos="9350"/>
            </w:tabs>
            <w:rPr>
              <w:rFonts w:eastAsiaTheme="minorEastAsia"/>
              <w:noProof/>
            </w:rPr>
          </w:pPr>
          <w:hyperlink w:anchor="_Toc446579701" w:history="1">
            <w:r w:rsidRPr="002F2B71">
              <w:rPr>
                <w:rStyle w:val="Hyperlink"/>
                <w:noProof/>
              </w:rPr>
              <w:t>D.  GPRA Measures #9-11: % Improvement on Homework Completion and Class Participation</w:t>
            </w:r>
            <w:r>
              <w:rPr>
                <w:noProof/>
                <w:webHidden/>
              </w:rPr>
              <w:tab/>
            </w:r>
            <w:r>
              <w:rPr>
                <w:noProof/>
                <w:webHidden/>
              </w:rPr>
              <w:fldChar w:fldCharType="begin"/>
            </w:r>
            <w:r>
              <w:rPr>
                <w:noProof/>
                <w:webHidden/>
              </w:rPr>
              <w:instrText xml:space="preserve"> PAGEREF _Toc446579701 \h </w:instrText>
            </w:r>
            <w:r>
              <w:rPr>
                <w:noProof/>
                <w:webHidden/>
              </w:rPr>
            </w:r>
            <w:r>
              <w:rPr>
                <w:noProof/>
                <w:webHidden/>
              </w:rPr>
              <w:fldChar w:fldCharType="separate"/>
            </w:r>
            <w:r>
              <w:rPr>
                <w:noProof/>
                <w:webHidden/>
              </w:rPr>
              <w:t>11</w:t>
            </w:r>
            <w:r>
              <w:rPr>
                <w:noProof/>
                <w:webHidden/>
              </w:rPr>
              <w:fldChar w:fldCharType="end"/>
            </w:r>
          </w:hyperlink>
        </w:p>
        <w:p w:rsidR="00FA3D12" w:rsidRDefault="00FA3D12">
          <w:pPr>
            <w:pStyle w:val="TOC3"/>
            <w:tabs>
              <w:tab w:val="right" w:leader="dot" w:pos="9350"/>
            </w:tabs>
            <w:rPr>
              <w:rFonts w:eastAsiaTheme="minorEastAsia"/>
              <w:noProof/>
            </w:rPr>
          </w:pPr>
          <w:hyperlink w:anchor="_Toc446579702" w:history="1">
            <w:r w:rsidRPr="002F2B71">
              <w:rPr>
                <w:rStyle w:val="Hyperlink"/>
                <w:noProof/>
              </w:rPr>
              <w:t>Table 4. Regular Attendees % Improved Homework Completion</w:t>
            </w:r>
            <w:r>
              <w:rPr>
                <w:noProof/>
                <w:webHidden/>
              </w:rPr>
              <w:tab/>
            </w:r>
            <w:r>
              <w:rPr>
                <w:noProof/>
                <w:webHidden/>
              </w:rPr>
              <w:fldChar w:fldCharType="begin"/>
            </w:r>
            <w:r>
              <w:rPr>
                <w:noProof/>
                <w:webHidden/>
              </w:rPr>
              <w:instrText xml:space="preserve"> PAGEREF _Toc446579702 \h </w:instrText>
            </w:r>
            <w:r>
              <w:rPr>
                <w:noProof/>
                <w:webHidden/>
              </w:rPr>
            </w:r>
            <w:r>
              <w:rPr>
                <w:noProof/>
                <w:webHidden/>
              </w:rPr>
              <w:fldChar w:fldCharType="separate"/>
            </w:r>
            <w:r>
              <w:rPr>
                <w:noProof/>
                <w:webHidden/>
              </w:rPr>
              <w:t>12</w:t>
            </w:r>
            <w:r>
              <w:rPr>
                <w:noProof/>
                <w:webHidden/>
              </w:rPr>
              <w:fldChar w:fldCharType="end"/>
            </w:r>
          </w:hyperlink>
        </w:p>
        <w:p w:rsidR="00FA3D12" w:rsidRDefault="00FA3D12">
          <w:pPr>
            <w:pStyle w:val="TOC3"/>
            <w:tabs>
              <w:tab w:val="right" w:leader="dot" w:pos="9350"/>
            </w:tabs>
            <w:rPr>
              <w:rFonts w:eastAsiaTheme="minorEastAsia"/>
              <w:noProof/>
            </w:rPr>
          </w:pPr>
          <w:hyperlink w:anchor="_Toc446579703" w:history="1">
            <w:r w:rsidRPr="002F2B71">
              <w:rPr>
                <w:rStyle w:val="Hyperlink"/>
                <w:noProof/>
              </w:rPr>
              <w:t>Table 5. Regular Attendees % Improved Class Participation</w:t>
            </w:r>
            <w:r>
              <w:rPr>
                <w:noProof/>
                <w:webHidden/>
              </w:rPr>
              <w:tab/>
            </w:r>
            <w:r>
              <w:rPr>
                <w:noProof/>
                <w:webHidden/>
              </w:rPr>
              <w:fldChar w:fldCharType="begin"/>
            </w:r>
            <w:r>
              <w:rPr>
                <w:noProof/>
                <w:webHidden/>
              </w:rPr>
              <w:instrText xml:space="preserve"> PAGEREF _Toc446579703 \h </w:instrText>
            </w:r>
            <w:r>
              <w:rPr>
                <w:noProof/>
                <w:webHidden/>
              </w:rPr>
            </w:r>
            <w:r>
              <w:rPr>
                <w:noProof/>
                <w:webHidden/>
              </w:rPr>
              <w:fldChar w:fldCharType="separate"/>
            </w:r>
            <w:r>
              <w:rPr>
                <w:noProof/>
                <w:webHidden/>
              </w:rPr>
              <w:t>12</w:t>
            </w:r>
            <w:r>
              <w:rPr>
                <w:noProof/>
                <w:webHidden/>
              </w:rPr>
              <w:fldChar w:fldCharType="end"/>
            </w:r>
          </w:hyperlink>
        </w:p>
        <w:p w:rsidR="00FA3D12" w:rsidRDefault="00FA3D12">
          <w:pPr>
            <w:pStyle w:val="TOC2"/>
            <w:tabs>
              <w:tab w:val="right" w:leader="dot" w:pos="9350"/>
            </w:tabs>
            <w:rPr>
              <w:rFonts w:eastAsiaTheme="minorEastAsia"/>
              <w:noProof/>
            </w:rPr>
          </w:pPr>
          <w:hyperlink w:anchor="_Toc446579704" w:history="1">
            <w:r w:rsidRPr="002F2B71">
              <w:rPr>
                <w:rStyle w:val="Hyperlink"/>
                <w:noProof/>
              </w:rPr>
              <w:t>E.  GPRA Measures #12-14: % Improvement in Student Behavior</w:t>
            </w:r>
            <w:r>
              <w:rPr>
                <w:noProof/>
                <w:webHidden/>
              </w:rPr>
              <w:tab/>
            </w:r>
            <w:r>
              <w:rPr>
                <w:noProof/>
                <w:webHidden/>
              </w:rPr>
              <w:fldChar w:fldCharType="begin"/>
            </w:r>
            <w:r>
              <w:rPr>
                <w:noProof/>
                <w:webHidden/>
              </w:rPr>
              <w:instrText xml:space="preserve"> PAGEREF _Toc446579704 \h </w:instrText>
            </w:r>
            <w:r>
              <w:rPr>
                <w:noProof/>
                <w:webHidden/>
              </w:rPr>
            </w:r>
            <w:r>
              <w:rPr>
                <w:noProof/>
                <w:webHidden/>
              </w:rPr>
              <w:fldChar w:fldCharType="separate"/>
            </w:r>
            <w:r>
              <w:rPr>
                <w:noProof/>
                <w:webHidden/>
              </w:rPr>
              <w:t>12</w:t>
            </w:r>
            <w:r>
              <w:rPr>
                <w:noProof/>
                <w:webHidden/>
              </w:rPr>
              <w:fldChar w:fldCharType="end"/>
            </w:r>
          </w:hyperlink>
        </w:p>
        <w:p w:rsidR="00FA3D12" w:rsidRDefault="00FA3D12">
          <w:pPr>
            <w:pStyle w:val="TOC3"/>
            <w:tabs>
              <w:tab w:val="right" w:leader="dot" w:pos="9350"/>
            </w:tabs>
            <w:rPr>
              <w:rFonts w:eastAsiaTheme="minorEastAsia"/>
              <w:noProof/>
            </w:rPr>
          </w:pPr>
          <w:hyperlink w:anchor="_Toc446579705" w:history="1">
            <w:r w:rsidRPr="002F2B71">
              <w:rPr>
                <w:rStyle w:val="Hyperlink"/>
                <w:noProof/>
              </w:rPr>
              <w:t>Table 6. Regular Attendees % Improved Student Behavior</w:t>
            </w:r>
            <w:r>
              <w:rPr>
                <w:noProof/>
                <w:webHidden/>
              </w:rPr>
              <w:tab/>
            </w:r>
            <w:r>
              <w:rPr>
                <w:noProof/>
                <w:webHidden/>
              </w:rPr>
              <w:fldChar w:fldCharType="begin"/>
            </w:r>
            <w:r>
              <w:rPr>
                <w:noProof/>
                <w:webHidden/>
              </w:rPr>
              <w:instrText xml:space="preserve"> PAGEREF _Toc446579705 \h </w:instrText>
            </w:r>
            <w:r>
              <w:rPr>
                <w:noProof/>
                <w:webHidden/>
              </w:rPr>
            </w:r>
            <w:r>
              <w:rPr>
                <w:noProof/>
                <w:webHidden/>
              </w:rPr>
              <w:fldChar w:fldCharType="separate"/>
            </w:r>
            <w:r>
              <w:rPr>
                <w:noProof/>
                <w:webHidden/>
              </w:rPr>
              <w:t>12</w:t>
            </w:r>
            <w:r>
              <w:rPr>
                <w:noProof/>
                <w:webHidden/>
              </w:rPr>
              <w:fldChar w:fldCharType="end"/>
            </w:r>
          </w:hyperlink>
        </w:p>
        <w:p w:rsidR="00FA3D12" w:rsidRDefault="00FA3D12">
          <w:pPr>
            <w:pStyle w:val="TOC3"/>
            <w:tabs>
              <w:tab w:val="right" w:leader="dot" w:pos="9350"/>
            </w:tabs>
            <w:rPr>
              <w:rFonts w:eastAsiaTheme="minorEastAsia"/>
              <w:noProof/>
            </w:rPr>
          </w:pPr>
          <w:hyperlink w:anchor="_Toc446579706" w:history="1">
            <w:r w:rsidRPr="002F2B71">
              <w:rPr>
                <w:rStyle w:val="Hyperlink"/>
                <w:noProof/>
              </w:rPr>
              <w:t>Table 7. The GPRA Outcomes for all 54 States/Territories</w:t>
            </w:r>
            <w:r>
              <w:rPr>
                <w:noProof/>
                <w:webHidden/>
              </w:rPr>
              <w:tab/>
            </w:r>
            <w:r>
              <w:rPr>
                <w:noProof/>
                <w:webHidden/>
              </w:rPr>
              <w:fldChar w:fldCharType="begin"/>
            </w:r>
            <w:r>
              <w:rPr>
                <w:noProof/>
                <w:webHidden/>
              </w:rPr>
              <w:instrText xml:space="preserve"> PAGEREF _Toc446579706 \h </w:instrText>
            </w:r>
            <w:r>
              <w:rPr>
                <w:noProof/>
                <w:webHidden/>
              </w:rPr>
            </w:r>
            <w:r>
              <w:rPr>
                <w:noProof/>
                <w:webHidden/>
              </w:rPr>
              <w:fldChar w:fldCharType="separate"/>
            </w:r>
            <w:r>
              <w:rPr>
                <w:noProof/>
                <w:webHidden/>
              </w:rPr>
              <w:t>12</w:t>
            </w:r>
            <w:r>
              <w:rPr>
                <w:noProof/>
                <w:webHidden/>
              </w:rPr>
              <w:fldChar w:fldCharType="end"/>
            </w:r>
          </w:hyperlink>
        </w:p>
        <w:p w:rsidR="00FA3D12" w:rsidRDefault="00FA3D12">
          <w:pPr>
            <w:pStyle w:val="TOC1"/>
            <w:tabs>
              <w:tab w:val="right" w:leader="dot" w:pos="9350"/>
            </w:tabs>
            <w:rPr>
              <w:rFonts w:asciiTheme="minorHAnsi" w:eastAsiaTheme="minorEastAsia" w:hAnsiTheme="minorHAnsi" w:cstheme="minorBidi"/>
              <w:noProof/>
              <w:sz w:val="22"/>
              <w:szCs w:val="22"/>
            </w:rPr>
          </w:pPr>
          <w:hyperlink w:anchor="_Toc446579707" w:history="1">
            <w:r w:rsidRPr="002F2B71">
              <w:rPr>
                <w:rStyle w:val="Hyperlink"/>
                <w:noProof/>
              </w:rPr>
              <w:t>SECTION 2: GRANTEE AND CENTER CHARACTERISTICS</w:t>
            </w:r>
            <w:r>
              <w:rPr>
                <w:noProof/>
                <w:webHidden/>
              </w:rPr>
              <w:tab/>
            </w:r>
            <w:r>
              <w:rPr>
                <w:noProof/>
                <w:webHidden/>
              </w:rPr>
              <w:fldChar w:fldCharType="begin"/>
            </w:r>
            <w:r>
              <w:rPr>
                <w:noProof/>
                <w:webHidden/>
              </w:rPr>
              <w:instrText xml:space="preserve"> PAGEREF _Toc446579707 \h </w:instrText>
            </w:r>
            <w:r>
              <w:rPr>
                <w:noProof/>
                <w:webHidden/>
              </w:rPr>
            </w:r>
            <w:r>
              <w:rPr>
                <w:noProof/>
                <w:webHidden/>
              </w:rPr>
              <w:fldChar w:fldCharType="separate"/>
            </w:r>
            <w:r>
              <w:rPr>
                <w:noProof/>
                <w:webHidden/>
              </w:rPr>
              <w:t>14</w:t>
            </w:r>
            <w:r>
              <w:rPr>
                <w:noProof/>
                <w:webHidden/>
              </w:rPr>
              <w:fldChar w:fldCharType="end"/>
            </w:r>
          </w:hyperlink>
        </w:p>
        <w:p w:rsidR="00FA3D12" w:rsidRDefault="00FA3D12">
          <w:pPr>
            <w:pStyle w:val="TOC2"/>
            <w:tabs>
              <w:tab w:val="right" w:leader="dot" w:pos="9350"/>
            </w:tabs>
            <w:rPr>
              <w:rFonts w:eastAsiaTheme="minorEastAsia"/>
              <w:noProof/>
            </w:rPr>
          </w:pPr>
          <w:hyperlink w:anchor="_Toc446579708" w:history="1">
            <w:r w:rsidRPr="002F2B71">
              <w:rPr>
                <w:rStyle w:val="Hyperlink"/>
                <w:noProof/>
              </w:rPr>
              <w:t>A. Grantee Type</w:t>
            </w:r>
            <w:r>
              <w:rPr>
                <w:noProof/>
                <w:webHidden/>
              </w:rPr>
              <w:tab/>
            </w:r>
            <w:r>
              <w:rPr>
                <w:noProof/>
                <w:webHidden/>
              </w:rPr>
              <w:fldChar w:fldCharType="begin"/>
            </w:r>
            <w:r>
              <w:rPr>
                <w:noProof/>
                <w:webHidden/>
              </w:rPr>
              <w:instrText xml:space="preserve"> PAGEREF _Toc446579708 \h </w:instrText>
            </w:r>
            <w:r>
              <w:rPr>
                <w:noProof/>
                <w:webHidden/>
              </w:rPr>
            </w:r>
            <w:r>
              <w:rPr>
                <w:noProof/>
                <w:webHidden/>
              </w:rPr>
              <w:fldChar w:fldCharType="separate"/>
            </w:r>
            <w:r>
              <w:rPr>
                <w:noProof/>
                <w:webHidden/>
              </w:rPr>
              <w:t>14</w:t>
            </w:r>
            <w:r>
              <w:rPr>
                <w:noProof/>
                <w:webHidden/>
              </w:rPr>
              <w:fldChar w:fldCharType="end"/>
            </w:r>
          </w:hyperlink>
        </w:p>
        <w:p w:rsidR="00FA3D12" w:rsidRDefault="00FA3D12">
          <w:pPr>
            <w:pStyle w:val="TOC3"/>
            <w:tabs>
              <w:tab w:val="right" w:leader="dot" w:pos="9350"/>
            </w:tabs>
            <w:rPr>
              <w:rFonts w:eastAsiaTheme="minorEastAsia"/>
              <w:noProof/>
            </w:rPr>
          </w:pPr>
          <w:hyperlink w:anchor="_Toc446579709" w:history="1">
            <w:r w:rsidRPr="002F2B71">
              <w:rPr>
                <w:rStyle w:val="Hyperlink"/>
                <w:noProof/>
              </w:rPr>
              <w:t>Table 8. Sub-Grantees Broken Down By Organization Type – All 54 States/Territories</w:t>
            </w:r>
            <w:r>
              <w:rPr>
                <w:noProof/>
                <w:webHidden/>
              </w:rPr>
              <w:tab/>
            </w:r>
            <w:r>
              <w:rPr>
                <w:noProof/>
                <w:webHidden/>
              </w:rPr>
              <w:fldChar w:fldCharType="begin"/>
            </w:r>
            <w:r>
              <w:rPr>
                <w:noProof/>
                <w:webHidden/>
              </w:rPr>
              <w:instrText xml:space="preserve"> PAGEREF _Toc446579709 \h </w:instrText>
            </w:r>
            <w:r>
              <w:rPr>
                <w:noProof/>
                <w:webHidden/>
              </w:rPr>
            </w:r>
            <w:r>
              <w:rPr>
                <w:noProof/>
                <w:webHidden/>
              </w:rPr>
              <w:fldChar w:fldCharType="separate"/>
            </w:r>
            <w:r>
              <w:rPr>
                <w:noProof/>
                <w:webHidden/>
              </w:rPr>
              <w:t>14</w:t>
            </w:r>
            <w:r>
              <w:rPr>
                <w:noProof/>
                <w:webHidden/>
              </w:rPr>
              <w:fldChar w:fldCharType="end"/>
            </w:r>
          </w:hyperlink>
        </w:p>
        <w:p w:rsidR="00FA3D12" w:rsidRDefault="00FA3D12">
          <w:pPr>
            <w:pStyle w:val="TOC2"/>
            <w:tabs>
              <w:tab w:val="right" w:leader="dot" w:pos="9350"/>
            </w:tabs>
            <w:rPr>
              <w:rFonts w:eastAsiaTheme="minorEastAsia"/>
              <w:noProof/>
            </w:rPr>
          </w:pPr>
          <w:hyperlink w:anchor="_Toc446579710" w:history="1">
            <w:r w:rsidRPr="002F2B71">
              <w:rPr>
                <w:rStyle w:val="Hyperlink"/>
                <w:noProof/>
              </w:rPr>
              <w:t>B. Center Type</w:t>
            </w:r>
            <w:r>
              <w:rPr>
                <w:noProof/>
                <w:webHidden/>
              </w:rPr>
              <w:tab/>
            </w:r>
            <w:r>
              <w:rPr>
                <w:noProof/>
                <w:webHidden/>
              </w:rPr>
              <w:fldChar w:fldCharType="begin"/>
            </w:r>
            <w:r>
              <w:rPr>
                <w:noProof/>
                <w:webHidden/>
              </w:rPr>
              <w:instrText xml:space="preserve"> PAGEREF _Toc446579710 \h </w:instrText>
            </w:r>
            <w:r>
              <w:rPr>
                <w:noProof/>
                <w:webHidden/>
              </w:rPr>
            </w:r>
            <w:r>
              <w:rPr>
                <w:noProof/>
                <w:webHidden/>
              </w:rPr>
              <w:fldChar w:fldCharType="separate"/>
            </w:r>
            <w:r>
              <w:rPr>
                <w:noProof/>
                <w:webHidden/>
              </w:rPr>
              <w:t>14</w:t>
            </w:r>
            <w:r>
              <w:rPr>
                <w:noProof/>
                <w:webHidden/>
              </w:rPr>
              <w:fldChar w:fldCharType="end"/>
            </w:r>
          </w:hyperlink>
        </w:p>
        <w:p w:rsidR="00FA3D12" w:rsidRDefault="00FA3D12">
          <w:pPr>
            <w:pStyle w:val="TOC3"/>
            <w:tabs>
              <w:tab w:val="right" w:leader="dot" w:pos="9350"/>
            </w:tabs>
            <w:rPr>
              <w:rFonts w:eastAsiaTheme="minorEastAsia"/>
              <w:noProof/>
            </w:rPr>
          </w:pPr>
          <w:hyperlink w:anchor="_Toc446579711" w:history="1">
            <w:r w:rsidRPr="002F2B71">
              <w:rPr>
                <w:rStyle w:val="Hyperlink"/>
                <w:noProof/>
              </w:rPr>
              <w:t>Table 9. Sub-Grantees’ Centers Broken Down By Organization Type – All 54 States/Territories</w:t>
            </w:r>
            <w:r>
              <w:rPr>
                <w:noProof/>
                <w:webHidden/>
              </w:rPr>
              <w:tab/>
            </w:r>
            <w:r>
              <w:rPr>
                <w:noProof/>
                <w:webHidden/>
              </w:rPr>
              <w:fldChar w:fldCharType="begin"/>
            </w:r>
            <w:r>
              <w:rPr>
                <w:noProof/>
                <w:webHidden/>
              </w:rPr>
              <w:instrText xml:space="preserve"> PAGEREF _Toc446579711 \h </w:instrText>
            </w:r>
            <w:r>
              <w:rPr>
                <w:noProof/>
                <w:webHidden/>
              </w:rPr>
            </w:r>
            <w:r>
              <w:rPr>
                <w:noProof/>
                <w:webHidden/>
              </w:rPr>
              <w:fldChar w:fldCharType="separate"/>
            </w:r>
            <w:r>
              <w:rPr>
                <w:noProof/>
                <w:webHidden/>
              </w:rPr>
              <w:t>14</w:t>
            </w:r>
            <w:r>
              <w:rPr>
                <w:noProof/>
                <w:webHidden/>
              </w:rPr>
              <w:fldChar w:fldCharType="end"/>
            </w:r>
          </w:hyperlink>
        </w:p>
        <w:p w:rsidR="00FA3D12" w:rsidRDefault="00FA3D12">
          <w:pPr>
            <w:pStyle w:val="TOC2"/>
            <w:tabs>
              <w:tab w:val="right" w:leader="dot" w:pos="9350"/>
            </w:tabs>
            <w:rPr>
              <w:rFonts w:eastAsiaTheme="minorEastAsia"/>
              <w:noProof/>
            </w:rPr>
          </w:pPr>
          <w:hyperlink w:anchor="_Toc446579712" w:history="1">
            <w:r w:rsidRPr="002F2B71">
              <w:rPr>
                <w:rStyle w:val="Hyperlink"/>
                <w:noProof/>
              </w:rPr>
              <w:t>C. People Served</w:t>
            </w:r>
            <w:r>
              <w:rPr>
                <w:noProof/>
                <w:webHidden/>
              </w:rPr>
              <w:tab/>
            </w:r>
            <w:r>
              <w:rPr>
                <w:noProof/>
                <w:webHidden/>
              </w:rPr>
              <w:fldChar w:fldCharType="begin"/>
            </w:r>
            <w:r>
              <w:rPr>
                <w:noProof/>
                <w:webHidden/>
              </w:rPr>
              <w:instrText xml:space="preserve"> PAGEREF _Toc446579712 \h </w:instrText>
            </w:r>
            <w:r>
              <w:rPr>
                <w:noProof/>
                <w:webHidden/>
              </w:rPr>
            </w:r>
            <w:r>
              <w:rPr>
                <w:noProof/>
                <w:webHidden/>
              </w:rPr>
              <w:fldChar w:fldCharType="separate"/>
            </w:r>
            <w:r>
              <w:rPr>
                <w:noProof/>
                <w:webHidden/>
              </w:rPr>
              <w:t>15</w:t>
            </w:r>
            <w:r>
              <w:rPr>
                <w:noProof/>
                <w:webHidden/>
              </w:rPr>
              <w:fldChar w:fldCharType="end"/>
            </w:r>
          </w:hyperlink>
        </w:p>
        <w:p w:rsidR="00FA3D12" w:rsidRDefault="00FA3D12">
          <w:pPr>
            <w:pStyle w:val="TOC3"/>
            <w:tabs>
              <w:tab w:val="right" w:leader="dot" w:pos="9350"/>
            </w:tabs>
            <w:rPr>
              <w:rFonts w:eastAsiaTheme="minorEastAsia"/>
              <w:noProof/>
            </w:rPr>
          </w:pPr>
          <w:hyperlink w:anchor="_Toc446579713" w:history="1">
            <w:r w:rsidRPr="002F2B71">
              <w:rPr>
                <w:rStyle w:val="Hyperlink"/>
                <w:noProof/>
              </w:rPr>
              <w:t>Table 10. Attendees Served based on Type</w:t>
            </w:r>
            <w:r>
              <w:rPr>
                <w:noProof/>
                <w:webHidden/>
              </w:rPr>
              <w:tab/>
            </w:r>
            <w:r>
              <w:rPr>
                <w:noProof/>
                <w:webHidden/>
              </w:rPr>
              <w:fldChar w:fldCharType="begin"/>
            </w:r>
            <w:r>
              <w:rPr>
                <w:noProof/>
                <w:webHidden/>
              </w:rPr>
              <w:instrText xml:space="preserve"> PAGEREF _Toc446579713 \h </w:instrText>
            </w:r>
            <w:r>
              <w:rPr>
                <w:noProof/>
                <w:webHidden/>
              </w:rPr>
            </w:r>
            <w:r>
              <w:rPr>
                <w:noProof/>
                <w:webHidden/>
              </w:rPr>
              <w:fldChar w:fldCharType="separate"/>
            </w:r>
            <w:r>
              <w:rPr>
                <w:noProof/>
                <w:webHidden/>
              </w:rPr>
              <w:t>15</w:t>
            </w:r>
            <w:r>
              <w:rPr>
                <w:noProof/>
                <w:webHidden/>
              </w:rPr>
              <w:fldChar w:fldCharType="end"/>
            </w:r>
          </w:hyperlink>
        </w:p>
        <w:p w:rsidR="00FA3D12" w:rsidRDefault="00FA3D12">
          <w:pPr>
            <w:pStyle w:val="TOC3"/>
            <w:tabs>
              <w:tab w:val="right" w:leader="dot" w:pos="9350"/>
            </w:tabs>
            <w:rPr>
              <w:rFonts w:eastAsiaTheme="minorEastAsia"/>
              <w:noProof/>
            </w:rPr>
          </w:pPr>
          <w:hyperlink w:anchor="_Toc446579714" w:history="1">
            <w:r w:rsidRPr="002F2B71">
              <w:rPr>
                <w:rStyle w:val="Hyperlink"/>
                <w:noProof/>
              </w:rPr>
              <w:t>Table 11. Number of Total and Regular Attendees by Center Type – All 54 States/Territories</w:t>
            </w:r>
            <w:r>
              <w:rPr>
                <w:noProof/>
                <w:webHidden/>
              </w:rPr>
              <w:tab/>
            </w:r>
            <w:r>
              <w:rPr>
                <w:noProof/>
                <w:webHidden/>
              </w:rPr>
              <w:fldChar w:fldCharType="begin"/>
            </w:r>
            <w:r>
              <w:rPr>
                <w:noProof/>
                <w:webHidden/>
              </w:rPr>
              <w:instrText xml:space="preserve"> PAGEREF _Toc446579714 \h </w:instrText>
            </w:r>
            <w:r>
              <w:rPr>
                <w:noProof/>
                <w:webHidden/>
              </w:rPr>
            </w:r>
            <w:r>
              <w:rPr>
                <w:noProof/>
                <w:webHidden/>
              </w:rPr>
              <w:fldChar w:fldCharType="separate"/>
            </w:r>
            <w:r>
              <w:rPr>
                <w:noProof/>
                <w:webHidden/>
              </w:rPr>
              <w:t>15</w:t>
            </w:r>
            <w:r>
              <w:rPr>
                <w:noProof/>
                <w:webHidden/>
              </w:rPr>
              <w:fldChar w:fldCharType="end"/>
            </w:r>
          </w:hyperlink>
        </w:p>
        <w:p w:rsidR="00FA3D12" w:rsidRDefault="00FA3D12">
          <w:pPr>
            <w:pStyle w:val="TOC3"/>
            <w:tabs>
              <w:tab w:val="right" w:leader="dot" w:pos="9350"/>
            </w:tabs>
            <w:rPr>
              <w:rFonts w:eastAsiaTheme="minorEastAsia"/>
              <w:noProof/>
            </w:rPr>
          </w:pPr>
          <w:hyperlink w:anchor="_Toc446579715" w:history="1">
            <w:r w:rsidRPr="002F2B71">
              <w:rPr>
                <w:rStyle w:val="Hyperlink"/>
                <w:noProof/>
              </w:rPr>
              <w:t>Table 12. Percentage of Total and Regular Attendees by Center Type – All 54 States/Territories</w:t>
            </w:r>
            <w:r>
              <w:rPr>
                <w:noProof/>
                <w:webHidden/>
              </w:rPr>
              <w:tab/>
            </w:r>
            <w:r>
              <w:rPr>
                <w:noProof/>
                <w:webHidden/>
              </w:rPr>
              <w:fldChar w:fldCharType="begin"/>
            </w:r>
            <w:r>
              <w:rPr>
                <w:noProof/>
                <w:webHidden/>
              </w:rPr>
              <w:instrText xml:space="preserve"> PAGEREF _Toc446579715 \h </w:instrText>
            </w:r>
            <w:r>
              <w:rPr>
                <w:noProof/>
                <w:webHidden/>
              </w:rPr>
            </w:r>
            <w:r>
              <w:rPr>
                <w:noProof/>
                <w:webHidden/>
              </w:rPr>
              <w:fldChar w:fldCharType="separate"/>
            </w:r>
            <w:r>
              <w:rPr>
                <w:noProof/>
                <w:webHidden/>
              </w:rPr>
              <w:t>16</w:t>
            </w:r>
            <w:r>
              <w:rPr>
                <w:noProof/>
                <w:webHidden/>
              </w:rPr>
              <w:fldChar w:fldCharType="end"/>
            </w:r>
          </w:hyperlink>
        </w:p>
        <w:p w:rsidR="00FA3D12" w:rsidRDefault="00FA3D12">
          <w:pPr>
            <w:pStyle w:val="TOC2"/>
            <w:tabs>
              <w:tab w:val="right" w:leader="dot" w:pos="9350"/>
            </w:tabs>
            <w:rPr>
              <w:rFonts w:eastAsiaTheme="minorEastAsia"/>
              <w:noProof/>
            </w:rPr>
          </w:pPr>
          <w:hyperlink w:anchor="_Toc446579716" w:history="1">
            <w:r w:rsidRPr="002F2B71">
              <w:rPr>
                <w:rStyle w:val="Hyperlink"/>
                <w:noProof/>
              </w:rPr>
              <w:t>D.  Activity Participation</w:t>
            </w:r>
            <w:r>
              <w:rPr>
                <w:noProof/>
                <w:webHidden/>
              </w:rPr>
              <w:tab/>
            </w:r>
            <w:r>
              <w:rPr>
                <w:noProof/>
                <w:webHidden/>
              </w:rPr>
              <w:fldChar w:fldCharType="begin"/>
            </w:r>
            <w:r>
              <w:rPr>
                <w:noProof/>
                <w:webHidden/>
              </w:rPr>
              <w:instrText xml:space="preserve"> PAGEREF _Toc446579716 \h </w:instrText>
            </w:r>
            <w:r>
              <w:rPr>
                <w:noProof/>
                <w:webHidden/>
              </w:rPr>
            </w:r>
            <w:r>
              <w:rPr>
                <w:noProof/>
                <w:webHidden/>
              </w:rPr>
              <w:fldChar w:fldCharType="separate"/>
            </w:r>
            <w:r>
              <w:rPr>
                <w:noProof/>
                <w:webHidden/>
              </w:rPr>
              <w:t>16</w:t>
            </w:r>
            <w:r>
              <w:rPr>
                <w:noProof/>
                <w:webHidden/>
              </w:rPr>
              <w:fldChar w:fldCharType="end"/>
            </w:r>
          </w:hyperlink>
        </w:p>
        <w:p w:rsidR="00FA3D12" w:rsidRDefault="00FA3D12">
          <w:pPr>
            <w:pStyle w:val="TOC3"/>
            <w:tabs>
              <w:tab w:val="right" w:leader="dot" w:pos="9350"/>
            </w:tabs>
            <w:rPr>
              <w:rFonts w:eastAsiaTheme="minorEastAsia"/>
              <w:noProof/>
            </w:rPr>
          </w:pPr>
          <w:hyperlink w:anchor="_Toc446579717" w:history="1">
            <w:r w:rsidRPr="002F2B71">
              <w:rPr>
                <w:rStyle w:val="Hyperlink"/>
                <w:noProof/>
              </w:rPr>
              <w:t>Table 13. Hours per Week of Each Activity Offered</w:t>
            </w:r>
            <w:r>
              <w:rPr>
                <w:noProof/>
                <w:webHidden/>
              </w:rPr>
              <w:tab/>
            </w:r>
            <w:r>
              <w:rPr>
                <w:noProof/>
                <w:webHidden/>
              </w:rPr>
              <w:fldChar w:fldCharType="begin"/>
            </w:r>
            <w:r>
              <w:rPr>
                <w:noProof/>
                <w:webHidden/>
              </w:rPr>
              <w:instrText xml:space="preserve"> PAGEREF _Toc446579717 \h </w:instrText>
            </w:r>
            <w:r>
              <w:rPr>
                <w:noProof/>
                <w:webHidden/>
              </w:rPr>
            </w:r>
            <w:r>
              <w:rPr>
                <w:noProof/>
                <w:webHidden/>
              </w:rPr>
              <w:fldChar w:fldCharType="separate"/>
            </w:r>
            <w:r>
              <w:rPr>
                <w:noProof/>
                <w:webHidden/>
              </w:rPr>
              <w:t>16</w:t>
            </w:r>
            <w:r>
              <w:rPr>
                <w:noProof/>
                <w:webHidden/>
              </w:rPr>
              <w:fldChar w:fldCharType="end"/>
            </w:r>
          </w:hyperlink>
        </w:p>
        <w:p w:rsidR="00FA3D12" w:rsidRDefault="00FA3D12">
          <w:pPr>
            <w:pStyle w:val="TOC3"/>
            <w:tabs>
              <w:tab w:val="right" w:leader="dot" w:pos="9350"/>
            </w:tabs>
            <w:rPr>
              <w:rFonts w:eastAsiaTheme="minorEastAsia"/>
              <w:noProof/>
            </w:rPr>
          </w:pPr>
          <w:hyperlink w:anchor="_Toc446579718" w:history="1">
            <w:r w:rsidRPr="002F2B71">
              <w:rPr>
                <w:rStyle w:val="Hyperlink"/>
                <w:noProof/>
              </w:rPr>
              <w:t>Table 14. Hours per Week of Each Academic Activity Offered</w:t>
            </w:r>
            <w:r>
              <w:rPr>
                <w:noProof/>
                <w:webHidden/>
              </w:rPr>
              <w:tab/>
            </w:r>
            <w:r>
              <w:rPr>
                <w:noProof/>
                <w:webHidden/>
              </w:rPr>
              <w:fldChar w:fldCharType="begin"/>
            </w:r>
            <w:r>
              <w:rPr>
                <w:noProof/>
                <w:webHidden/>
              </w:rPr>
              <w:instrText xml:space="preserve"> PAGEREF _Toc446579718 \h </w:instrText>
            </w:r>
            <w:r>
              <w:rPr>
                <w:noProof/>
                <w:webHidden/>
              </w:rPr>
            </w:r>
            <w:r>
              <w:rPr>
                <w:noProof/>
                <w:webHidden/>
              </w:rPr>
              <w:fldChar w:fldCharType="separate"/>
            </w:r>
            <w:r>
              <w:rPr>
                <w:noProof/>
                <w:webHidden/>
              </w:rPr>
              <w:t>16</w:t>
            </w:r>
            <w:r>
              <w:rPr>
                <w:noProof/>
                <w:webHidden/>
              </w:rPr>
              <w:fldChar w:fldCharType="end"/>
            </w:r>
          </w:hyperlink>
        </w:p>
        <w:p w:rsidR="00FA3D12" w:rsidRDefault="00FA3D12">
          <w:pPr>
            <w:pStyle w:val="TOC2"/>
            <w:tabs>
              <w:tab w:val="right" w:leader="dot" w:pos="9350"/>
            </w:tabs>
            <w:rPr>
              <w:rFonts w:eastAsiaTheme="minorEastAsia"/>
              <w:noProof/>
            </w:rPr>
          </w:pPr>
          <w:hyperlink w:anchor="_Toc446579719" w:history="1">
            <w:r w:rsidRPr="002F2B71">
              <w:rPr>
                <w:rStyle w:val="Hyperlink"/>
                <w:noProof/>
              </w:rPr>
              <w:t>E. Staffing Type</w:t>
            </w:r>
            <w:r>
              <w:rPr>
                <w:noProof/>
                <w:webHidden/>
              </w:rPr>
              <w:tab/>
            </w:r>
            <w:r>
              <w:rPr>
                <w:noProof/>
                <w:webHidden/>
              </w:rPr>
              <w:fldChar w:fldCharType="begin"/>
            </w:r>
            <w:r>
              <w:rPr>
                <w:noProof/>
                <w:webHidden/>
              </w:rPr>
              <w:instrText xml:space="preserve"> PAGEREF _Toc446579719 \h </w:instrText>
            </w:r>
            <w:r>
              <w:rPr>
                <w:noProof/>
                <w:webHidden/>
              </w:rPr>
            </w:r>
            <w:r>
              <w:rPr>
                <w:noProof/>
                <w:webHidden/>
              </w:rPr>
              <w:fldChar w:fldCharType="separate"/>
            </w:r>
            <w:r>
              <w:rPr>
                <w:noProof/>
                <w:webHidden/>
              </w:rPr>
              <w:t>17</w:t>
            </w:r>
            <w:r>
              <w:rPr>
                <w:noProof/>
                <w:webHidden/>
              </w:rPr>
              <w:fldChar w:fldCharType="end"/>
            </w:r>
          </w:hyperlink>
        </w:p>
        <w:p w:rsidR="00FA3D12" w:rsidRDefault="00FA3D12">
          <w:pPr>
            <w:pStyle w:val="TOC3"/>
            <w:tabs>
              <w:tab w:val="right" w:leader="dot" w:pos="9350"/>
            </w:tabs>
            <w:rPr>
              <w:rFonts w:eastAsiaTheme="minorEastAsia"/>
              <w:noProof/>
            </w:rPr>
          </w:pPr>
          <w:hyperlink w:anchor="_Toc446579720" w:history="1">
            <w:r w:rsidRPr="002F2B71">
              <w:rPr>
                <w:rStyle w:val="Hyperlink"/>
                <w:bCs/>
                <w:noProof/>
              </w:rPr>
              <w:t xml:space="preserve">Table 15. </w:t>
            </w:r>
            <w:r w:rsidRPr="002F2B71">
              <w:rPr>
                <w:rStyle w:val="Hyperlink"/>
                <w:noProof/>
              </w:rPr>
              <w:t>Staffing Type per Paid and Volunteer Staff</w:t>
            </w:r>
            <w:r>
              <w:rPr>
                <w:noProof/>
                <w:webHidden/>
              </w:rPr>
              <w:tab/>
            </w:r>
            <w:r>
              <w:rPr>
                <w:noProof/>
                <w:webHidden/>
              </w:rPr>
              <w:fldChar w:fldCharType="begin"/>
            </w:r>
            <w:r>
              <w:rPr>
                <w:noProof/>
                <w:webHidden/>
              </w:rPr>
              <w:instrText xml:space="preserve"> PAGEREF _Toc446579720 \h </w:instrText>
            </w:r>
            <w:r>
              <w:rPr>
                <w:noProof/>
                <w:webHidden/>
              </w:rPr>
            </w:r>
            <w:r>
              <w:rPr>
                <w:noProof/>
                <w:webHidden/>
              </w:rPr>
              <w:fldChar w:fldCharType="separate"/>
            </w:r>
            <w:r>
              <w:rPr>
                <w:noProof/>
                <w:webHidden/>
              </w:rPr>
              <w:t>17</w:t>
            </w:r>
            <w:r>
              <w:rPr>
                <w:noProof/>
                <w:webHidden/>
              </w:rPr>
              <w:fldChar w:fldCharType="end"/>
            </w:r>
          </w:hyperlink>
        </w:p>
        <w:p w:rsidR="00FA3D12" w:rsidRDefault="00FA3D12">
          <w:pPr>
            <w:pStyle w:val="TOC2"/>
            <w:tabs>
              <w:tab w:val="right" w:leader="dot" w:pos="9350"/>
            </w:tabs>
            <w:rPr>
              <w:rFonts w:eastAsiaTheme="minorEastAsia"/>
              <w:noProof/>
            </w:rPr>
          </w:pPr>
          <w:hyperlink w:anchor="_Toc446579721" w:history="1">
            <w:r w:rsidRPr="002F2B71">
              <w:rPr>
                <w:rStyle w:val="Hyperlink"/>
                <w:noProof/>
              </w:rPr>
              <w:t>F. Attendees Served per Gender/Race/Grade Level</w:t>
            </w:r>
            <w:r>
              <w:rPr>
                <w:noProof/>
                <w:webHidden/>
              </w:rPr>
              <w:tab/>
            </w:r>
            <w:r>
              <w:rPr>
                <w:noProof/>
                <w:webHidden/>
              </w:rPr>
              <w:fldChar w:fldCharType="begin"/>
            </w:r>
            <w:r>
              <w:rPr>
                <w:noProof/>
                <w:webHidden/>
              </w:rPr>
              <w:instrText xml:space="preserve"> PAGEREF _Toc446579721 \h </w:instrText>
            </w:r>
            <w:r>
              <w:rPr>
                <w:noProof/>
                <w:webHidden/>
              </w:rPr>
            </w:r>
            <w:r>
              <w:rPr>
                <w:noProof/>
                <w:webHidden/>
              </w:rPr>
              <w:fldChar w:fldCharType="separate"/>
            </w:r>
            <w:r>
              <w:rPr>
                <w:noProof/>
                <w:webHidden/>
              </w:rPr>
              <w:t>18</w:t>
            </w:r>
            <w:r>
              <w:rPr>
                <w:noProof/>
                <w:webHidden/>
              </w:rPr>
              <w:fldChar w:fldCharType="end"/>
            </w:r>
          </w:hyperlink>
        </w:p>
        <w:p w:rsidR="00FA3D12" w:rsidRDefault="00FA3D12">
          <w:pPr>
            <w:pStyle w:val="TOC3"/>
            <w:tabs>
              <w:tab w:val="right" w:leader="dot" w:pos="9350"/>
            </w:tabs>
            <w:rPr>
              <w:rFonts w:eastAsiaTheme="minorEastAsia"/>
              <w:noProof/>
            </w:rPr>
          </w:pPr>
          <w:hyperlink w:anchor="_Toc446579722" w:history="1">
            <w:r w:rsidRPr="002F2B71">
              <w:rPr>
                <w:rStyle w:val="Hyperlink"/>
                <w:bCs/>
                <w:noProof/>
              </w:rPr>
              <w:t xml:space="preserve">Table 16. </w:t>
            </w:r>
            <w:r w:rsidRPr="002F2B71">
              <w:rPr>
                <w:rStyle w:val="Hyperlink"/>
                <w:noProof/>
              </w:rPr>
              <w:t>Gender of Attendees -</w:t>
            </w:r>
            <w:r w:rsidRPr="002F2B71">
              <w:rPr>
                <w:rStyle w:val="Hyperlink"/>
                <w:bCs/>
                <w:noProof/>
              </w:rPr>
              <w:t xml:space="preserve"> All 54 States/Territories</w:t>
            </w:r>
            <w:r>
              <w:rPr>
                <w:noProof/>
                <w:webHidden/>
              </w:rPr>
              <w:tab/>
            </w:r>
            <w:r>
              <w:rPr>
                <w:noProof/>
                <w:webHidden/>
              </w:rPr>
              <w:fldChar w:fldCharType="begin"/>
            </w:r>
            <w:r>
              <w:rPr>
                <w:noProof/>
                <w:webHidden/>
              </w:rPr>
              <w:instrText xml:space="preserve"> PAGEREF _Toc446579722 \h </w:instrText>
            </w:r>
            <w:r>
              <w:rPr>
                <w:noProof/>
                <w:webHidden/>
              </w:rPr>
            </w:r>
            <w:r>
              <w:rPr>
                <w:noProof/>
                <w:webHidden/>
              </w:rPr>
              <w:fldChar w:fldCharType="separate"/>
            </w:r>
            <w:r>
              <w:rPr>
                <w:noProof/>
                <w:webHidden/>
              </w:rPr>
              <w:t>18</w:t>
            </w:r>
            <w:r>
              <w:rPr>
                <w:noProof/>
                <w:webHidden/>
              </w:rPr>
              <w:fldChar w:fldCharType="end"/>
            </w:r>
          </w:hyperlink>
        </w:p>
        <w:p w:rsidR="00FA3D12" w:rsidRDefault="00FA3D12">
          <w:pPr>
            <w:pStyle w:val="TOC3"/>
            <w:tabs>
              <w:tab w:val="right" w:leader="dot" w:pos="9350"/>
            </w:tabs>
            <w:rPr>
              <w:rFonts w:eastAsiaTheme="minorEastAsia"/>
              <w:noProof/>
            </w:rPr>
          </w:pPr>
          <w:hyperlink w:anchor="_Toc446579723" w:history="1">
            <w:r w:rsidRPr="002F2B71">
              <w:rPr>
                <w:rStyle w:val="Hyperlink"/>
                <w:bCs/>
                <w:noProof/>
              </w:rPr>
              <w:t xml:space="preserve">Table 17. </w:t>
            </w:r>
            <w:r w:rsidRPr="002F2B71">
              <w:rPr>
                <w:rStyle w:val="Hyperlink"/>
                <w:noProof/>
              </w:rPr>
              <w:t>Race/Ethnicity of Attendees – All 54 State/Territories</w:t>
            </w:r>
            <w:r>
              <w:rPr>
                <w:noProof/>
                <w:webHidden/>
              </w:rPr>
              <w:tab/>
            </w:r>
            <w:r>
              <w:rPr>
                <w:noProof/>
                <w:webHidden/>
              </w:rPr>
              <w:fldChar w:fldCharType="begin"/>
            </w:r>
            <w:r>
              <w:rPr>
                <w:noProof/>
                <w:webHidden/>
              </w:rPr>
              <w:instrText xml:space="preserve"> PAGEREF _Toc446579723 \h </w:instrText>
            </w:r>
            <w:r>
              <w:rPr>
                <w:noProof/>
                <w:webHidden/>
              </w:rPr>
            </w:r>
            <w:r>
              <w:rPr>
                <w:noProof/>
                <w:webHidden/>
              </w:rPr>
              <w:fldChar w:fldCharType="separate"/>
            </w:r>
            <w:r>
              <w:rPr>
                <w:noProof/>
                <w:webHidden/>
              </w:rPr>
              <w:t>18</w:t>
            </w:r>
            <w:r>
              <w:rPr>
                <w:noProof/>
                <w:webHidden/>
              </w:rPr>
              <w:fldChar w:fldCharType="end"/>
            </w:r>
          </w:hyperlink>
        </w:p>
        <w:p w:rsidR="00FA3D12" w:rsidRDefault="00FA3D12">
          <w:pPr>
            <w:pStyle w:val="TOC3"/>
            <w:tabs>
              <w:tab w:val="right" w:leader="dot" w:pos="9350"/>
            </w:tabs>
            <w:rPr>
              <w:rFonts w:eastAsiaTheme="minorEastAsia"/>
              <w:noProof/>
            </w:rPr>
          </w:pPr>
          <w:hyperlink w:anchor="_Toc446579724" w:history="1">
            <w:r w:rsidRPr="002F2B71">
              <w:rPr>
                <w:rStyle w:val="Hyperlink"/>
                <w:noProof/>
              </w:rPr>
              <w:t>Table 18.  Number of Participants per Grade Level</w:t>
            </w:r>
            <w:r>
              <w:rPr>
                <w:noProof/>
                <w:webHidden/>
              </w:rPr>
              <w:tab/>
            </w:r>
            <w:r>
              <w:rPr>
                <w:noProof/>
                <w:webHidden/>
              </w:rPr>
              <w:fldChar w:fldCharType="begin"/>
            </w:r>
            <w:r>
              <w:rPr>
                <w:noProof/>
                <w:webHidden/>
              </w:rPr>
              <w:instrText xml:space="preserve"> PAGEREF _Toc446579724 \h </w:instrText>
            </w:r>
            <w:r>
              <w:rPr>
                <w:noProof/>
                <w:webHidden/>
              </w:rPr>
            </w:r>
            <w:r>
              <w:rPr>
                <w:noProof/>
                <w:webHidden/>
              </w:rPr>
              <w:fldChar w:fldCharType="separate"/>
            </w:r>
            <w:r>
              <w:rPr>
                <w:noProof/>
                <w:webHidden/>
              </w:rPr>
              <w:t>18</w:t>
            </w:r>
            <w:r>
              <w:rPr>
                <w:noProof/>
                <w:webHidden/>
              </w:rPr>
              <w:fldChar w:fldCharType="end"/>
            </w:r>
          </w:hyperlink>
        </w:p>
        <w:p w:rsidR="00FA3D12" w:rsidRDefault="00FA3D12">
          <w:pPr>
            <w:pStyle w:val="TOC2"/>
            <w:tabs>
              <w:tab w:val="right" w:leader="dot" w:pos="9350"/>
            </w:tabs>
            <w:rPr>
              <w:rFonts w:eastAsiaTheme="minorEastAsia"/>
              <w:noProof/>
            </w:rPr>
          </w:pPr>
          <w:hyperlink w:anchor="_Toc446579725" w:history="1">
            <w:r w:rsidRPr="002F2B71">
              <w:rPr>
                <w:rStyle w:val="Hyperlink"/>
                <w:noProof/>
              </w:rPr>
              <w:t>G. Estimated Per-Student Expenditures</w:t>
            </w:r>
            <w:r>
              <w:rPr>
                <w:noProof/>
                <w:webHidden/>
              </w:rPr>
              <w:tab/>
            </w:r>
            <w:r>
              <w:rPr>
                <w:noProof/>
                <w:webHidden/>
              </w:rPr>
              <w:fldChar w:fldCharType="begin"/>
            </w:r>
            <w:r>
              <w:rPr>
                <w:noProof/>
                <w:webHidden/>
              </w:rPr>
              <w:instrText xml:space="preserve"> PAGEREF _Toc446579725 \h </w:instrText>
            </w:r>
            <w:r>
              <w:rPr>
                <w:noProof/>
                <w:webHidden/>
              </w:rPr>
            </w:r>
            <w:r>
              <w:rPr>
                <w:noProof/>
                <w:webHidden/>
              </w:rPr>
              <w:fldChar w:fldCharType="separate"/>
            </w:r>
            <w:r>
              <w:rPr>
                <w:noProof/>
                <w:webHidden/>
              </w:rPr>
              <w:t>19</w:t>
            </w:r>
            <w:r>
              <w:rPr>
                <w:noProof/>
                <w:webHidden/>
              </w:rPr>
              <w:fldChar w:fldCharType="end"/>
            </w:r>
          </w:hyperlink>
        </w:p>
        <w:p w:rsidR="00FA3D12" w:rsidRDefault="00FA3D12">
          <w:pPr>
            <w:pStyle w:val="TOC3"/>
            <w:tabs>
              <w:tab w:val="right" w:leader="dot" w:pos="9350"/>
            </w:tabs>
            <w:rPr>
              <w:rFonts w:eastAsiaTheme="minorEastAsia"/>
              <w:noProof/>
            </w:rPr>
          </w:pPr>
          <w:hyperlink w:anchor="_Toc446579726" w:history="1">
            <w:r w:rsidRPr="002F2B71">
              <w:rPr>
                <w:rStyle w:val="Hyperlink"/>
                <w:noProof/>
              </w:rPr>
              <w:t>Table 19.  Funding per Regular Attendees</w:t>
            </w:r>
            <w:r>
              <w:rPr>
                <w:noProof/>
                <w:webHidden/>
              </w:rPr>
              <w:tab/>
            </w:r>
            <w:r>
              <w:rPr>
                <w:noProof/>
                <w:webHidden/>
              </w:rPr>
              <w:fldChar w:fldCharType="begin"/>
            </w:r>
            <w:r>
              <w:rPr>
                <w:noProof/>
                <w:webHidden/>
              </w:rPr>
              <w:instrText xml:space="preserve"> PAGEREF _Toc446579726 \h </w:instrText>
            </w:r>
            <w:r>
              <w:rPr>
                <w:noProof/>
                <w:webHidden/>
              </w:rPr>
            </w:r>
            <w:r>
              <w:rPr>
                <w:noProof/>
                <w:webHidden/>
              </w:rPr>
              <w:fldChar w:fldCharType="separate"/>
            </w:r>
            <w:r>
              <w:rPr>
                <w:noProof/>
                <w:webHidden/>
              </w:rPr>
              <w:t>19</w:t>
            </w:r>
            <w:r>
              <w:rPr>
                <w:noProof/>
                <w:webHidden/>
              </w:rPr>
              <w:fldChar w:fldCharType="end"/>
            </w:r>
          </w:hyperlink>
        </w:p>
        <w:p w:rsidR="00FA3D12" w:rsidRDefault="00FA3D12">
          <w:pPr>
            <w:pStyle w:val="TOC1"/>
            <w:tabs>
              <w:tab w:val="right" w:leader="dot" w:pos="9350"/>
            </w:tabs>
            <w:rPr>
              <w:rFonts w:asciiTheme="minorHAnsi" w:eastAsiaTheme="minorEastAsia" w:hAnsiTheme="minorHAnsi" w:cstheme="minorBidi"/>
              <w:noProof/>
              <w:sz w:val="22"/>
              <w:szCs w:val="22"/>
            </w:rPr>
          </w:pPr>
          <w:hyperlink w:anchor="_Toc446579727" w:history="1">
            <w:r w:rsidRPr="002F2B71">
              <w:rPr>
                <w:rStyle w:val="Hyperlink"/>
                <w:noProof/>
              </w:rPr>
              <w:t>SUMMARY</w:t>
            </w:r>
            <w:r>
              <w:rPr>
                <w:noProof/>
                <w:webHidden/>
              </w:rPr>
              <w:tab/>
            </w:r>
            <w:r>
              <w:rPr>
                <w:noProof/>
                <w:webHidden/>
              </w:rPr>
              <w:fldChar w:fldCharType="begin"/>
            </w:r>
            <w:r>
              <w:rPr>
                <w:noProof/>
                <w:webHidden/>
              </w:rPr>
              <w:instrText xml:space="preserve"> PAGEREF _Toc446579727 \h </w:instrText>
            </w:r>
            <w:r>
              <w:rPr>
                <w:noProof/>
                <w:webHidden/>
              </w:rPr>
            </w:r>
            <w:r>
              <w:rPr>
                <w:noProof/>
                <w:webHidden/>
              </w:rPr>
              <w:fldChar w:fldCharType="separate"/>
            </w:r>
            <w:r>
              <w:rPr>
                <w:noProof/>
                <w:webHidden/>
              </w:rPr>
              <w:t>20</w:t>
            </w:r>
            <w:r>
              <w:rPr>
                <w:noProof/>
                <w:webHidden/>
              </w:rPr>
              <w:fldChar w:fldCharType="end"/>
            </w:r>
          </w:hyperlink>
        </w:p>
        <w:p w:rsidR="000C2501" w:rsidRDefault="000C2501">
          <w:r>
            <w:rPr>
              <w:rFonts w:ascii="Times New Roman" w:eastAsia="Times New Roman" w:hAnsi="Times New Roman" w:cs="Times New Roman"/>
              <w:sz w:val="24"/>
              <w:szCs w:val="24"/>
            </w:rPr>
            <w:fldChar w:fldCharType="end"/>
          </w:r>
        </w:p>
      </w:sdtContent>
    </w:sdt>
    <w:p w:rsidR="00820271" w:rsidRPr="00E4396D" w:rsidRDefault="00820271" w:rsidP="00820271">
      <w:pPr>
        <w:rPr>
          <w:rFonts w:ascii="Times New Roman" w:hAnsi="Times New Roman" w:cs="Times New Roman"/>
        </w:rPr>
      </w:pPr>
    </w:p>
    <w:p w:rsidR="00463757" w:rsidRDefault="00463757">
      <w:pPr>
        <w:rPr>
          <w:rFonts w:ascii="Times New Roman" w:hAnsi="Times New Roman" w:cs="Times New Roman"/>
        </w:rPr>
      </w:pPr>
      <w:r>
        <w:rPr>
          <w:rFonts w:ascii="Times New Roman" w:hAnsi="Times New Roman" w:cs="Times New Roman"/>
        </w:rPr>
        <w:br w:type="page"/>
      </w:r>
    </w:p>
    <w:p w:rsidR="009550FA" w:rsidRDefault="009550FA" w:rsidP="00E432FA">
      <w:pPr>
        <w:pStyle w:val="Heading1"/>
      </w:pPr>
      <w:bookmarkStart w:id="0" w:name="_Toc446579691"/>
      <w:r w:rsidRPr="00E432FA">
        <w:lastRenderedPageBreak/>
        <w:t>Figures</w:t>
      </w:r>
      <w:bookmarkEnd w:id="0"/>
    </w:p>
    <w:p w:rsidR="00E432FA" w:rsidRPr="00E432FA" w:rsidRDefault="00E432FA" w:rsidP="009550FA">
      <w:pPr>
        <w:jc w:val="center"/>
        <w:rPr>
          <w:rFonts w:ascii="Times New Roman" w:hAnsi="Times New Roman" w:cs="Times New Roman"/>
          <w:sz w:val="28"/>
          <w:szCs w:val="28"/>
        </w:rPr>
      </w:pPr>
    </w:p>
    <w:p w:rsidR="00E432FA" w:rsidRPr="000B7C4D" w:rsidRDefault="009550FA" w:rsidP="00E56A39">
      <w:pPr>
        <w:pStyle w:val="TOC2"/>
        <w:tabs>
          <w:tab w:val="right" w:leader="dot" w:pos="9350"/>
        </w:tabs>
        <w:rPr>
          <w:rStyle w:val="Hyperlink"/>
          <w:rFonts w:ascii="Times New Roman" w:hAnsi="Times New Roman" w:cs="Times New Roman"/>
          <w:noProof/>
        </w:rPr>
      </w:pPr>
      <w:r w:rsidRPr="000B7C4D">
        <w:rPr>
          <w:rFonts w:ascii="Times New Roman" w:hAnsi="Times New Roman" w:cs="Times New Roman"/>
          <w:b/>
          <w:bCs/>
        </w:rPr>
        <w:fldChar w:fldCharType="begin"/>
      </w:r>
      <w:r w:rsidRPr="000B7C4D">
        <w:rPr>
          <w:rFonts w:ascii="Times New Roman" w:hAnsi="Times New Roman" w:cs="Times New Roman"/>
          <w:b/>
          <w:bCs/>
        </w:rPr>
        <w:instrText xml:space="preserve"> TOC \h \z \t "Heading 3" \c </w:instrText>
      </w:r>
      <w:r w:rsidRPr="000B7C4D">
        <w:rPr>
          <w:rFonts w:ascii="Times New Roman" w:hAnsi="Times New Roman" w:cs="Times New Roman"/>
          <w:b/>
          <w:bCs/>
        </w:rPr>
        <w:fldChar w:fldCharType="separate"/>
      </w:r>
      <w:hyperlink w:anchor="_Toc422397347" w:history="1">
        <w:r w:rsidR="00E432FA" w:rsidRPr="000B7C4D">
          <w:rPr>
            <w:rStyle w:val="Hyperlink"/>
            <w:rFonts w:ascii="Times New Roman" w:hAnsi="Times New Roman" w:cs="Times New Roman"/>
            <w:noProof/>
          </w:rPr>
          <w:t>Table 1. Regular Attendees % Improved in Mathematics Grades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_Toc422397347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9</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48" w:history="1">
        <w:r w:rsidR="00E432FA" w:rsidRPr="000B7C4D">
          <w:rPr>
            <w:rStyle w:val="Hyperlink"/>
            <w:rFonts w:ascii="Times New Roman" w:hAnsi="Times New Roman" w:cs="Times New Roman"/>
            <w:noProof/>
          </w:rPr>
          <w:t>Table 2. Regular Attendees % Improved in English Grades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_Toc422397348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11</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49" w:history="1">
        <w:r w:rsidR="00E432FA" w:rsidRPr="000B7C4D">
          <w:rPr>
            <w:rStyle w:val="Hyperlink"/>
            <w:rFonts w:ascii="Times New Roman" w:hAnsi="Times New Roman" w:cs="Times New Roman"/>
            <w:noProof/>
          </w:rPr>
          <w:t>Table 3. Regular Attendees % Improved on Reading and Mathematics State Assessments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_Toc422397349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13</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0" w:history="1">
        <w:r w:rsidR="00E432FA" w:rsidRPr="000B7C4D">
          <w:rPr>
            <w:rStyle w:val="Hyperlink"/>
            <w:rFonts w:ascii="Times New Roman" w:hAnsi="Times New Roman" w:cs="Times New Roman"/>
            <w:noProof/>
          </w:rPr>
          <w:t>Table 4. Regular Attendees % Improved Homework Completion</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_Toc422397350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15</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1" w:history="1">
        <w:r w:rsidR="00E432FA" w:rsidRPr="000B7C4D">
          <w:rPr>
            <w:rStyle w:val="Hyperlink"/>
            <w:rFonts w:ascii="Times New Roman" w:hAnsi="Times New Roman" w:cs="Times New Roman"/>
            <w:noProof/>
          </w:rPr>
          <w:t>Table 5. Regular Attendees % Improved Class Participation</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_Toc422397351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17</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2" w:history="1">
        <w:r w:rsidR="00E432FA" w:rsidRPr="000B7C4D">
          <w:rPr>
            <w:rStyle w:val="Hyperlink"/>
            <w:rFonts w:ascii="Times New Roman" w:hAnsi="Times New Roman" w:cs="Times New Roman"/>
            <w:noProof/>
          </w:rPr>
          <w:t>Table 6. Regular Attendees % Improved Student Behavior</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_Toc422397352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19</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3" w:history="1">
        <w:r w:rsidR="00E432FA" w:rsidRPr="000B7C4D">
          <w:rPr>
            <w:rStyle w:val="Hyperlink"/>
            <w:rFonts w:ascii="Times New Roman" w:hAnsi="Times New Roman" w:cs="Times New Roman"/>
            <w:noProof/>
          </w:rPr>
          <w:t>Table 7. The GPRA Outcomes for all 54 States/Territories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_Toc422397353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21</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4" w:history="1">
        <w:r w:rsidR="00E432FA" w:rsidRPr="000B7C4D">
          <w:rPr>
            <w:rStyle w:val="Hyperlink"/>
            <w:rFonts w:ascii="Times New Roman" w:hAnsi="Times New Roman" w:cs="Times New Roman"/>
            <w:noProof/>
          </w:rPr>
          <w:t>Table 8. Sub-Grantees Broken Down By Organization Type</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_Toc422397354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23</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5" w:history="1">
        <w:r w:rsidR="00E432FA" w:rsidRPr="000B7C4D">
          <w:rPr>
            <w:rStyle w:val="Hyperlink"/>
            <w:rFonts w:ascii="Times New Roman" w:hAnsi="Times New Roman" w:cs="Times New Roman"/>
            <w:noProof/>
          </w:rPr>
          <w:t>Table 9. Sub-Grantees’ Centers Broken Down By Organization Type</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_Toc422397355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24</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6" w:history="1">
        <w:r w:rsidR="00E432FA" w:rsidRPr="000B7C4D">
          <w:rPr>
            <w:rStyle w:val="Hyperlink"/>
            <w:rFonts w:ascii="Times New Roman" w:hAnsi="Times New Roman" w:cs="Times New Roman"/>
            <w:noProof/>
          </w:rPr>
          <w:t>Table 10. Attendees Served based on Type</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_Toc422397356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24</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7" w:history="1">
        <w:r w:rsidR="00E432FA" w:rsidRPr="000B7C4D">
          <w:rPr>
            <w:rStyle w:val="Hyperlink"/>
            <w:rFonts w:ascii="Times New Roman" w:hAnsi="Times New Roman" w:cs="Times New Roman"/>
            <w:noProof/>
          </w:rPr>
          <w:t>Table 11. Number of Total and Regular Attendees by Center Type</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_Toc422397357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25</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8" w:history="1">
        <w:r w:rsidR="00E432FA" w:rsidRPr="000B7C4D">
          <w:rPr>
            <w:rStyle w:val="Hyperlink"/>
            <w:rFonts w:ascii="Times New Roman" w:hAnsi="Times New Roman" w:cs="Times New Roman"/>
            <w:noProof/>
          </w:rPr>
          <w:t>Table 12. Percentage of Total and Regular Attendees by Center Type</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_Toc422397358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25</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59" w:history="1">
        <w:r w:rsidR="00E432FA" w:rsidRPr="000B7C4D">
          <w:rPr>
            <w:rStyle w:val="Hyperlink"/>
            <w:rFonts w:ascii="Times New Roman" w:hAnsi="Times New Roman" w:cs="Times New Roman"/>
            <w:noProof/>
          </w:rPr>
          <w:t>Table 13. Hours per Week of Each Activity Offered</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_Toc422397359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26</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60" w:history="1">
        <w:r w:rsidR="00E432FA" w:rsidRPr="000B7C4D">
          <w:rPr>
            <w:rStyle w:val="Hyperlink"/>
            <w:rFonts w:ascii="Times New Roman" w:hAnsi="Times New Roman" w:cs="Times New Roman"/>
            <w:noProof/>
          </w:rPr>
          <w:t>Table 14. Hours per Week of Each Academic Activity Offered</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_Toc422397360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26</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61" w:history="1">
        <w:r w:rsidR="00E432FA" w:rsidRPr="000B7C4D">
          <w:rPr>
            <w:rStyle w:val="Hyperlink"/>
            <w:rFonts w:ascii="Times New Roman" w:hAnsi="Times New Roman" w:cs="Times New Roman"/>
            <w:noProof/>
          </w:rPr>
          <w:t xml:space="preserve">Table 15. </w:t>
        </w:r>
        <w:r w:rsidR="00BD4C7D" w:rsidRPr="000B7C4D">
          <w:rPr>
            <w:rStyle w:val="Hyperlink"/>
            <w:rFonts w:ascii="Times New Roman" w:hAnsi="Times New Roman" w:cs="Times New Roman"/>
            <w:noProof/>
          </w:rPr>
          <w:t>Staffing Type per Paid and Volunteer Staff</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_Toc422397361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27</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63" w:history="1">
        <w:r w:rsidR="00E432FA" w:rsidRPr="000B7C4D">
          <w:rPr>
            <w:rStyle w:val="Hyperlink"/>
            <w:rFonts w:ascii="Times New Roman" w:hAnsi="Times New Roman" w:cs="Times New Roman"/>
            <w:noProof/>
          </w:rPr>
          <w:t>Tabl</w:t>
        </w:r>
        <w:r w:rsidR="00BC24F6" w:rsidRPr="000B7C4D">
          <w:rPr>
            <w:rStyle w:val="Hyperlink"/>
            <w:rFonts w:ascii="Times New Roman" w:hAnsi="Times New Roman" w:cs="Times New Roman"/>
            <w:noProof/>
          </w:rPr>
          <w:t>e 16</w:t>
        </w:r>
        <w:r w:rsidR="00E432FA" w:rsidRPr="000B7C4D">
          <w:rPr>
            <w:rStyle w:val="Hyperlink"/>
            <w:rFonts w:ascii="Times New Roman" w:hAnsi="Times New Roman" w:cs="Times New Roman"/>
            <w:noProof/>
          </w:rPr>
          <w:t>. Gender of Atte</w:t>
        </w:r>
        <w:r w:rsidR="00E432FA" w:rsidRPr="000B7C4D">
          <w:rPr>
            <w:rStyle w:val="Hyperlink"/>
            <w:rFonts w:ascii="Times New Roman" w:hAnsi="Times New Roman" w:cs="Times New Roman"/>
            <w:noProof/>
          </w:rPr>
          <w:t>n</w:t>
        </w:r>
        <w:r w:rsidR="00E432FA" w:rsidRPr="000B7C4D">
          <w:rPr>
            <w:rStyle w:val="Hyperlink"/>
            <w:rFonts w:ascii="Times New Roman" w:hAnsi="Times New Roman" w:cs="Times New Roman"/>
            <w:noProof/>
          </w:rPr>
          <w:t>dees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_Toc422397363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28</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64" w:history="1">
        <w:r w:rsidR="00BC24F6" w:rsidRPr="000B7C4D">
          <w:rPr>
            <w:rStyle w:val="Hyperlink"/>
            <w:rFonts w:ascii="Times New Roman" w:hAnsi="Times New Roman" w:cs="Times New Roman"/>
            <w:noProof/>
          </w:rPr>
          <w:t>Table 17</w:t>
        </w:r>
        <w:r w:rsidR="00BD4C7D" w:rsidRPr="000B7C4D">
          <w:rPr>
            <w:rStyle w:val="Hyperlink"/>
            <w:rFonts w:ascii="Times New Roman" w:hAnsi="Times New Roman" w:cs="Times New Roman"/>
            <w:noProof/>
          </w:rPr>
          <w:t xml:space="preserve">. </w:t>
        </w:r>
        <w:r w:rsidR="00E432FA" w:rsidRPr="000B7C4D">
          <w:rPr>
            <w:rStyle w:val="Hyperlink"/>
            <w:rFonts w:ascii="Times New Roman" w:hAnsi="Times New Roman" w:cs="Times New Roman"/>
            <w:noProof/>
          </w:rPr>
          <w:t>Race/Ethnicity of Attendees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_Toc422397364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28</w:t>
        </w:r>
        <w:r w:rsidR="00E432FA" w:rsidRPr="000B7C4D">
          <w:rPr>
            <w:rStyle w:val="Hyperlink"/>
            <w:rFonts w:ascii="Times New Roman" w:hAnsi="Times New Roman" w:cs="Times New Roman"/>
            <w:noProof/>
            <w:webHidden/>
          </w:rPr>
          <w:fldChar w:fldCharType="end"/>
        </w:r>
      </w:hyperlink>
    </w:p>
    <w:p w:rsidR="00E432FA" w:rsidRPr="000B7C4D" w:rsidRDefault="00FA3D12" w:rsidP="00E56A39">
      <w:pPr>
        <w:pStyle w:val="TOC2"/>
        <w:tabs>
          <w:tab w:val="right" w:leader="dot" w:pos="9350"/>
        </w:tabs>
        <w:rPr>
          <w:rStyle w:val="Hyperlink"/>
          <w:rFonts w:ascii="Times New Roman" w:hAnsi="Times New Roman" w:cs="Times New Roman"/>
          <w:noProof/>
        </w:rPr>
      </w:pPr>
      <w:hyperlink w:anchor="_Toc422397365" w:history="1">
        <w:r w:rsidR="00BC24F6" w:rsidRPr="000B7C4D">
          <w:rPr>
            <w:rStyle w:val="Hyperlink"/>
            <w:rFonts w:ascii="Times New Roman" w:hAnsi="Times New Roman" w:cs="Times New Roman"/>
            <w:noProof/>
          </w:rPr>
          <w:t>Table 18</w:t>
        </w:r>
        <w:r w:rsidR="00E432FA" w:rsidRPr="000B7C4D">
          <w:rPr>
            <w:rStyle w:val="Hyperlink"/>
            <w:rFonts w:ascii="Times New Roman" w:hAnsi="Times New Roman" w:cs="Times New Roman"/>
            <w:noProof/>
          </w:rPr>
          <w:t>. Number of Participants per Grade Level</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_Toc422397365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29</w:t>
        </w:r>
        <w:r w:rsidR="00E432FA" w:rsidRPr="000B7C4D">
          <w:rPr>
            <w:rStyle w:val="Hyperlink"/>
            <w:rFonts w:ascii="Times New Roman" w:hAnsi="Times New Roman" w:cs="Times New Roman"/>
            <w:noProof/>
            <w:webHidden/>
          </w:rPr>
          <w:fldChar w:fldCharType="end"/>
        </w:r>
      </w:hyperlink>
    </w:p>
    <w:p w:rsidR="009550FA" w:rsidRPr="000B7C4D" w:rsidRDefault="00FA3D12" w:rsidP="00F247B6">
      <w:pPr>
        <w:pStyle w:val="TOC2"/>
        <w:tabs>
          <w:tab w:val="right" w:leader="dot" w:pos="9350"/>
        </w:tabs>
        <w:rPr>
          <w:rFonts w:ascii="Times New Roman" w:hAnsi="Times New Roman" w:cs="Times New Roman"/>
          <w:bCs/>
        </w:rPr>
      </w:pPr>
      <w:hyperlink w:anchor="_Toc422397367" w:history="1">
        <w:r w:rsidR="00BC24F6" w:rsidRPr="000B7C4D">
          <w:rPr>
            <w:rStyle w:val="Hyperlink"/>
            <w:rFonts w:ascii="Times New Roman" w:hAnsi="Times New Roman" w:cs="Times New Roman"/>
            <w:noProof/>
          </w:rPr>
          <w:t>Table 19</w:t>
        </w:r>
        <w:r w:rsidR="00E432FA" w:rsidRPr="000B7C4D">
          <w:rPr>
            <w:rStyle w:val="Hyperlink"/>
            <w:rFonts w:ascii="Times New Roman" w:hAnsi="Times New Roman" w:cs="Times New Roman"/>
            <w:noProof/>
          </w:rPr>
          <w:t>. Funding per Regular Attendees</w:t>
        </w:r>
        <w:r w:rsidR="00E432FA" w:rsidRPr="000B7C4D">
          <w:rPr>
            <w:rStyle w:val="Hyperlink"/>
            <w:rFonts w:ascii="Times New Roman" w:hAnsi="Times New Roman" w:cs="Times New Roman"/>
            <w:noProof/>
            <w:webHidden/>
          </w:rPr>
          <w:tab/>
        </w:r>
        <w:r w:rsidR="00E432FA" w:rsidRPr="000B7C4D">
          <w:rPr>
            <w:rStyle w:val="Hyperlink"/>
            <w:rFonts w:ascii="Times New Roman" w:hAnsi="Times New Roman" w:cs="Times New Roman"/>
            <w:noProof/>
            <w:webHidden/>
          </w:rPr>
          <w:fldChar w:fldCharType="begin"/>
        </w:r>
        <w:r w:rsidR="00E432FA" w:rsidRPr="000B7C4D">
          <w:rPr>
            <w:rStyle w:val="Hyperlink"/>
            <w:rFonts w:ascii="Times New Roman" w:hAnsi="Times New Roman" w:cs="Times New Roman"/>
            <w:noProof/>
            <w:webHidden/>
          </w:rPr>
          <w:instrText xml:space="preserve"> PAGEREF _Toc422397367 \h </w:instrText>
        </w:r>
        <w:r w:rsidR="00E432FA" w:rsidRPr="000B7C4D">
          <w:rPr>
            <w:rStyle w:val="Hyperlink"/>
            <w:rFonts w:ascii="Times New Roman" w:hAnsi="Times New Roman" w:cs="Times New Roman"/>
            <w:noProof/>
            <w:webHidden/>
          </w:rPr>
        </w:r>
        <w:r w:rsidR="00E432FA" w:rsidRPr="000B7C4D">
          <w:rPr>
            <w:rStyle w:val="Hyperlink"/>
            <w:rFonts w:ascii="Times New Roman" w:hAnsi="Times New Roman" w:cs="Times New Roman"/>
            <w:noProof/>
            <w:webHidden/>
          </w:rPr>
          <w:fldChar w:fldCharType="separate"/>
        </w:r>
        <w:r w:rsidR="007C354B">
          <w:rPr>
            <w:rStyle w:val="Hyperlink"/>
            <w:rFonts w:ascii="Times New Roman" w:hAnsi="Times New Roman" w:cs="Times New Roman"/>
            <w:noProof/>
            <w:webHidden/>
          </w:rPr>
          <w:t>30</w:t>
        </w:r>
        <w:r w:rsidR="00E432FA" w:rsidRPr="000B7C4D">
          <w:rPr>
            <w:rStyle w:val="Hyperlink"/>
            <w:rFonts w:ascii="Times New Roman" w:hAnsi="Times New Roman" w:cs="Times New Roman"/>
            <w:noProof/>
            <w:webHidden/>
          </w:rPr>
          <w:fldChar w:fldCharType="end"/>
        </w:r>
      </w:hyperlink>
      <w:r w:rsidR="009550FA" w:rsidRPr="000B7C4D">
        <w:rPr>
          <w:rFonts w:ascii="Times New Roman" w:hAnsi="Times New Roman" w:cs="Times New Roman"/>
          <w:b/>
          <w:bCs/>
        </w:rPr>
        <w:fldChar w:fldCharType="end"/>
      </w:r>
    </w:p>
    <w:p w:rsidR="00E432FA" w:rsidRDefault="00E432FA">
      <w:pPr>
        <w:rPr>
          <w:rFonts w:ascii="Times New Roman" w:hAnsi="Times New Roman" w:cs="Times New Roman"/>
          <w:b/>
          <w:bCs/>
          <w:sz w:val="24"/>
          <w:szCs w:val="24"/>
        </w:rPr>
      </w:pPr>
      <w:r>
        <w:br w:type="page"/>
      </w:r>
    </w:p>
    <w:p w:rsidR="0045325E" w:rsidRPr="00E432FA" w:rsidRDefault="0045325E" w:rsidP="00E432FA">
      <w:pPr>
        <w:pStyle w:val="Heading1"/>
      </w:pPr>
      <w:bookmarkStart w:id="1" w:name="_Toc446579692"/>
      <w:r w:rsidRPr="00E432FA">
        <w:lastRenderedPageBreak/>
        <w:t>EXECUTIVE SUMMARY</w:t>
      </w:r>
      <w:bookmarkEnd w:id="1"/>
    </w:p>
    <w:p w:rsidR="003C692A" w:rsidRPr="00A640E7" w:rsidRDefault="003C692A" w:rsidP="003C692A">
      <w:pPr>
        <w:spacing w:after="0" w:line="240" w:lineRule="auto"/>
        <w:rPr>
          <w:rFonts w:ascii="Times New Roman" w:hAnsi="Times New Roman" w:cs="Times New Roman"/>
          <w:bCs/>
          <w:sz w:val="24"/>
          <w:szCs w:val="24"/>
        </w:rPr>
      </w:pPr>
      <w:r w:rsidRPr="00A640E7">
        <w:rPr>
          <w:rFonts w:ascii="Times New Roman" w:hAnsi="Times New Roman" w:cs="Times New Roman"/>
          <w:color w:val="000000"/>
          <w:sz w:val="24"/>
          <w:szCs w:val="24"/>
        </w:rPr>
        <w:t>Originally created in 1994 through the Elem</w:t>
      </w:r>
      <w:r w:rsidR="000C2501">
        <w:rPr>
          <w:rFonts w:ascii="Times New Roman" w:hAnsi="Times New Roman" w:cs="Times New Roman"/>
          <w:color w:val="000000"/>
          <w:sz w:val="24"/>
          <w:szCs w:val="24"/>
        </w:rPr>
        <w:t>entary and Secondary School Act</w:t>
      </w:r>
      <w:r w:rsidRPr="00A640E7">
        <w:rPr>
          <w:rFonts w:ascii="Times New Roman" w:hAnsi="Times New Roman" w:cs="Times New Roman"/>
          <w:color w:val="000000"/>
          <w:sz w:val="24"/>
          <w:szCs w:val="24"/>
        </w:rPr>
        <w:t xml:space="preserve"> and expanded in 2001 through No Child Left Behind</w:t>
      </w:r>
      <w:r w:rsidR="00FB6C9E">
        <w:rPr>
          <w:rFonts w:ascii="Times New Roman" w:hAnsi="Times New Roman" w:cs="Times New Roman"/>
          <w:color w:val="000000"/>
          <w:sz w:val="24"/>
          <w:szCs w:val="24"/>
        </w:rPr>
        <w:t xml:space="preserve"> (NCLB)</w:t>
      </w:r>
      <w:r w:rsidRPr="00A640E7">
        <w:rPr>
          <w:rFonts w:ascii="Times New Roman" w:hAnsi="Times New Roman" w:cs="Times New Roman"/>
          <w:color w:val="000000"/>
          <w:sz w:val="24"/>
          <w:szCs w:val="24"/>
        </w:rPr>
        <w:t>, the 21st Century Community Learni</w:t>
      </w:r>
      <w:r w:rsidR="000C2501">
        <w:rPr>
          <w:rFonts w:ascii="Times New Roman" w:hAnsi="Times New Roman" w:cs="Times New Roman"/>
          <w:color w:val="000000"/>
          <w:sz w:val="24"/>
          <w:szCs w:val="24"/>
        </w:rPr>
        <w:t>ng Centers (CCLC) program</w:t>
      </w:r>
      <w:r w:rsidRPr="00A640E7">
        <w:rPr>
          <w:rFonts w:ascii="Times New Roman" w:hAnsi="Times New Roman" w:cs="Times New Roman"/>
          <w:color w:val="000000"/>
          <w:sz w:val="24"/>
          <w:szCs w:val="24"/>
        </w:rPr>
        <w:t xml:space="preserve"> provides students in high-need, high-poverty communities the opportunity to participate in afterschool programming.  Present in all 50 states, the District of Columbia</w:t>
      </w:r>
      <w:r w:rsidR="00FB6C9E">
        <w:rPr>
          <w:rFonts w:ascii="Times New Roman" w:hAnsi="Times New Roman" w:cs="Times New Roman"/>
          <w:color w:val="000000"/>
          <w:sz w:val="24"/>
          <w:szCs w:val="24"/>
        </w:rPr>
        <w:t>,</w:t>
      </w:r>
      <w:r w:rsidRPr="00A640E7">
        <w:rPr>
          <w:rFonts w:ascii="Times New Roman" w:hAnsi="Times New Roman" w:cs="Times New Roman"/>
          <w:color w:val="000000"/>
          <w:sz w:val="24"/>
          <w:szCs w:val="24"/>
        </w:rPr>
        <w:t xml:space="preserve"> and 3 territories, academic enrichment and youth development programs are designed to enhance participants’ well-being and academic success. </w:t>
      </w:r>
      <w:r w:rsidRPr="00A640E7">
        <w:rPr>
          <w:rFonts w:ascii="Times New Roman" w:hAnsi="Times New Roman" w:cs="Times New Roman"/>
          <w:bCs/>
          <w:sz w:val="24"/>
          <w:szCs w:val="24"/>
        </w:rPr>
        <w:t xml:space="preserve">For the 2013-2014 academic school </w:t>
      </w:r>
      <w:proofErr w:type="gramStart"/>
      <w:r w:rsidRPr="00A640E7">
        <w:rPr>
          <w:rFonts w:ascii="Times New Roman" w:hAnsi="Times New Roman" w:cs="Times New Roman"/>
          <w:bCs/>
          <w:sz w:val="24"/>
          <w:szCs w:val="24"/>
        </w:rPr>
        <w:t>year</w:t>
      </w:r>
      <w:proofErr w:type="gramEnd"/>
      <w:r w:rsidRPr="00A640E7">
        <w:rPr>
          <w:rFonts w:ascii="Times New Roman" w:hAnsi="Times New Roman" w:cs="Times New Roman"/>
          <w:bCs/>
          <w:sz w:val="24"/>
          <w:szCs w:val="24"/>
        </w:rPr>
        <w:t xml:space="preserve">, the United States </w:t>
      </w:r>
      <w:r w:rsidR="00FB6C9E">
        <w:rPr>
          <w:rFonts w:ascii="Times New Roman" w:hAnsi="Times New Roman" w:cs="Times New Roman"/>
          <w:bCs/>
          <w:sz w:val="24"/>
          <w:szCs w:val="24"/>
        </w:rPr>
        <w:t xml:space="preserve">(US) </w:t>
      </w:r>
      <w:r w:rsidRPr="00A640E7">
        <w:rPr>
          <w:rFonts w:ascii="Times New Roman" w:hAnsi="Times New Roman" w:cs="Times New Roman"/>
          <w:bCs/>
          <w:sz w:val="24"/>
          <w:szCs w:val="24"/>
        </w:rPr>
        <w:t xml:space="preserve">Department of Education funded 9,556 centers under the 21st CCLC program. </w:t>
      </w:r>
    </w:p>
    <w:p w:rsidR="003C692A" w:rsidRDefault="003C692A" w:rsidP="003C692A">
      <w:pPr>
        <w:spacing w:after="0" w:line="240" w:lineRule="auto"/>
        <w:rPr>
          <w:rFonts w:ascii="Times New Roman" w:hAnsi="Times New Roman" w:cs="Times New Roman"/>
          <w:color w:val="000000"/>
          <w:sz w:val="24"/>
          <w:szCs w:val="24"/>
        </w:rPr>
      </w:pPr>
    </w:p>
    <w:p w:rsidR="003C692A" w:rsidRDefault="003C692A" w:rsidP="003C69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thi</w:t>
      </w:r>
      <w:r w:rsidRPr="00A640E7">
        <w:rPr>
          <w:rFonts w:ascii="Times New Roman" w:hAnsi="Times New Roman" w:cs="Times New Roman"/>
          <w:color w:val="000000"/>
          <w:sz w:val="24"/>
          <w:szCs w:val="24"/>
        </w:rPr>
        <w:t>s Annual Performance Report (APR), data from the 21st CCLC Profile and Performance Information Collection System (PPICS) were analyzed in order to report on the Government Performance and Results Act (GPRA) performance indicators associated with the 21</w:t>
      </w:r>
      <w:r>
        <w:rPr>
          <w:rFonts w:ascii="Times New Roman" w:hAnsi="Times New Roman" w:cs="Times New Roman"/>
          <w:color w:val="000000"/>
          <w:sz w:val="24"/>
          <w:szCs w:val="24"/>
        </w:rPr>
        <w:t>st CCLC program. These metrics</w:t>
      </w:r>
      <w:r w:rsidRPr="00A640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assist the</w:t>
      </w:r>
      <w:r w:rsidRPr="00A640E7">
        <w:rPr>
          <w:rFonts w:ascii="Times New Roman" w:hAnsi="Times New Roman" w:cs="Times New Roman"/>
          <w:color w:val="000000"/>
          <w:sz w:val="24"/>
          <w:szCs w:val="24"/>
        </w:rPr>
        <w:t xml:space="preserve"> federal government </w:t>
      </w:r>
      <w:r>
        <w:rPr>
          <w:rFonts w:ascii="Times New Roman" w:hAnsi="Times New Roman" w:cs="Times New Roman"/>
          <w:color w:val="000000"/>
          <w:sz w:val="24"/>
          <w:szCs w:val="24"/>
        </w:rPr>
        <w:t xml:space="preserve">in determining </w:t>
      </w:r>
      <w:r w:rsidRPr="00A640E7">
        <w:rPr>
          <w:rFonts w:ascii="Times New Roman" w:hAnsi="Times New Roman" w:cs="Times New Roman"/>
          <w:color w:val="000000"/>
          <w:sz w:val="24"/>
          <w:szCs w:val="24"/>
        </w:rPr>
        <w:t xml:space="preserve">the success and progress of the 21st CCLC program based on the statutory requirements. The APR has historically been completed by grantees through PPICS once a year to summarize the operational elements of their program, the student population served, and the extent to which students improved in academic-related behaviors and achievement. </w:t>
      </w:r>
    </w:p>
    <w:p w:rsidR="00F67C86" w:rsidRDefault="00F67C86" w:rsidP="003C692A">
      <w:pPr>
        <w:spacing w:after="0" w:line="240" w:lineRule="auto"/>
        <w:rPr>
          <w:rFonts w:ascii="Times New Roman" w:hAnsi="Times New Roman" w:cs="Times New Roman"/>
          <w:color w:val="000000"/>
          <w:sz w:val="24"/>
          <w:szCs w:val="24"/>
        </w:rPr>
      </w:pPr>
    </w:p>
    <w:p w:rsidR="00F67C86" w:rsidRDefault="00F67C86" w:rsidP="00F67C86">
      <w:pPr>
        <w:spacing w:after="0" w:line="240" w:lineRule="auto"/>
        <w:rPr>
          <w:rFonts w:ascii="Times New Roman" w:hAnsi="Times New Roman" w:cs="Times New Roman"/>
          <w:color w:val="000000"/>
          <w:sz w:val="24"/>
          <w:szCs w:val="24"/>
        </w:rPr>
      </w:pPr>
      <w:r w:rsidRPr="00A640E7">
        <w:rPr>
          <w:rFonts w:ascii="Times New Roman" w:hAnsi="Times New Roman" w:cs="Times New Roman"/>
          <w:color w:val="000000"/>
          <w:sz w:val="24"/>
          <w:szCs w:val="24"/>
        </w:rPr>
        <w:t xml:space="preserve">This year marks a transition year in terms of data collection and analysis for the 21st CCLC program.  Under contract ED-ESE-14-C-0120, the US Department of Education has authorized the development of a new data collection system.  The new data collection system is being developed with stakeholder input and will begin collecting data for the 2014-15 performance </w:t>
      </w:r>
      <w:proofErr w:type="gramStart"/>
      <w:r w:rsidRPr="00A640E7">
        <w:rPr>
          <w:rFonts w:ascii="Times New Roman" w:hAnsi="Times New Roman" w:cs="Times New Roman"/>
          <w:color w:val="000000"/>
          <w:sz w:val="24"/>
          <w:szCs w:val="24"/>
        </w:rPr>
        <w:t>year</w:t>
      </w:r>
      <w:proofErr w:type="gramEnd"/>
      <w:r>
        <w:rPr>
          <w:rFonts w:ascii="Times New Roman" w:hAnsi="Times New Roman" w:cs="Times New Roman"/>
          <w:color w:val="000000"/>
          <w:sz w:val="24"/>
          <w:szCs w:val="24"/>
        </w:rPr>
        <w:t>. P</w:t>
      </w:r>
      <w:r w:rsidRPr="00A640E7">
        <w:rPr>
          <w:rFonts w:ascii="Times New Roman" w:hAnsi="Times New Roman" w:cs="Times New Roman"/>
          <w:color w:val="000000"/>
          <w:sz w:val="24"/>
          <w:szCs w:val="24"/>
        </w:rPr>
        <w:t xml:space="preserve">erformance </w:t>
      </w:r>
      <w:r>
        <w:rPr>
          <w:rFonts w:ascii="Times New Roman" w:hAnsi="Times New Roman" w:cs="Times New Roman"/>
          <w:color w:val="000000"/>
          <w:sz w:val="24"/>
          <w:szCs w:val="24"/>
        </w:rPr>
        <w:t xml:space="preserve">for </w:t>
      </w:r>
      <w:r w:rsidRPr="00A640E7">
        <w:rPr>
          <w:rFonts w:ascii="Times New Roman" w:hAnsi="Times New Roman" w:cs="Times New Roman"/>
          <w:color w:val="000000"/>
          <w:sz w:val="24"/>
          <w:szCs w:val="24"/>
        </w:rPr>
        <w:t xml:space="preserve">2013-14 </w:t>
      </w:r>
      <w:r>
        <w:rPr>
          <w:rFonts w:ascii="Times New Roman" w:hAnsi="Times New Roman" w:cs="Times New Roman"/>
          <w:color w:val="000000"/>
          <w:sz w:val="24"/>
          <w:szCs w:val="24"/>
        </w:rPr>
        <w:t xml:space="preserve">contained within this report </w:t>
      </w:r>
      <w:r w:rsidRPr="00A640E7">
        <w:rPr>
          <w:rFonts w:ascii="Times New Roman" w:hAnsi="Times New Roman" w:cs="Times New Roman"/>
          <w:color w:val="000000"/>
          <w:sz w:val="24"/>
          <w:szCs w:val="24"/>
        </w:rPr>
        <w:t xml:space="preserve">is based on data that were collected through the previous system, PPICS, and analyzed for the purposes of the APR under the new contract. </w:t>
      </w:r>
    </w:p>
    <w:p w:rsidR="00F67C86" w:rsidRDefault="00F67C86" w:rsidP="00F67C86">
      <w:pPr>
        <w:spacing w:after="0" w:line="240" w:lineRule="auto"/>
        <w:rPr>
          <w:rFonts w:ascii="Times New Roman" w:hAnsi="Times New Roman" w:cs="Times New Roman"/>
          <w:color w:val="000000"/>
          <w:sz w:val="24"/>
          <w:szCs w:val="24"/>
        </w:rPr>
      </w:pPr>
    </w:p>
    <w:p w:rsidR="00F67C86" w:rsidRDefault="00F67C86" w:rsidP="00F67C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the available data, the key findings from this year’s APR are: </w:t>
      </w:r>
    </w:p>
    <w:p w:rsidR="00F67C86" w:rsidRDefault="00F67C86" w:rsidP="00F67C86">
      <w:pPr>
        <w:spacing w:after="0" w:line="240" w:lineRule="auto"/>
        <w:rPr>
          <w:rFonts w:ascii="Times New Roman" w:hAnsi="Times New Roman" w:cs="Times New Roman"/>
          <w:color w:val="000000"/>
          <w:sz w:val="24"/>
          <w:szCs w:val="24"/>
        </w:rPr>
      </w:pPr>
    </w:p>
    <w:p w:rsidR="00B10BC9" w:rsidRDefault="00BC1082" w:rsidP="00B31441">
      <w:pPr>
        <w:pStyle w:val="ListParagraph"/>
        <w:numPr>
          <w:ilvl w:val="0"/>
          <w:numId w:val="7"/>
        </w:numPr>
        <w:spacing w:after="0" w:line="240" w:lineRule="auto"/>
        <w:rPr>
          <w:rFonts w:ascii="Times New Roman" w:hAnsi="Times New Roman" w:cs="Times New Roman"/>
          <w:bCs/>
          <w:sz w:val="24"/>
          <w:szCs w:val="24"/>
        </w:rPr>
      </w:pPr>
      <w:r w:rsidRPr="005A4AA7">
        <w:rPr>
          <w:rFonts w:ascii="Times New Roman" w:hAnsi="Times New Roman" w:cs="Times New Roman"/>
          <w:bCs/>
          <w:sz w:val="24"/>
          <w:szCs w:val="24"/>
        </w:rPr>
        <w:t>Over</w:t>
      </w:r>
      <w:r w:rsidR="00B10BC9" w:rsidRPr="005A4AA7">
        <w:rPr>
          <w:rFonts w:ascii="Times New Roman" w:hAnsi="Times New Roman" w:cs="Times New Roman"/>
          <w:bCs/>
          <w:sz w:val="24"/>
          <w:szCs w:val="24"/>
        </w:rPr>
        <w:t xml:space="preserve"> 2</w:t>
      </w:r>
      <w:r w:rsidRPr="005A4AA7">
        <w:rPr>
          <w:rFonts w:ascii="Times New Roman" w:hAnsi="Times New Roman" w:cs="Times New Roman"/>
          <w:bCs/>
          <w:sz w:val="24"/>
          <w:szCs w:val="24"/>
        </w:rPr>
        <w:t>.</w:t>
      </w:r>
      <w:r w:rsidR="00F470A2">
        <w:rPr>
          <w:rFonts w:ascii="Times New Roman" w:hAnsi="Times New Roman" w:cs="Times New Roman"/>
          <w:bCs/>
          <w:sz w:val="24"/>
          <w:szCs w:val="24"/>
        </w:rPr>
        <w:t>2</w:t>
      </w:r>
      <w:r w:rsidR="00B10BC9" w:rsidRPr="00B10BC9">
        <w:rPr>
          <w:rFonts w:ascii="Times New Roman" w:hAnsi="Times New Roman" w:cs="Times New Roman"/>
          <w:bCs/>
          <w:sz w:val="24"/>
          <w:szCs w:val="24"/>
        </w:rPr>
        <w:t xml:space="preserve"> million people have been served by this program: (a) regular student attendees (n = 854,454), (b) total student attendees (n = 1,682,469), (c) summer students </w:t>
      </w:r>
      <w:r w:rsidR="001D141A">
        <w:rPr>
          <w:rFonts w:ascii="Times New Roman" w:hAnsi="Times New Roman" w:cs="Times New Roman"/>
          <w:bCs/>
          <w:sz w:val="24"/>
          <w:szCs w:val="24"/>
        </w:rPr>
        <w:t xml:space="preserve">               </w:t>
      </w:r>
      <w:r w:rsidR="00B10BC9" w:rsidRPr="00B10BC9">
        <w:rPr>
          <w:rFonts w:ascii="Times New Roman" w:hAnsi="Times New Roman" w:cs="Times New Roman"/>
          <w:bCs/>
          <w:sz w:val="24"/>
          <w:szCs w:val="24"/>
        </w:rPr>
        <w:t>(n = 143,739), and (d)</w:t>
      </w:r>
      <w:r w:rsidR="00FB6C9E">
        <w:rPr>
          <w:rFonts w:ascii="Times New Roman" w:hAnsi="Times New Roman" w:cs="Times New Roman"/>
          <w:bCs/>
          <w:sz w:val="24"/>
          <w:szCs w:val="24"/>
        </w:rPr>
        <w:t xml:space="preserve"> adults/family members (n = 431,</w:t>
      </w:r>
      <w:r w:rsidR="00B10BC9" w:rsidRPr="00B10BC9">
        <w:rPr>
          <w:rFonts w:ascii="Times New Roman" w:hAnsi="Times New Roman" w:cs="Times New Roman"/>
          <w:bCs/>
          <w:sz w:val="24"/>
          <w:szCs w:val="24"/>
        </w:rPr>
        <w:t xml:space="preserve">122).  </w:t>
      </w:r>
    </w:p>
    <w:p w:rsidR="00B743D2" w:rsidRDefault="00B743D2" w:rsidP="00B31441">
      <w:pPr>
        <w:pStyle w:val="ListParagraph"/>
        <w:spacing w:after="0" w:line="240" w:lineRule="auto"/>
        <w:rPr>
          <w:rFonts w:ascii="Times New Roman" w:hAnsi="Times New Roman" w:cs="Times New Roman"/>
          <w:bCs/>
          <w:sz w:val="24"/>
          <w:szCs w:val="24"/>
        </w:rPr>
      </w:pPr>
    </w:p>
    <w:p w:rsidR="00B743D2" w:rsidRDefault="00B743D2" w:rsidP="00B31441">
      <w:pPr>
        <w:pStyle w:val="ListParagraph"/>
        <w:numPr>
          <w:ilvl w:val="0"/>
          <w:numId w:val="7"/>
        </w:numPr>
        <w:spacing w:after="0" w:line="240" w:lineRule="auto"/>
        <w:rPr>
          <w:rFonts w:ascii="Times New Roman" w:hAnsi="Times New Roman" w:cs="Times New Roman"/>
          <w:bCs/>
          <w:sz w:val="24"/>
          <w:szCs w:val="24"/>
        </w:rPr>
      </w:pPr>
      <w:r w:rsidRPr="00B743D2">
        <w:rPr>
          <w:rFonts w:ascii="Times New Roman" w:hAnsi="Times New Roman" w:cs="Times New Roman"/>
          <w:bCs/>
          <w:sz w:val="24"/>
          <w:szCs w:val="24"/>
        </w:rPr>
        <w:t xml:space="preserve">Overall, there was a fairly even split between male (50.4%, n = 811,231) and female (49.6%, n </w:t>
      </w:r>
      <w:r w:rsidR="000C2501">
        <w:rPr>
          <w:rFonts w:ascii="Times New Roman" w:hAnsi="Times New Roman" w:cs="Times New Roman"/>
          <w:bCs/>
          <w:sz w:val="24"/>
          <w:szCs w:val="24"/>
        </w:rPr>
        <w:t xml:space="preserve">= 798,716) regular attendees.  </w:t>
      </w:r>
    </w:p>
    <w:p w:rsidR="00B31441" w:rsidRPr="00B31441" w:rsidRDefault="00B31441" w:rsidP="00B31441">
      <w:pPr>
        <w:spacing w:after="0" w:line="240" w:lineRule="auto"/>
        <w:rPr>
          <w:rFonts w:ascii="Times New Roman" w:hAnsi="Times New Roman" w:cs="Times New Roman"/>
          <w:bCs/>
          <w:sz w:val="24"/>
          <w:szCs w:val="24"/>
        </w:rPr>
      </w:pPr>
    </w:p>
    <w:p w:rsidR="00B743D2" w:rsidRPr="00B743D2" w:rsidRDefault="00B743D2" w:rsidP="008947C0">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Pr="00B743D2">
        <w:rPr>
          <w:rFonts w:ascii="Times New Roman" w:hAnsi="Times New Roman" w:cs="Times New Roman"/>
          <w:bCs/>
          <w:sz w:val="24"/>
          <w:szCs w:val="24"/>
        </w:rPr>
        <w:t xml:space="preserve">n terms of race/ethnicity, the majority of the regular attendees were identified as Hispanic (35.5%, n = 597,807), with White (29.6%, n = 498,592) and Black (22.4%, </w:t>
      </w:r>
      <w:r w:rsidR="001811ED">
        <w:rPr>
          <w:rFonts w:ascii="Times New Roman" w:hAnsi="Times New Roman" w:cs="Times New Roman"/>
          <w:bCs/>
          <w:sz w:val="24"/>
          <w:szCs w:val="24"/>
        </w:rPr>
        <w:t xml:space="preserve">      </w:t>
      </w:r>
      <w:r w:rsidRPr="00B743D2">
        <w:rPr>
          <w:rFonts w:ascii="Times New Roman" w:hAnsi="Times New Roman" w:cs="Times New Roman"/>
          <w:bCs/>
          <w:sz w:val="24"/>
          <w:szCs w:val="24"/>
        </w:rPr>
        <w:t xml:space="preserve">n = 377,063) following.  </w:t>
      </w:r>
    </w:p>
    <w:p w:rsidR="00B10BC9" w:rsidRPr="00B743D2" w:rsidRDefault="00B10BC9" w:rsidP="008947C0">
      <w:pPr>
        <w:spacing w:after="0" w:line="240" w:lineRule="auto"/>
        <w:rPr>
          <w:rFonts w:ascii="Times New Roman" w:hAnsi="Times New Roman" w:cs="Times New Roman"/>
          <w:bCs/>
          <w:sz w:val="24"/>
          <w:szCs w:val="24"/>
        </w:rPr>
      </w:pPr>
    </w:p>
    <w:p w:rsidR="001A5F31" w:rsidRPr="008947C0" w:rsidRDefault="001A5F31" w:rsidP="008947C0">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sz w:val="24"/>
          <w:szCs w:val="24"/>
        </w:rPr>
        <w:t>36.5</w:t>
      </w:r>
      <w:r w:rsidRPr="00B10BC9">
        <w:rPr>
          <w:rFonts w:ascii="Times New Roman" w:hAnsi="Times New Roman" w:cs="Times New Roman"/>
          <w:sz w:val="24"/>
          <w:szCs w:val="24"/>
        </w:rPr>
        <w:t xml:space="preserve">% reported % improvement in mathematics </w:t>
      </w:r>
      <w:r>
        <w:rPr>
          <w:rFonts w:ascii="Times New Roman" w:hAnsi="Times New Roman" w:cs="Times New Roman"/>
          <w:sz w:val="24"/>
          <w:szCs w:val="24"/>
        </w:rPr>
        <w:t>grades.</w:t>
      </w:r>
    </w:p>
    <w:p w:rsidR="008947C0" w:rsidRPr="008947C0" w:rsidRDefault="008947C0" w:rsidP="008947C0">
      <w:pPr>
        <w:spacing w:after="0" w:line="240" w:lineRule="auto"/>
        <w:rPr>
          <w:rFonts w:ascii="Times New Roman" w:hAnsi="Times New Roman" w:cs="Times New Roman"/>
          <w:bCs/>
          <w:sz w:val="24"/>
          <w:szCs w:val="24"/>
        </w:rPr>
      </w:pPr>
    </w:p>
    <w:p w:rsidR="001A5F31" w:rsidRPr="008947C0" w:rsidRDefault="001A5F31" w:rsidP="008947C0">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sz w:val="24"/>
          <w:szCs w:val="24"/>
        </w:rPr>
        <w:t>36.8</w:t>
      </w:r>
      <w:r w:rsidRPr="00B10BC9">
        <w:rPr>
          <w:rFonts w:ascii="Times New Roman" w:hAnsi="Times New Roman" w:cs="Times New Roman"/>
          <w:sz w:val="24"/>
          <w:szCs w:val="24"/>
        </w:rPr>
        <w:t>% reported % improvement in English grades.</w:t>
      </w:r>
    </w:p>
    <w:p w:rsidR="008947C0" w:rsidRPr="008947C0" w:rsidRDefault="008947C0" w:rsidP="008947C0">
      <w:pPr>
        <w:spacing w:after="0" w:line="240" w:lineRule="auto"/>
        <w:rPr>
          <w:rFonts w:ascii="Times New Roman" w:hAnsi="Times New Roman" w:cs="Times New Roman"/>
          <w:bCs/>
          <w:sz w:val="24"/>
          <w:szCs w:val="24"/>
        </w:rPr>
      </w:pPr>
    </w:p>
    <w:p w:rsidR="008947C0" w:rsidRPr="004B7B2C" w:rsidRDefault="00F71D9F" w:rsidP="008947C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5.4% reported </w:t>
      </w:r>
      <w:r w:rsidR="008947C0" w:rsidRPr="004B7B2C">
        <w:rPr>
          <w:rFonts w:ascii="Times New Roman" w:hAnsi="Times New Roman" w:cs="Times New Roman"/>
          <w:sz w:val="24"/>
          <w:szCs w:val="24"/>
        </w:rPr>
        <w:t>% improvement</w:t>
      </w:r>
      <w:r>
        <w:rPr>
          <w:rFonts w:ascii="Times New Roman" w:hAnsi="Times New Roman" w:cs="Times New Roman"/>
          <w:sz w:val="24"/>
          <w:szCs w:val="24"/>
        </w:rPr>
        <w:t xml:space="preserve"> </w:t>
      </w:r>
      <w:r w:rsidR="00394BF1">
        <w:rPr>
          <w:rFonts w:ascii="Times New Roman" w:hAnsi="Times New Roman" w:cs="Times New Roman"/>
          <w:sz w:val="24"/>
          <w:szCs w:val="24"/>
        </w:rPr>
        <w:t>on</w:t>
      </w:r>
      <w:r>
        <w:rPr>
          <w:rFonts w:ascii="Times New Roman" w:hAnsi="Times New Roman" w:cs="Times New Roman"/>
          <w:sz w:val="24"/>
          <w:szCs w:val="24"/>
        </w:rPr>
        <w:t xml:space="preserve"> </w:t>
      </w:r>
      <w:r w:rsidR="006633ED">
        <w:rPr>
          <w:rFonts w:ascii="Times New Roman" w:hAnsi="Times New Roman" w:cs="Times New Roman"/>
          <w:sz w:val="24"/>
          <w:szCs w:val="24"/>
        </w:rPr>
        <w:t xml:space="preserve">state assessments in </w:t>
      </w:r>
      <w:r>
        <w:rPr>
          <w:rFonts w:ascii="Times New Roman" w:hAnsi="Times New Roman" w:cs="Times New Roman"/>
          <w:sz w:val="24"/>
          <w:szCs w:val="24"/>
        </w:rPr>
        <w:t>elementary reading, 12.6</w:t>
      </w:r>
      <w:r w:rsidRPr="004B7B2C">
        <w:rPr>
          <w:rFonts w:ascii="Times New Roman" w:hAnsi="Times New Roman" w:cs="Times New Roman"/>
          <w:sz w:val="24"/>
          <w:szCs w:val="24"/>
        </w:rPr>
        <w:t xml:space="preserve">% </w:t>
      </w:r>
      <w:r w:rsidR="006633ED">
        <w:rPr>
          <w:rFonts w:ascii="Times New Roman" w:hAnsi="Times New Roman" w:cs="Times New Roman"/>
          <w:sz w:val="24"/>
          <w:szCs w:val="24"/>
        </w:rPr>
        <w:t>in</w:t>
      </w:r>
      <w:r>
        <w:rPr>
          <w:rFonts w:ascii="Times New Roman" w:hAnsi="Times New Roman" w:cs="Times New Roman"/>
          <w:sz w:val="24"/>
          <w:szCs w:val="24"/>
        </w:rPr>
        <w:t xml:space="preserve"> </w:t>
      </w:r>
      <w:r w:rsidRPr="004B7B2C">
        <w:rPr>
          <w:rFonts w:ascii="Times New Roman" w:hAnsi="Times New Roman" w:cs="Times New Roman"/>
          <w:sz w:val="24"/>
          <w:szCs w:val="24"/>
        </w:rPr>
        <w:t>mid</w:t>
      </w:r>
      <w:r>
        <w:rPr>
          <w:rFonts w:ascii="Times New Roman" w:hAnsi="Times New Roman" w:cs="Times New Roman"/>
          <w:sz w:val="24"/>
          <w:szCs w:val="24"/>
        </w:rPr>
        <w:t>dle school mathematics, and 9.6</w:t>
      </w:r>
      <w:r w:rsidRPr="004B7B2C">
        <w:rPr>
          <w:rFonts w:ascii="Times New Roman" w:hAnsi="Times New Roman" w:cs="Times New Roman"/>
          <w:sz w:val="24"/>
          <w:szCs w:val="24"/>
        </w:rPr>
        <w:t xml:space="preserve">% </w:t>
      </w:r>
      <w:r w:rsidR="006633ED">
        <w:rPr>
          <w:rFonts w:ascii="Times New Roman" w:hAnsi="Times New Roman" w:cs="Times New Roman"/>
          <w:sz w:val="24"/>
          <w:szCs w:val="24"/>
        </w:rPr>
        <w:t>in</w:t>
      </w:r>
      <w:r>
        <w:rPr>
          <w:rFonts w:ascii="Times New Roman" w:hAnsi="Times New Roman" w:cs="Times New Roman"/>
          <w:sz w:val="24"/>
          <w:szCs w:val="24"/>
        </w:rPr>
        <w:t xml:space="preserve"> </w:t>
      </w:r>
      <w:r w:rsidRPr="004B7B2C">
        <w:rPr>
          <w:rFonts w:ascii="Times New Roman" w:hAnsi="Times New Roman" w:cs="Times New Roman"/>
          <w:sz w:val="24"/>
          <w:szCs w:val="24"/>
        </w:rPr>
        <w:t>high school mathematic</w:t>
      </w:r>
      <w:r w:rsidR="008947C0" w:rsidRPr="004B7B2C">
        <w:rPr>
          <w:rFonts w:ascii="Times New Roman" w:hAnsi="Times New Roman" w:cs="Times New Roman"/>
          <w:sz w:val="24"/>
          <w:szCs w:val="24"/>
        </w:rPr>
        <w:t>s</w:t>
      </w:r>
      <w:r w:rsidR="006633ED">
        <w:rPr>
          <w:rFonts w:ascii="Times New Roman" w:hAnsi="Times New Roman" w:cs="Times New Roman"/>
          <w:sz w:val="24"/>
          <w:szCs w:val="24"/>
        </w:rPr>
        <w:t>.</w:t>
      </w:r>
    </w:p>
    <w:p w:rsidR="001A5F31" w:rsidRPr="000C2501" w:rsidRDefault="001A5F31" w:rsidP="008947C0">
      <w:pPr>
        <w:pStyle w:val="ListParagraph"/>
        <w:spacing w:after="0" w:line="240" w:lineRule="auto"/>
        <w:rPr>
          <w:rFonts w:ascii="Times New Roman" w:hAnsi="Times New Roman" w:cs="Times New Roman"/>
          <w:bCs/>
          <w:sz w:val="24"/>
          <w:szCs w:val="24"/>
        </w:rPr>
      </w:pPr>
    </w:p>
    <w:p w:rsidR="008947C0" w:rsidRPr="008947C0" w:rsidRDefault="008947C0" w:rsidP="008C08F2">
      <w:pPr>
        <w:pStyle w:val="ListParagraph"/>
        <w:numPr>
          <w:ilvl w:val="0"/>
          <w:numId w:val="7"/>
        </w:numPr>
        <w:spacing w:after="0" w:line="240" w:lineRule="auto"/>
        <w:rPr>
          <w:rFonts w:ascii="Times New Roman" w:hAnsi="Times New Roman" w:cs="Times New Roman"/>
          <w:bCs/>
          <w:sz w:val="24"/>
          <w:szCs w:val="24"/>
        </w:rPr>
      </w:pPr>
      <w:r w:rsidRPr="008947C0">
        <w:rPr>
          <w:rFonts w:ascii="Times New Roman" w:hAnsi="Times New Roman" w:cs="Times New Roman"/>
          <w:sz w:val="24"/>
          <w:szCs w:val="24"/>
        </w:rPr>
        <w:t>49.4</w:t>
      </w:r>
      <w:r w:rsidR="00B10BC9" w:rsidRPr="008947C0">
        <w:rPr>
          <w:rFonts w:ascii="Times New Roman" w:hAnsi="Times New Roman" w:cs="Times New Roman"/>
          <w:sz w:val="24"/>
          <w:szCs w:val="24"/>
        </w:rPr>
        <w:t xml:space="preserve">% </w:t>
      </w:r>
      <w:r w:rsidRPr="008947C0">
        <w:rPr>
          <w:rFonts w:ascii="Times New Roman" w:hAnsi="Times New Roman" w:cs="Times New Roman"/>
          <w:sz w:val="24"/>
          <w:szCs w:val="24"/>
        </w:rPr>
        <w:t xml:space="preserve">of teachers </w:t>
      </w:r>
      <w:r w:rsidR="00B10BC9" w:rsidRPr="008947C0">
        <w:rPr>
          <w:rFonts w:ascii="Times New Roman" w:hAnsi="Times New Roman" w:cs="Times New Roman"/>
          <w:sz w:val="24"/>
          <w:szCs w:val="24"/>
        </w:rPr>
        <w:t>reported % improvement in homework completion</w:t>
      </w:r>
      <w:r>
        <w:rPr>
          <w:rFonts w:ascii="Times New Roman" w:hAnsi="Times New Roman" w:cs="Times New Roman"/>
          <w:sz w:val="24"/>
          <w:szCs w:val="24"/>
        </w:rPr>
        <w:t>.</w:t>
      </w:r>
    </w:p>
    <w:p w:rsidR="008947C0" w:rsidRPr="008947C0" w:rsidRDefault="008947C0" w:rsidP="008947C0">
      <w:pPr>
        <w:spacing w:after="0" w:line="240" w:lineRule="auto"/>
        <w:rPr>
          <w:rFonts w:ascii="Times New Roman" w:hAnsi="Times New Roman" w:cs="Times New Roman"/>
          <w:bCs/>
          <w:sz w:val="24"/>
          <w:szCs w:val="24"/>
        </w:rPr>
      </w:pPr>
    </w:p>
    <w:p w:rsidR="008947C0" w:rsidRPr="00B31441" w:rsidRDefault="008947C0" w:rsidP="008947C0">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sz w:val="24"/>
          <w:szCs w:val="24"/>
        </w:rPr>
        <w:t>48.9</w:t>
      </w:r>
      <w:r w:rsidRPr="00B10BC9">
        <w:rPr>
          <w:rFonts w:ascii="Times New Roman" w:hAnsi="Times New Roman" w:cs="Times New Roman"/>
          <w:sz w:val="24"/>
          <w:szCs w:val="24"/>
        </w:rPr>
        <w:t xml:space="preserve">% </w:t>
      </w:r>
      <w:r>
        <w:rPr>
          <w:rFonts w:ascii="Times New Roman" w:hAnsi="Times New Roman" w:cs="Times New Roman"/>
          <w:sz w:val="24"/>
          <w:szCs w:val="24"/>
        </w:rPr>
        <w:t xml:space="preserve">of teachers </w:t>
      </w:r>
      <w:r w:rsidRPr="00B10BC9">
        <w:rPr>
          <w:rFonts w:ascii="Times New Roman" w:hAnsi="Times New Roman" w:cs="Times New Roman"/>
          <w:sz w:val="24"/>
          <w:szCs w:val="24"/>
        </w:rPr>
        <w:t>reported % improvement in homework completion</w:t>
      </w:r>
      <w:r>
        <w:rPr>
          <w:rFonts w:ascii="Times New Roman" w:hAnsi="Times New Roman" w:cs="Times New Roman"/>
          <w:sz w:val="24"/>
          <w:szCs w:val="24"/>
        </w:rPr>
        <w:t>.</w:t>
      </w:r>
    </w:p>
    <w:p w:rsidR="00B10BC9" w:rsidRPr="00B10BC9" w:rsidRDefault="00B10BC9" w:rsidP="008947C0">
      <w:pPr>
        <w:spacing w:after="0" w:line="240" w:lineRule="auto"/>
        <w:rPr>
          <w:rFonts w:ascii="Times New Roman" w:hAnsi="Times New Roman" w:cs="Times New Roman"/>
          <w:sz w:val="24"/>
          <w:szCs w:val="24"/>
        </w:rPr>
      </w:pPr>
    </w:p>
    <w:p w:rsidR="00B10BC9" w:rsidRPr="000C2501" w:rsidRDefault="008947C0" w:rsidP="008947C0">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sz w:val="24"/>
          <w:szCs w:val="24"/>
        </w:rPr>
        <w:t>36.5</w:t>
      </w:r>
      <w:r w:rsidR="00B10BC9" w:rsidRPr="00B10BC9">
        <w:rPr>
          <w:rFonts w:ascii="Times New Roman" w:hAnsi="Times New Roman" w:cs="Times New Roman"/>
          <w:sz w:val="24"/>
          <w:szCs w:val="24"/>
        </w:rPr>
        <w:t xml:space="preserve">% </w:t>
      </w:r>
      <w:r w:rsidR="00B10BC9">
        <w:rPr>
          <w:rFonts w:ascii="Times New Roman" w:hAnsi="Times New Roman" w:cs="Times New Roman"/>
          <w:sz w:val="24"/>
          <w:szCs w:val="24"/>
        </w:rPr>
        <w:t xml:space="preserve">of teachers </w:t>
      </w:r>
      <w:r w:rsidR="00B10BC9" w:rsidRPr="00B10BC9">
        <w:rPr>
          <w:rFonts w:ascii="Times New Roman" w:hAnsi="Times New Roman" w:cs="Times New Roman"/>
          <w:sz w:val="24"/>
          <w:szCs w:val="24"/>
        </w:rPr>
        <w:t>reported % improvement in student behavior.</w:t>
      </w:r>
    </w:p>
    <w:p w:rsidR="000C2501" w:rsidRPr="000C2501" w:rsidRDefault="000C2501" w:rsidP="008947C0">
      <w:pPr>
        <w:pStyle w:val="ListParagraph"/>
        <w:spacing w:after="0" w:line="240" w:lineRule="auto"/>
        <w:rPr>
          <w:rFonts w:ascii="Times New Roman" w:hAnsi="Times New Roman" w:cs="Times New Roman"/>
          <w:bCs/>
          <w:sz w:val="24"/>
          <w:szCs w:val="24"/>
        </w:rPr>
      </w:pPr>
    </w:p>
    <w:p w:rsidR="00B743D2" w:rsidRPr="00D2571A" w:rsidRDefault="00B743D2" w:rsidP="008947C0">
      <w:pPr>
        <w:spacing w:after="0" w:line="240" w:lineRule="auto"/>
        <w:rPr>
          <w:rFonts w:ascii="Times New Roman" w:hAnsi="Times New Roman" w:cs="Times New Roman"/>
          <w:bCs/>
          <w:sz w:val="24"/>
          <w:szCs w:val="24"/>
        </w:rPr>
      </w:pPr>
      <w:r>
        <w:rPr>
          <w:rFonts w:ascii="Times New Roman" w:hAnsi="Times New Roman" w:cs="Times New Roman"/>
          <w:bCs/>
          <w:sz w:val="24"/>
          <w:szCs w:val="24"/>
        </w:rPr>
        <w:t>In the long run these areas of improvement, as well as 21</w:t>
      </w:r>
      <w:r w:rsidRPr="00D2571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CCLC students developing a positive relationship to school through their participation, means that these students are more likely to persist to </w:t>
      </w:r>
      <w:r w:rsidR="008E3E38">
        <w:rPr>
          <w:rFonts w:ascii="Times New Roman" w:hAnsi="Times New Roman" w:cs="Times New Roman"/>
          <w:bCs/>
          <w:sz w:val="24"/>
          <w:szCs w:val="24"/>
        </w:rPr>
        <w:t xml:space="preserve">high school </w:t>
      </w:r>
      <w:r>
        <w:rPr>
          <w:rFonts w:ascii="Times New Roman" w:hAnsi="Times New Roman" w:cs="Times New Roman"/>
          <w:bCs/>
          <w:sz w:val="24"/>
          <w:szCs w:val="24"/>
        </w:rPr>
        <w:t xml:space="preserve">graduation. The data and performance indicate that this broad reaching program touches students’ lives in ways that will have far reaching academic impact. </w:t>
      </w:r>
    </w:p>
    <w:p w:rsidR="00B10BC9" w:rsidRPr="00B10BC9" w:rsidRDefault="00B10BC9" w:rsidP="00B10BC9">
      <w:pPr>
        <w:rPr>
          <w:rFonts w:ascii="Times New Roman" w:hAnsi="Times New Roman" w:cs="Times New Roman"/>
          <w:bCs/>
          <w:sz w:val="24"/>
          <w:szCs w:val="24"/>
        </w:rPr>
      </w:pPr>
    </w:p>
    <w:p w:rsidR="0045325E" w:rsidRDefault="0045325E">
      <w:pPr>
        <w:rPr>
          <w:rFonts w:ascii="Times New Roman" w:hAnsi="Times New Roman" w:cs="Times New Roman"/>
          <w:b/>
          <w:bCs/>
          <w:sz w:val="24"/>
          <w:szCs w:val="24"/>
        </w:rPr>
      </w:pPr>
    </w:p>
    <w:p w:rsidR="0045325E" w:rsidRDefault="0045325E">
      <w:pPr>
        <w:rPr>
          <w:rFonts w:ascii="Times New Roman" w:hAnsi="Times New Roman" w:cs="Times New Roman"/>
          <w:b/>
          <w:bCs/>
          <w:sz w:val="24"/>
          <w:szCs w:val="24"/>
        </w:rPr>
      </w:pPr>
    </w:p>
    <w:p w:rsidR="000C2501" w:rsidRDefault="000C2501">
      <w:pPr>
        <w:rPr>
          <w:rFonts w:ascii="Times New Roman" w:hAnsi="Times New Roman" w:cs="Times New Roman"/>
          <w:b/>
          <w:bCs/>
          <w:sz w:val="24"/>
          <w:szCs w:val="24"/>
        </w:rPr>
      </w:pPr>
      <w:r>
        <w:rPr>
          <w:rFonts w:ascii="Times New Roman" w:hAnsi="Times New Roman" w:cs="Times New Roman"/>
          <w:b/>
          <w:bCs/>
          <w:sz w:val="24"/>
          <w:szCs w:val="24"/>
        </w:rPr>
        <w:br w:type="page"/>
      </w:r>
    </w:p>
    <w:p w:rsidR="004B7B2C" w:rsidRPr="00BB0222" w:rsidRDefault="001E518B" w:rsidP="00E432FA">
      <w:pPr>
        <w:pStyle w:val="Heading1"/>
      </w:pPr>
      <w:bookmarkStart w:id="2" w:name="_Toc446579693"/>
      <w:r w:rsidRPr="004B7B2C">
        <w:lastRenderedPageBreak/>
        <w:t>INTRODUCTION</w:t>
      </w:r>
      <w:bookmarkEnd w:id="2"/>
    </w:p>
    <w:p w:rsidR="004B7B2C" w:rsidRPr="00A640E7" w:rsidRDefault="00BC5A25" w:rsidP="004B7B2C">
      <w:pPr>
        <w:spacing w:after="0" w:line="240" w:lineRule="auto"/>
        <w:rPr>
          <w:rFonts w:ascii="Times New Roman" w:hAnsi="Times New Roman" w:cs="Times New Roman"/>
          <w:bCs/>
          <w:sz w:val="24"/>
          <w:szCs w:val="24"/>
        </w:rPr>
      </w:pPr>
      <w:r w:rsidRPr="00A640E7">
        <w:rPr>
          <w:rFonts w:ascii="Times New Roman" w:hAnsi="Times New Roman" w:cs="Times New Roman"/>
          <w:color w:val="000000"/>
          <w:sz w:val="24"/>
          <w:szCs w:val="24"/>
        </w:rPr>
        <w:t>Originally created in 1994 through the Elementary and Secondary School Act, and expanded in 2001 through No Child Left Behind</w:t>
      </w:r>
      <w:r w:rsidR="00FB6C9E">
        <w:rPr>
          <w:rFonts w:ascii="Times New Roman" w:hAnsi="Times New Roman" w:cs="Times New Roman"/>
          <w:color w:val="000000"/>
          <w:sz w:val="24"/>
          <w:szCs w:val="24"/>
        </w:rPr>
        <w:t xml:space="preserve"> (NCLB)</w:t>
      </w:r>
      <w:r w:rsidRPr="00A640E7">
        <w:rPr>
          <w:rFonts w:ascii="Times New Roman" w:hAnsi="Times New Roman" w:cs="Times New Roman"/>
          <w:color w:val="000000"/>
          <w:sz w:val="24"/>
          <w:szCs w:val="24"/>
        </w:rPr>
        <w:t xml:space="preserve">, the </w:t>
      </w:r>
      <w:r w:rsidR="004B7B2C" w:rsidRPr="00A640E7">
        <w:rPr>
          <w:rFonts w:ascii="Times New Roman" w:hAnsi="Times New Roman" w:cs="Times New Roman"/>
          <w:color w:val="000000"/>
          <w:sz w:val="24"/>
          <w:szCs w:val="24"/>
        </w:rPr>
        <w:t xml:space="preserve">21st Century </w:t>
      </w:r>
      <w:r w:rsidR="00D2392C" w:rsidRPr="00A640E7">
        <w:rPr>
          <w:rFonts w:ascii="Times New Roman" w:hAnsi="Times New Roman" w:cs="Times New Roman"/>
          <w:color w:val="000000"/>
          <w:sz w:val="24"/>
          <w:szCs w:val="24"/>
        </w:rPr>
        <w:t>Community Learning Centers (</w:t>
      </w:r>
      <w:r w:rsidR="004B7B2C" w:rsidRPr="00A640E7">
        <w:rPr>
          <w:rFonts w:ascii="Times New Roman" w:hAnsi="Times New Roman" w:cs="Times New Roman"/>
          <w:color w:val="000000"/>
          <w:sz w:val="24"/>
          <w:szCs w:val="24"/>
        </w:rPr>
        <w:t xml:space="preserve">CCLC) program, </w:t>
      </w:r>
      <w:r w:rsidRPr="00A640E7">
        <w:rPr>
          <w:rFonts w:ascii="Times New Roman" w:hAnsi="Times New Roman" w:cs="Times New Roman"/>
          <w:color w:val="000000"/>
          <w:sz w:val="24"/>
          <w:szCs w:val="24"/>
        </w:rPr>
        <w:t>provides</w:t>
      </w:r>
      <w:r w:rsidR="004B7B2C" w:rsidRPr="00A640E7">
        <w:rPr>
          <w:rFonts w:ascii="Times New Roman" w:hAnsi="Times New Roman" w:cs="Times New Roman"/>
          <w:color w:val="000000"/>
          <w:sz w:val="24"/>
          <w:szCs w:val="24"/>
        </w:rPr>
        <w:t xml:space="preserve"> students in </w:t>
      </w:r>
      <w:r w:rsidR="00072D1D" w:rsidRPr="00A640E7">
        <w:rPr>
          <w:rFonts w:ascii="Times New Roman" w:hAnsi="Times New Roman" w:cs="Times New Roman"/>
          <w:color w:val="000000"/>
          <w:sz w:val="24"/>
          <w:szCs w:val="24"/>
        </w:rPr>
        <w:t>high-need, high-poverty communities</w:t>
      </w:r>
      <w:r w:rsidR="004B7B2C" w:rsidRPr="00A640E7">
        <w:rPr>
          <w:rFonts w:ascii="Times New Roman" w:hAnsi="Times New Roman" w:cs="Times New Roman"/>
          <w:color w:val="000000"/>
          <w:sz w:val="24"/>
          <w:szCs w:val="24"/>
        </w:rPr>
        <w:t xml:space="preserve"> the opportunity to participate in </w:t>
      </w:r>
      <w:r w:rsidR="00072D1D" w:rsidRPr="00A640E7">
        <w:rPr>
          <w:rFonts w:ascii="Times New Roman" w:hAnsi="Times New Roman" w:cs="Times New Roman"/>
          <w:color w:val="000000"/>
          <w:sz w:val="24"/>
          <w:szCs w:val="24"/>
        </w:rPr>
        <w:t xml:space="preserve">afterschool programming.  </w:t>
      </w:r>
      <w:r w:rsidR="00533501" w:rsidRPr="00A640E7">
        <w:rPr>
          <w:rFonts w:ascii="Times New Roman" w:hAnsi="Times New Roman" w:cs="Times New Roman"/>
          <w:color w:val="000000"/>
          <w:sz w:val="24"/>
          <w:szCs w:val="24"/>
        </w:rPr>
        <w:t>Present in all 50 states, the District of Columbia</w:t>
      </w:r>
      <w:r w:rsidR="00A370C2">
        <w:rPr>
          <w:rFonts w:ascii="Times New Roman" w:hAnsi="Times New Roman" w:cs="Times New Roman"/>
          <w:color w:val="000000"/>
          <w:sz w:val="24"/>
          <w:szCs w:val="24"/>
        </w:rPr>
        <w:t>,</w:t>
      </w:r>
      <w:r w:rsidR="00533501" w:rsidRPr="00A640E7">
        <w:rPr>
          <w:rFonts w:ascii="Times New Roman" w:hAnsi="Times New Roman" w:cs="Times New Roman"/>
          <w:color w:val="000000"/>
          <w:sz w:val="24"/>
          <w:szCs w:val="24"/>
        </w:rPr>
        <w:t xml:space="preserve"> and 3 territories</w:t>
      </w:r>
      <w:r w:rsidR="00D2392C" w:rsidRPr="00A640E7">
        <w:rPr>
          <w:rFonts w:ascii="Times New Roman" w:hAnsi="Times New Roman" w:cs="Times New Roman"/>
          <w:color w:val="000000"/>
          <w:sz w:val="24"/>
          <w:szCs w:val="24"/>
        </w:rPr>
        <w:t>,</w:t>
      </w:r>
      <w:r w:rsidR="00072D1D" w:rsidRPr="00A640E7">
        <w:rPr>
          <w:rFonts w:ascii="Times New Roman" w:hAnsi="Times New Roman" w:cs="Times New Roman"/>
          <w:color w:val="000000"/>
          <w:sz w:val="24"/>
          <w:szCs w:val="24"/>
        </w:rPr>
        <w:t xml:space="preserve"> academic enrichment and youth development programs are</w:t>
      </w:r>
      <w:r w:rsidR="00533501" w:rsidRPr="00A640E7">
        <w:rPr>
          <w:rFonts w:ascii="Times New Roman" w:hAnsi="Times New Roman" w:cs="Times New Roman"/>
          <w:color w:val="000000"/>
          <w:sz w:val="24"/>
          <w:szCs w:val="24"/>
        </w:rPr>
        <w:t xml:space="preserve"> designed to enhance participants’ </w:t>
      </w:r>
      <w:r w:rsidR="004B7B2C" w:rsidRPr="00A640E7">
        <w:rPr>
          <w:rFonts w:ascii="Times New Roman" w:hAnsi="Times New Roman" w:cs="Times New Roman"/>
          <w:color w:val="000000"/>
          <w:sz w:val="24"/>
          <w:szCs w:val="24"/>
        </w:rPr>
        <w:t>well-bein</w:t>
      </w:r>
      <w:r w:rsidR="00533501" w:rsidRPr="00A640E7">
        <w:rPr>
          <w:rFonts w:ascii="Times New Roman" w:hAnsi="Times New Roman" w:cs="Times New Roman"/>
          <w:color w:val="000000"/>
          <w:sz w:val="24"/>
          <w:szCs w:val="24"/>
        </w:rPr>
        <w:t>g and academic success</w:t>
      </w:r>
      <w:r w:rsidR="004B7B2C" w:rsidRPr="00A640E7">
        <w:rPr>
          <w:rFonts w:ascii="Times New Roman" w:hAnsi="Times New Roman" w:cs="Times New Roman"/>
          <w:color w:val="000000"/>
          <w:sz w:val="24"/>
          <w:szCs w:val="24"/>
        </w:rPr>
        <w:t xml:space="preserve">. </w:t>
      </w:r>
      <w:r w:rsidRPr="00A640E7">
        <w:rPr>
          <w:rFonts w:ascii="Times New Roman" w:hAnsi="Times New Roman" w:cs="Times New Roman"/>
          <w:bCs/>
          <w:sz w:val="24"/>
          <w:szCs w:val="24"/>
        </w:rPr>
        <w:t xml:space="preserve">For the 2013-2014 academic school </w:t>
      </w:r>
      <w:proofErr w:type="gramStart"/>
      <w:r w:rsidRPr="00A640E7">
        <w:rPr>
          <w:rFonts w:ascii="Times New Roman" w:hAnsi="Times New Roman" w:cs="Times New Roman"/>
          <w:bCs/>
          <w:sz w:val="24"/>
          <w:szCs w:val="24"/>
        </w:rPr>
        <w:t>year</w:t>
      </w:r>
      <w:proofErr w:type="gramEnd"/>
      <w:r w:rsidRPr="00A640E7">
        <w:rPr>
          <w:rFonts w:ascii="Times New Roman" w:hAnsi="Times New Roman" w:cs="Times New Roman"/>
          <w:bCs/>
          <w:sz w:val="24"/>
          <w:szCs w:val="24"/>
        </w:rPr>
        <w:t xml:space="preserve">, </w:t>
      </w:r>
      <w:r w:rsidR="00533501" w:rsidRPr="00A640E7">
        <w:rPr>
          <w:rFonts w:ascii="Times New Roman" w:hAnsi="Times New Roman" w:cs="Times New Roman"/>
          <w:bCs/>
          <w:sz w:val="24"/>
          <w:szCs w:val="24"/>
        </w:rPr>
        <w:t>the United</w:t>
      </w:r>
      <w:r w:rsidRPr="00A640E7">
        <w:rPr>
          <w:rFonts w:ascii="Times New Roman" w:hAnsi="Times New Roman" w:cs="Times New Roman"/>
          <w:bCs/>
          <w:sz w:val="24"/>
          <w:szCs w:val="24"/>
        </w:rPr>
        <w:t xml:space="preserve"> States </w:t>
      </w:r>
      <w:r w:rsidR="00FB6C9E">
        <w:rPr>
          <w:rFonts w:ascii="Times New Roman" w:hAnsi="Times New Roman" w:cs="Times New Roman"/>
          <w:bCs/>
          <w:sz w:val="24"/>
          <w:szCs w:val="24"/>
        </w:rPr>
        <w:t xml:space="preserve">(US) </w:t>
      </w:r>
      <w:r w:rsidRPr="00A640E7">
        <w:rPr>
          <w:rFonts w:ascii="Times New Roman" w:hAnsi="Times New Roman" w:cs="Times New Roman"/>
          <w:bCs/>
          <w:sz w:val="24"/>
          <w:szCs w:val="24"/>
        </w:rPr>
        <w:t xml:space="preserve">Department of Education </w:t>
      </w:r>
      <w:r w:rsidR="00533501" w:rsidRPr="00A640E7">
        <w:rPr>
          <w:rFonts w:ascii="Times New Roman" w:hAnsi="Times New Roman" w:cs="Times New Roman"/>
          <w:bCs/>
          <w:sz w:val="24"/>
          <w:szCs w:val="24"/>
        </w:rPr>
        <w:t>funded</w:t>
      </w:r>
      <w:r w:rsidRPr="00A640E7">
        <w:rPr>
          <w:rFonts w:ascii="Times New Roman" w:hAnsi="Times New Roman" w:cs="Times New Roman"/>
          <w:bCs/>
          <w:sz w:val="24"/>
          <w:szCs w:val="24"/>
        </w:rPr>
        <w:t xml:space="preserve"> 9,556 centers under the 21st CCLC program. </w:t>
      </w:r>
    </w:p>
    <w:p w:rsidR="00BC5A25" w:rsidRPr="00A640E7" w:rsidRDefault="00BC5A25" w:rsidP="004B7B2C">
      <w:pPr>
        <w:spacing w:after="0" w:line="240" w:lineRule="auto"/>
        <w:rPr>
          <w:rFonts w:ascii="Times" w:eastAsia="Times New Roman" w:hAnsi="Times" w:cs="Times New Roman"/>
          <w:sz w:val="20"/>
          <w:szCs w:val="20"/>
        </w:rPr>
      </w:pPr>
    </w:p>
    <w:p w:rsidR="004B7B2C" w:rsidRPr="00A640E7" w:rsidRDefault="00BC5A25" w:rsidP="003A2086">
      <w:pPr>
        <w:spacing w:after="0" w:line="240" w:lineRule="auto"/>
        <w:rPr>
          <w:rFonts w:ascii="Times New Roman" w:hAnsi="Times New Roman" w:cs="Times New Roman"/>
          <w:color w:val="000000"/>
          <w:sz w:val="24"/>
          <w:szCs w:val="24"/>
        </w:rPr>
      </w:pPr>
      <w:r w:rsidRPr="00A640E7">
        <w:rPr>
          <w:rFonts w:ascii="Times New Roman" w:hAnsi="Times New Roman" w:cs="Times New Roman"/>
          <w:color w:val="000000"/>
          <w:sz w:val="24"/>
          <w:szCs w:val="24"/>
        </w:rPr>
        <w:t xml:space="preserve">In this Annual </w:t>
      </w:r>
      <w:r w:rsidR="0037459E" w:rsidRPr="00A640E7">
        <w:rPr>
          <w:rFonts w:ascii="Times New Roman" w:hAnsi="Times New Roman" w:cs="Times New Roman"/>
          <w:color w:val="000000"/>
          <w:sz w:val="24"/>
          <w:szCs w:val="24"/>
        </w:rPr>
        <w:t>Performance</w:t>
      </w:r>
      <w:r w:rsidRPr="00A640E7">
        <w:rPr>
          <w:rFonts w:ascii="Times New Roman" w:hAnsi="Times New Roman" w:cs="Times New Roman"/>
          <w:color w:val="000000"/>
          <w:sz w:val="24"/>
          <w:szCs w:val="24"/>
        </w:rPr>
        <w:t xml:space="preserve"> Report (APR), data from the 21st CCLC Profile and Performance Information Collection System (PPICS) were analyzed in order to report on the Government Performance and Results Act (GPRA) performance indicators associated with the 21st CCLC program. These metrics, </w:t>
      </w:r>
      <w:r w:rsidR="0037459E" w:rsidRPr="00A640E7">
        <w:rPr>
          <w:rFonts w:ascii="Times New Roman" w:hAnsi="Times New Roman" w:cs="Times New Roman"/>
          <w:color w:val="000000"/>
          <w:sz w:val="24"/>
          <w:szCs w:val="24"/>
        </w:rPr>
        <w:t xml:space="preserve">which are further described in Section 1, are </w:t>
      </w:r>
      <w:r w:rsidRPr="00A640E7">
        <w:rPr>
          <w:rFonts w:ascii="Times New Roman" w:hAnsi="Times New Roman" w:cs="Times New Roman"/>
          <w:color w:val="000000"/>
          <w:sz w:val="24"/>
          <w:szCs w:val="24"/>
        </w:rPr>
        <w:t xml:space="preserve">the </w:t>
      </w:r>
      <w:r w:rsidR="0037459E" w:rsidRPr="00A640E7">
        <w:rPr>
          <w:rFonts w:ascii="Times New Roman" w:hAnsi="Times New Roman" w:cs="Times New Roman"/>
          <w:color w:val="000000"/>
          <w:sz w:val="24"/>
          <w:szCs w:val="24"/>
        </w:rPr>
        <w:t>primary way</w:t>
      </w:r>
      <w:r w:rsidRPr="00A640E7">
        <w:rPr>
          <w:rFonts w:ascii="Times New Roman" w:hAnsi="Times New Roman" w:cs="Times New Roman"/>
          <w:color w:val="000000"/>
          <w:sz w:val="24"/>
          <w:szCs w:val="24"/>
        </w:rPr>
        <w:t xml:space="preserve"> the federal government determines the success and progress o</w:t>
      </w:r>
      <w:r w:rsidR="0037459E" w:rsidRPr="00A640E7">
        <w:rPr>
          <w:rFonts w:ascii="Times New Roman" w:hAnsi="Times New Roman" w:cs="Times New Roman"/>
          <w:color w:val="000000"/>
          <w:sz w:val="24"/>
          <w:szCs w:val="24"/>
        </w:rPr>
        <w:t xml:space="preserve">f the 21st CCLC program based on the statutory requirements. </w:t>
      </w:r>
      <w:r w:rsidR="003A2086" w:rsidRPr="00A640E7">
        <w:rPr>
          <w:rFonts w:ascii="Times New Roman" w:hAnsi="Times New Roman" w:cs="Times New Roman"/>
          <w:color w:val="000000"/>
          <w:sz w:val="24"/>
          <w:szCs w:val="24"/>
        </w:rPr>
        <w:t>The APR has historically been</w:t>
      </w:r>
      <w:r w:rsidR="004B7B2C" w:rsidRPr="00A640E7">
        <w:rPr>
          <w:rFonts w:ascii="Times New Roman" w:hAnsi="Times New Roman" w:cs="Times New Roman"/>
          <w:color w:val="000000"/>
          <w:sz w:val="24"/>
          <w:szCs w:val="24"/>
        </w:rPr>
        <w:t xml:space="preserve"> completed by grantees through PPICS once a year to summarize the operational elements of their program, the student population served, and the extent to which students improved in academic-related behaviors and achievement. </w:t>
      </w:r>
    </w:p>
    <w:p w:rsidR="003A2086" w:rsidRPr="00A640E7" w:rsidRDefault="003A2086" w:rsidP="003A2086">
      <w:pPr>
        <w:spacing w:after="0" w:line="240" w:lineRule="auto"/>
        <w:rPr>
          <w:rFonts w:ascii="Times New Roman" w:hAnsi="Times New Roman" w:cs="Times New Roman"/>
          <w:color w:val="000000"/>
          <w:sz w:val="24"/>
          <w:szCs w:val="24"/>
        </w:rPr>
      </w:pPr>
    </w:p>
    <w:p w:rsidR="00E6596E" w:rsidRPr="00A640E7" w:rsidRDefault="00B93F4E" w:rsidP="00E6596E">
      <w:pPr>
        <w:rPr>
          <w:rFonts w:ascii="Times New Roman" w:hAnsi="Times New Roman" w:cs="Times New Roman"/>
          <w:bCs/>
          <w:sz w:val="24"/>
          <w:szCs w:val="24"/>
        </w:rPr>
      </w:pPr>
      <w:r w:rsidRPr="00A640E7">
        <w:rPr>
          <w:rFonts w:ascii="Times New Roman" w:hAnsi="Times New Roman" w:cs="Times New Roman"/>
          <w:bCs/>
          <w:sz w:val="24"/>
          <w:szCs w:val="24"/>
        </w:rPr>
        <w:t>This year, the data show that the m</w:t>
      </w:r>
      <w:r w:rsidR="00E6596E" w:rsidRPr="00A640E7">
        <w:rPr>
          <w:rFonts w:ascii="Times New Roman" w:hAnsi="Times New Roman" w:cs="Times New Roman"/>
          <w:bCs/>
          <w:sz w:val="24"/>
          <w:szCs w:val="24"/>
        </w:rPr>
        <w:t xml:space="preserve">ajority of </w:t>
      </w:r>
      <w:r w:rsidRPr="00A640E7">
        <w:rPr>
          <w:rFonts w:ascii="Times New Roman" w:hAnsi="Times New Roman" w:cs="Times New Roman"/>
          <w:bCs/>
          <w:sz w:val="24"/>
          <w:szCs w:val="24"/>
        </w:rPr>
        <w:t>funded centers</w:t>
      </w:r>
      <w:r w:rsidR="00E6596E" w:rsidRPr="00A640E7">
        <w:rPr>
          <w:rFonts w:ascii="Times New Roman" w:hAnsi="Times New Roman" w:cs="Times New Roman"/>
          <w:bCs/>
          <w:sz w:val="24"/>
          <w:szCs w:val="24"/>
        </w:rPr>
        <w:t xml:space="preserve"> were classified as school districts with community-based </w:t>
      </w:r>
      <w:r w:rsidRPr="00A640E7">
        <w:rPr>
          <w:rFonts w:ascii="Times New Roman" w:hAnsi="Times New Roman" w:cs="Times New Roman"/>
          <w:bCs/>
          <w:sz w:val="24"/>
          <w:szCs w:val="24"/>
        </w:rPr>
        <w:t>organizations following second. In the past year</w:t>
      </w:r>
      <w:r w:rsidR="00A370C2">
        <w:rPr>
          <w:rFonts w:ascii="Times New Roman" w:hAnsi="Times New Roman" w:cs="Times New Roman"/>
          <w:bCs/>
          <w:sz w:val="24"/>
          <w:szCs w:val="24"/>
        </w:rPr>
        <w:t>,</w:t>
      </w:r>
      <w:r w:rsidRPr="00A640E7">
        <w:rPr>
          <w:rFonts w:ascii="Times New Roman" w:hAnsi="Times New Roman" w:cs="Times New Roman"/>
          <w:bCs/>
          <w:sz w:val="24"/>
          <w:szCs w:val="24"/>
        </w:rPr>
        <w:t xml:space="preserve"> the 2</w:t>
      </w:r>
      <w:r w:rsidR="00C47A89" w:rsidRPr="00A640E7">
        <w:rPr>
          <w:rFonts w:ascii="Times New Roman" w:hAnsi="Times New Roman" w:cs="Times New Roman"/>
          <w:bCs/>
          <w:sz w:val="24"/>
          <w:szCs w:val="24"/>
        </w:rPr>
        <w:t>1st</w:t>
      </w:r>
      <w:r w:rsidRPr="00A640E7">
        <w:rPr>
          <w:rFonts w:ascii="Times New Roman" w:hAnsi="Times New Roman" w:cs="Times New Roman"/>
          <w:bCs/>
          <w:sz w:val="24"/>
          <w:szCs w:val="24"/>
        </w:rPr>
        <w:t xml:space="preserve"> CCLC </w:t>
      </w:r>
      <w:r w:rsidR="00E6596E" w:rsidRPr="00A640E7">
        <w:rPr>
          <w:rFonts w:ascii="Times New Roman" w:hAnsi="Times New Roman" w:cs="Times New Roman"/>
          <w:bCs/>
          <w:sz w:val="24"/>
          <w:szCs w:val="24"/>
        </w:rPr>
        <w:t xml:space="preserve">program has served a total </w:t>
      </w:r>
      <w:r w:rsidR="00F470A2">
        <w:rPr>
          <w:rFonts w:ascii="Times New Roman" w:hAnsi="Times New Roman" w:cs="Times New Roman"/>
          <w:bCs/>
          <w:sz w:val="24"/>
          <w:szCs w:val="24"/>
        </w:rPr>
        <w:t xml:space="preserve">of </w:t>
      </w:r>
      <w:r w:rsidR="0071734B">
        <w:rPr>
          <w:rFonts w:ascii="Times New Roman" w:hAnsi="Times New Roman" w:cs="Times New Roman"/>
          <w:bCs/>
          <w:sz w:val="24"/>
          <w:szCs w:val="24"/>
        </w:rPr>
        <w:t xml:space="preserve">more than </w:t>
      </w:r>
      <w:r w:rsidR="00F470A2">
        <w:rPr>
          <w:rFonts w:ascii="Times New Roman" w:hAnsi="Times New Roman" w:cs="Times New Roman"/>
          <w:bCs/>
          <w:sz w:val="24"/>
          <w:szCs w:val="24"/>
        </w:rPr>
        <w:t>2.2</w:t>
      </w:r>
      <w:r w:rsidR="00E6596E" w:rsidRPr="00A640E7">
        <w:rPr>
          <w:rFonts w:ascii="Times New Roman" w:hAnsi="Times New Roman" w:cs="Times New Roman"/>
          <w:bCs/>
          <w:sz w:val="24"/>
          <w:szCs w:val="24"/>
        </w:rPr>
        <w:t xml:space="preserve"> million people and employed 116,845 paid and 31,054 volunteer staff.  The majority of the paid staff </w:t>
      </w:r>
      <w:proofErr w:type="gramStart"/>
      <w:r w:rsidR="00E6596E" w:rsidRPr="00A640E7">
        <w:rPr>
          <w:rFonts w:ascii="Times New Roman" w:hAnsi="Times New Roman" w:cs="Times New Roman"/>
          <w:bCs/>
          <w:sz w:val="24"/>
          <w:szCs w:val="24"/>
        </w:rPr>
        <w:t>were</w:t>
      </w:r>
      <w:proofErr w:type="gramEnd"/>
      <w:r w:rsidR="00E6596E" w:rsidRPr="00A640E7">
        <w:rPr>
          <w:rFonts w:ascii="Times New Roman" w:hAnsi="Times New Roman" w:cs="Times New Roman"/>
          <w:bCs/>
          <w:sz w:val="24"/>
          <w:szCs w:val="24"/>
        </w:rPr>
        <w:t xml:space="preserve"> school day teachers and most of the volunteers were reported to be college students.  </w:t>
      </w:r>
    </w:p>
    <w:p w:rsidR="00B93F4E" w:rsidRPr="00A640E7" w:rsidRDefault="00C47A89" w:rsidP="00E6596E">
      <w:pPr>
        <w:rPr>
          <w:rFonts w:ascii="Times New Roman" w:hAnsi="Times New Roman" w:cs="Times New Roman"/>
          <w:bCs/>
          <w:sz w:val="24"/>
          <w:szCs w:val="24"/>
        </w:rPr>
      </w:pPr>
      <w:r w:rsidRPr="00A640E7">
        <w:rPr>
          <w:rFonts w:ascii="Times New Roman" w:hAnsi="Times New Roman" w:cs="Times New Roman"/>
          <w:bCs/>
          <w:sz w:val="24"/>
          <w:szCs w:val="24"/>
        </w:rPr>
        <w:t xml:space="preserve">In the following report, </w:t>
      </w:r>
      <w:r w:rsidR="00B93F4E" w:rsidRPr="00A640E7">
        <w:rPr>
          <w:rFonts w:ascii="Times New Roman" w:hAnsi="Times New Roman" w:cs="Times New Roman"/>
          <w:bCs/>
          <w:sz w:val="24"/>
          <w:szCs w:val="24"/>
        </w:rPr>
        <w:t>the methodological approach taken to data analysis</w:t>
      </w:r>
      <w:r w:rsidRPr="00A640E7">
        <w:rPr>
          <w:rFonts w:ascii="Times New Roman" w:hAnsi="Times New Roman" w:cs="Times New Roman"/>
          <w:bCs/>
          <w:sz w:val="24"/>
          <w:szCs w:val="24"/>
        </w:rPr>
        <w:t xml:space="preserve"> is highlighted</w:t>
      </w:r>
      <w:r w:rsidR="00B93F4E" w:rsidRPr="00A640E7">
        <w:rPr>
          <w:rFonts w:ascii="Times New Roman" w:hAnsi="Times New Roman" w:cs="Times New Roman"/>
          <w:bCs/>
          <w:sz w:val="24"/>
          <w:szCs w:val="24"/>
        </w:rPr>
        <w:t xml:space="preserve"> before turning to the results of the GPRA analysis.  </w:t>
      </w:r>
      <w:r w:rsidRPr="00A640E7">
        <w:rPr>
          <w:rFonts w:ascii="Times New Roman" w:hAnsi="Times New Roman" w:cs="Times New Roman"/>
          <w:bCs/>
          <w:sz w:val="24"/>
          <w:szCs w:val="24"/>
        </w:rPr>
        <w:t xml:space="preserve">The report concludes with </w:t>
      </w:r>
      <w:r w:rsidR="00B93F4E" w:rsidRPr="00A640E7">
        <w:rPr>
          <w:rFonts w:ascii="Times New Roman" w:hAnsi="Times New Roman" w:cs="Times New Roman"/>
          <w:bCs/>
          <w:sz w:val="24"/>
          <w:szCs w:val="24"/>
        </w:rPr>
        <w:t xml:space="preserve">a demographic analysis of students and staff to provide context to the GPRA analysis as well as </w:t>
      </w:r>
      <w:r w:rsidRPr="00A640E7">
        <w:rPr>
          <w:rFonts w:ascii="Times New Roman" w:hAnsi="Times New Roman" w:cs="Times New Roman"/>
          <w:bCs/>
          <w:sz w:val="24"/>
          <w:szCs w:val="24"/>
        </w:rPr>
        <w:t>present</w:t>
      </w:r>
      <w:r w:rsidR="00AA22B1" w:rsidRPr="00A640E7">
        <w:rPr>
          <w:rFonts w:ascii="Times New Roman" w:hAnsi="Times New Roman" w:cs="Times New Roman"/>
          <w:bCs/>
          <w:sz w:val="24"/>
          <w:szCs w:val="24"/>
        </w:rPr>
        <w:t xml:space="preserve"> a holistic pict</w:t>
      </w:r>
      <w:r w:rsidR="00E60767">
        <w:rPr>
          <w:rFonts w:ascii="Times New Roman" w:hAnsi="Times New Roman" w:cs="Times New Roman"/>
          <w:bCs/>
          <w:sz w:val="24"/>
          <w:szCs w:val="24"/>
        </w:rPr>
        <w:t>ure of the 21st CCLC program</w:t>
      </w:r>
      <w:r w:rsidR="00AA22B1" w:rsidRPr="00A640E7">
        <w:rPr>
          <w:rFonts w:ascii="Times New Roman" w:hAnsi="Times New Roman" w:cs="Times New Roman"/>
          <w:bCs/>
          <w:sz w:val="24"/>
          <w:szCs w:val="24"/>
        </w:rPr>
        <w:t xml:space="preserve">. </w:t>
      </w:r>
    </w:p>
    <w:p w:rsidR="00E6596E" w:rsidRPr="00A640E7" w:rsidRDefault="00E6596E" w:rsidP="00C47A89">
      <w:pPr>
        <w:rPr>
          <w:rFonts w:ascii="Times New Roman" w:hAnsi="Times New Roman" w:cs="Times New Roman"/>
          <w:b/>
          <w:bCs/>
          <w:sz w:val="24"/>
          <w:szCs w:val="24"/>
        </w:rPr>
      </w:pPr>
      <w:r w:rsidRPr="00A640E7">
        <w:rPr>
          <w:rFonts w:ascii="Times New Roman" w:hAnsi="Times New Roman" w:cs="Times New Roman"/>
          <w:b/>
          <w:bCs/>
          <w:sz w:val="24"/>
          <w:szCs w:val="24"/>
        </w:rPr>
        <w:t>Methodology</w:t>
      </w:r>
      <w:r w:rsidR="00B31441">
        <w:rPr>
          <w:rFonts w:ascii="Times New Roman" w:hAnsi="Times New Roman" w:cs="Times New Roman"/>
          <w:b/>
          <w:bCs/>
          <w:sz w:val="24"/>
          <w:szCs w:val="24"/>
        </w:rPr>
        <w:t>:</w:t>
      </w:r>
    </w:p>
    <w:p w:rsidR="0037459E" w:rsidRPr="00A640E7" w:rsidRDefault="00EC0BD3" w:rsidP="0037459E">
      <w:pPr>
        <w:spacing w:after="0" w:line="240" w:lineRule="auto"/>
        <w:rPr>
          <w:rFonts w:ascii="Times New Roman" w:hAnsi="Times New Roman" w:cs="Times New Roman"/>
          <w:color w:val="000000"/>
          <w:sz w:val="24"/>
          <w:szCs w:val="24"/>
        </w:rPr>
      </w:pPr>
      <w:r w:rsidRPr="00A640E7">
        <w:rPr>
          <w:rFonts w:ascii="Times New Roman" w:hAnsi="Times New Roman" w:cs="Times New Roman"/>
          <w:color w:val="000000"/>
          <w:sz w:val="24"/>
          <w:szCs w:val="24"/>
        </w:rPr>
        <w:t xml:space="preserve">This year </w:t>
      </w:r>
      <w:r w:rsidR="0037459E" w:rsidRPr="00A640E7">
        <w:rPr>
          <w:rFonts w:ascii="Times New Roman" w:hAnsi="Times New Roman" w:cs="Times New Roman"/>
          <w:color w:val="000000"/>
          <w:sz w:val="24"/>
          <w:szCs w:val="24"/>
        </w:rPr>
        <w:t xml:space="preserve">marks a transition year in terms of data collection and analysis for the 21st CCLC program.  Under contract </w:t>
      </w:r>
      <w:r w:rsidR="008753EC" w:rsidRPr="00A640E7">
        <w:rPr>
          <w:rFonts w:ascii="Times New Roman" w:hAnsi="Times New Roman" w:cs="Times New Roman"/>
          <w:color w:val="000000"/>
          <w:sz w:val="24"/>
          <w:szCs w:val="24"/>
        </w:rPr>
        <w:t>ED-ESE-14-C-0120</w:t>
      </w:r>
      <w:r w:rsidR="0037459E" w:rsidRPr="00A640E7">
        <w:rPr>
          <w:rFonts w:ascii="Times New Roman" w:hAnsi="Times New Roman" w:cs="Times New Roman"/>
          <w:color w:val="000000"/>
          <w:sz w:val="24"/>
          <w:szCs w:val="24"/>
        </w:rPr>
        <w:t xml:space="preserve">, the US Department of Education has authorized the development </w:t>
      </w:r>
      <w:r w:rsidR="003A2086" w:rsidRPr="00A640E7">
        <w:rPr>
          <w:rFonts w:ascii="Times New Roman" w:hAnsi="Times New Roman" w:cs="Times New Roman"/>
          <w:color w:val="000000"/>
          <w:sz w:val="24"/>
          <w:szCs w:val="24"/>
        </w:rPr>
        <w:t>of a new data collection system</w:t>
      </w:r>
      <w:r w:rsidR="0037459E" w:rsidRPr="00A640E7">
        <w:rPr>
          <w:rFonts w:ascii="Times New Roman" w:hAnsi="Times New Roman" w:cs="Times New Roman"/>
          <w:color w:val="000000"/>
          <w:sz w:val="24"/>
          <w:szCs w:val="24"/>
        </w:rPr>
        <w:t xml:space="preserve">.  </w:t>
      </w:r>
      <w:r w:rsidR="004255D8" w:rsidRPr="00A640E7">
        <w:rPr>
          <w:rFonts w:ascii="Times New Roman" w:hAnsi="Times New Roman" w:cs="Times New Roman"/>
          <w:color w:val="000000"/>
          <w:sz w:val="24"/>
          <w:szCs w:val="24"/>
        </w:rPr>
        <w:t>T</w:t>
      </w:r>
      <w:r w:rsidR="008753EC" w:rsidRPr="00A640E7">
        <w:rPr>
          <w:rFonts w:ascii="Times New Roman" w:hAnsi="Times New Roman" w:cs="Times New Roman"/>
          <w:color w:val="000000"/>
          <w:sz w:val="24"/>
          <w:szCs w:val="24"/>
        </w:rPr>
        <w:t xml:space="preserve">he new data collection system is </w:t>
      </w:r>
      <w:r w:rsidR="004255D8" w:rsidRPr="00A640E7">
        <w:rPr>
          <w:rFonts w:ascii="Times New Roman" w:hAnsi="Times New Roman" w:cs="Times New Roman"/>
          <w:color w:val="000000"/>
          <w:sz w:val="24"/>
          <w:szCs w:val="24"/>
        </w:rPr>
        <w:t xml:space="preserve">being </w:t>
      </w:r>
      <w:r w:rsidR="008753EC" w:rsidRPr="00A640E7">
        <w:rPr>
          <w:rFonts w:ascii="Times New Roman" w:hAnsi="Times New Roman" w:cs="Times New Roman"/>
          <w:color w:val="000000"/>
          <w:sz w:val="24"/>
          <w:szCs w:val="24"/>
        </w:rPr>
        <w:t xml:space="preserve">developed with stakeholder input </w:t>
      </w:r>
      <w:r w:rsidR="003A2086" w:rsidRPr="00A640E7">
        <w:rPr>
          <w:rFonts w:ascii="Times New Roman" w:hAnsi="Times New Roman" w:cs="Times New Roman"/>
          <w:color w:val="000000"/>
          <w:sz w:val="24"/>
          <w:szCs w:val="24"/>
        </w:rPr>
        <w:t>and will</w:t>
      </w:r>
      <w:r w:rsidR="008753EC" w:rsidRPr="00A640E7">
        <w:rPr>
          <w:rFonts w:ascii="Times New Roman" w:hAnsi="Times New Roman" w:cs="Times New Roman"/>
          <w:color w:val="000000"/>
          <w:sz w:val="24"/>
          <w:szCs w:val="24"/>
        </w:rPr>
        <w:t xml:space="preserve"> begin collecting data for the 2014-15 performance </w:t>
      </w:r>
      <w:proofErr w:type="gramStart"/>
      <w:r w:rsidR="008753EC" w:rsidRPr="00A640E7">
        <w:rPr>
          <w:rFonts w:ascii="Times New Roman" w:hAnsi="Times New Roman" w:cs="Times New Roman"/>
          <w:color w:val="000000"/>
          <w:sz w:val="24"/>
          <w:szCs w:val="24"/>
        </w:rPr>
        <w:t>year</w:t>
      </w:r>
      <w:proofErr w:type="gramEnd"/>
      <w:r w:rsidR="00E60767">
        <w:rPr>
          <w:rFonts w:ascii="Times New Roman" w:hAnsi="Times New Roman" w:cs="Times New Roman"/>
          <w:color w:val="000000"/>
          <w:sz w:val="24"/>
          <w:szCs w:val="24"/>
        </w:rPr>
        <w:t>. P</w:t>
      </w:r>
      <w:r w:rsidR="008753EC" w:rsidRPr="00A640E7">
        <w:rPr>
          <w:rFonts w:ascii="Times New Roman" w:hAnsi="Times New Roman" w:cs="Times New Roman"/>
          <w:color w:val="000000"/>
          <w:sz w:val="24"/>
          <w:szCs w:val="24"/>
        </w:rPr>
        <w:t xml:space="preserve">erformance </w:t>
      </w:r>
      <w:r w:rsidR="00A640E7">
        <w:rPr>
          <w:rFonts w:ascii="Times New Roman" w:hAnsi="Times New Roman" w:cs="Times New Roman"/>
          <w:color w:val="000000"/>
          <w:sz w:val="24"/>
          <w:szCs w:val="24"/>
        </w:rPr>
        <w:t xml:space="preserve">for </w:t>
      </w:r>
      <w:r w:rsidR="00A640E7" w:rsidRPr="00A640E7">
        <w:rPr>
          <w:rFonts w:ascii="Times New Roman" w:hAnsi="Times New Roman" w:cs="Times New Roman"/>
          <w:color w:val="000000"/>
          <w:sz w:val="24"/>
          <w:szCs w:val="24"/>
        </w:rPr>
        <w:t xml:space="preserve">2013-14 </w:t>
      </w:r>
      <w:r w:rsidR="00A640E7">
        <w:rPr>
          <w:rFonts w:ascii="Times New Roman" w:hAnsi="Times New Roman" w:cs="Times New Roman"/>
          <w:color w:val="000000"/>
          <w:sz w:val="24"/>
          <w:szCs w:val="24"/>
        </w:rPr>
        <w:t xml:space="preserve">contained within this report </w:t>
      </w:r>
      <w:r w:rsidR="008753EC" w:rsidRPr="00A640E7">
        <w:rPr>
          <w:rFonts w:ascii="Times New Roman" w:hAnsi="Times New Roman" w:cs="Times New Roman"/>
          <w:color w:val="000000"/>
          <w:sz w:val="24"/>
          <w:szCs w:val="24"/>
        </w:rPr>
        <w:t xml:space="preserve">is based on </w:t>
      </w:r>
      <w:r w:rsidR="0037459E" w:rsidRPr="00A640E7">
        <w:rPr>
          <w:rFonts w:ascii="Times New Roman" w:hAnsi="Times New Roman" w:cs="Times New Roman"/>
          <w:color w:val="000000"/>
          <w:sz w:val="24"/>
          <w:szCs w:val="24"/>
        </w:rPr>
        <w:t xml:space="preserve">data </w:t>
      </w:r>
      <w:r w:rsidR="004255D8" w:rsidRPr="00A640E7">
        <w:rPr>
          <w:rFonts w:ascii="Times New Roman" w:hAnsi="Times New Roman" w:cs="Times New Roman"/>
          <w:color w:val="000000"/>
          <w:sz w:val="24"/>
          <w:szCs w:val="24"/>
        </w:rPr>
        <w:t xml:space="preserve">that </w:t>
      </w:r>
      <w:r w:rsidR="0037459E" w:rsidRPr="00A640E7">
        <w:rPr>
          <w:rFonts w:ascii="Times New Roman" w:hAnsi="Times New Roman" w:cs="Times New Roman"/>
          <w:color w:val="000000"/>
          <w:sz w:val="24"/>
          <w:szCs w:val="24"/>
        </w:rPr>
        <w:t xml:space="preserve">were collected through </w:t>
      </w:r>
      <w:r w:rsidR="008753EC" w:rsidRPr="00A640E7">
        <w:rPr>
          <w:rFonts w:ascii="Times New Roman" w:hAnsi="Times New Roman" w:cs="Times New Roman"/>
          <w:color w:val="000000"/>
          <w:sz w:val="24"/>
          <w:szCs w:val="24"/>
        </w:rPr>
        <w:t>the previous system</w:t>
      </w:r>
      <w:r w:rsidR="004255D8" w:rsidRPr="00A640E7">
        <w:rPr>
          <w:rFonts w:ascii="Times New Roman" w:hAnsi="Times New Roman" w:cs="Times New Roman"/>
          <w:color w:val="000000"/>
          <w:sz w:val="24"/>
          <w:szCs w:val="24"/>
        </w:rPr>
        <w:t xml:space="preserve">, </w:t>
      </w:r>
      <w:r w:rsidR="0037459E" w:rsidRPr="00A640E7">
        <w:rPr>
          <w:rFonts w:ascii="Times New Roman" w:hAnsi="Times New Roman" w:cs="Times New Roman"/>
          <w:color w:val="000000"/>
          <w:sz w:val="24"/>
          <w:szCs w:val="24"/>
        </w:rPr>
        <w:t>PPICS</w:t>
      </w:r>
      <w:r w:rsidR="004255D8" w:rsidRPr="00A640E7">
        <w:rPr>
          <w:rFonts w:ascii="Times New Roman" w:hAnsi="Times New Roman" w:cs="Times New Roman"/>
          <w:color w:val="000000"/>
          <w:sz w:val="24"/>
          <w:szCs w:val="24"/>
        </w:rPr>
        <w:t>, and</w:t>
      </w:r>
      <w:r w:rsidR="0037459E" w:rsidRPr="00A640E7">
        <w:rPr>
          <w:rFonts w:ascii="Times New Roman" w:hAnsi="Times New Roman" w:cs="Times New Roman"/>
          <w:color w:val="000000"/>
          <w:sz w:val="24"/>
          <w:szCs w:val="24"/>
        </w:rPr>
        <w:t xml:space="preserve"> analyzed for the purposes of the APR under the new contract. </w:t>
      </w:r>
    </w:p>
    <w:p w:rsidR="0037459E" w:rsidRPr="00A640E7" w:rsidRDefault="0037459E" w:rsidP="00E6596E">
      <w:pPr>
        <w:spacing w:after="0" w:line="240" w:lineRule="auto"/>
        <w:rPr>
          <w:rFonts w:ascii="Times New Roman" w:hAnsi="Times New Roman" w:cs="Times New Roman"/>
          <w:bCs/>
          <w:sz w:val="24"/>
          <w:szCs w:val="24"/>
        </w:rPr>
      </w:pPr>
    </w:p>
    <w:p w:rsidR="00E60767" w:rsidRDefault="00E6596E" w:rsidP="00E6596E">
      <w:pPr>
        <w:spacing w:after="0" w:line="240" w:lineRule="auto"/>
        <w:rPr>
          <w:rFonts w:ascii="Times New Roman" w:hAnsi="Times New Roman" w:cs="Times New Roman"/>
          <w:bCs/>
          <w:sz w:val="24"/>
          <w:szCs w:val="24"/>
        </w:rPr>
      </w:pPr>
      <w:r w:rsidRPr="00A640E7">
        <w:rPr>
          <w:rFonts w:ascii="Times New Roman" w:hAnsi="Times New Roman" w:cs="Times New Roman"/>
          <w:bCs/>
          <w:sz w:val="24"/>
          <w:szCs w:val="24"/>
        </w:rPr>
        <w:t>Data for the participating 54 states</w:t>
      </w:r>
      <w:r w:rsidR="00FA5471">
        <w:rPr>
          <w:rFonts w:ascii="Times New Roman" w:hAnsi="Times New Roman" w:cs="Times New Roman"/>
          <w:bCs/>
          <w:sz w:val="24"/>
          <w:szCs w:val="24"/>
        </w:rPr>
        <w:t>/</w:t>
      </w:r>
      <w:r w:rsidRPr="00A640E7">
        <w:rPr>
          <w:rFonts w:ascii="Times New Roman" w:hAnsi="Times New Roman" w:cs="Times New Roman"/>
          <w:bCs/>
          <w:sz w:val="24"/>
          <w:szCs w:val="24"/>
        </w:rPr>
        <w:t>territories were downloaded</w:t>
      </w:r>
      <w:r w:rsidR="007F63DE" w:rsidRPr="00A640E7">
        <w:rPr>
          <w:rFonts w:ascii="Times New Roman" w:hAnsi="Times New Roman" w:cs="Times New Roman"/>
          <w:bCs/>
          <w:sz w:val="24"/>
          <w:szCs w:val="24"/>
        </w:rPr>
        <w:t xml:space="preserve"> using Tableau data visualization software</w:t>
      </w:r>
      <w:r w:rsidRPr="00A640E7">
        <w:rPr>
          <w:rFonts w:ascii="Times New Roman" w:hAnsi="Times New Roman" w:cs="Times New Roman"/>
          <w:bCs/>
          <w:sz w:val="24"/>
          <w:szCs w:val="24"/>
        </w:rPr>
        <w:t xml:space="preserve"> from </w:t>
      </w:r>
      <w:r w:rsidR="0037459E" w:rsidRPr="00A640E7">
        <w:rPr>
          <w:rFonts w:ascii="Times New Roman" w:hAnsi="Times New Roman" w:cs="Times New Roman"/>
          <w:bCs/>
          <w:sz w:val="24"/>
          <w:szCs w:val="24"/>
        </w:rPr>
        <w:t>PPICS</w:t>
      </w:r>
      <w:r w:rsidR="00A640E7">
        <w:rPr>
          <w:rFonts w:ascii="Times New Roman" w:hAnsi="Times New Roman" w:cs="Times New Roman"/>
          <w:bCs/>
          <w:sz w:val="24"/>
          <w:szCs w:val="24"/>
        </w:rPr>
        <w:t xml:space="preserve"> into a Microsoft</w:t>
      </w:r>
      <w:r w:rsidRPr="00A640E7">
        <w:rPr>
          <w:rFonts w:ascii="Times New Roman" w:hAnsi="Times New Roman" w:cs="Times New Roman"/>
          <w:bCs/>
          <w:sz w:val="24"/>
          <w:szCs w:val="24"/>
        </w:rPr>
        <w:t xml:space="preserve"> Excel file. </w:t>
      </w:r>
      <w:r w:rsidR="007F63DE" w:rsidRPr="00A640E7">
        <w:rPr>
          <w:rFonts w:ascii="Times New Roman" w:hAnsi="Times New Roman" w:cs="Times New Roman"/>
          <w:bCs/>
          <w:sz w:val="24"/>
          <w:szCs w:val="24"/>
        </w:rPr>
        <w:t xml:space="preserve"> In order to verify the accuracy of the download, the downloaded data were checked </w:t>
      </w:r>
      <w:r w:rsidR="00A640E7">
        <w:rPr>
          <w:rFonts w:ascii="Times New Roman" w:hAnsi="Times New Roman" w:cs="Times New Roman"/>
          <w:bCs/>
          <w:sz w:val="24"/>
          <w:szCs w:val="24"/>
        </w:rPr>
        <w:t>against the raw data in PPICS</w:t>
      </w:r>
      <w:r w:rsidR="007F63DE" w:rsidRPr="00A640E7">
        <w:rPr>
          <w:rFonts w:ascii="Times New Roman" w:hAnsi="Times New Roman" w:cs="Times New Roman"/>
          <w:bCs/>
          <w:sz w:val="24"/>
          <w:szCs w:val="24"/>
        </w:rPr>
        <w:t xml:space="preserve">. </w:t>
      </w:r>
      <w:r w:rsidRPr="00A640E7">
        <w:rPr>
          <w:rFonts w:ascii="Times New Roman" w:hAnsi="Times New Roman" w:cs="Times New Roman"/>
          <w:bCs/>
          <w:sz w:val="24"/>
          <w:szCs w:val="24"/>
        </w:rPr>
        <w:t xml:space="preserve"> The Excel file consisted of 142 columns of data</w:t>
      </w:r>
      <w:r w:rsidR="007F63DE" w:rsidRPr="00A640E7">
        <w:rPr>
          <w:rFonts w:ascii="Times New Roman" w:hAnsi="Times New Roman" w:cs="Times New Roman"/>
          <w:bCs/>
          <w:sz w:val="24"/>
          <w:szCs w:val="24"/>
        </w:rPr>
        <w:t xml:space="preserve"> which were then </w:t>
      </w:r>
      <w:r w:rsidRPr="00A640E7">
        <w:rPr>
          <w:rFonts w:ascii="Times New Roman" w:hAnsi="Times New Roman" w:cs="Times New Roman"/>
          <w:bCs/>
          <w:sz w:val="24"/>
          <w:szCs w:val="24"/>
        </w:rPr>
        <w:t xml:space="preserve">imported into </w:t>
      </w:r>
      <w:r w:rsidR="00A640E7">
        <w:rPr>
          <w:rFonts w:ascii="Times New Roman" w:hAnsi="Times New Roman" w:cs="Times New Roman"/>
          <w:bCs/>
          <w:sz w:val="24"/>
          <w:szCs w:val="24"/>
        </w:rPr>
        <w:t xml:space="preserve">IBM’s </w:t>
      </w:r>
      <w:r w:rsidRPr="00A640E7">
        <w:rPr>
          <w:rFonts w:ascii="Times New Roman" w:hAnsi="Times New Roman" w:cs="Times New Roman"/>
          <w:bCs/>
          <w:sz w:val="24"/>
          <w:szCs w:val="24"/>
        </w:rPr>
        <w:t>SPSS</w:t>
      </w:r>
      <w:r w:rsidR="00A640E7">
        <w:rPr>
          <w:rFonts w:ascii="Times New Roman" w:hAnsi="Times New Roman" w:cs="Times New Roman"/>
          <w:bCs/>
          <w:sz w:val="24"/>
          <w:szCs w:val="24"/>
        </w:rPr>
        <w:t xml:space="preserve"> software package</w:t>
      </w:r>
      <w:r w:rsidRPr="00A640E7">
        <w:rPr>
          <w:rFonts w:ascii="Times New Roman" w:hAnsi="Times New Roman" w:cs="Times New Roman"/>
          <w:bCs/>
          <w:sz w:val="24"/>
          <w:szCs w:val="24"/>
        </w:rPr>
        <w:t xml:space="preserve"> and analyzed using descriptive statistics (frequencies, percentages, and averages) and reported in </w:t>
      </w:r>
      <w:r w:rsidRPr="00A640E7">
        <w:rPr>
          <w:rFonts w:ascii="Times New Roman" w:hAnsi="Times New Roman" w:cs="Times New Roman"/>
          <w:bCs/>
          <w:sz w:val="24"/>
          <w:szCs w:val="24"/>
        </w:rPr>
        <w:lastRenderedPageBreak/>
        <w:t xml:space="preserve">tabular format. </w:t>
      </w:r>
      <w:r w:rsidR="007F63DE" w:rsidRPr="00A640E7">
        <w:rPr>
          <w:rFonts w:ascii="Times New Roman" w:hAnsi="Times New Roman" w:cs="Times New Roman"/>
          <w:bCs/>
          <w:sz w:val="24"/>
          <w:szCs w:val="24"/>
        </w:rPr>
        <w:t xml:space="preserve">As validity checks, the data were run independently by two statisticians. A third researcher, who had not previously worked with the data, conducted a final internal consistency check. </w:t>
      </w:r>
    </w:p>
    <w:p w:rsidR="00E60767" w:rsidRDefault="00E60767" w:rsidP="00E6596E">
      <w:pPr>
        <w:spacing w:after="0" w:line="240" w:lineRule="auto"/>
        <w:rPr>
          <w:rFonts w:ascii="Times New Roman" w:hAnsi="Times New Roman" w:cs="Times New Roman"/>
          <w:bCs/>
          <w:sz w:val="24"/>
          <w:szCs w:val="24"/>
        </w:rPr>
      </w:pPr>
    </w:p>
    <w:p w:rsidR="00E60767" w:rsidRPr="00A640E7" w:rsidRDefault="00E738FE" w:rsidP="00E60767">
      <w:p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A640E7">
        <w:rPr>
          <w:rFonts w:ascii="Times New Roman" w:hAnsi="Times New Roman" w:cs="Times New Roman"/>
          <w:bCs/>
          <w:sz w:val="24"/>
          <w:szCs w:val="24"/>
        </w:rPr>
        <w:t>o provide a whole pr</w:t>
      </w:r>
      <w:r>
        <w:rPr>
          <w:rFonts w:ascii="Times New Roman" w:hAnsi="Times New Roman" w:cs="Times New Roman"/>
          <w:bCs/>
          <w:sz w:val="24"/>
          <w:szCs w:val="24"/>
        </w:rPr>
        <w:t>ogram understanding of the data</w:t>
      </w:r>
      <w:r w:rsidR="00E60767">
        <w:rPr>
          <w:rFonts w:ascii="Times New Roman" w:hAnsi="Times New Roman" w:cs="Times New Roman"/>
          <w:bCs/>
          <w:sz w:val="24"/>
          <w:szCs w:val="24"/>
        </w:rPr>
        <w:t xml:space="preserve">, </w:t>
      </w:r>
      <w:r w:rsidR="00E60767" w:rsidRPr="00A640E7">
        <w:rPr>
          <w:rFonts w:ascii="Times New Roman" w:hAnsi="Times New Roman" w:cs="Times New Roman"/>
          <w:bCs/>
          <w:sz w:val="24"/>
          <w:szCs w:val="24"/>
        </w:rPr>
        <w:t>an</w:t>
      </w:r>
      <w:r w:rsidR="00EC0BD3" w:rsidRPr="00A640E7">
        <w:rPr>
          <w:rFonts w:ascii="Times New Roman" w:hAnsi="Times New Roman" w:cs="Times New Roman"/>
          <w:bCs/>
          <w:sz w:val="24"/>
          <w:szCs w:val="24"/>
        </w:rPr>
        <w:t xml:space="preserve"> aggregate statistic for each of the items analyzed </w:t>
      </w:r>
      <w:r>
        <w:rPr>
          <w:rFonts w:ascii="Times New Roman" w:hAnsi="Times New Roman" w:cs="Times New Roman"/>
          <w:bCs/>
          <w:sz w:val="24"/>
          <w:szCs w:val="24"/>
        </w:rPr>
        <w:t>is provided.</w:t>
      </w:r>
      <w:r w:rsidR="00E60767">
        <w:rPr>
          <w:rFonts w:ascii="Times New Roman" w:hAnsi="Times New Roman" w:cs="Times New Roman"/>
          <w:bCs/>
          <w:sz w:val="24"/>
          <w:szCs w:val="24"/>
        </w:rPr>
        <w:t xml:space="preserve"> </w:t>
      </w:r>
      <w:r w:rsidR="00DF5FD2" w:rsidRPr="00A640E7">
        <w:rPr>
          <w:rFonts w:ascii="Times New Roman" w:hAnsi="Times New Roman" w:cs="Times New Roman"/>
          <w:bCs/>
          <w:sz w:val="24"/>
          <w:szCs w:val="24"/>
        </w:rPr>
        <w:t xml:space="preserve">Descriptive statistics throughout the report are calculated on the states/territories </w:t>
      </w:r>
      <w:r w:rsidR="007F63DE" w:rsidRPr="00A640E7">
        <w:rPr>
          <w:rFonts w:ascii="Times New Roman" w:hAnsi="Times New Roman" w:cs="Times New Roman"/>
          <w:bCs/>
          <w:sz w:val="24"/>
          <w:szCs w:val="24"/>
        </w:rPr>
        <w:t xml:space="preserve">that </w:t>
      </w:r>
      <w:r w:rsidR="00DF5FD2" w:rsidRPr="00A640E7">
        <w:rPr>
          <w:rFonts w:ascii="Times New Roman" w:hAnsi="Times New Roman" w:cs="Times New Roman"/>
          <w:bCs/>
          <w:sz w:val="24"/>
          <w:szCs w:val="24"/>
        </w:rPr>
        <w:t>provided data on the given measure</w:t>
      </w:r>
      <w:r w:rsidR="00A77747" w:rsidRPr="00A640E7">
        <w:rPr>
          <w:rFonts w:ascii="Times New Roman" w:hAnsi="Times New Roman" w:cs="Times New Roman"/>
          <w:bCs/>
          <w:sz w:val="24"/>
          <w:szCs w:val="24"/>
        </w:rPr>
        <w:t>. For example,</w:t>
      </w:r>
      <w:r w:rsidR="00DF5FD2" w:rsidRPr="00A640E7">
        <w:rPr>
          <w:rFonts w:ascii="Times New Roman" w:hAnsi="Times New Roman" w:cs="Times New Roman"/>
          <w:bCs/>
          <w:sz w:val="24"/>
          <w:szCs w:val="24"/>
        </w:rPr>
        <w:t xml:space="preserve"> if </w:t>
      </w:r>
      <w:r w:rsidR="00B50259">
        <w:rPr>
          <w:rFonts w:ascii="Times New Roman" w:hAnsi="Times New Roman" w:cs="Times New Roman"/>
          <w:bCs/>
          <w:sz w:val="24"/>
          <w:szCs w:val="24"/>
        </w:rPr>
        <w:t xml:space="preserve">only </w:t>
      </w:r>
      <w:r w:rsidR="00DF5FD2" w:rsidRPr="00A640E7">
        <w:rPr>
          <w:rFonts w:ascii="Times New Roman" w:hAnsi="Times New Roman" w:cs="Times New Roman"/>
          <w:bCs/>
          <w:sz w:val="24"/>
          <w:szCs w:val="24"/>
        </w:rPr>
        <w:t xml:space="preserve">46 states/territories </w:t>
      </w:r>
      <w:r w:rsidR="00B50259">
        <w:rPr>
          <w:rFonts w:ascii="Times New Roman" w:hAnsi="Times New Roman" w:cs="Times New Roman"/>
          <w:bCs/>
          <w:sz w:val="24"/>
          <w:szCs w:val="24"/>
        </w:rPr>
        <w:t xml:space="preserve">out of the </w:t>
      </w:r>
      <w:r w:rsidR="00BE0791">
        <w:rPr>
          <w:rFonts w:ascii="Times New Roman" w:hAnsi="Times New Roman" w:cs="Times New Roman"/>
          <w:bCs/>
          <w:sz w:val="24"/>
          <w:szCs w:val="24"/>
        </w:rPr>
        <w:t xml:space="preserve">total </w:t>
      </w:r>
      <w:r w:rsidR="00B50259">
        <w:rPr>
          <w:rFonts w:ascii="Times New Roman" w:hAnsi="Times New Roman" w:cs="Times New Roman"/>
          <w:bCs/>
          <w:sz w:val="24"/>
          <w:szCs w:val="24"/>
        </w:rPr>
        <w:t xml:space="preserve">54 </w:t>
      </w:r>
      <w:r w:rsidR="00DF5FD2" w:rsidRPr="00A640E7">
        <w:rPr>
          <w:rFonts w:ascii="Times New Roman" w:hAnsi="Times New Roman" w:cs="Times New Roman"/>
          <w:bCs/>
          <w:sz w:val="24"/>
          <w:szCs w:val="24"/>
        </w:rPr>
        <w:t xml:space="preserve">provided data around staffing, then the percentages are </w:t>
      </w:r>
      <w:r w:rsidR="00FA5471">
        <w:rPr>
          <w:rFonts w:ascii="Times New Roman" w:hAnsi="Times New Roman" w:cs="Times New Roman"/>
          <w:bCs/>
          <w:sz w:val="24"/>
          <w:szCs w:val="24"/>
        </w:rPr>
        <w:t xml:space="preserve">only </w:t>
      </w:r>
      <w:r w:rsidR="00DF5FD2" w:rsidRPr="00A640E7">
        <w:rPr>
          <w:rFonts w:ascii="Times New Roman" w:hAnsi="Times New Roman" w:cs="Times New Roman"/>
          <w:bCs/>
          <w:sz w:val="24"/>
          <w:szCs w:val="24"/>
        </w:rPr>
        <w:t>based on the data</w:t>
      </w:r>
      <w:r w:rsidR="00FA5471">
        <w:rPr>
          <w:rFonts w:ascii="Times New Roman" w:hAnsi="Times New Roman" w:cs="Times New Roman"/>
          <w:bCs/>
          <w:sz w:val="24"/>
          <w:szCs w:val="24"/>
        </w:rPr>
        <w:t xml:space="preserve"> obtained from those 46</w:t>
      </w:r>
      <w:r w:rsidR="00DF5FD2" w:rsidRPr="00A640E7">
        <w:rPr>
          <w:rFonts w:ascii="Times New Roman" w:hAnsi="Times New Roman" w:cs="Times New Roman"/>
          <w:bCs/>
          <w:sz w:val="24"/>
          <w:szCs w:val="24"/>
        </w:rPr>
        <w:t xml:space="preserve">. </w:t>
      </w:r>
      <w:r w:rsidR="00E60767" w:rsidRPr="00A640E7">
        <w:rPr>
          <w:rFonts w:ascii="Times New Roman" w:hAnsi="Times New Roman" w:cs="Times New Roman"/>
          <w:bCs/>
          <w:sz w:val="24"/>
          <w:szCs w:val="24"/>
        </w:rPr>
        <w:t xml:space="preserve">This </w:t>
      </w:r>
      <w:r w:rsidR="00E60767">
        <w:rPr>
          <w:rFonts w:ascii="Times New Roman" w:hAnsi="Times New Roman" w:cs="Times New Roman"/>
          <w:bCs/>
          <w:sz w:val="24"/>
          <w:szCs w:val="24"/>
        </w:rPr>
        <w:t xml:space="preserve">method </w:t>
      </w:r>
      <w:r w:rsidR="00E60767" w:rsidRPr="00A640E7">
        <w:rPr>
          <w:rFonts w:ascii="Times New Roman" w:hAnsi="Times New Roman" w:cs="Times New Roman"/>
          <w:bCs/>
          <w:sz w:val="24"/>
          <w:szCs w:val="24"/>
        </w:rPr>
        <w:t>prese</w:t>
      </w:r>
      <w:r w:rsidR="00E60767">
        <w:rPr>
          <w:rFonts w:ascii="Times New Roman" w:hAnsi="Times New Roman" w:cs="Times New Roman"/>
          <w:bCs/>
          <w:sz w:val="24"/>
          <w:szCs w:val="24"/>
        </w:rPr>
        <w:t>rves the statistical integrity</w:t>
      </w:r>
      <w:r w:rsidR="004601DD">
        <w:rPr>
          <w:rFonts w:ascii="Times New Roman" w:hAnsi="Times New Roman" w:cs="Times New Roman"/>
          <w:bCs/>
          <w:sz w:val="24"/>
          <w:szCs w:val="24"/>
        </w:rPr>
        <w:t xml:space="preserve"> of the data collected</w:t>
      </w:r>
      <w:r w:rsidR="00E60767">
        <w:rPr>
          <w:rFonts w:ascii="Times New Roman" w:hAnsi="Times New Roman" w:cs="Times New Roman"/>
          <w:bCs/>
          <w:sz w:val="24"/>
          <w:szCs w:val="24"/>
        </w:rPr>
        <w:t>.</w:t>
      </w:r>
    </w:p>
    <w:p w:rsidR="00E6596E" w:rsidRPr="00A640E7" w:rsidRDefault="00E6596E" w:rsidP="00E6596E">
      <w:pPr>
        <w:spacing w:after="0" w:line="240" w:lineRule="auto"/>
        <w:rPr>
          <w:rFonts w:ascii="Times New Roman" w:hAnsi="Times New Roman" w:cs="Times New Roman"/>
          <w:bCs/>
          <w:sz w:val="24"/>
          <w:szCs w:val="24"/>
        </w:rPr>
      </w:pPr>
    </w:p>
    <w:p w:rsidR="00E6596E" w:rsidRPr="00A640E7" w:rsidRDefault="00E6596E" w:rsidP="00E6596E">
      <w:pP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BF092F" w:rsidRPr="004B7B2C" w:rsidRDefault="00BF092F" w:rsidP="001E518B">
      <w:pPr>
        <w:jc w:val="center"/>
        <w:rPr>
          <w:rFonts w:ascii="Times New Roman" w:hAnsi="Times New Roman" w:cs="Times New Roman"/>
          <w:b/>
          <w:bCs/>
          <w:sz w:val="24"/>
          <w:szCs w:val="24"/>
        </w:rPr>
      </w:pPr>
    </w:p>
    <w:p w:rsidR="000C2501" w:rsidRDefault="000C2501">
      <w:pPr>
        <w:rPr>
          <w:rFonts w:ascii="Times New Roman" w:hAnsi="Times New Roman" w:cs="Times New Roman"/>
          <w:b/>
          <w:bCs/>
          <w:sz w:val="24"/>
          <w:szCs w:val="24"/>
        </w:rPr>
      </w:pPr>
      <w:r>
        <w:br w:type="page"/>
      </w:r>
    </w:p>
    <w:p w:rsidR="00B31441" w:rsidRDefault="00B31441" w:rsidP="00B31441">
      <w:pPr>
        <w:pStyle w:val="Heading1"/>
      </w:pPr>
      <w:bookmarkStart w:id="3" w:name="_Toc446579694"/>
      <w:r w:rsidRPr="004B7B2C">
        <w:lastRenderedPageBreak/>
        <w:t>SECTION 1:  GPRA RESULTS</w:t>
      </w:r>
      <w:bookmarkEnd w:id="3"/>
    </w:p>
    <w:p w:rsidR="00CD13A2" w:rsidRDefault="00CD13A2" w:rsidP="00B31441">
      <w:pPr>
        <w:spacing w:after="0" w:line="240" w:lineRule="auto"/>
        <w:rPr>
          <w:rFonts w:ascii="Times New Roman" w:hAnsi="Times New Roman" w:cs="Times New Roman"/>
          <w:color w:val="000000"/>
          <w:sz w:val="24"/>
          <w:szCs w:val="24"/>
        </w:rPr>
      </w:pPr>
    </w:p>
    <w:p w:rsidR="00B31441" w:rsidRDefault="00B31441" w:rsidP="00B31441">
      <w:pPr>
        <w:spacing w:after="0" w:line="240" w:lineRule="auto"/>
        <w:rPr>
          <w:rFonts w:ascii="Times New Roman" w:hAnsi="Times New Roman" w:cs="Times New Roman"/>
          <w:color w:val="000000"/>
          <w:sz w:val="24"/>
          <w:szCs w:val="24"/>
        </w:rPr>
      </w:pPr>
      <w:r w:rsidRPr="008F1A1E">
        <w:rPr>
          <w:rFonts w:ascii="Times New Roman" w:hAnsi="Times New Roman" w:cs="Times New Roman"/>
          <w:color w:val="000000"/>
          <w:sz w:val="24"/>
          <w:szCs w:val="24"/>
        </w:rPr>
        <w:t>In addition to collecting information on the operational characteristics of 21st CCLC programs, a primary purpo</w:t>
      </w:r>
      <w:r>
        <w:rPr>
          <w:rFonts w:ascii="Times New Roman" w:hAnsi="Times New Roman" w:cs="Times New Roman"/>
          <w:color w:val="000000"/>
          <w:sz w:val="24"/>
          <w:szCs w:val="24"/>
        </w:rPr>
        <w:t>se of the system is to collect data that inform the</w:t>
      </w:r>
      <w:r w:rsidRPr="008F1A1E">
        <w:rPr>
          <w:rFonts w:ascii="Times New Roman" w:hAnsi="Times New Roman" w:cs="Times New Roman"/>
          <w:color w:val="000000"/>
          <w:sz w:val="24"/>
          <w:szCs w:val="24"/>
        </w:rPr>
        <w:t xml:space="preserve"> GPRA indicators established for the program. The GPRA indicators</w:t>
      </w:r>
      <w:r>
        <w:rPr>
          <w:rFonts w:ascii="Times New Roman" w:hAnsi="Times New Roman" w:cs="Times New Roman"/>
          <w:color w:val="000000"/>
          <w:sz w:val="24"/>
          <w:szCs w:val="24"/>
        </w:rPr>
        <w:t xml:space="preserve"> are the primary means by which the </w:t>
      </w:r>
      <w:r w:rsidR="001811ED">
        <w:rPr>
          <w:rFonts w:ascii="Times New Roman" w:hAnsi="Times New Roman" w:cs="Times New Roman"/>
          <w:color w:val="000000"/>
          <w:sz w:val="24"/>
          <w:szCs w:val="24"/>
        </w:rPr>
        <w:t xml:space="preserve">US </w:t>
      </w:r>
      <w:r>
        <w:rPr>
          <w:rFonts w:ascii="Times New Roman" w:hAnsi="Times New Roman" w:cs="Times New Roman"/>
          <w:color w:val="000000"/>
          <w:sz w:val="24"/>
          <w:szCs w:val="24"/>
        </w:rPr>
        <w:t xml:space="preserve">Department of Education measures </w:t>
      </w:r>
      <w:r w:rsidRPr="008F1A1E">
        <w:rPr>
          <w:rFonts w:ascii="Times New Roman" w:hAnsi="Times New Roman" w:cs="Times New Roman"/>
          <w:color w:val="000000"/>
          <w:sz w:val="24"/>
          <w:szCs w:val="24"/>
        </w:rPr>
        <w:t xml:space="preserve">the effectiveness and efficiency of </w:t>
      </w:r>
      <w:r>
        <w:rPr>
          <w:rFonts w:ascii="Times New Roman" w:hAnsi="Times New Roman" w:cs="Times New Roman"/>
          <w:color w:val="000000"/>
          <w:sz w:val="24"/>
          <w:szCs w:val="24"/>
        </w:rPr>
        <w:t xml:space="preserve">the program based on the following two overall goals: </w:t>
      </w:r>
    </w:p>
    <w:p w:rsidR="00B31441" w:rsidRDefault="00B31441" w:rsidP="00B31441">
      <w:pPr>
        <w:spacing w:after="0" w:line="240" w:lineRule="auto"/>
        <w:rPr>
          <w:rFonts w:ascii="Times New Roman" w:hAnsi="Times New Roman" w:cs="Times New Roman"/>
          <w:color w:val="000000"/>
          <w:sz w:val="24"/>
          <w:szCs w:val="24"/>
        </w:rPr>
      </w:pPr>
    </w:p>
    <w:p w:rsidR="00B31441" w:rsidRPr="00B301CE" w:rsidRDefault="00B31441" w:rsidP="00B31441">
      <w:pPr>
        <w:pStyle w:val="ListParagraph"/>
        <w:numPr>
          <w:ilvl w:val="0"/>
          <w:numId w:val="6"/>
        </w:numPr>
        <w:spacing w:after="0" w:line="240" w:lineRule="auto"/>
        <w:rPr>
          <w:rFonts w:ascii="Times New Roman" w:hAnsi="Times New Roman" w:cs="Times New Roman"/>
          <w:color w:val="000000"/>
          <w:sz w:val="24"/>
          <w:szCs w:val="24"/>
        </w:rPr>
      </w:pPr>
      <w:r w:rsidRPr="00B301CE">
        <w:rPr>
          <w:rFonts w:ascii="Times New Roman" w:hAnsi="Times New Roman" w:cs="Times New Roman"/>
          <w:color w:val="000000"/>
          <w:sz w:val="24"/>
          <w:szCs w:val="24"/>
        </w:rPr>
        <w:t>Participants in 21st Century Community Learning Center</w:t>
      </w:r>
      <w:r w:rsidR="00D07483">
        <w:rPr>
          <w:rFonts w:ascii="Times New Roman" w:hAnsi="Times New Roman" w:cs="Times New Roman"/>
          <w:color w:val="000000"/>
          <w:sz w:val="24"/>
          <w:szCs w:val="24"/>
        </w:rPr>
        <w:t>s</w:t>
      </w:r>
      <w:r w:rsidRPr="00B301CE">
        <w:rPr>
          <w:rFonts w:ascii="Times New Roman" w:hAnsi="Times New Roman" w:cs="Times New Roman"/>
          <w:color w:val="000000"/>
          <w:sz w:val="24"/>
          <w:szCs w:val="24"/>
        </w:rPr>
        <w:t xml:space="preserve"> programs will demonstrate educational and social benefits and exhibit positive behavioral changes.</w:t>
      </w:r>
    </w:p>
    <w:p w:rsidR="00B31441" w:rsidRPr="008F1A1E" w:rsidRDefault="00B31441" w:rsidP="00B31441">
      <w:pPr>
        <w:spacing w:after="0" w:line="240" w:lineRule="auto"/>
        <w:rPr>
          <w:rFonts w:ascii="Times New Roman" w:hAnsi="Times New Roman" w:cs="Times New Roman"/>
          <w:color w:val="000000"/>
          <w:sz w:val="24"/>
          <w:szCs w:val="24"/>
        </w:rPr>
      </w:pPr>
    </w:p>
    <w:p w:rsidR="00B31441" w:rsidRPr="00B301CE" w:rsidRDefault="00B31441" w:rsidP="00B31441">
      <w:pPr>
        <w:pStyle w:val="ListParagraph"/>
        <w:numPr>
          <w:ilvl w:val="0"/>
          <w:numId w:val="6"/>
        </w:numPr>
        <w:spacing w:after="0" w:line="240" w:lineRule="auto"/>
        <w:rPr>
          <w:rFonts w:ascii="Times New Roman" w:hAnsi="Times New Roman" w:cs="Times New Roman"/>
          <w:color w:val="000000"/>
          <w:sz w:val="24"/>
          <w:szCs w:val="24"/>
        </w:rPr>
      </w:pPr>
      <w:r w:rsidRPr="00B301CE">
        <w:rPr>
          <w:rFonts w:ascii="Times New Roman" w:hAnsi="Times New Roman" w:cs="Times New Roman"/>
          <w:color w:val="000000"/>
          <w:sz w:val="24"/>
          <w:szCs w:val="24"/>
        </w:rPr>
        <w:t xml:space="preserve">21st Century Community Learning Centers will develop afterschool activities and educational opportunities that consider the best practices identified through research findings and other data that lead to high-quality enrichment opportunities that positively affect student outcomes. </w:t>
      </w:r>
    </w:p>
    <w:p w:rsidR="00B31441" w:rsidRPr="00B301CE" w:rsidRDefault="00B31441" w:rsidP="00B31441">
      <w:pPr>
        <w:spacing w:after="0" w:line="240" w:lineRule="auto"/>
        <w:rPr>
          <w:rFonts w:ascii="Times New Roman" w:hAnsi="Times New Roman" w:cs="Times New Roman"/>
          <w:color w:val="000000"/>
          <w:sz w:val="24"/>
          <w:szCs w:val="24"/>
        </w:rPr>
      </w:pPr>
    </w:p>
    <w:p w:rsidR="00B31441" w:rsidRDefault="00B31441" w:rsidP="00A40AEF">
      <w:pPr>
        <w:spacing w:after="4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for each GPRA are provided in tabu</w:t>
      </w:r>
      <w:r w:rsidR="005A4A42">
        <w:rPr>
          <w:rFonts w:ascii="Times New Roman" w:eastAsia="Times New Roman" w:hAnsi="Times New Roman" w:cs="Times New Roman"/>
          <w:color w:val="000000"/>
          <w:sz w:val="24"/>
          <w:szCs w:val="24"/>
        </w:rPr>
        <w:t>lar and summary form below, in S</w:t>
      </w:r>
      <w:r>
        <w:rPr>
          <w:rFonts w:ascii="Times New Roman" w:eastAsia="Times New Roman" w:hAnsi="Times New Roman" w:cs="Times New Roman"/>
          <w:color w:val="000000"/>
          <w:sz w:val="24"/>
          <w:szCs w:val="24"/>
        </w:rPr>
        <w:t xml:space="preserve">ection A.  Any methodological considerations are noted within each GPRA table. </w:t>
      </w:r>
    </w:p>
    <w:p w:rsidR="00B31441" w:rsidRPr="000C2501" w:rsidRDefault="00B31441" w:rsidP="00B31441">
      <w:pPr>
        <w:pStyle w:val="Heading2"/>
      </w:pPr>
      <w:bookmarkStart w:id="4" w:name="_Toc446579695"/>
      <w:r w:rsidRPr="000C2501">
        <w:t>A.  GPRA Measures #1-3: % Improvement in Mathematics Grades</w:t>
      </w:r>
      <w:bookmarkEnd w:id="4"/>
    </w:p>
    <w:p w:rsidR="00B31441" w:rsidRDefault="00B31441" w:rsidP="00B31441">
      <w:pPr>
        <w:pStyle w:val="ListParagraph"/>
        <w:numPr>
          <w:ilvl w:val="0"/>
          <w:numId w:val="3"/>
        </w:numPr>
        <w:rPr>
          <w:rFonts w:ascii="Times New Roman" w:hAnsi="Times New Roman" w:cs="Times New Roman"/>
          <w:sz w:val="24"/>
          <w:szCs w:val="24"/>
        </w:rPr>
      </w:pPr>
      <w:r w:rsidRPr="004B7B2C">
        <w:rPr>
          <w:rFonts w:ascii="Times New Roman" w:hAnsi="Times New Roman" w:cs="Times New Roman"/>
          <w:sz w:val="24"/>
          <w:szCs w:val="24"/>
        </w:rPr>
        <w:t>1</w:t>
      </w:r>
      <w:r>
        <w:rPr>
          <w:rFonts w:ascii="Times New Roman" w:hAnsi="Times New Roman" w:cs="Times New Roman"/>
          <w:sz w:val="24"/>
          <w:szCs w:val="24"/>
        </w:rPr>
        <w:t>3</w:t>
      </w:r>
      <w:r w:rsidRPr="004B7B2C">
        <w:rPr>
          <w:rFonts w:ascii="Times New Roman" w:hAnsi="Times New Roman" w:cs="Times New Roman"/>
          <w:sz w:val="24"/>
          <w:szCs w:val="24"/>
        </w:rPr>
        <w:t xml:space="preserve"> out of </w:t>
      </w:r>
      <w:r>
        <w:rPr>
          <w:rFonts w:ascii="Times New Roman" w:hAnsi="Times New Roman" w:cs="Times New Roman"/>
          <w:sz w:val="24"/>
          <w:szCs w:val="24"/>
        </w:rPr>
        <w:t>54</w:t>
      </w:r>
      <w:r w:rsidRPr="004B7B2C">
        <w:rPr>
          <w:rFonts w:ascii="Times New Roman" w:hAnsi="Times New Roman" w:cs="Times New Roman"/>
          <w:sz w:val="24"/>
          <w:szCs w:val="24"/>
        </w:rPr>
        <w:t xml:space="preserve"> states (2</w:t>
      </w:r>
      <w:r>
        <w:rPr>
          <w:rFonts w:ascii="Times New Roman" w:hAnsi="Times New Roman" w:cs="Times New Roman"/>
          <w:sz w:val="24"/>
          <w:szCs w:val="24"/>
        </w:rPr>
        <w:t>4</w:t>
      </w:r>
      <w:r w:rsidRPr="004B7B2C">
        <w:rPr>
          <w:rFonts w:ascii="Times New Roman" w:hAnsi="Times New Roman" w:cs="Times New Roman"/>
          <w:sz w:val="24"/>
          <w:szCs w:val="24"/>
        </w:rPr>
        <w:t>.</w:t>
      </w:r>
      <w:r>
        <w:rPr>
          <w:rFonts w:ascii="Times New Roman" w:hAnsi="Times New Roman" w:cs="Times New Roman"/>
          <w:sz w:val="24"/>
          <w:szCs w:val="24"/>
        </w:rPr>
        <w:t>1</w:t>
      </w:r>
      <w:r w:rsidRPr="004B7B2C">
        <w:rPr>
          <w:rFonts w:ascii="Times New Roman" w:hAnsi="Times New Roman" w:cs="Times New Roman"/>
          <w:sz w:val="24"/>
          <w:szCs w:val="24"/>
        </w:rPr>
        <w:t>%) reported % improvement in mathematics grades.</w:t>
      </w:r>
    </w:p>
    <w:p w:rsidR="00B31441" w:rsidRPr="0053606D" w:rsidRDefault="00B31441" w:rsidP="00A40AEF">
      <w:pPr>
        <w:pStyle w:val="ListParagraph"/>
        <w:numPr>
          <w:ilvl w:val="0"/>
          <w:numId w:val="3"/>
        </w:numPr>
        <w:spacing w:after="480"/>
        <w:rPr>
          <w:rFonts w:ascii="Times New Roman" w:hAnsi="Times New Roman" w:cs="Times New Roman"/>
          <w:sz w:val="24"/>
          <w:szCs w:val="24"/>
        </w:rPr>
      </w:pPr>
      <w:r w:rsidRPr="004B7B2C">
        <w:rPr>
          <w:rFonts w:ascii="Times New Roman" w:hAnsi="Times New Roman" w:cs="Times New Roman"/>
          <w:sz w:val="24"/>
          <w:szCs w:val="24"/>
        </w:rPr>
        <w:t>Overall, states reported the following % improvement: 36.</w:t>
      </w:r>
      <w:r>
        <w:rPr>
          <w:rFonts w:ascii="Times New Roman" w:hAnsi="Times New Roman" w:cs="Times New Roman"/>
          <w:sz w:val="24"/>
          <w:szCs w:val="24"/>
        </w:rPr>
        <w:t>7</w:t>
      </w:r>
      <w:r w:rsidRPr="004B7B2C">
        <w:rPr>
          <w:rFonts w:ascii="Times New Roman" w:hAnsi="Times New Roman" w:cs="Times New Roman"/>
          <w:sz w:val="24"/>
          <w:szCs w:val="24"/>
        </w:rPr>
        <w:t>% Elementary, 3</w:t>
      </w:r>
      <w:r>
        <w:rPr>
          <w:rFonts w:ascii="Times New Roman" w:hAnsi="Times New Roman" w:cs="Times New Roman"/>
          <w:sz w:val="24"/>
          <w:szCs w:val="24"/>
        </w:rPr>
        <w:t>6</w:t>
      </w:r>
      <w:r w:rsidRPr="004B7B2C">
        <w:rPr>
          <w:rFonts w:ascii="Times New Roman" w:hAnsi="Times New Roman" w:cs="Times New Roman"/>
          <w:sz w:val="24"/>
          <w:szCs w:val="24"/>
        </w:rPr>
        <w:t>.</w:t>
      </w:r>
      <w:r>
        <w:rPr>
          <w:rFonts w:ascii="Times New Roman" w:hAnsi="Times New Roman" w:cs="Times New Roman"/>
          <w:sz w:val="24"/>
          <w:szCs w:val="24"/>
        </w:rPr>
        <w:t>9</w:t>
      </w:r>
      <w:r w:rsidRPr="004B7B2C">
        <w:rPr>
          <w:rFonts w:ascii="Times New Roman" w:hAnsi="Times New Roman" w:cs="Times New Roman"/>
          <w:sz w:val="24"/>
          <w:szCs w:val="24"/>
        </w:rPr>
        <w:t>% Middle School, 3</w:t>
      </w:r>
      <w:r>
        <w:rPr>
          <w:rFonts w:ascii="Times New Roman" w:hAnsi="Times New Roman" w:cs="Times New Roman"/>
          <w:sz w:val="24"/>
          <w:szCs w:val="24"/>
        </w:rPr>
        <w:t>5</w:t>
      </w:r>
      <w:r w:rsidRPr="004B7B2C">
        <w:rPr>
          <w:rFonts w:ascii="Times New Roman" w:hAnsi="Times New Roman" w:cs="Times New Roman"/>
          <w:sz w:val="24"/>
          <w:szCs w:val="24"/>
        </w:rPr>
        <w:t>.</w:t>
      </w:r>
      <w:r>
        <w:rPr>
          <w:rFonts w:ascii="Times New Roman" w:hAnsi="Times New Roman" w:cs="Times New Roman"/>
          <w:sz w:val="24"/>
          <w:szCs w:val="24"/>
        </w:rPr>
        <w:t>1</w:t>
      </w:r>
      <w:r w:rsidRPr="004B7B2C">
        <w:rPr>
          <w:rFonts w:ascii="Times New Roman" w:hAnsi="Times New Roman" w:cs="Times New Roman"/>
          <w:sz w:val="24"/>
          <w:szCs w:val="24"/>
        </w:rPr>
        <w:t>% High School, and 3</w:t>
      </w:r>
      <w:r>
        <w:rPr>
          <w:rFonts w:ascii="Times New Roman" w:hAnsi="Times New Roman" w:cs="Times New Roman"/>
          <w:sz w:val="24"/>
          <w:szCs w:val="24"/>
        </w:rPr>
        <w:t>6</w:t>
      </w:r>
      <w:r w:rsidRPr="004B7B2C">
        <w:rPr>
          <w:rFonts w:ascii="Times New Roman" w:hAnsi="Times New Roman" w:cs="Times New Roman"/>
          <w:sz w:val="24"/>
          <w:szCs w:val="24"/>
        </w:rPr>
        <w:t>.5% for all students.</w:t>
      </w:r>
    </w:p>
    <w:p w:rsidR="00B31441" w:rsidRPr="009550FA" w:rsidRDefault="00B31441" w:rsidP="00B31441">
      <w:pPr>
        <w:pStyle w:val="Heading3"/>
      </w:pPr>
      <w:bookmarkStart w:id="5" w:name="_Toc422397347"/>
      <w:bookmarkStart w:id="6" w:name="_Toc446579696"/>
      <w:proofErr w:type="gramStart"/>
      <w:r w:rsidRPr="009550FA">
        <w:t>Table 1.</w:t>
      </w:r>
      <w:proofErr w:type="gramEnd"/>
      <w:r w:rsidRPr="009550FA">
        <w:t xml:space="preserve"> Regular Attendees % Improved in Mathematics Grades</w:t>
      </w:r>
      <w:bookmarkEnd w:id="5"/>
      <w:bookmarkEnd w:id="6"/>
    </w:p>
    <w:tbl>
      <w:tblPr>
        <w:tblStyle w:val="TableGrid"/>
        <w:tblW w:w="9985" w:type="dxa"/>
        <w:tblLook w:val="04A0" w:firstRow="1" w:lastRow="0" w:firstColumn="1" w:lastColumn="0" w:noHBand="0" w:noVBand="1"/>
        <w:tblCaption w:val="Table 1. Regular Attendees % Improved in Mathematics Grades"/>
      </w:tblPr>
      <w:tblGrid>
        <w:gridCol w:w="3055"/>
        <w:gridCol w:w="1800"/>
        <w:gridCol w:w="1800"/>
        <w:gridCol w:w="1710"/>
        <w:gridCol w:w="1620"/>
      </w:tblGrid>
      <w:tr w:rsidR="00B31441" w:rsidRPr="004B7B2C" w:rsidTr="004B4E89">
        <w:trPr>
          <w:tblHeader/>
        </w:trPr>
        <w:tc>
          <w:tcPr>
            <w:tcW w:w="3055" w:type="dxa"/>
            <w:shd w:val="clear" w:color="auto" w:fill="4375B1"/>
          </w:tcPr>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State</w:t>
            </w:r>
            <w:r w:rsidR="00DC6145">
              <w:rPr>
                <w:rFonts w:ascii="Times New Roman" w:hAnsi="Times New Roman" w:cs="Times New Roman"/>
                <w:b/>
                <w:color w:val="FFFFFF" w:themeColor="background1"/>
                <w:sz w:val="24"/>
                <w:szCs w:val="24"/>
              </w:rPr>
              <w:t>s</w:t>
            </w:r>
          </w:p>
          <w:p w:rsidR="00B31441" w:rsidRPr="004B7B2C" w:rsidRDefault="00B31441" w:rsidP="00BA3E29">
            <w:pPr>
              <w:rPr>
                <w:rFonts w:ascii="Times New Roman" w:hAnsi="Times New Roman" w:cs="Times New Roman"/>
                <w:sz w:val="24"/>
                <w:szCs w:val="24"/>
              </w:rPr>
            </w:pPr>
          </w:p>
        </w:tc>
        <w:tc>
          <w:tcPr>
            <w:tcW w:w="1800" w:type="dxa"/>
            <w:shd w:val="clear" w:color="auto" w:fill="4375B1"/>
          </w:tcPr>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Mathematics</w:t>
            </w:r>
          </w:p>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Elementary</w:t>
            </w:r>
          </w:p>
        </w:tc>
        <w:tc>
          <w:tcPr>
            <w:tcW w:w="1800" w:type="dxa"/>
            <w:shd w:val="clear" w:color="auto" w:fill="4375B1"/>
          </w:tcPr>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Mathematics</w:t>
            </w:r>
          </w:p>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Middle School</w:t>
            </w:r>
          </w:p>
        </w:tc>
        <w:tc>
          <w:tcPr>
            <w:tcW w:w="1710" w:type="dxa"/>
            <w:shd w:val="clear" w:color="auto" w:fill="4375B1"/>
          </w:tcPr>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Mathematics</w:t>
            </w:r>
          </w:p>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High School</w:t>
            </w:r>
          </w:p>
        </w:tc>
        <w:tc>
          <w:tcPr>
            <w:tcW w:w="1620" w:type="dxa"/>
            <w:shd w:val="clear" w:color="auto" w:fill="4375B1"/>
          </w:tcPr>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Mathematics</w:t>
            </w:r>
          </w:p>
          <w:p w:rsidR="00B31441" w:rsidRPr="004B7B2C" w:rsidRDefault="00B31441"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All Students</w:t>
            </w:r>
          </w:p>
        </w:tc>
      </w:tr>
      <w:tr w:rsidR="00B31441" w:rsidRPr="004B7B2C" w:rsidTr="00C30A85">
        <w:tc>
          <w:tcPr>
            <w:tcW w:w="3055" w:type="dxa"/>
          </w:tcPr>
          <w:p w:rsidR="00B31441" w:rsidRPr="00DC6145" w:rsidRDefault="00DC6145" w:rsidP="00C30A85">
            <w:pPr>
              <w:rPr>
                <w:rFonts w:ascii="Times New Roman" w:hAnsi="Times New Roman" w:cs="Times New Roman"/>
                <w:b/>
                <w:sz w:val="24"/>
                <w:szCs w:val="24"/>
              </w:rPr>
            </w:pPr>
            <w:r w:rsidRPr="00DC6145">
              <w:rPr>
                <w:rFonts w:ascii="Times New Roman" w:hAnsi="Times New Roman" w:cs="Times New Roman"/>
                <w:b/>
                <w:sz w:val="24"/>
                <w:szCs w:val="24"/>
              </w:rPr>
              <w:t>Total</w:t>
            </w:r>
          </w:p>
        </w:tc>
        <w:tc>
          <w:tcPr>
            <w:tcW w:w="1800" w:type="dxa"/>
          </w:tcPr>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800" w:type="dxa"/>
          </w:tcPr>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710" w:type="dxa"/>
          </w:tcPr>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620" w:type="dxa"/>
          </w:tcPr>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r>
      <w:tr w:rsidR="00B31441" w:rsidRPr="004B7B2C" w:rsidTr="00C30A85">
        <w:tc>
          <w:tcPr>
            <w:tcW w:w="3055" w:type="dxa"/>
          </w:tcPr>
          <w:p w:rsidR="00B31441" w:rsidRPr="00A02164" w:rsidRDefault="00B31441" w:rsidP="00C30A85">
            <w:pPr>
              <w:rPr>
                <w:rFonts w:ascii="Times New Roman" w:hAnsi="Times New Roman" w:cs="Times New Roman"/>
                <w:b/>
                <w:sz w:val="24"/>
                <w:szCs w:val="24"/>
              </w:rPr>
            </w:pPr>
            <w:r w:rsidRPr="00A02164">
              <w:rPr>
                <w:rFonts w:ascii="Times New Roman" w:hAnsi="Times New Roman" w:cs="Times New Roman"/>
                <w:b/>
                <w:sz w:val="24"/>
                <w:szCs w:val="24"/>
              </w:rPr>
              <w:t>Overall</w:t>
            </w:r>
          </w:p>
        </w:tc>
        <w:tc>
          <w:tcPr>
            <w:tcW w:w="1800" w:type="dxa"/>
          </w:tcPr>
          <w:p w:rsidR="00B31441" w:rsidRPr="00A02164" w:rsidRDefault="00B31441" w:rsidP="00C30A85">
            <w:pPr>
              <w:jc w:val="center"/>
              <w:rPr>
                <w:rFonts w:ascii="Times New Roman" w:hAnsi="Times New Roman" w:cs="Times New Roman"/>
                <w:b/>
                <w:sz w:val="24"/>
                <w:szCs w:val="24"/>
              </w:rPr>
            </w:pPr>
            <w:r w:rsidRPr="00A02164">
              <w:rPr>
                <w:rFonts w:ascii="Times New Roman" w:hAnsi="Times New Roman" w:cs="Times New Roman"/>
                <w:b/>
                <w:sz w:val="24"/>
                <w:szCs w:val="24"/>
              </w:rPr>
              <w:t>36.7%</w:t>
            </w:r>
          </w:p>
        </w:tc>
        <w:tc>
          <w:tcPr>
            <w:tcW w:w="1800" w:type="dxa"/>
          </w:tcPr>
          <w:p w:rsidR="00B31441" w:rsidRPr="00A02164" w:rsidRDefault="00B31441" w:rsidP="00C30A85">
            <w:pPr>
              <w:jc w:val="center"/>
              <w:rPr>
                <w:rFonts w:ascii="Times New Roman" w:hAnsi="Times New Roman" w:cs="Times New Roman"/>
                <w:b/>
                <w:sz w:val="24"/>
                <w:szCs w:val="24"/>
              </w:rPr>
            </w:pPr>
            <w:r w:rsidRPr="00A02164">
              <w:rPr>
                <w:rFonts w:ascii="Times New Roman" w:hAnsi="Times New Roman" w:cs="Times New Roman"/>
                <w:b/>
                <w:sz w:val="24"/>
                <w:szCs w:val="24"/>
              </w:rPr>
              <w:t>36.9%</w:t>
            </w:r>
          </w:p>
        </w:tc>
        <w:tc>
          <w:tcPr>
            <w:tcW w:w="1710" w:type="dxa"/>
          </w:tcPr>
          <w:p w:rsidR="00B31441" w:rsidRPr="00A02164" w:rsidRDefault="00B31441" w:rsidP="00C30A85">
            <w:pPr>
              <w:jc w:val="center"/>
              <w:rPr>
                <w:rFonts w:ascii="Times New Roman" w:hAnsi="Times New Roman" w:cs="Times New Roman"/>
                <w:b/>
                <w:sz w:val="24"/>
                <w:szCs w:val="24"/>
              </w:rPr>
            </w:pPr>
            <w:r w:rsidRPr="00A02164">
              <w:rPr>
                <w:rFonts w:ascii="Times New Roman" w:hAnsi="Times New Roman" w:cs="Times New Roman"/>
                <w:b/>
                <w:sz w:val="24"/>
                <w:szCs w:val="24"/>
              </w:rPr>
              <w:t>35.1%</w:t>
            </w:r>
          </w:p>
        </w:tc>
        <w:tc>
          <w:tcPr>
            <w:tcW w:w="1620" w:type="dxa"/>
          </w:tcPr>
          <w:p w:rsidR="00B31441" w:rsidRPr="00A02164" w:rsidRDefault="00B31441" w:rsidP="00C30A85">
            <w:pPr>
              <w:jc w:val="center"/>
              <w:rPr>
                <w:rFonts w:ascii="Times New Roman" w:hAnsi="Times New Roman" w:cs="Times New Roman"/>
                <w:b/>
                <w:sz w:val="24"/>
                <w:szCs w:val="24"/>
              </w:rPr>
            </w:pPr>
            <w:r w:rsidRPr="00A02164">
              <w:rPr>
                <w:rFonts w:ascii="Times New Roman" w:hAnsi="Times New Roman" w:cs="Times New Roman"/>
                <w:b/>
                <w:sz w:val="24"/>
                <w:szCs w:val="24"/>
              </w:rPr>
              <w:t>36.5%</w:t>
            </w:r>
          </w:p>
        </w:tc>
      </w:tr>
    </w:tbl>
    <w:p w:rsidR="00B31441" w:rsidRPr="004B7B2C" w:rsidRDefault="00B31441" w:rsidP="00A40AEF">
      <w:p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Note: Raw scores were used to calculate overall % improvement.  </w:t>
      </w:r>
    </w:p>
    <w:p w:rsidR="00B31441" w:rsidRPr="004B7B2C" w:rsidRDefault="00B31441" w:rsidP="00F21B10">
      <w:pPr>
        <w:pStyle w:val="Heading2"/>
        <w:spacing w:before="240"/>
      </w:pPr>
      <w:bookmarkStart w:id="7" w:name="_Toc446579697"/>
      <w:r w:rsidRPr="004B7B2C">
        <w:t>B.  GPRA Measures #4-6: % Improvement in English Grades</w:t>
      </w:r>
      <w:bookmarkEnd w:id="7"/>
    </w:p>
    <w:p w:rsidR="00B31441" w:rsidRDefault="00B31441" w:rsidP="00B31441">
      <w:pPr>
        <w:pStyle w:val="ListParagraph"/>
        <w:numPr>
          <w:ilvl w:val="0"/>
          <w:numId w:val="3"/>
        </w:numPr>
        <w:rPr>
          <w:rFonts w:ascii="Times New Roman" w:hAnsi="Times New Roman" w:cs="Times New Roman"/>
          <w:sz w:val="24"/>
          <w:szCs w:val="24"/>
        </w:rPr>
      </w:pPr>
      <w:r w:rsidRPr="004B7B2C">
        <w:rPr>
          <w:rFonts w:ascii="Times New Roman" w:hAnsi="Times New Roman" w:cs="Times New Roman"/>
          <w:sz w:val="24"/>
          <w:szCs w:val="24"/>
        </w:rPr>
        <w:t>1</w:t>
      </w:r>
      <w:r>
        <w:rPr>
          <w:rFonts w:ascii="Times New Roman" w:hAnsi="Times New Roman" w:cs="Times New Roman"/>
          <w:sz w:val="24"/>
          <w:szCs w:val="24"/>
        </w:rPr>
        <w:t>3</w:t>
      </w:r>
      <w:r w:rsidRPr="004B7B2C">
        <w:rPr>
          <w:rFonts w:ascii="Times New Roman" w:hAnsi="Times New Roman" w:cs="Times New Roman"/>
          <w:sz w:val="24"/>
          <w:szCs w:val="24"/>
        </w:rPr>
        <w:t xml:space="preserve"> out of </w:t>
      </w:r>
      <w:r>
        <w:rPr>
          <w:rFonts w:ascii="Times New Roman" w:hAnsi="Times New Roman" w:cs="Times New Roman"/>
          <w:sz w:val="24"/>
          <w:szCs w:val="24"/>
        </w:rPr>
        <w:t>54</w:t>
      </w:r>
      <w:r w:rsidRPr="004B7B2C">
        <w:rPr>
          <w:rFonts w:ascii="Times New Roman" w:hAnsi="Times New Roman" w:cs="Times New Roman"/>
          <w:sz w:val="24"/>
          <w:szCs w:val="24"/>
        </w:rPr>
        <w:t xml:space="preserve"> states (2</w:t>
      </w:r>
      <w:r>
        <w:rPr>
          <w:rFonts w:ascii="Times New Roman" w:hAnsi="Times New Roman" w:cs="Times New Roman"/>
          <w:sz w:val="24"/>
          <w:szCs w:val="24"/>
        </w:rPr>
        <w:t>4</w:t>
      </w:r>
      <w:r w:rsidRPr="004B7B2C">
        <w:rPr>
          <w:rFonts w:ascii="Times New Roman" w:hAnsi="Times New Roman" w:cs="Times New Roman"/>
          <w:sz w:val="24"/>
          <w:szCs w:val="24"/>
        </w:rPr>
        <w:t>.</w:t>
      </w:r>
      <w:r>
        <w:rPr>
          <w:rFonts w:ascii="Times New Roman" w:hAnsi="Times New Roman" w:cs="Times New Roman"/>
          <w:sz w:val="24"/>
          <w:szCs w:val="24"/>
        </w:rPr>
        <w:t>1</w:t>
      </w:r>
      <w:r w:rsidRPr="004B7B2C">
        <w:rPr>
          <w:rFonts w:ascii="Times New Roman" w:hAnsi="Times New Roman" w:cs="Times New Roman"/>
          <w:sz w:val="24"/>
          <w:szCs w:val="24"/>
        </w:rPr>
        <w:t xml:space="preserve">%) reported % improvement in </w:t>
      </w:r>
      <w:r>
        <w:rPr>
          <w:rFonts w:ascii="Times New Roman" w:hAnsi="Times New Roman" w:cs="Times New Roman"/>
          <w:sz w:val="24"/>
          <w:szCs w:val="24"/>
        </w:rPr>
        <w:t>English</w:t>
      </w:r>
      <w:r w:rsidRPr="004B7B2C">
        <w:rPr>
          <w:rFonts w:ascii="Times New Roman" w:hAnsi="Times New Roman" w:cs="Times New Roman"/>
          <w:sz w:val="24"/>
          <w:szCs w:val="24"/>
        </w:rPr>
        <w:t xml:space="preserve"> grades.</w:t>
      </w:r>
    </w:p>
    <w:p w:rsidR="00B31441" w:rsidRDefault="00B31441" w:rsidP="00584AE6">
      <w:pPr>
        <w:pStyle w:val="ListParagraph"/>
        <w:numPr>
          <w:ilvl w:val="0"/>
          <w:numId w:val="3"/>
        </w:numPr>
        <w:spacing w:after="1800"/>
        <w:rPr>
          <w:rFonts w:ascii="Times New Roman" w:hAnsi="Times New Roman" w:cs="Times New Roman"/>
          <w:sz w:val="24"/>
          <w:szCs w:val="24"/>
        </w:rPr>
      </w:pPr>
      <w:r w:rsidRPr="004B7B2C">
        <w:rPr>
          <w:rFonts w:ascii="Times New Roman" w:hAnsi="Times New Roman" w:cs="Times New Roman"/>
          <w:sz w:val="24"/>
          <w:szCs w:val="24"/>
        </w:rPr>
        <w:t>Overall, states reported the following % improvement: 36.</w:t>
      </w:r>
      <w:r>
        <w:rPr>
          <w:rFonts w:ascii="Times New Roman" w:hAnsi="Times New Roman" w:cs="Times New Roman"/>
          <w:sz w:val="24"/>
          <w:szCs w:val="24"/>
        </w:rPr>
        <w:t>7</w:t>
      </w:r>
      <w:r w:rsidRPr="004B7B2C">
        <w:rPr>
          <w:rFonts w:ascii="Times New Roman" w:hAnsi="Times New Roman" w:cs="Times New Roman"/>
          <w:sz w:val="24"/>
          <w:szCs w:val="24"/>
        </w:rPr>
        <w:t>% Elementary, 3</w:t>
      </w:r>
      <w:r>
        <w:rPr>
          <w:rFonts w:ascii="Times New Roman" w:hAnsi="Times New Roman" w:cs="Times New Roman"/>
          <w:sz w:val="24"/>
          <w:szCs w:val="24"/>
        </w:rPr>
        <w:t>6</w:t>
      </w:r>
      <w:r w:rsidRPr="004B7B2C">
        <w:rPr>
          <w:rFonts w:ascii="Times New Roman" w:hAnsi="Times New Roman" w:cs="Times New Roman"/>
          <w:sz w:val="24"/>
          <w:szCs w:val="24"/>
        </w:rPr>
        <w:t>.</w:t>
      </w:r>
      <w:r>
        <w:rPr>
          <w:rFonts w:ascii="Times New Roman" w:hAnsi="Times New Roman" w:cs="Times New Roman"/>
          <w:sz w:val="24"/>
          <w:szCs w:val="24"/>
        </w:rPr>
        <w:t>5</w:t>
      </w:r>
      <w:r w:rsidRPr="004B7B2C">
        <w:rPr>
          <w:rFonts w:ascii="Times New Roman" w:hAnsi="Times New Roman" w:cs="Times New Roman"/>
          <w:sz w:val="24"/>
          <w:szCs w:val="24"/>
        </w:rPr>
        <w:t>% Middle School, 3</w:t>
      </w:r>
      <w:r>
        <w:rPr>
          <w:rFonts w:ascii="Times New Roman" w:hAnsi="Times New Roman" w:cs="Times New Roman"/>
          <w:sz w:val="24"/>
          <w:szCs w:val="24"/>
        </w:rPr>
        <w:t>8</w:t>
      </w:r>
      <w:r w:rsidRPr="004B7B2C">
        <w:rPr>
          <w:rFonts w:ascii="Times New Roman" w:hAnsi="Times New Roman" w:cs="Times New Roman"/>
          <w:sz w:val="24"/>
          <w:szCs w:val="24"/>
        </w:rPr>
        <w:t>.</w:t>
      </w:r>
      <w:r>
        <w:rPr>
          <w:rFonts w:ascii="Times New Roman" w:hAnsi="Times New Roman" w:cs="Times New Roman"/>
          <w:sz w:val="24"/>
          <w:szCs w:val="24"/>
        </w:rPr>
        <w:t>1</w:t>
      </w:r>
      <w:r w:rsidRPr="004B7B2C">
        <w:rPr>
          <w:rFonts w:ascii="Times New Roman" w:hAnsi="Times New Roman" w:cs="Times New Roman"/>
          <w:sz w:val="24"/>
          <w:szCs w:val="24"/>
        </w:rPr>
        <w:t>% High School, and 3</w:t>
      </w:r>
      <w:r>
        <w:rPr>
          <w:rFonts w:ascii="Times New Roman" w:hAnsi="Times New Roman" w:cs="Times New Roman"/>
          <w:sz w:val="24"/>
          <w:szCs w:val="24"/>
        </w:rPr>
        <w:t>6</w:t>
      </w:r>
      <w:r w:rsidRPr="004B7B2C">
        <w:rPr>
          <w:rFonts w:ascii="Times New Roman" w:hAnsi="Times New Roman" w:cs="Times New Roman"/>
          <w:sz w:val="24"/>
          <w:szCs w:val="24"/>
        </w:rPr>
        <w:t>.</w:t>
      </w:r>
      <w:r>
        <w:rPr>
          <w:rFonts w:ascii="Times New Roman" w:hAnsi="Times New Roman" w:cs="Times New Roman"/>
          <w:sz w:val="24"/>
          <w:szCs w:val="24"/>
        </w:rPr>
        <w:t>8</w:t>
      </w:r>
      <w:r w:rsidRPr="004B7B2C">
        <w:rPr>
          <w:rFonts w:ascii="Times New Roman" w:hAnsi="Times New Roman" w:cs="Times New Roman"/>
          <w:sz w:val="24"/>
          <w:szCs w:val="24"/>
        </w:rPr>
        <w:t>% for all students.</w:t>
      </w:r>
    </w:p>
    <w:p w:rsidR="00B31441" w:rsidRPr="004B7B2C" w:rsidRDefault="00B31441" w:rsidP="00B31441">
      <w:pPr>
        <w:pStyle w:val="Heading3"/>
      </w:pPr>
      <w:bookmarkStart w:id="8" w:name="_Toc422397348"/>
      <w:bookmarkStart w:id="9" w:name="_Toc446579698"/>
      <w:proofErr w:type="gramStart"/>
      <w:r w:rsidRPr="004B7B2C">
        <w:lastRenderedPageBreak/>
        <w:t>Table 2.</w:t>
      </w:r>
      <w:proofErr w:type="gramEnd"/>
      <w:r w:rsidRPr="004B7B2C">
        <w:t xml:space="preserve"> Regular Attendees % Improved in English Grades</w:t>
      </w:r>
      <w:bookmarkEnd w:id="8"/>
      <w:bookmarkEnd w:id="9"/>
    </w:p>
    <w:tbl>
      <w:tblPr>
        <w:tblStyle w:val="TableGrid"/>
        <w:tblW w:w="9985" w:type="dxa"/>
        <w:tblLook w:val="04A0" w:firstRow="1" w:lastRow="0" w:firstColumn="1" w:lastColumn="0" w:noHBand="0" w:noVBand="1"/>
        <w:tblCaption w:val="Table 2. Regular Attendees % Improved in English Grades"/>
      </w:tblPr>
      <w:tblGrid>
        <w:gridCol w:w="3055"/>
        <w:gridCol w:w="1800"/>
        <w:gridCol w:w="1800"/>
        <w:gridCol w:w="1710"/>
        <w:gridCol w:w="1620"/>
      </w:tblGrid>
      <w:tr w:rsidR="00DC6145" w:rsidRPr="004B7B2C" w:rsidTr="004B4E89">
        <w:trPr>
          <w:tblHeader/>
        </w:trPr>
        <w:tc>
          <w:tcPr>
            <w:tcW w:w="3055"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State</w:t>
            </w:r>
            <w:r>
              <w:rPr>
                <w:rFonts w:ascii="Times New Roman" w:hAnsi="Times New Roman" w:cs="Times New Roman"/>
                <w:b/>
                <w:color w:val="FFFFFF" w:themeColor="background1"/>
                <w:sz w:val="24"/>
                <w:szCs w:val="24"/>
              </w:rPr>
              <w:t>s</w:t>
            </w:r>
          </w:p>
          <w:p w:rsidR="00DC6145" w:rsidRPr="004B7B2C" w:rsidRDefault="00DC6145" w:rsidP="00BA3E29">
            <w:pPr>
              <w:rPr>
                <w:rFonts w:ascii="Times New Roman" w:hAnsi="Times New Roman" w:cs="Times New Roman"/>
                <w:sz w:val="24"/>
                <w:szCs w:val="24"/>
              </w:rPr>
            </w:pPr>
          </w:p>
        </w:tc>
        <w:tc>
          <w:tcPr>
            <w:tcW w:w="180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English</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Elementary</w:t>
            </w:r>
          </w:p>
        </w:tc>
        <w:tc>
          <w:tcPr>
            <w:tcW w:w="180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English</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Middle School</w:t>
            </w:r>
          </w:p>
        </w:tc>
        <w:tc>
          <w:tcPr>
            <w:tcW w:w="171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English</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High School</w:t>
            </w:r>
          </w:p>
        </w:tc>
        <w:tc>
          <w:tcPr>
            <w:tcW w:w="162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English</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All Students</w:t>
            </w:r>
          </w:p>
        </w:tc>
      </w:tr>
      <w:tr w:rsidR="00DC6145" w:rsidRPr="004B7B2C" w:rsidTr="00C30A85">
        <w:tc>
          <w:tcPr>
            <w:tcW w:w="3055" w:type="dxa"/>
          </w:tcPr>
          <w:p w:rsidR="00DC6145" w:rsidRPr="00DC6145" w:rsidRDefault="00DC6145" w:rsidP="00FE0BE8">
            <w:pPr>
              <w:rPr>
                <w:rFonts w:ascii="Times New Roman" w:hAnsi="Times New Roman" w:cs="Times New Roman"/>
                <w:b/>
                <w:sz w:val="24"/>
                <w:szCs w:val="24"/>
              </w:rPr>
            </w:pPr>
            <w:r w:rsidRPr="00DC6145">
              <w:rPr>
                <w:rFonts w:ascii="Times New Roman" w:hAnsi="Times New Roman" w:cs="Times New Roman"/>
                <w:b/>
                <w:sz w:val="24"/>
                <w:szCs w:val="24"/>
              </w:rPr>
              <w:t>Total</w:t>
            </w:r>
          </w:p>
        </w:tc>
        <w:tc>
          <w:tcPr>
            <w:tcW w:w="1800"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800"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710"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620"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r>
      <w:tr w:rsidR="00B31441" w:rsidRPr="004B7B2C" w:rsidTr="00C30A85">
        <w:tc>
          <w:tcPr>
            <w:tcW w:w="3055" w:type="dxa"/>
            <w:tcBorders>
              <w:top w:val="single" w:sz="2" w:space="0" w:color="auto"/>
              <w:left w:val="single" w:sz="2" w:space="0" w:color="auto"/>
              <w:bottom w:val="single" w:sz="2" w:space="0" w:color="auto"/>
              <w:right w:val="single" w:sz="2" w:space="0" w:color="auto"/>
            </w:tcBorders>
          </w:tcPr>
          <w:p w:rsidR="00B31441" w:rsidRPr="006A72FC" w:rsidRDefault="00B31441" w:rsidP="00C30A85">
            <w:pPr>
              <w:rPr>
                <w:rFonts w:ascii="Times New Roman" w:hAnsi="Times New Roman" w:cs="Times New Roman"/>
                <w:b/>
                <w:sz w:val="24"/>
                <w:szCs w:val="24"/>
              </w:rPr>
            </w:pPr>
            <w:r w:rsidRPr="006A72FC">
              <w:rPr>
                <w:rFonts w:ascii="Times New Roman" w:hAnsi="Times New Roman" w:cs="Times New Roman"/>
                <w:b/>
                <w:sz w:val="24"/>
                <w:szCs w:val="24"/>
              </w:rPr>
              <w:t>Overall</w:t>
            </w:r>
          </w:p>
        </w:tc>
        <w:tc>
          <w:tcPr>
            <w:tcW w:w="1800" w:type="dxa"/>
            <w:tcBorders>
              <w:top w:val="single" w:sz="2" w:space="0" w:color="auto"/>
              <w:left w:val="single" w:sz="2" w:space="0" w:color="auto"/>
              <w:bottom w:val="single" w:sz="2" w:space="0" w:color="auto"/>
              <w:right w:val="single" w:sz="2" w:space="0" w:color="auto"/>
            </w:tcBorders>
          </w:tcPr>
          <w:p w:rsidR="00B31441" w:rsidRPr="006A72FC" w:rsidRDefault="00B31441" w:rsidP="00C30A85">
            <w:pPr>
              <w:jc w:val="center"/>
              <w:rPr>
                <w:rFonts w:ascii="Times New Roman" w:hAnsi="Times New Roman" w:cs="Times New Roman"/>
                <w:b/>
                <w:sz w:val="24"/>
                <w:szCs w:val="24"/>
              </w:rPr>
            </w:pPr>
            <w:r w:rsidRPr="006A72FC">
              <w:rPr>
                <w:rFonts w:ascii="Times New Roman" w:hAnsi="Times New Roman" w:cs="Times New Roman"/>
                <w:b/>
                <w:sz w:val="24"/>
                <w:szCs w:val="24"/>
              </w:rPr>
              <w:t>36.7%</w:t>
            </w:r>
          </w:p>
        </w:tc>
        <w:tc>
          <w:tcPr>
            <w:tcW w:w="1800" w:type="dxa"/>
            <w:tcBorders>
              <w:top w:val="single" w:sz="2" w:space="0" w:color="auto"/>
              <w:left w:val="single" w:sz="2" w:space="0" w:color="auto"/>
              <w:bottom w:val="single" w:sz="2" w:space="0" w:color="auto"/>
              <w:right w:val="single" w:sz="2" w:space="0" w:color="auto"/>
            </w:tcBorders>
          </w:tcPr>
          <w:p w:rsidR="00B31441" w:rsidRPr="006A72FC" w:rsidRDefault="00B31441" w:rsidP="00C30A85">
            <w:pPr>
              <w:jc w:val="center"/>
              <w:rPr>
                <w:rFonts w:ascii="Times New Roman" w:hAnsi="Times New Roman" w:cs="Times New Roman"/>
                <w:b/>
                <w:sz w:val="24"/>
                <w:szCs w:val="24"/>
              </w:rPr>
            </w:pPr>
            <w:r w:rsidRPr="006A72FC">
              <w:rPr>
                <w:rFonts w:ascii="Times New Roman" w:hAnsi="Times New Roman" w:cs="Times New Roman"/>
                <w:b/>
                <w:sz w:val="24"/>
                <w:szCs w:val="24"/>
              </w:rPr>
              <w:t>36.5%</w:t>
            </w:r>
          </w:p>
        </w:tc>
        <w:tc>
          <w:tcPr>
            <w:tcW w:w="1710" w:type="dxa"/>
            <w:tcBorders>
              <w:top w:val="single" w:sz="2" w:space="0" w:color="auto"/>
              <w:left w:val="single" w:sz="2" w:space="0" w:color="auto"/>
              <w:bottom w:val="single" w:sz="2" w:space="0" w:color="auto"/>
              <w:right w:val="single" w:sz="2" w:space="0" w:color="auto"/>
            </w:tcBorders>
          </w:tcPr>
          <w:p w:rsidR="00B31441" w:rsidRPr="006A72FC" w:rsidRDefault="00B31441" w:rsidP="00C30A85">
            <w:pPr>
              <w:jc w:val="center"/>
              <w:rPr>
                <w:rFonts w:ascii="Times New Roman" w:hAnsi="Times New Roman" w:cs="Times New Roman"/>
                <w:b/>
                <w:sz w:val="24"/>
                <w:szCs w:val="24"/>
              </w:rPr>
            </w:pPr>
            <w:r w:rsidRPr="006A72FC">
              <w:rPr>
                <w:rFonts w:ascii="Times New Roman" w:hAnsi="Times New Roman" w:cs="Times New Roman"/>
                <w:b/>
                <w:sz w:val="24"/>
                <w:szCs w:val="24"/>
              </w:rPr>
              <w:t>38.1%</w:t>
            </w:r>
          </w:p>
        </w:tc>
        <w:tc>
          <w:tcPr>
            <w:tcW w:w="1620" w:type="dxa"/>
            <w:tcBorders>
              <w:top w:val="single" w:sz="2" w:space="0" w:color="auto"/>
              <w:left w:val="single" w:sz="2" w:space="0" w:color="auto"/>
              <w:bottom w:val="single" w:sz="2" w:space="0" w:color="auto"/>
              <w:right w:val="single" w:sz="2" w:space="0" w:color="auto"/>
            </w:tcBorders>
          </w:tcPr>
          <w:p w:rsidR="00B31441" w:rsidRPr="006A72FC" w:rsidRDefault="00B31441" w:rsidP="00C30A85">
            <w:pPr>
              <w:jc w:val="center"/>
              <w:rPr>
                <w:rFonts w:ascii="Times New Roman" w:hAnsi="Times New Roman" w:cs="Times New Roman"/>
                <w:b/>
                <w:sz w:val="24"/>
                <w:szCs w:val="24"/>
              </w:rPr>
            </w:pPr>
            <w:r w:rsidRPr="006A72FC">
              <w:rPr>
                <w:rFonts w:ascii="Times New Roman" w:hAnsi="Times New Roman" w:cs="Times New Roman"/>
                <w:b/>
                <w:sz w:val="24"/>
                <w:szCs w:val="24"/>
              </w:rPr>
              <w:t>36.8%</w:t>
            </w:r>
          </w:p>
        </w:tc>
      </w:tr>
    </w:tbl>
    <w:p w:rsidR="00B31441" w:rsidRPr="00DE69E8" w:rsidRDefault="00B31441" w:rsidP="00A40AEF">
      <w:p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Note: Raw scores were used to calculate overall % improvement.  </w:t>
      </w:r>
    </w:p>
    <w:p w:rsidR="00B31441" w:rsidRPr="004B7B2C" w:rsidRDefault="00B31441" w:rsidP="00B31441">
      <w:pPr>
        <w:pStyle w:val="Heading2"/>
      </w:pPr>
      <w:bookmarkStart w:id="10" w:name="_Toc446579699"/>
      <w:r w:rsidRPr="004B7B2C">
        <w:t>C. GPRA Measures #7-8: % Improvement on Reading and Mathematics State Assessments</w:t>
      </w:r>
      <w:bookmarkEnd w:id="10"/>
    </w:p>
    <w:p w:rsidR="00B31441" w:rsidRPr="004B7B2C" w:rsidRDefault="00B31441" w:rsidP="00B314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w:t>
      </w:r>
      <w:r w:rsidRPr="004B7B2C">
        <w:rPr>
          <w:rFonts w:ascii="Times New Roman" w:hAnsi="Times New Roman" w:cs="Times New Roman"/>
          <w:sz w:val="24"/>
          <w:szCs w:val="24"/>
        </w:rPr>
        <w:t xml:space="preserve"> out of </w:t>
      </w:r>
      <w:r>
        <w:rPr>
          <w:rFonts w:ascii="Times New Roman" w:hAnsi="Times New Roman" w:cs="Times New Roman"/>
          <w:sz w:val="24"/>
          <w:szCs w:val="24"/>
        </w:rPr>
        <w:t>54 states (18.5</w:t>
      </w:r>
      <w:r w:rsidRPr="004B7B2C">
        <w:rPr>
          <w:rFonts w:ascii="Times New Roman" w:hAnsi="Times New Roman" w:cs="Times New Roman"/>
          <w:sz w:val="24"/>
          <w:szCs w:val="24"/>
        </w:rPr>
        <w:t>%) reported % improvement from not proficient to proficient or above in reading and/or mathematics on state assessments.</w:t>
      </w:r>
    </w:p>
    <w:p w:rsidR="00B31441" w:rsidRPr="004B7B2C" w:rsidRDefault="00B31441" w:rsidP="00A40AEF">
      <w:pPr>
        <w:pStyle w:val="ListParagraph"/>
        <w:numPr>
          <w:ilvl w:val="0"/>
          <w:numId w:val="2"/>
        </w:num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Overall, the states reported the following % improvement: </w:t>
      </w:r>
      <w:r>
        <w:rPr>
          <w:rFonts w:ascii="Times New Roman" w:hAnsi="Times New Roman" w:cs="Times New Roman"/>
          <w:sz w:val="24"/>
          <w:szCs w:val="24"/>
        </w:rPr>
        <w:t>5.4% Elementary Reading, 12.6</w:t>
      </w:r>
      <w:r w:rsidRPr="004B7B2C">
        <w:rPr>
          <w:rFonts w:ascii="Times New Roman" w:hAnsi="Times New Roman" w:cs="Times New Roman"/>
          <w:sz w:val="24"/>
          <w:szCs w:val="24"/>
        </w:rPr>
        <w:t>% Mid</w:t>
      </w:r>
      <w:r>
        <w:rPr>
          <w:rFonts w:ascii="Times New Roman" w:hAnsi="Times New Roman" w:cs="Times New Roman"/>
          <w:sz w:val="24"/>
          <w:szCs w:val="24"/>
        </w:rPr>
        <w:t>dle School Mathematics, and 9.6</w:t>
      </w:r>
      <w:r w:rsidRPr="004B7B2C">
        <w:rPr>
          <w:rFonts w:ascii="Times New Roman" w:hAnsi="Times New Roman" w:cs="Times New Roman"/>
          <w:sz w:val="24"/>
          <w:szCs w:val="24"/>
        </w:rPr>
        <w:t>% High School Mathematics</w:t>
      </w:r>
      <w:r>
        <w:rPr>
          <w:rFonts w:ascii="Times New Roman" w:hAnsi="Times New Roman" w:cs="Times New Roman"/>
          <w:sz w:val="24"/>
          <w:szCs w:val="24"/>
        </w:rPr>
        <w:t xml:space="preserve"> Assessments</w:t>
      </w:r>
      <w:r w:rsidRPr="004B7B2C">
        <w:rPr>
          <w:rFonts w:ascii="Times New Roman" w:hAnsi="Times New Roman" w:cs="Times New Roman"/>
          <w:sz w:val="24"/>
          <w:szCs w:val="24"/>
        </w:rPr>
        <w:t>.</w:t>
      </w:r>
    </w:p>
    <w:p w:rsidR="00B31441" w:rsidRPr="004B7B2C" w:rsidRDefault="00B31441" w:rsidP="00B31441">
      <w:pPr>
        <w:pStyle w:val="Heading3"/>
        <w:ind w:right="0"/>
      </w:pPr>
      <w:bookmarkStart w:id="11" w:name="_Toc422397349"/>
      <w:bookmarkStart w:id="12" w:name="_Toc446579700"/>
      <w:proofErr w:type="gramStart"/>
      <w:r w:rsidRPr="004B7B2C">
        <w:t>Table 3.</w:t>
      </w:r>
      <w:proofErr w:type="gramEnd"/>
      <w:r w:rsidRPr="004B7B2C">
        <w:t xml:space="preserve"> Regular Atte</w:t>
      </w:r>
      <w:r>
        <w:t>ndees % Improved on Reading/</w:t>
      </w:r>
      <w:r w:rsidRPr="004B7B2C">
        <w:t>Mathematics State Assessments</w:t>
      </w:r>
      <w:bookmarkEnd w:id="11"/>
      <w:bookmarkEnd w:id="12"/>
    </w:p>
    <w:tbl>
      <w:tblPr>
        <w:tblStyle w:val="TableGrid"/>
        <w:tblW w:w="9150" w:type="dxa"/>
        <w:jc w:val="center"/>
        <w:tblLook w:val="04A0" w:firstRow="1" w:lastRow="0" w:firstColumn="1" w:lastColumn="0" w:noHBand="0" w:noVBand="1"/>
        <w:tblCaption w:val="Table 3. Regular Attendees % Improved on Reading/Mathematics State Assessments"/>
      </w:tblPr>
      <w:tblGrid>
        <w:gridCol w:w="3044"/>
        <w:gridCol w:w="2062"/>
        <w:gridCol w:w="2092"/>
        <w:gridCol w:w="1952"/>
      </w:tblGrid>
      <w:tr w:rsidR="00DC6145" w:rsidRPr="004B7B2C" w:rsidTr="00463A5F">
        <w:trPr>
          <w:tblHeader/>
          <w:jc w:val="center"/>
        </w:trPr>
        <w:tc>
          <w:tcPr>
            <w:tcW w:w="3044" w:type="dxa"/>
            <w:shd w:val="clear" w:color="auto" w:fill="2E74B5" w:themeFill="accent1" w:themeFillShade="BF"/>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State</w:t>
            </w:r>
            <w:r>
              <w:rPr>
                <w:rFonts w:ascii="Times New Roman" w:hAnsi="Times New Roman" w:cs="Times New Roman"/>
                <w:b/>
                <w:color w:val="FFFFFF" w:themeColor="background1"/>
                <w:sz w:val="24"/>
                <w:szCs w:val="24"/>
              </w:rPr>
              <w:t>s</w:t>
            </w:r>
          </w:p>
          <w:p w:rsidR="00DC6145" w:rsidRPr="004B7B2C" w:rsidRDefault="00DC6145" w:rsidP="00BA3E29">
            <w:pPr>
              <w:rPr>
                <w:rFonts w:ascii="Times New Roman" w:hAnsi="Times New Roman" w:cs="Times New Roman"/>
                <w:sz w:val="24"/>
                <w:szCs w:val="24"/>
              </w:rPr>
            </w:pPr>
          </w:p>
        </w:tc>
        <w:tc>
          <w:tcPr>
            <w:tcW w:w="2062" w:type="dxa"/>
            <w:shd w:val="clear" w:color="auto" w:fill="2E74B5" w:themeFill="accent1" w:themeFillShade="BF"/>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Reading</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Elementary</w:t>
            </w:r>
          </w:p>
        </w:tc>
        <w:tc>
          <w:tcPr>
            <w:tcW w:w="2092" w:type="dxa"/>
            <w:shd w:val="clear" w:color="auto" w:fill="2E74B5" w:themeFill="accent1" w:themeFillShade="BF"/>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Mathematics</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Middle School</w:t>
            </w:r>
          </w:p>
        </w:tc>
        <w:tc>
          <w:tcPr>
            <w:tcW w:w="1952" w:type="dxa"/>
            <w:shd w:val="clear" w:color="auto" w:fill="2E74B5" w:themeFill="accent1" w:themeFillShade="BF"/>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Mathematics</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High School</w:t>
            </w:r>
          </w:p>
        </w:tc>
      </w:tr>
      <w:tr w:rsidR="00DC6145" w:rsidRPr="004B7B2C" w:rsidTr="00C30A85">
        <w:trPr>
          <w:jc w:val="center"/>
        </w:trPr>
        <w:tc>
          <w:tcPr>
            <w:tcW w:w="3044" w:type="dxa"/>
          </w:tcPr>
          <w:p w:rsidR="00DC6145" w:rsidRPr="00DC6145" w:rsidRDefault="00DC6145" w:rsidP="00FE0BE8">
            <w:pPr>
              <w:rPr>
                <w:rFonts w:ascii="Times New Roman" w:hAnsi="Times New Roman" w:cs="Times New Roman"/>
                <w:b/>
                <w:sz w:val="24"/>
                <w:szCs w:val="24"/>
              </w:rPr>
            </w:pPr>
            <w:r w:rsidRPr="00DC6145">
              <w:rPr>
                <w:rFonts w:ascii="Times New Roman" w:hAnsi="Times New Roman" w:cs="Times New Roman"/>
                <w:b/>
                <w:sz w:val="24"/>
                <w:szCs w:val="24"/>
              </w:rPr>
              <w:t>Total</w:t>
            </w:r>
          </w:p>
        </w:tc>
        <w:tc>
          <w:tcPr>
            <w:tcW w:w="2062"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2092"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c>
          <w:tcPr>
            <w:tcW w:w="1952" w:type="dxa"/>
          </w:tcPr>
          <w:p w:rsidR="00DC6145" w:rsidRPr="004B7B2C" w:rsidRDefault="00DC6145" w:rsidP="00C30A85">
            <w:pPr>
              <w:jc w:val="center"/>
              <w:rPr>
                <w:rFonts w:ascii="Times New Roman" w:hAnsi="Times New Roman" w:cs="Times New Roman"/>
                <w:sz w:val="24"/>
                <w:szCs w:val="24"/>
              </w:rPr>
            </w:pPr>
            <w:r w:rsidRPr="004B7B2C">
              <w:rPr>
                <w:rFonts w:ascii="Times New Roman" w:hAnsi="Times New Roman" w:cs="Times New Roman"/>
                <w:b/>
                <w:sz w:val="24"/>
                <w:szCs w:val="24"/>
              </w:rPr>
              <w:t>% Improved</w:t>
            </w:r>
          </w:p>
        </w:tc>
      </w:tr>
      <w:tr w:rsidR="00B31441" w:rsidRPr="004B7B2C" w:rsidTr="00C30A85">
        <w:trPr>
          <w:jc w:val="center"/>
        </w:trPr>
        <w:tc>
          <w:tcPr>
            <w:tcW w:w="3044" w:type="dxa"/>
            <w:tcBorders>
              <w:top w:val="single" w:sz="2" w:space="0" w:color="auto"/>
              <w:left w:val="single" w:sz="2" w:space="0" w:color="auto"/>
              <w:bottom w:val="single" w:sz="2" w:space="0" w:color="auto"/>
              <w:right w:val="single" w:sz="2" w:space="0" w:color="auto"/>
            </w:tcBorders>
          </w:tcPr>
          <w:p w:rsidR="00B31441" w:rsidRPr="00E54337" w:rsidRDefault="00B31441" w:rsidP="00C30A85">
            <w:pPr>
              <w:rPr>
                <w:rFonts w:ascii="Times New Roman" w:hAnsi="Times New Roman" w:cs="Times New Roman"/>
                <w:b/>
                <w:sz w:val="24"/>
                <w:szCs w:val="24"/>
              </w:rPr>
            </w:pPr>
            <w:r w:rsidRPr="00E54337">
              <w:rPr>
                <w:rFonts w:ascii="Times New Roman" w:hAnsi="Times New Roman" w:cs="Times New Roman"/>
                <w:b/>
                <w:sz w:val="24"/>
                <w:szCs w:val="24"/>
              </w:rPr>
              <w:t>Overall</w:t>
            </w:r>
          </w:p>
        </w:tc>
        <w:tc>
          <w:tcPr>
            <w:tcW w:w="2062" w:type="dxa"/>
            <w:tcBorders>
              <w:top w:val="single" w:sz="2" w:space="0" w:color="auto"/>
              <w:left w:val="single" w:sz="2" w:space="0" w:color="auto"/>
              <w:bottom w:val="single" w:sz="2" w:space="0" w:color="auto"/>
              <w:right w:val="single" w:sz="2" w:space="0" w:color="auto"/>
            </w:tcBorders>
          </w:tcPr>
          <w:p w:rsidR="00B31441" w:rsidRPr="00E54337"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5.4%</w:t>
            </w:r>
          </w:p>
        </w:tc>
        <w:tc>
          <w:tcPr>
            <w:tcW w:w="2092" w:type="dxa"/>
            <w:tcBorders>
              <w:top w:val="single" w:sz="2" w:space="0" w:color="auto"/>
              <w:left w:val="single" w:sz="2" w:space="0" w:color="auto"/>
              <w:bottom w:val="single" w:sz="2" w:space="0" w:color="auto"/>
              <w:right w:val="single" w:sz="2" w:space="0" w:color="auto"/>
            </w:tcBorders>
          </w:tcPr>
          <w:p w:rsidR="00B31441" w:rsidRPr="00E54337"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12.6%</w:t>
            </w:r>
          </w:p>
        </w:tc>
        <w:tc>
          <w:tcPr>
            <w:tcW w:w="1952" w:type="dxa"/>
            <w:tcBorders>
              <w:top w:val="single" w:sz="2" w:space="0" w:color="auto"/>
              <w:left w:val="single" w:sz="2" w:space="0" w:color="auto"/>
              <w:bottom w:val="single" w:sz="2" w:space="0" w:color="auto"/>
              <w:right w:val="single" w:sz="2" w:space="0" w:color="auto"/>
            </w:tcBorders>
          </w:tcPr>
          <w:p w:rsidR="00B31441" w:rsidRPr="00E54337"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9.6%</w:t>
            </w:r>
          </w:p>
        </w:tc>
      </w:tr>
    </w:tbl>
    <w:p w:rsidR="00B31441" w:rsidRPr="004B7B2C" w:rsidRDefault="00B31441" w:rsidP="00854C87">
      <w:pPr>
        <w:spacing w:after="480" w:line="240" w:lineRule="auto"/>
        <w:ind w:left="86"/>
        <w:rPr>
          <w:rFonts w:ascii="Times New Roman" w:hAnsi="Times New Roman" w:cs="Times New Roman"/>
        </w:rPr>
      </w:pPr>
      <w:r w:rsidRPr="004B7B2C">
        <w:rPr>
          <w:rFonts w:ascii="Times New Roman" w:hAnsi="Times New Roman" w:cs="Times New Roman"/>
        </w:rPr>
        <w:t>Note: Raw scores were used to calculate overall % improvement.  When calculating the % improvement</w:t>
      </w:r>
      <w:r>
        <w:rPr>
          <w:rFonts w:ascii="Times New Roman" w:hAnsi="Times New Roman" w:cs="Times New Roman"/>
        </w:rPr>
        <w:t xml:space="preserve">     “Overall”</w:t>
      </w:r>
      <w:r w:rsidRPr="004B7B2C">
        <w:rPr>
          <w:rFonts w:ascii="Times New Roman" w:hAnsi="Times New Roman" w:cs="Times New Roman"/>
        </w:rPr>
        <w:t>,</w:t>
      </w:r>
      <w:r>
        <w:rPr>
          <w:rFonts w:ascii="Times New Roman" w:hAnsi="Times New Roman" w:cs="Times New Roman"/>
        </w:rPr>
        <w:t xml:space="preserve"> the total amounts of regular attendees with reported APR results were used in the calculations across all states/territories.  </w:t>
      </w:r>
    </w:p>
    <w:p w:rsidR="00B31441" w:rsidRDefault="00B31441" w:rsidP="00B31441">
      <w:pPr>
        <w:pStyle w:val="Heading2"/>
      </w:pPr>
      <w:bookmarkStart w:id="13" w:name="_Toc446579701"/>
      <w:r w:rsidRPr="004B7B2C">
        <w:t>D.  GPRA Measures #9-11: % Improvement on Homework Completion and Class Participation</w:t>
      </w:r>
      <w:bookmarkEnd w:id="13"/>
    </w:p>
    <w:p w:rsidR="00B31441" w:rsidRPr="00A207D3" w:rsidRDefault="00B31441" w:rsidP="00B31441">
      <w:pPr>
        <w:rPr>
          <w:rFonts w:ascii="Times New Roman" w:hAnsi="Times New Roman" w:cs="Times New Roman"/>
          <w:b/>
          <w:sz w:val="24"/>
          <w:szCs w:val="24"/>
        </w:rPr>
      </w:pPr>
      <w:r w:rsidRPr="00A207D3">
        <w:rPr>
          <w:rFonts w:ascii="Times New Roman" w:hAnsi="Times New Roman" w:cs="Times New Roman"/>
          <w:b/>
          <w:sz w:val="24"/>
          <w:szCs w:val="24"/>
        </w:rPr>
        <w:t>Homework Completion:</w:t>
      </w:r>
    </w:p>
    <w:p w:rsidR="00B31441" w:rsidRDefault="00B31441" w:rsidP="00B314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21</w:t>
      </w:r>
      <w:r w:rsidRPr="004B7B2C">
        <w:rPr>
          <w:rFonts w:ascii="Times New Roman" w:hAnsi="Times New Roman" w:cs="Times New Roman"/>
          <w:sz w:val="24"/>
          <w:szCs w:val="24"/>
        </w:rPr>
        <w:t xml:space="preserve"> out of </w:t>
      </w:r>
      <w:r>
        <w:rPr>
          <w:rFonts w:ascii="Times New Roman" w:hAnsi="Times New Roman" w:cs="Times New Roman"/>
          <w:sz w:val="24"/>
          <w:szCs w:val="24"/>
        </w:rPr>
        <w:t>54</w:t>
      </w:r>
      <w:r w:rsidRPr="004B7B2C">
        <w:rPr>
          <w:rFonts w:ascii="Times New Roman" w:hAnsi="Times New Roman" w:cs="Times New Roman"/>
          <w:sz w:val="24"/>
          <w:szCs w:val="24"/>
        </w:rPr>
        <w:t xml:space="preserve"> states (</w:t>
      </w:r>
      <w:r>
        <w:rPr>
          <w:rFonts w:ascii="Times New Roman" w:hAnsi="Times New Roman" w:cs="Times New Roman"/>
          <w:sz w:val="24"/>
          <w:szCs w:val="24"/>
        </w:rPr>
        <w:t>38.9</w:t>
      </w:r>
      <w:r w:rsidRPr="004B7B2C">
        <w:rPr>
          <w:rFonts w:ascii="Times New Roman" w:hAnsi="Times New Roman" w:cs="Times New Roman"/>
          <w:sz w:val="24"/>
          <w:szCs w:val="24"/>
        </w:rPr>
        <w:t xml:space="preserve">%) reported </w:t>
      </w:r>
      <w:r>
        <w:rPr>
          <w:rFonts w:ascii="Times New Roman" w:hAnsi="Times New Roman" w:cs="Times New Roman"/>
          <w:sz w:val="24"/>
          <w:szCs w:val="24"/>
        </w:rPr>
        <w:t>data on homework completion</w:t>
      </w:r>
      <w:r w:rsidRPr="004B7B2C">
        <w:rPr>
          <w:rFonts w:ascii="Times New Roman" w:hAnsi="Times New Roman" w:cs="Times New Roman"/>
          <w:sz w:val="24"/>
          <w:szCs w:val="24"/>
        </w:rPr>
        <w:t>.</w:t>
      </w:r>
    </w:p>
    <w:p w:rsidR="00B31441" w:rsidRDefault="00B31441" w:rsidP="00854C87">
      <w:pPr>
        <w:pStyle w:val="ListParagraph"/>
        <w:numPr>
          <w:ilvl w:val="0"/>
          <w:numId w:val="3"/>
        </w:numPr>
        <w:spacing w:before="240" w:after="4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Overall, the states reported the following % improvement in homework completion: </w:t>
      </w:r>
      <w:r>
        <w:rPr>
          <w:rFonts w:ascii="Times New Roman" w:hAnsi="Times New Roman" w:cs="Times New Roman"/>
          <w:sz w:val="24"/>
          <w:szCs w:val="24"/>
        </w:rPr>
        <w:t>49.8</w:t>
      </w:r>
      <w:r w:rsidRPr="004B7B2C">
        <w:rPr>
          <w:rFonts w:ascii="Times New Roman" w:hAnsi="Times New Roman" w:cs="Times New Roman"/>
          <w:sz w:val="24"/>
          <w:szCs w:val="24"/>
        </w:rPr>
        <w:t xml:space="preserve">% Elementary, </w:t>
      </w:r>
      <w:r>
        <w:rPr>
          <w:rFonts w:ascii="Times New Roman" w:hAnsi="Times New Roman" w:cs="Times New Roman"/>
          <w:sz w:val="24"/>
          <w:szCs w:val="24"/>
        </w:rPr>
        <w:t xml:space="preserve">48.4% </w:t>
      </w:r>
      <w:proofErr w:type="gramStart"/>
      <w:r>
        <w:rPr>
          <w:rFonts w:ascii="Times New Roman" w:hAnsi="Times New Roman" w:cs="Times New Roman"/>
          <w:sz w:val="24"/>
          <w:szCs w:val="24"/>
        </w:rPr>
        <w:t>Middle/</w:t>
      </w:r>
      <w:r w:rsidRPr="004B7B2C">
        <w:rPr>
          <w:rFonts w:ascii="Times New Roman" w:hAnsi="Times New Roman" w:cs="Times New Roman"/>
          <w:sz w:val="24"/>
          <w:szCs w:val="24"/>
        </w:rPr>
        <w:t>High School,</w:t>
      </w:r>
      <w:proofErr w:type="gramEnd"/>
      <w:r w:rsidRPr="004B7B2C">
        <w:rPr>
          <w:rFonts w:ascii="Times New Roman" w:hAnsi="Times New Roman" w:cs="Times New Roman"/>
          <w:sz w:val="24"/>
          <w:szCs w:val="24"/>
        </w:rPr>
        <w:t xml:space="preserve"> and </w:t>
      </w:r>
      <w:r>
        <w:rPr>
          <w:rFonts w:ascii="Times New Roman" w:hAnsi="Times New Roman" w:cs="Times New Roman"/>
          <w:sz w:val="24"/>
          <w:szCs w:val="24"/>
        </w:rPr>
        <w:t>49.4</w:t>
      </w:r>
      <w:r w:rsidRPr="004B7B2C">
        <w:rPr>
          <w:rFonts w:ascii="Times New Roman" w:hAnsi="Times New Roman" w:cs="Times New Roman"/>
          <w:sz w:val="24"/>
          <w:szCs w:val="24"/>
        </w:rPr>
        <w:t>% for all students.</w:t>
      </w:r>
    </w:p>
    <w:p w:rsidR="00854C87" w:rsidRDefault="00854C87" w:rsidP="00854C87">
      <w:pPr>
        <w:pStyle w:val="ListParagraph"/>
        <w:spacing w:after="480" w:line="240" w:lineRule="auto"/>
        <w:rPr>
          <w:rFonts w:ascii="Times New Roman" w:hAnsi="Times New Roman" w:cs="Times New Roman"/>
          <w:sz w:val="24"/>
          <w:szCs w:val="24"/>
        </w:rPr>
      </w:pPr>
    </w:p>
    <w:p w:rsidR="00B31441" w:rsidRPr="00A207D3" w:rsidRDefault="00B31441" w:rsidP="00854C87">
      <w:pPr>
        <w:pStyle w:val="ListParagraph"/>
        <w:spacing w:before="480" w:after="0" w:line="240" w:lineRule="auto"/>
        <w:ind w:left="0"/>
        <w:rPr>
          <w:rFonts w:ascii="Times New Roman" w:hAnsi="Times New Roman" w:cs="Times New Roman"/>
          <w:b/>
          <w:sz w:val="24"/>
          <w:szCs w:val="24"/>
        </w:rPr>
      </w:pPr>
      <w:r w:rsidRPr="00A207D3">
        <w:rPr>
          <w:rFonts w:ascii="Times New Roman" w:hAnsi="Times New Roman" w:cs="Times New Roman"/>
          <w:b/>
          <w:sz w:val="24"/>
          <w:szCs w:val="24"/>
        </w:rPr>
        <w:t>Class Participation:</w:t>
      </w:r>
    </w:p>
    <w:p w:rsidR="00B31441" w:rsidRDefault="00B31441" w:rsidP="00B31441">
      <w:pPr>
        <w:pStyle w:val="ListParagraph"/>
        <w:spacing w:after="0" w:line="240" w:lineRule="auto"/>
        <w:ind w:left="0"/>
        <w:rPr>
          <w:rFonts w:ascii="Times New Roman" w:hAnsi="Times New Roman" w:cs="Times New Roman"/>
          <w:sz w:val="24"/>
          <w:szCs w:val="24"/>
        </w:rPr>
      </w:pPr>
    </w:p>
    <w:p w:rsidR="00B31441" w:rsidRDefault="00B31441" w:rsidP="00B3144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4B7B2C">
        <w:rPr>
          <w:rFonts w:ascii="Times New Roman" w:hAnsi="Times New Roman" w:cs="Times New Roman"/>
          <w:sz w:val="24"/>
          <w:szCs w:val="24"/>
        </w:rPr>
        <w:t xml:space="preserve"> out of </w:t>
      </w:r>
      <w:r>
        <w:rPr>
          <w:rFonts w:ascii="Times New Roman" w:hAnsi="Times New Roman" w:cs="Times New Roman"/>
          <w:sz w:val="24"/>
          <w:szCs w:val="24"/>
        </w:rPr>
        <w:t>54</w:t>
      </w:r>
      <w:r w:rsidRPr="004B7B2C">
        <w:rPr>
          <w:rFonts w:ascii="Times New Roman" w:hAnsi="Times New Roman" w:cs="Times New Roman"/>
          <w:sz w:val="24"/>
          <w:szCs w:val="24"/>
        </w:rPr>
        <w:t xml:space="preserve"> states (</w:t>
      </w:r>
      <w:r>
        <w:rPr>
          <w:rFonts w:ascii="Times New Roman" w:hAnsi="Times New Roman" w:cs="Times New Roman"/>
          <w:sz w:val="24"/>
          <w:szCs w:val="24"/>
        </w:rPr>
        <w:t>38.9</w:t>
      </w:r>
      <w:r w:rsidRPr="004B7B2C">
        <w:rPr>
          <w:rFonts w:ascii="Times New Roman" w:hAnsi="Times New Roman" w:cs="Times New Roman"/>
          <w:sz w:val="24"/>
          <w:szCs w:val="24"/>
        </w:rPr>
        <w:t xml:space="preserve">%) reported </w:t>
      </w:r>
      <w:r>
        <w:rPr>
          <w:rFonts w:ascii="Times New Roman" w:hAnsi="Times New Roman" w:cs="Times New Roman"/>
          <w:sz w:val="24"/>
          <w:szCs w:val="24"/>
        </w:rPr>
        <w:t>data on class participation.</w:t>
      </w:r>
    </w:p>
    <w:p w:rsidR="00B31441" w:rsidRDefault="00B31441" w:rsidP="00A40AEF">
      <w:pPr>
        <w:pStyle w:val="ListParagraph"/>
        <w:numPr>
          <w:ilvl w:val="0"/>
          <w:numId w:val="8"/>
        </w:numPr>
        <w:spacing w:after="16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Overall, the states reported the following % improvement in </w:t>
      </w:r>
      <w:r>
        <w:rPr>
          <w:rFonts w:ascii="Times New Roman" w:hAnsi="Times New Roman" w:cs="Times New Roman"/>
          <w:sz w:val="24"/>
          <w:szCs w:val="24"/>
        </w:rPr>
        <w:t>class participation</w:t>
      </w:r>
      <w:r w:rsidRPr="004B7B2C">
        <w:rPr>
          <w:rFonts w:ascii="Times New Roman" w:hAnsi="Times New Roman" w:cs="Times New Roman"/>
          <w:sz w:val="24"/>
          <w:szCs w:val="24"/>
        </w:rPr>
        <w:t xml:space="preserve">: </w:t>
      </w:r>
      <w:r>
        <w:rPr>
          <w:rFonts w:ascii="Times New Roman" w:hAnsi="Times New Roman" w:cs="Times New Roman"/>
          <w:sz w:val="24"/>
          <w:szCs w:val="24"/>
        </w:rPr>
        <w:t>49.4</w:t>
      </w:r>
      <w:r w:rsidRPr="004B7B2C">
        <w:rPr>
          <w:rFonts w:ascii="Times New Roman" w:hAnsi="Times New Roman" w:cs="Times New Roman"/>
          <w:sz w:val="24"/>
          <w:szCs w:val="24"/>
        </w:rPr>
        <w:t xml:space="preserve">% Elementary, </w:t>
      </w:r>
      <w:r>
        <w:rPr>
          <w:rFonts w:ascii="Times New Roman" w:hAnsi="Times New Roman" w:cs="Times New Roman"/>
          <w:sz w:val="24"/>
          <w:szCs w:val="24"/>
        </w:rPr>
        <w:t>48.1</w:t>
      </w:r>
      <w:r w:rsidRPr="004B7B2C">
        <w:rPr>
          <w:rFonts w:ascii="Times New Roman" w:hAnsi="Times New Roman" w:cs="Times New Roman"/>
          <w:sz w:val="24"/>
          <w:szCs w:val="24"/>
        </w:rPr>
        <w:t xml:space="preserve">% </w:t>
      </w:r>
      <w:r w:rsidR="00A40AEF">
        <w:rPr>
          <w:rFonts w:ascii="Times New Roman" w:hAnsi="Times New Roman" w:cs="Times New Roman"/>
          <w:sz w:val="24"/>
          <w:szCs w:val="24"/>
        </w:rPr>
        <w:t>Middle /High School</w:t>
      </w:r>
      <w:r>
        <w:rPr>
          <w:rFonts w:ascii="Times New Roman" w:hAnsi="Times New Roman" w:cs="Times New Roman"/>
          <w:sz w:val="24"/>
          <w:szCs w:val="24"/>
        </w:rPr>
        <w:t xml:space="preserve"> and 48.9</w:t>
      </w:r>
      <w:r w:rsidRPr="004B7B2C">
        <w:rPr>
          <w:rFonts w:ascii="Times New Roman" w:hAnsi="Times New Roman" w:cs="Times New Roman"/>
          <w:sz w:val="24"/>
          <w:szCs w:val="24"/>
        </w:rPr>
        <w:t>% for all students.</w:t>
      </w:r>
    </w:p>
    <w:p w:rsidR="00B31441" w:rsidRPr="004B7B2C" w:rsidRDefault="00B31441" w:rsidP="00A40AEF">
      <w:pPr>
        <w:pStyle w:val="Heading3"/>
        <w:spacing w:before="480"/>
      </w:pPr>
      <w:bookmarkStart w:id="14" w:name="_Toc422397350"/>
      <w:bookmarkStart w:id="15" w:name="_Toc446579702"/>
      <w:proofErr w:type="gramStart"/>
      <w:r w:rsidRPr="005D7BB3">
        <w:lastRenderedPageBreak/>
        <w:t>Table 4.</w:t>
      </w:r>
      <w:proofErr w:type="gramEnd"/>
      <w:r w:rsidRPr="005D7BB3">
        <w:t xml:space="preserve"> Regular Attendees % Improved Homework Completion</w:t>
      </w:r>
      <w:bookmarkEnd w:id="14"/>
      <w:bookmarkEnd w:id="15"/>
    </w:p>
    <w:tbl>
      <w:tblPr>
        <w:tblStyle w:val="TableGrid"/>
        <w:tblW w:w="9985" w:type="dxa"/>
        <w:tblLook w:val="04A0" w:firstRow="1" w:lastRow="0" w:firstColumn="1" w:lastColumn="0" w:noHBand="0" w:noVBand="1"/>
        <w:tblCaption w:val="Table 4. Regular Attendees % Improved Homework Completion"/>
      </w:tblPr>
      <w:tblGrid>
        <w:gridCol w:w="3055"/>
        <w:gridCol w:w="2430"/>
        <w:gridCol w:w="2340"/>
        <w:gridCol w:w="2160"/>
      </w:tblGrid>
      <w:tr w:rsidR="00DC6145" w:rsidRPr="004B7B2C" w:rsidTr="004B4E89">
        <w:trPr>
          <w:tblHeader/>
        </w:trPr>
        <w:tc>
          <w:tcPr>
            <w:tcW w:w="3055" w:type="dxa"/>
            <w:shd w:val="clear" w:color="auto" w:fill="4375B1"/>
          </w:tcPr>
          <w:p w:rsidR="00DC6145" w:rsidRPr="004B7B2C" w:rsidRDefault="00DC6145" w:rsidP="00A40AEF">
            <w:pPr>
              <w:rPr>
                <w:rFonts w:ascii="Times New Roman" w:hAnsi="Times New Roman" w:cs="Times New Roman"/>
                <w:sz w:val="24"/>
                <w:szCs w:val="24"/>
              </w:rPr>
            </w:pPr>
            <w:r w:rsidRPr="004B7B2C">
              <w:rPr>
                <w:rFonts w:ascii="Times New Roman" w:hAnsi="Times New Roman" w:cs="Times New Roman"/>
                <w:b/>
                <w:color w:val="FFFFFF" w:themeColor="background1"/>
                <w:sz w:val="24"/>
                <w:szCs w:val="24"/>
              </w:rPr>
              <w:t>State</w:t>
            </w:r>
            <w:r>
              <w:rPr>
                <w:rFonts w:ascii="Times New Roman" w:hAnsi="Times New Roman" w:cs="Times New Roman"/>
                <w:b/>
                <w:color w:val="FFFFFF" w:themeColor="background1"/>
                <w:sz w:val="24"/>
                <w:szCs w:val="24"/>
              </w:rPr>
              <w:t>s</w:t>
            </w:r>
            <w:r w:rsidR="00A40AEF">
              <w:rPr>
                <w:rFonts w:ascii="Times New Roman" w:hAnsi="Times New Roman" w:cs="Times New Roman"/>
                <w:b/>
                <w:color w:val="FFFFFF" w:themeColor="background1"/>
                <w:sz w:val="24"/>
                <w:szCs w:val="24"/>
              </w:rPr>
              <w:t xml:space="preserve"> Totals</w:t>
            </w:r>
          </w:p>
        </w:tc>
        <w:tc>
          <w:tcPr>
            <w:tcW w:w="243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HC</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Elementary</w:t>
            </w:r>
            <w:r w:rsidR="00A40AEF">
              <w:rPr>
                <w:rFonts w:ascii="Times New Roman" w:hAnsi="Times New Roman" w:cs="Times New Roman"/>
                <w:b/>
                <w:color w:val="FFFFFF" w:themeColor="background1"/>
                <w:sz w:val="24"/>
                <w:szCs w:val="24"/>
              </w:rPr>
              <w:t xml:space="preserve"> % Improved</w:t>
            </w:r>
          </w:p>
        </w:tc>
        <w:tc>
          <w:tcPr>
            <w:tcW w:w="234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HC</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Middle</w:t>
            </w:r>
            <w:r>
              <w:rPr>
                <w:rFonts w:ascii="Times New Roman" w:hAnsi="Times New Roman" w:cs="Times New Roman"/>
                <w:b/>
                <w:color w:val="FFFFFF" w:themeColor="background1"/>
                <w:sz w:val="24"/>
                <w:szCs w:val="24"/>
              </w:rPr>
              <w:t>/High</w:t>
            </w:r>
            <w:r w:rsidRPr="004B7B2C">
              <w:rPr>
                <w:rFonts w:ascii="Times New Roman" w:hAnsi="Times New Roman" w:cs="Times New Roman"/>
                <w:b/>
                <w:color w:val="FFFFFF" w:themeColor="background1"/>
                <w:sz w:val="24"/>
                <w:szCs w:val="24"/>
              </w:rPr>
              <w:t xml:space="preserve"> School</w:t>
            </w:r>
            <w:r w:rsidR="00A40AEF">
              <w:rPr>
                <w:rFonts w:ascii="Times New Roman" w:hAnsi="Times New Roman" w:cs="Times New Roman"/>
                <w:b/>
                <w:color w:val="FFFFFF" w:themeColor="background1"/>
                <w:sz w:val="24"/>
                <w:szCs w:val="24"/>
              </w:rPr>
              <w:t xml:space="preserve"> % Improved</w:t>
            </w:r>
          </w:p>
        </w:tc>
        <w:tc>
          <w:tcPr>
            <w:tcW w:w="2160" w:type="dxa"/>
            <w:shd w:val="clear" w:color="auto" w:fill="4375B1"/>
          </w:tcPr>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HC</w:t>
            </w:r>
          </w:p>
          <w:p w:rsidR="00DC6145" w:rsidRPr="004B7B2C" w:rsidRDefault="00DC6145" w:rsidP="00BA3E29">
            <w:pPr>
              <w:rPr>
                <w:rFonts w:ascii="Times New Roman" w:hAnsi="Times New Roman" w:cs="Times New Roman"/>
                <w:b/>
                <w:color w:val="FFFFFF" w:themeColor="background1"/>
                <w:sz w:val="24"/>
                <w:szCs w:val="24"/>
              </w:rPr>
            </w:pPr>
            <w:r w:rsidRPr="004B7B2C">
              <w:rPr>
                <w:rFonts w:ascii="Times New Roman" w:hAnsi="Times New Roman" w:cs="Times New Roman"/>
                <w:b/>
                <w:color w:val="FFFFFF" w:themeColor="background1"/>
                <w:sz w:val="24"/>
                <w:szCs w:val="24"/>
              </w:rPr>
              <w:t>All Students</w:t>
            </w:r>
            <w:r w:rsidR="00A40AEF">
              <w:rPr>
                <w:rFonts w:ascii="Times New Roman" w:hAnsi="Times New Roman" w:cs="Times New Roman"/>
                <w:b/>
                <w:color w:val="FFFFFF" w:themeColor="background1"/>
                <w:sz w:val="24"/>
                <w:szCs w:val="24"/>
              </w:rPr>
              <w:t xml:space="preserve"> % Improved</w:t>
            </w:r>
          </w:p>
        </w:tc>
      </w:tr>
      <w:tr w:rsidR="00B31441" w:rsidRPr="004B7B2C" w:rsidTr="00C30A85">
        <w:tc>
          <w:tcPr>
            <w:tcW w:w="3055" w:type="dxa"/>
          </w:tcPr>
          <w:p w:rsidR="00B31441" w:rsidRPr="009D36DA" w:rsidRDefault="00B31441" w:rsidP="00C30A85">
            <w:pPr>
              <w:rPr>
                <w:rFonts w:ascii="Times New Roman" w:hAnsi="Times New Roman" w:cs="Times New Roman"/>
                <w:b/>
                <w:sz w:val="24"/>
                <w:szCs w:val="24"/>
              </w:rPr>
            </w:pPr>
            <w:r w:rsidRPr="009D36DA">
              <w:rPr>
                <w:rFonts w:ascii="Times New Roman" w:hAnsi="Times New Roman" w:cs="Times New Roman"/>
                <w:b/>
                <w:sz w:val="24"/>
                <w:szCs w:val="24"/>
              </w:rPr>
              <w:t>Overall</w:t>
            </w:r>
          </w:p>
        </w:tc>
        <w:tc>
          <w:tcPr>
            <w:tcW w:w="2430" w:type="dxa"/>
          </w:tcPr>
          <w:p w:rsidR="00B31441" w:rsidRPr="009D36DA"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49.8%</w:t>
            </w:r>
          </w:p>
        </w:tc>
        <w:tc>
          <w:tcPr>
            <w:tcW w:w="2340" w:type="dxa"/>
          </w:tcPr>
          <w:p w:rsidR="00B31441" w:rsidRPr="009D36DA"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48.4%</w:t>
            </w:r>
          </w:p>
        </w:tc>
        <w:tc>
          <w:tcPr>
            <w:tcW w:w="2160" w:type="dxa"/>
          </w:tcPr>
          <w:p w:rsidR="00B31441" w:rsidRPr="009D36DA"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49.4%</w:t>
            </w:r>
          </w:p>
        </w:tc>
      </w:tr>
    </w:tbl>
    <w:p w:rsidR="00B31441" w:rsidRPr="004B7B2C" w:rsidRDefault="00B31441" w:rsidP="00A40AEF">
      <w:p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Note: Raw scores were used to calculate overall % improvement.  </w:t>
      </w:r>
    </w:p>
    <w:p w:rsidR="00B31441" w:rsidRPr="004B7B2C" w:rsidRDefault="00B31441" w:rsidP="00A40AEF">
      <w:pPr>
        <w:pStyle w:val="Heading3"/>
      </w:pPr>
      <w:bookmarkStart w:id="16" w:name="_Toc422397351"/>
      <w:bookmarkStart w:id="17" w:name="_Toc446579703"/>
      <w:proofErr w:type="gramStart"/>
      <w:r w:rsidRPr="004B7B2C">
        <w:t>Table 5.</w:t>
      </w:r>
      <w:proofErr w:type="gramEnd"/>
      <w:r w:rsidRPr="004B7B2C">
        <w:t xml:space="preserve"> Regular Attendees % Improved Class Participation</w:t>
      </w:r>
      <w:bookmarkEnd w:id="16"/>
      <w:bookmarkEnd w:id="17"/>
    </w:p>
    <w:tbl>
      <w:tblPr>
        <w:tblStyle w:val="TableGrid"/>
        <w:tblW w:w="9985" w:type="dxa"/>
        <w:tblLook w:val="04A0" w:firstRow="1" w:lastRow="0" w:firstColumn="1" w:lastColumn="0" w:noHBand="0" w:noVBand="1"/>
        <w:tblCaption w:val="Table 5. Regular Attendees % Improved Class Participation"/>
      </w:tblPr>
      <w:tblGrid>
        <w:gridCol w:w="3055"/>
        <w:gridCol w:w="2430"/>
        <w:gridCol w:w="2340"/>
        <w:gridCol w:w="2160"/>
      </w:tblGrid>
      <w:tr w:rsidR="00DC6145" w:rsidRPr="004B7B2C" w:rsidTr="004B4E89">
        <w:trPr>
          <w:tblHeader/>
        </w:trPr>
        <w:tc>
          <w:tcPr>
            <w:tcW w:w="3055" w:type="dxa"/>
            <w:shd w:val="clear" w:color="auto" w:fill="4375B1"/>
          </w:tcPr>
          <w:p w:rsidR="00DC6145" w:rsidRPr="00A40AEF" w:rsidRDefault="00DC6145" w:rsidP="00A40AEF">
            <w:pPr>
              <w:rPr>
                <w:rFonts w:ascii="Times New Roman" w:hAnsi="Times New Roman" w:cs="Times New Roman"/>
                <w:color w:val="FFFFFF" w:themeColor="background1"/>
                <w:sz w:val="24"/>
                <w:szCs w:val="24"/>
              </w:rPr>
            </w:pPr>
            <w:r w:rsidRPr="00A40AEF">
              <w:rPr>
                <w:rFonts w:ascii="Times New Roman" w:hAnsi="Times New Roman" w:cs="Times New Roman"/>
                <w:b/>
                <w:color w:val="FFFFFF" w:themeColor="background1"/>
                <w:sz w:val="24"/>
                <w:szCs w:val="24"/>
              </w:rPr>
              <w:t>States</w:t>
            </w:r>
            <w:r w:rsidR="00A40AEF" w:rsidRPr="00A40AEF">
              <w:rPr>
                <w:rFonts w:ascii="Times New Roman" w:hAnsi="Times New Roman" w:cs="Times New Roman"/>
                <w:b/>
                <w:color w:val="FFFFFF" w:themeColor="background1"/>
                <w:sz w:val="24"/>
                <w:szCs w:val="24"/>
              </w:rPr>
              <w:t xml:space="preserve"> Totals</w:t>
            </w:r>
          </w:p>
        </w:tc>
        <w:tc>
          <w:tcPr>
            <w:tcW w:w="2430"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CP</w:t>
            </w:r>
          </w:p>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Elementary</w:t>
            </w:r>
            <w:r w:rsidR="00A40AEF" w:rsidRPr="00A40AEF">
              <w:rPr>
                <w:rFonts w:ascii="Times New Roman" w:hAnsi="Times New Roman" w:cs="Times New Roman"/>
                <w:b/>
                <w:color w:val="FFFFFF" w:themeColor="background1"/>
                <w:sz w:val="24"/>
                <w:szCs w:val="24"/>
              </w:rPr>
              <w:t xml:space="preserve"> % Improved</w:t>
            </w:r>
          </w:p>
        </w:tc>
        <w:tc>
          <w:tcPr>
            <w:tcW w:w="2340"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CP</w:t>
            </w:r>
          </w:p>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Middle/High School</w:t>
            </w:r>
            <w:r w:rsidR="00A40AEF" w:rsidRPr="00A40AEF">
              <w:rPr>
                <w:rFonts w:ascii="Times New Roman" w:hAnsi="Times New Roman" w:cs="Times New Roman"/>
                <w:b/>
                <w:color w:val="FFFFFF" w:themeColor="background1"/>
                <w:sz w:val="24"/>
                <w:szCs w:val="24"/>
              </w:rPr>
              <w:t xml:space="preserve"> % Improved</w:t>
            </w:r>
          </w:p>
        </w:tc>
        <w:tc>
          <w:tcPr>
            <w:tcW w:w="2160"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CP</w:t>
            </w:r>
          </w:p>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All Students</w:t>
            </w:r>
            <w:r w:rsidR="00A40AEF" w:rsidRPr="00A40AEF">
              <w:rPr>
                <w:rFonts w:ascii="Times New Roman" w:hAnsi="Times New Roman" w:cs="Times New Roman"/>
                <w:b/>
                <w:color w:val="FFFFFF" w:themeColor="background1"/>
                <w:sz w:val="24"/>
                <w:szCs w:val="24"/>
              </w:rPr>
              <w:t xml:space="preserve"> % Improved</w:t>
            </w:r>
          </w:p>
        </w:tc>
      </w:tr>
      <w:tr w:rsidR="00B31441" w:rsidRPr="004B7B2C" w:rsidTr="00C30A85">
        <w:tc>
          <w:tcPr>
            <w:tcW w:w="3055" w:type="dxa"/>
            <w:tcBorders>
              <w:top w:val="single" w:sz="2" w:space="0" w:color="auto"/>
              <w:left w:val="single" w:sz="2" w:space="0" w:color="auto"/>
              <w:bottom w:val="single" w:sz="2" w:space="0" w:color="auto"/>
              <w:right w:val="single" w:sz="2" w:space="0" w:color="auto"/>
            </w:tcBorders>
          </w:tcPr>
          <w:p w:rsidR="00B31441" w:rsidRPr="00F4655D" w:rsidRDefault="00B31441" w:rsidP="00C30A85">
            <w:pPr>
              <w:rPr>
                <w:rFonts w:ascii="Times New Roman" w:hAnsi="Times New Roman" w:cs="Times New Roman"/>
                <w:b/>
                <w:sz w:val="24"/>
                <w:szCs w:val="24"/>
              </w:rPr>
            </w:pPr>
            <w:r w:rsidRPr="00F4655D">
              <w:rPr>
                <w:rFonts w:ascii="Times New Roman" w:hAnsi="Times New Roman" w:cs="Times New Roman"/>
                <w:b/>
                <w:sz w:val="24"/>
                <w:szCs w:val="24"/>
              </w:rPr>
              <w:t>Overall</w:t>
            </w:r>
          </w:p>
        </w:tc>
        <w:tc>
          <w:tcPr>
            <w:tcW w:w="2430" w:type="dxa"/>
            <w:tcBorders>
              <w:top w:val="single" w:sz="2" w:space="0" w:color="auto"/>
              <w:left w:val="single" w:sz="2" w:space="0" w:color="auto"/>
              <w:bottom w:val="single" w:sz="2" w:space="0" w:color="auto"/>
              <w:right w:val="single" w:sz="2" w:space="0" w:color="auto"/>
            </w:tcBorders>
          </w:tcPr>
          <w:p w:rsidR="00B31441" w:rsidRPr="00F4655D"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49.4%</w:t>
            </w:r>
          </w:p>
        </w:tc>
        <w:tc>
          <w:tcPr>
            <w:tcW w:w="2340" w:type="dxa"/>
            <w:tcBorders>
              <w:top w:val="single" w:sz="2" w:space="0" w:color="auto"/>
              <w:left w:val="single" w:sz="2" w:space="0" w:color="auto"/>
              <w:bottom w:val="single" w:sz="2" w:space="0" w:color="auto"/>
              <w:right w:val="single" w:sz="2" w:space="0" w:color="auto"/>
            </w:tcBorders>
          </w:tcPr>
          <w:p w:rsidR="00B31441" w:rsidRPr="00F4655D"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48.1%</w:t>
            </w:r>
          </w:p>
        </w:tc>
        <w:tc>
          <w:tcPr>
            <w:tcW w:w="2160" w:type="dxa"/>
            <w:tcBorders>
              <w:top w:val="single" w:sz="2" w:space="0" w:color="auto"/>
              <w:left w:val="single" w:sz="2" w:space="0" w:color="auto"/>
              <w:bottom w:val="single" w:sz="2" w:space="0" w:color="auto"/>
              <w:right w:val="single" w:sz="2" w:space="0" w:color="auto"/>
            </w:tcBorders>
          </w:tcPr>
          <w:p w:rsidR="00B31441" w:rsidRPr="00F4655D"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48.9%</w:t>
            </w:r>
          </w:p>
        </w:tc>
      </w:tr>
    </w:tbl>
    <w:p w:rsidR="00B31441" w:rsidRPr="004B7B2C" w:rsidRDefault="00B31441" w:rsidP="00A40AEF">
      <w:p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Note:</w:t>
      </w:r>
      <w:r>
        <w:rPr>
          <w:rFonts w:ascii="Times New Roman" w:hAnsi="Times New Roman" w:cs="Times New Roman"/>
          <w:sz w:val="24"/>
          <w:szCs w:val="24"/>
        </w:rPr>
        <w:t xml:space="preserve"> </w:t>
      </w:r>
      <w:r w:rsidRPr="004B7B2C">
        <w:rPr>
          <w:rFonts w:ascii="Times New Roman" w:hAnsi="Times New Roman" w:cs="Times New Roman"/>
          <w:sz w:val="24"/>
          <w:szCs w:val="24"/>
        </w:rPr>
        <w:t xml:space="preserve">Raw scores were used to calculate overall % improvement.  </w:t>
      </w:r>
    </w:p>
    <w:p w:rsidR="00B31441" w:rsidRPr="004B7B2C" w:rsidRDefault="00B31441" w:rsidP="00B31441">
      <w:pPr>
        <w:pStyle w:val="Heading2"/>
      </w:pPr>
      <w:bookmarkStart w:id="18" w:name="_Toc446579704"/>
      <w:r w:rsidRPr="004B7B2C">
        <w:t>E.  GPRA Measures #12-14: % Improvement in Student Behavior</w:t>
      </w:r>
      <w:bookmarkEnd w:id="18"/>
    </w:p>
    <w:p w:rsidR="00B31441" w:rsidRDefault="00B31441" w:rsidP="00B314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21</w:t>
      </w:r>
      <w:r w:rsidRPr="004B7B2C">
        <w:rPr>
          <w:rFonts w:ascii="Times New Roman" w:hAnsi="Times New Roman" w:cs="Times New Roman"/>
          <w:sz w:val="24"/>
          <w:szCs w:val="24"/>
        </w:rPr>
        <w:t xml:space="preserve"> out of </w:t>
      </w:r>
      <w:r>
        <w:rPr>
          <w:rFonts w:ascii="Times New Roman" w:hAnsi="Times New Roman" w:cs="Times New Roman"/>
          <w:sz w:val="24"/>
          <w:szCs w:val="24"/>
        </w:rPr>
        <w:t>54</w:t>
      </w:r>
      <w:r w:rsidRPr="004B7B2C">
        <w:rPr>
          <w:rFonts w:ascii="Times New Roman" w:hAnsi="Times New Roman" w:cs="Times New Roman"/>
          <w:sz w:val="24"/>
          <w:szCs w:val="24"/>
        </w:rPr>
        <w:t xml:space="preserve"> states (</w:t>
      </w:r>
      <w:r>
        <w:rPr>
          <w:rFonts w:ascii="Times New Roman" w:hAnsi="Times New Roman" w:cs="Times New Roman"/>
          <w:sz w:val="24"/>
          <w:szCs w:val="24"/>
        </w:rPr>
        <w:t>38.9</w:t>
      </w:r>
      <w:r w:rsidRPr="004B7B2C">
        <w:rPr>
          <w:rFonts w:ascii="Times New Roman" w:hAnsi="Times New Roman" w:cs="Times New Roman"/>
          <w:sz w:val="24"/>
          <w:szCs w:val="24"/>
        </w:rPr>
        <w:t xml:space="preserve">%) reported </w:t>
      </w:r>
      <w:r>
        <w:rPr>
          <w:rFonts w:ascii="Times New Roman" w:hAnsi="Times New Roman" w:cs="Times New Roman"/>
          <w:sz w:val="24"/>
          <w:szCs w:val="24"/>
        </w:rPr>
        <w:t>data on</w:t>
      </w:r>
      <w:r w:rsidRPr="004B7B2C">
        <w:rPr>
          <w:rFonts w:ascii="Times New Roman" w:hAnsi="Times New Roman" w:cs="Times New Roman"/>
          <w:sz w:val="24"/>
          <w:szCs w:val="24"/>
        </w:rPr>
        <w:t xml:space="preserve"> </w:t>
      </w:r>
      <w:r>
        <w:rPr>
          <w:rFonts w:ascii="Times New Roman" w:hAnsi="Times New Roman" w:cs="Times New Roman"/>
          <w:sz w:val="24"/>
          <w:szCs w:val="24"/>
        </w:rPr>
        <w:t>student behavior</w:t>
      </w:r>
      <w:r w:rsidRPr="004B7B2C">
        <w:rPr>
          <w:rFonts w:ascii="Times New Roman" w:hAnsi="Times New Roman" w:cs="Times New Roman"/>
          <w:sz w:val="24"/>
          <w:szCs w:val="24"/>
        </w:rPr>
        <w:t>.</w:t>
      </w:r>
    </w:p>
    <w:p w:rsidR="00B31441" w:rsidRDefault="00B31441" w:rsidP="00A40AEF">
      <w:pPr>
        <w:pStyle w:val="ListParagraph"/>
        <w:numPr>
          <w:ilvl w:val="0"/>
          <w:numId w:val="3"/>
        </w:num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Overall, the states reported the following</w:t>
      </w:r>
      <w:r>
        <w:rPr>
          <w:rFonts w:ascii="Times New Roman" w:hAnsi="Times New Roman" w:cs="Times New Roman"/>
          <w:sz w:val="24"/>
          <w:szCs w:val="24"/>
        </w:rPr>
        <w:t xml:space="preserve"> % improvement: 37.2</w:t>
      </w:r>
      <w:r w:rsidRPr="004B7B2C">
        <w:rPr>
          <w:rFonts w:ascii="Times New Roman" w:hAnsi="Times New Roman" w:cs="Times New Roman"/>
          <w:sz w:val="24"/>
          <w:szCs w:val="24"/>
        </w:rPr>
        <w:t xml:space="preserve">% Elementary, </w:t>
      </w:r>
      <w:r>
        <w:rPr>
          <w:rFonts w:ascii="Times New Roman" w:hAnsi="Times New Roman" w:cs="Times New Roman"/>
          <w:sz w:val="24"/>
          <w:szCs w:val="24"/>
        </w:rPr>
        <w:t xml:space="preserve">35.3% </w:t>
      </w:r>
      <w:r w:rsidR="00A40AEF">
        <w:rPr>
          <w:rFonts w:ascii="Times New Roman" w:hAnsi="Times New Roman" w:cs="Times New Roman"/>
          <w:sz w:val="24"/>
          <w:szCs w:val="24"/>
        </w:rPr>
        <w:t>Middle /High School</w:t>
      </w:r>
      <w:r>
        <w:rPr>
          <w:rFonts w:ascii="Times New Roman" w:hAnsi="Times New Roman" w:cs="Times New Roman"/>
          <w:sz w:val="24"/>
          <w:szCs w:val="24"/>
        </w:rPr>
        <w:t xml:space="preserve"> and 36.5</w:t>
      </w:r>
      <w:r w:rsidRPr="004B7B2C">
        <w:rPr>
          <w:rFonts w:ascii="Times New Roman" w:hAnsi="Times New Roman" w:cs="Times New Roman"/>
          <w:sz w:val="24"/>
          <w:szCs w:val="24"/>
        </w:rPr>
        <w:t>% for all students.</w:t>
      </w:r>
    </w:p>
    <w:p w:rsidR="00B31441" w:rsidRPr="004B7B2C" w:rsidRDefault="00B31441" w:rsidP="00B31441">
      <w:pPr>
        <w:pStyle w:val="Heading3"/>
      </w:pPr>
      <w:bookmarkStart w:id="19" w:name="_Toc422397352"/>
      <w:bookmarkStart w:id="20" w:name="_Toc446579705"/>
      <w:proofErr w:type="gramStart"/>
      <w:r w:rsidRPr="004B7B2C">
        <w:t>Table 6.</w:t>
      </w:r>
      <w:proofErr w:type="gramEnd"/>
      <w:r w:rsidRPr="004B7B2C">
        <w:t xml:space="preserve"> Regular Attendees % Improved Student Behavior</w:t>
      </w:r>
      <w:bookmarkEnd w:id="19"/>
      <w:bookmarkEnd w:id="20"/>
    </w:p>
    <w:tbl>
      <w:tblPr>
        <w:tblStyle w:val="TableGrid"/>
        <w:tblW w:w="9715" w:type="dxa"/>
        <w:tblLook w:val="04A0" w:firstRow="1" w:lastRow="0" w:firstColumn="1" w:lastColumn="0" w:noHBand="0" w:noVBand="1"/>
        <w:tblCaption w:val="Table 6. Regular Attendees % Improved Student Behavior"/>
      </w:tblPr>
      <w:tblGrid>
        <w:gridCol w:w="3055"/>
        <w:gridCol w:w="2430"/>
        <w:gridCol w:w="2070"/>
        <w:gridCol w:w="2160"/>
      </w:tblGrid>
      <w:tr w:rsidR="00DC6145" w:rsidRPr="004B7B2C" w:rsidTr="004B4E89">
        <w:trPr>
          <w:tblHeader/>
        </w:trPr>
        <w:tc>
          <w:tcPr>
            <w:tcW w:w="3055"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States</w:t>
            </w:r>
            <w:r w:rsidR="00A40AEF" w:rsidRPr="00A40AEF">
              <w:rPr>
                <w:rFonts w:ascii="Times New Roman" w:hAnsi="Times New Roman" w:cs="Times New Roman"/>
                <w:b/>
                <w:color w:val="FFFFFF" w:themeColor="background1"/>
                <w:sz w:val="24"/>
                <w:szCs w:val="24"/>
              </w:rPr>
              <w:t xml:space="preserve"> Totals</w:t>
            </w:r>
          </w:p>
          <w:p w:rsidR="00DC6145" w:rsidRPr="00A40AEF" w:rsidRDefault="00DC6145" w:rsidP="00BA3E29">
            <w:pPr>
              <w:rPr>
                <w:rFonts w:ascii="Times New Roman" w:hAnsi="Times New Roman" w:cs="Times New Roman"/>
                <w:color w:val="FFFFFF" w:themeColor="background1"/>
                <w:sz w:val="24"/>
                <w:szCs w:val="24"/>
              </w:rPr>
            </w:pPr>
          </w:p>
        </w:tc>
        <w:tc>
          <w:tcPr>
            <w:tcW w:w="2430"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Student Behavior</w:t>
            </w:r>
          </w:p>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Elementary</w:t>
            </w:r>
            <w:r w:rsidR="00A40AEF" w:rsidRPr="00A40AEF">
              <w:rPr>
                <w:rFonts w:ascii="Times New Roman" w:hAnsi="Times New Roman" w:cs="Times New Roman"/>
                <w:b/>
                <w:color w:val="FFFFFF" w:themeColor="background1"/>
                <w:sz w:val="24"/>
                <w:szCs w:val="24"/>
              </w:rPr>
              <w:t xml:space="preserve"> % Improved</w:t>
            </w:r>
          </w:p>
        </w:tc>
        <w:tc>
          <w:tcPr>
            <w:tcW w:w="2070"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Student Behavior</w:t>
            </w:r>
          </w:p>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Middle School</w:t>
            </w:r>
            <w:r w:rsidR="00A40AEF" w:rsidRPr="00A40AEF">
              <w:rPr>
                <w:rFonts w:ascii="Times New Roman" w:hAnsi="Times New Roman" w:cs="Times New Roman"/>
                <w:b/>
                <w:color w:val="FFFFFF" w:themeColor="background1"/>
                <w:sz w:val="24"/>
                <w:szCs w:val="24"/>
              </w:rPr>
              <w:t xml:space="preserve"> % Improved</w:t>
            </w:r>
          </w:p>
        </w:tc>
        <w:tc>
          <w:tcPr>
            <w:tcW w:w="2160" w:type="dxa"/>
            <w:shd w:val="clear" w:color="auto" w:fill="4375B1"/>
          </w:tcPr>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Student Behavior</w:t>
            </w:r>
          </w:p>
          <w:p w:rsidR="00DC6145" w:rsidRPr="00A40AEF" w:rsidRDefault="00DC6145" w:rsidP="00BA3E29">
            <w:pPr>
              <w:rPr>
                <w:rFonts w:ascii="Times New Roman" w:hAnsi="Times New Roman" w:cs="Times New Roman"/>
                <w:b/>
                <w:color w:val="FFFFFF" w:themeColor="background1"/>
                <w:sz w:val="24"/>
                <w:szCs w:val="24"/>
              </w:rPr>
            </w:pPr>
            <w:r w:rsidRPr="00A40AEF">
              <w:rPr>
                <w:rFonts w:ascii="Times New Roman" w:hAnsi="Times New Roman" w:cs="Times New Roman"/>
                <w:b/>
                <w:color w:val="FFFFFF" w:themeColor="background1"/>
                <w:sz w:val="24"/>
                <w:szCs w:val="24"/>
              </w:rPr>
              <w:t>All Students</w:t>
            </w:r>
            <w:r w:rsidR="00A40AEF" w:rsidRPr="00A40AEF">
              <w:rPr>
                <w:rFonts w:ascii="Times New Roman" w:hAnsi="Times New Roman" w:cs="Times New Roman"/>
                <w:b/>
                <w:color w:val="FFFFFF" w:themeColor="background1"/>
                <w:sz w:val="24"/>
                <w:szCs w:val="24"/>
              </w:rPr>
              <w:t xml:space="preserve"> % Improved</w:t>
            </w:r>
          </w:p>
        </w:tc>
      </w:tr>
      <w:tr w:rsidR="00B31441" w:rsidRPr="004B7B2C" w:rsidTr="00C30A85">
        <w:tc>
          <w:tcPr>
            <w:tcW w:w="3055" w:type="dxa"/>
          </w:tcPr>
          <w:p w:rsidR="00B31441" w:rsidRPr="003230D7" w:rsidRDefault="00B31441" w:rsidP="00C30A85">
            <w:pPr>
              <w:rPr>
                <w:rFonts w:ascii="Times New Roman" w:hAnsi="Times New Roman" w:cs="Times New Roman"/>
                <w:b/>
                <w:sz w:val="24"/>
                <w:szCs w:val="24"/>
              </w:rPr>
            </w:pPr>
            <w:r w:rsidRPr="003230D7">
              <w:rPr>
                <w:rFonts w:ascii="Times New Roman" w:hAnsi="Times New Roman" w:cs="Times New Roman"/>
                <w:b/>
                <w:sz w:val="24"/>
                <w:szCs w:val="24"/>
              </w:rPr>
              <w:t>Overall</w:t>
            </w:r>
          </w:p>
        </w:tc>
        <w:tc>
          <w:tcPr>
            <w:tcW w:w="2430" w:type="dxa"/>
          </w:tcPr>
          <w:p w:rsidR="00B31441" w:rsidRPr="003230D7"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37.2%</w:t>
            </w:r>
          </w:p>
        </w:tc>
        <w:tc>
          <w:tcPr>
            <w:tcW w:w="2070" w:type="dxa"/>
          </w:tcPr>
          <w:p w:rsidR="00B31441" w:rsidRPr="003230D7"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35.3%</w:t>
            </w:r>
          </w:p>
        </w:tc>
        <w:tc>
          <w:tcPr>
            <w:tcW w:w="2160" w:type="dxa"/>
          </w:tcPr>
          <w:p w:rsidR="00B31441" w:rsidRPr="003230D7" w:rsidRDefault="00B31441" w:rsidP="00C30A85">
            <w:pPr>
              <w:jc w:val="center"/>
              <w:rPr>
                <w:rFonts w:ascii="Times New Roman" w:hAnsi="Times New Roman" w:cs="Times New Roman"/>
                <w:b/>
                <w:sz w:val="24"/>
                <w:szCs w:val="24"/>
              </w:rPr>
            </w:pPr>
            <w:r>
              <w:rPr>
                <w:rFonts w:ascii="Times New Roman" w:hAnsi="Times New Roman" w:cs="Times New Roman"/>
                <w:b/>
                <w:sz w:val="24"/>
                <w:szCs w:val="24"/>
              </w:rPr>
              <w:t>36.5%</w:t>
            </w:r>
          </w:p>
        </w:tc>
      </w:tr>
    </w:tbl>
    <w:p w:rsidR="00B31441" w:rsidRPr="00B93F4E" w:rsidRDefault="00B31441" w:rsidP="00A40AEF">
      <w:pPr>
        <w:spacing w:after="480" w:line="240" w:lineRule="auto"/>
        <w:rPr>
          <w:rFonts w:ascii="Times New Roman" w:hAnsi="Times New Roman" w:cs="Times New Roman"/>
          <w:sz w:val="24"/>
          <w:szCs w:val="24"/>
        </w:rPr>
      </w:pPr>
      <w:r w:rsidRPr="004B7B2C">
        <w:rPr>
          <w:rFonts w:ascii="Times New Roman" w:hAnsi="Times New Roman" w:cs="Times New Roman"/>
          <w:sz w:val="24"/>
          <w:szCs w:val="24"/>
        </w:rPr>
        <w:t xml:space="preserve">Note: Raw scores were used to calculate overall % improvement.  </w:t>
      </w:r>
    </w:p>
    <w:p w:rsidR="00B31441" w:rsidRPr="004B7B2C" w:rsidRDefault="00B31441" w:rsidP="00B31441">
      <w:pPr>
        <w:pStyle w:val="Heading3"/>
        <w:ind w:right="0"/>
      </w:pPr>
      <w:bookmarkStart w:id="21" w:name="_Toc422397353"/>
      <w:bookmarkStart w:id="22" w:name="_Toc446579706"/>
      <w:proofErr w:type="gramStart"/>
      <w:r w:rsidRPr="004B7B2C">
        <w:t>Table 7.</w:t>
      </w:r>
      <w:proofErr w:type="gramEnd"/>
      <w:r w:rsidRPr="004B7B2C">
        <w:t xml:space="preserve"> The GPRA Outcomes for all 54 States/Territories</w:t>
      </w:r>
      <w:bookmarkEnd w:id="21"/>
      <w:bookmarkEnd w:id="22"/>
    </w:p>
    <w:tbl>
      <w:tblPr>
        <w:tblStyle w:val="TableGrid"/>
        <w:tblW w:w="9355" w:type="dxa"/>
        <w:tblLayout w:type="fixed"/>
        <w:tblLook w:val="04A0" w:firstRow="1" w:lastRow="0" w:firstColumn="1" w:lastColumn="0" w:noHBand="0" w:noVBand="1"/>
        <w:tblCaption w:val="Table 7. The GPRA Outcomes for all 54 States/Territories"/>
      </w:tblPr>
      <w:tblGrid>
        <w:gridCol w:w="6745"/>
        <w:gridCol w:w="2610"/>
      </w:tblGrid>
      <w:tr w:rsidR="00B31441" w:rsidRPr="004B7B2C" w:rsidTr="005013EB">
        <w:trPr>
          <w:trHeight w:val="350"/>
          <w:tblHeader/>
        </w:trPr>
        <w:tc>
          <w:tcPr>
            <w:tcW w:w="6745" w:type="dxa"/>
            <w:shd w:val="clear" w:color="auto" w:fill="4375B1"/>
          </w:tcPr>
          <w:p w:rsidR="00B31441" w:rsidRPr="004B7B2C" w:rsidRDefault="005013EB" w:rsidP="00C30A85">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Program GPRA Measures</w:t>
            </w:r>
          </w:p>
        </w:tc>
        <w:tc>
          <w:tcPr>
            <w:tcW w:w="2610" w:type="dxa"/>
            <w:shd w:val="clear" w:color="auto" w:fill="4375B1"/>
          </w:tcPr>
          <w:p w:rsidR="00B31441" w:rsidRPr="004B7B2C" w:rsidRDefault="00B31441" w:rsidP="005013EB">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2013-2014</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ind w:left="-23"/>
              <w:rPr>
                <w:rFonts w:ascii="Times New Roman" w:hAnsi="Times New Roman" w:cs="Times New Roman"/>
                <w:sz w:val="24"/>
                <w:szCs w:val="24"/>
              </w:rPr>
            </w:pPr>
            <w:r w:rsidRPr="004B7B2C">
              <w:rPr>
                <w:rFonts w:ascii="Times New Roman" w:hAnsi="Times New Roman" w:cs="Times New Roman"/>
                <w:sz w:val="24"/>
                <w:szCs w:val="24"/>
              </w:rPr>
              <w:t>1. The percentage of elementary 21st Century regular program participants whose mathematics grades improved from fall to spring.</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36.7%</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2. The percentage of middle (MS) or high school (HS) 21st Century regular program participants whose mathematics grades improved from fall to spring.</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MS = 36.9%</w:t>
            </w: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HS = 35.1%</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3. The percentage of all 21st Century regular program participants whose mathematics grades improved from fall to spring.</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FE259C" w:rsidP="00C30A85">
            <w:pPr>
              <w:jc w:val="center"/>
              <w:rPr>
                <w:rFonts w:ascii="Times New Roman" w:hAnsi="Times New Roman" w:cs="Times New Roman"/>
                <w:sz w:val="24"/>
                <w:szCs w:val="24"/>
              </w:rPr>
            </w:pPr>
            <w:r>
              <w:rPr>
                <w:rFonts w:ascii="Times New Roman" w:hAnsi="Times New Roman" w:cs="Times New Roman"/>
                <w:sz w:val="24"/>
                <w:szCs w:val="24"/>
              </w:rPr>
              <w:t>36.5</w:t>
            </w:r>
            <w:r w:rsidR="00B31441" w:rsidRPr="004B7B2C">
              <w:rPr>
                <w:rFonts w:ascii="Times New Roman" w:hAnsi="Times New Roman" w:cs="Times New Roman"/>
                <w:sz w:val="24"/>
                <w:szCs w:val="24"/>
              </w:rPr>
              <w:t>%</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4. The percentage of elementary 21st Century regular program participants whose English grades improved from fall to spring.</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36.7%</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5. The percentage of middle (MS) or high school (HS) 21st Century regular program participants whose English grades improved from fall to spring.</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MS = 36.5%</w:t>
            </w: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HS = 38.1%</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6. The percentage of all 21st Century regular program participants whose English grades improved from fall to spring.</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36.8%</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7. The percentage of elementary 21st Century regular program participants who improve from not proficient to proficient or above in reading on state assessments.</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5.4%</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8. The percentage of middle (MS)/high school (HS) 21st Century regular program participants who improve from not proficient to proficient or above in mathematics on state assessments.</w:t>
            </w:r>
          </w:p>
        </w:tc>
        <w:tc>
          <w:tcPr>
            <w:tcW w:w="2610" w:type="dxa"/>
          </w:tcPr>
          <w:p w:rsidR="00B31441" w:rsidRPr="004B7B2C" w:rsidRDefault="00B31441" w:rsidP="00C30A85">
            <w:pPr>
              <w:jc w:val="center"/>
              <w:rPr>
                <w:rFonts w:ascii="Times New Roman" w:hAnsi="Times New Roman" w:cs="Times New Roman"/>
                <w:sz w:val="24"/>
                <w:szCs w:val="24"/>
              </w:rPr>
            </w:pPr>
          </w:p>
          <w:p w:rsidR="00B31441" w:rsidRPr="004B7B2C" w:rsidRDefault="00B31441" w:rsidP="00C30A85">
            <w:pPr>
              <w:jc w:val="center"/>
              <w:rPr>
                <w:rFonts w:ascii="Times New Roman" w:hAnsi="Times New Roman" w:cs="Times New Roman"/>
                <w:sz w:val="24"/>
                <w:szCs w:val="24"/>
              </w:rPr>
            </w:pPr>
            <w:r w:rsidRPr="004B7B2C">
              <w:rPr>
                <w:rFonts w:ascii="Times New Roman" w:hAnsi="Times New Roman" w:cs="Times New Roman"/>
                <w:sz w:val="24"/>
                <w:szCs w:val="24"/>
              </w:rPr>
              <w:t>MS = 12.6%</w:t>
            </w:r>
          </w:p>
          <w:p w:rsidR="00B31441" w:rsidRPr="004B7B2C" w:rsidRDefault="00FE259C" w:rsidP="00C30A85">
            <w:pPr>
              <w:jc w:val="center"/>
              <w:rPr>
                <w:rFonts w:ascii="Times New Roman" w:hAnsi="Times New Roman" w:cs="Times New Roman"/>
                <w:sz w:val="24"/>
                <w:szCs w:val="24"/>
              </w:rPr>
            </w:pPr>
            <w:r>
              <w:rPr>
                <w:rFonts w:ascii="Times New Roman" w:hAnsi="Times New Roman" w:cs="Times New Roman"/>
                <w:sz w:val="24"/>
                <w:szCs w:val="24"/>
              </w:rPr>
              <w:t>HS = 9.6</w:t>
            </w:r>
            <w:r w:rsidR="00B31441" w:rsidRPr="004B7B2C">
              <w:rPr>
                <w:rFonts w:ascii="Times New Roman" w:hAnsi="Times New Roman" w:cs="Times New Roman"/>
                <w:sz w:val="24"/>
                <w:szCs w:val="24"/>
              </w:rPr>
              <w:t>%</w:t>
            </w:r>
          </w:p>
        </w:tc>
      </w:tr>
      <w:tr w:rsidR="00B31441" w:rsidRPr="004B7B2C" w:rsidTr="00C30A85">
        <w:trPr>
          <w:trHeight w:val="1223"/>
        </w:trPr>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9. The percentage of elementary 21st Century regular program participants with teacher-reported improvement in homework completion (HC) and class participation (CP).</w:t>
            </w:r>
          </w:p>
        </w:tc>
        <w:tc>
          <w:tcPr>
            <w:tcW w:w="2610" w:type="dxa"/>
            <w:vAlign w:val="center"/>
          </w:tcPr>
          <w:p w:rsidR="00B31441" w:rsidRDefault="00B31441" w:rsidP="00C30A85">
            <w:pPr>
              <w:jc w:val="center"/>
              <w:rPr>
                <w:rFonts w:ascii="Times New Roman" w:hAnsi="Times New Roman" w:cs="Times New Roman"/>
                <w:sz w:val="24"/>
                <w:szCs w:val="24"/>
              </w:rPr>
            </w:pPr>
          </w:p>
          <w:p w:rsidR="00B31441" w:rsidRDefault="00B31441" w:rsidP="00C30A85">
            <w:pPr>
              <w:jc w:val="center"/>
              <w:rPr>
                <w:rFonts w:ascii="Times New Roman" w:hAnsi="Times New Roman" w:cs="Times New Roman"/>
                <w:sz w:val="24"/>
                <w:szCs w:val="24"/>
              </w:rPr>
            </w:pPr>
            <w:r>
              <w:rPr>
                <w:rFonts w:ascii="Times New Roman" w:hAnsi="Times New Roman" w:cs="Times New Roman"/>
                <w:sz w:val="24"/>
                <w:szCs w:val="24"/>
              </w:rPr>
              <w:t>HC = 49.8%</w:t>
            </w:r>
          </w:p>
          <w:p w:rsidR="00B31441" w:rsidRPr="004B7B2C" w:rsidRDefault="00B31441" w:rsidP="00C30A85">
            <w:pPr>
              <w:jc w:val="center"/>
              <w:rPr>
                <w:rFonts w:ascii="Times New Roman" w:hAnsi="Times New Roman" w:cs="Times New Roman"/>
                <w:sz w:val="24"/>
                <w:szCs w:val="24"/>
              </w:rPr>
            </w:pPr>
            <w:r>
              <w:rPr>
                <w:rFonts w:ascii="Times New Roman" w:hAnsi="Times New Roman" w:cs="Times New Roman"/>
                <w:sz w:val="24"/>
                <w:szCs w:val="24"/>
              </w:rPr>
              <w:t>CP = 49.4%</w:t>
            </w:r>
          </w:p>
        </w:tc>
      </w:tr>
      <w:tr w:rsidR="00B31441" w:rsidRPr="004B7B2C" w:rsidTr="00C30A85">
        <w:trPr>
          <w:trHeight w:val="1160"/>
        </w:trPr>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10. The percentage of middle (MS) and high school (HS) 21st Century program participants with teacher-reported improvement in homework completion (HC) and class participation (CP).</w:t>
            </w:r>
          </w:p>
        </w:tc>
        <w:tc>
          <w:tcPr>
            <w:tcW w:w="2610" w:type="dxa"/>
            <w:vAlign w:val="center"/>
          </w:tcPr>
          <w:p w:rsidR="00B31441" w:rsidRDefault="00B31441" w:rsidP="00C30A85">
            <w:pPr>
              <w:jc w:val="center"/>
              <w:rPr>
                <w:rFonts w:ascii="Times New Roman" w:hAnsi="Times New Roman" w:cs="Times New Roman"/>
                <w:sz w:val="24"/>
                <w:szCs w:val="24"/>
              </w:rPr>
            </w:pPr>
            <w:r>
              <w:rPr>
                <w:rFonts w:ascii="Times New Roman" w:hAnsi="Times New Roman" w:cs="Times New Roman"/>
                <w:sz w:val="24"/>
                <w:szCs w:val="24"/>
              </w:rPr>
              <w:t>HC = 48.4%</w:t>
            </w:r>
          </w:p>
          <w:p w:rsidR="00B31441" w:rsidRPr="004B7B2C" w:rsidRDefault="00B31441" w:rsidP="00C30A85">
            <w:pPr>
              <w:jc w:val="center"/>
              <w:rPr>
                <w:rFonts w:ascii="Times New Roman" w:hAnsi="Times New Roman" w:cs="Times New Roman"/>
                <w:sz w:val="24"/>
                <w:szCs w:val="24"/>
              </w:rPr>
            </w:pPr>
            <w:r>
              <w:rPr>
                <w:rFonts w:ascii="Times New Roman" w:hAnsi="Times New Roman" w:cs="Times New Roman"/>
                <w:sz w:val="24"/>
                <w:szCs w:val="24"/>
              </w:rPr>
              <w:t>CP = 48.1%</w:t>
            </w:r>
          </w:p>
        </w:tc>
      </w:tr>
      <w:tr w:rsidR="00B31441" w:rsidRPr="004B7B2C" w:rsidTr="00C30A85">
        <w:trPr>
          <w:trHeight w:val="1070"/>
        </w:trPr>
        <w:tc>
          <w:tcPr>
            <w:tcW w:w="6745" w:type="dxa"/>
            <w:shd w:val="clear" w:color="auto" w:fill="DCE6F1"/>
          </w:tcPr>
          <w:p w:rsidR="00B31441"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11. The percentage of all 21st Century regular program participants with teacher-reported improvement in homework completion (HC) and class participation (CP).</w:t>
            </w:r>
          </w:p>
        </w:tc>
        <w:tc>
          <w:tcPr>
            <w:tcW w:w="2610" w:type="dxa"/>
            <w:vAlign w:val="center"/>
          </w:tcPr>
          <w:p w:rsidR="00B31441" w:rsidRDefault="00B31441" w:rsidP="00C30A85">
            <w:pPr>
              <w:jc w:val="center"/>
              <w:rPr>
                <w:rFonts w:ascii="Times New Roman" w:hAnsi="Times New Roman" w:cs="Times New Roman"/>
                <w:sz w:val="24"/>
                <w:szCs w:val="24"/>
              </w:rPr>
            </w:pPr>
            <w:r>
              <w:rPr>
                <w:rFonts w:ascii="Times New Roman" w:hAnsi="Times New Roman" w:cs="Times New Roman"/>
                <w:sz w:val="24"/>
                <w:szCs w:val="24"/>
              </w:rPr>
              <w:t>HC = 49.4%</w:t>
            </w:r>
          </w:p>
          <w:p w:rsidR="00B31441" w:rsidRPr="004B7B2C" w:rsidRDefault="00B31441" w:rsidP="00C30A85">
            <w:pPr>
              <w:jc w:val="center"/>
              <w:rPr>
                <w:rFonts w:ascii="Times New Roman" w:hAnsi="Times New Roman" w:cs="Times New Roman"/>
                <w:sz w:val="24"/>
                <w:szCs w:val="24"/>
              </w:rPr>
            </w:pPr>
            <w:r>
              <w:rPr>
                <w:rFonts w:ascii="Times New Roman" w:hAnsi="Times New Roman" w:cs="Times New Roman"/>
                <w:sz w:val="24"/>
                <w:szCs w:val="24"/>
              </w:rPr>
              <w:t>CP = 48.9%</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12. The percentage of elementary 21st Century participants with teacher-reported improvements in student behavior.</w:t>
            </w:r>
          </w:p>
        </w:tc>
        <w:tc>
          <w:tcPr>
            <w:tcW w:w="2610" w:type="dxa"/>
            <w:vAlign w:val="center"/>
          </w:tcPr>
          <w:p w:rsidR="00B31441" w:rsidRPr="004B7B2C" w:rsidRDefault="00B31441" w:rsidP="00C30A85">
            <w:pPr>
              <w:jc w:val="center"/>
              <w:rPr>
                <w:rFonts w:ascii="Times New Roman" w:hAnsi="Times New Roman" w:cs="Times New Roman"/>
                <w:sz w:val="24"/>
                <w:szCs w:val="24"/>
              </w:rPr>
            </w:pPr>
            <w:r>
              <w:rPr>
                <w:rFonts w:ascii="Times New Roman" w:hAnsi="Times New Roman" w:cs="Times New Roman"/>
                <w:sz w:val="24"/>
                <w:szCs w:val="24"/>
              </w:rPr>
              <w:t>37.2%</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13. The percentage of middle (MS) and high school (HS) 21st Century participants with teacher-reported improvements in student behavior.</w:t>
            </w:r>
          </w:p>
        </w:tc>
        <w:tc>
          <w:tcPr>
            <w:tcW w:w="2610" w:type="dxa"/>
            <w:vAlign w:val="center"/>
          </w:tcPr>
          <w:p w:rsidR="00B31441" w:rsidRPr="004B7B2C" w:rsidRDefault="00B31441" w:rsidP="00C30A85">
            <w:pPr>
              <w:jc w:val="center"/>
              <w:rPr>
                <w:rFonts w:ascii="Times New Roman" w:hAnsi="Times New Roman" w:cs="Times New Roman"/>
                <w:sz w:val="24"/>
                <w:szCs w:val="24"/>
              </w:rPr>
            </w:pPr>
            <w:r>
              <w:rPr>
                <w:rFonts w:ascii="Times New Roman" w:hAnsi="Times New Roman" w:cs="Times New Roman"/>
                <w:sz w:val="24"/>
                <w:szCs w:val="24"/>
              </w:rPr>
              <w:t>35.3%</w:t>
            </w:r>
          </w:p>
        </w:tc>
      </w:tr>
      <w:tr w:rsidR="00B31441" w:rsidRPr="004B7B2C" w:rsidTr="00C30A85">
        <w:tc>
          <w:tcPr>
            <w:tcW w:w="6745" w:type="dxa"/>
            <w:shd w:val="clear" w:color="auto" w:fill="DCE6F1"/>
          </w:tcPr>
          <w:p w:rsidR="00B31441" w:rsidRPr="004B7B2C" w:rsidRDefault="00B31441" w:rsidP="00C30A85">
            <w:pPr>
              <w:rPr>
                <w:rFonts w:ascii="Times New Roman" w:hAnsi="Times New Roman" w:cs="Times New Roman"/>
                <w:sz w:val="24"/>
                <w:szCs w:val="24"/>
              </w:rPr>
            </w:pPr>
          </w:p>
          <w:p w:rsidR="00B31441" w:rsidRPr="004B7B2C" w:rsidRDefault="00B31441" w:rsidP="00C30A85">
            <w:pPr>
              <w:rPr>
                <w:rFonts w:ascii="Times New Roman" w:hAnsi="Times New Roman" w:cs="Times New Roman"/>
                <w:sz w:val="24"/>
                <w:szCs w:val="24"/>
              </w:rPr>
            </w:pPr>
            <w:r w:rsidRPr="004B7B2C">
              <w:rPr>
                <w:rFonts w:ascii="Times New Roman" w:hAnsi="Times New Roman" w:cs="Times New Roman"/>
                <w:sz w:val="24"/>
                <w:szCs w:val="24"/>
              </w:rPr>
              <w:t>14. The percentage of all 21st Century participants with teacher-reported improvements in student behavior.</w:t>
            </w:r>
          </w:p>
        </w:tc>
        <w:tc>
          <w:tcPr>
            <w:tcW w:w="2610" w:type="dxa"/>
            <w:vAlign w:val="center"/>
          </w:tcPr>
          <w:p w:rsidR="00B31441" w:rsidRPr="004B7B2C" w:rsidRDefault="00B31441" w:rsidP="00C30A85">
            <w:pPr>
              <w:jc w:val="center"/>
              <w:rPr>
                <w:rFonts w:ascii="Times New Roman" w:hAnsi="Times New Roman" w:cs="Times New Roman"/>
                <w:sz w:val="24"/>
                <w:szCs w:val="24"/>
              </w:rPr>
            </w:pPr>
            <w:r>
              <w:rPr>
                <w:rFonts w:ascii="Times New Roman" w:hAnsi="Times New Roman" w:cs="Times New Roman"/>
                <w:sz w:val="24"/>
                <w:szCs w:val="24"/>
              </w:rPr>
              <w:t>36.5%</w:t>
            </w:r>
          </w:p>
        </w:tc>
      </w:tr>
    </w:tbl>
    <w:p w:rsidR="00891740" w:rsidRPr="004B7B2C" w:rsidRDefault="00891740" w:rsidP="00A40AEF">
      <w:pPr>
        <w:pStyle w:val="Heading1"/>
        <w:spacing w:before="1080"/>
      </w:pPr>
      <w:bookmarkStart w:id="23" w:name="_Toc446579707"/>
      <w:r w:rsidRPr="004B7B2C">
        <w:lastRenderedPageBreak/>
        <w:t>SECTION 2: GRANTEE AND CENTER CHARACTERISTICS</w:t>
      </w:r>
      <w:bookmarkEnd w:id="23"/>
      <w:r w:rsidRPr="004B7B2C">
        <w:t xml:space="preserve"> </w:t>
      </w:r>
    </w:p>
    <w:p w:rsidR="007C23F7" w:rsidRPr="0051643D" w:rsidRDefault="000010C1" w:rsidP="00300509">
      <w:pPr>
        <w:pStyle w:val="Heading2"/>
      </w:pPr>
      <w:r w:rsidRPr="004B7B2C">
        <w:rPr>
          <w:color w:val="555555"/>
        </w:rPr>
        <w:br/>
      </w:r>
      <w:bookmarkStart w:id="24" w:name="_Toc446579708"/>
      <w:r w:rsidRPr="004B7B2C">
        <w:t>A. Grantee T</w:t>
      </w:r>
      <w:r w:rsidR="00EF3319" w:rsidRPr="004B7B2C">
        <w:t>ype</w:t>
      </w:r>
      <w:bookmarkEnd w:id="24"/>
    </w:p>
    <w:p w:rsidR="00266FFF" w:rsidRPr="004B7B2C" w:rsidRDefault="00AA53DF" w:rsidP="00A40AEF">
      <w:pPr>
        <w:spacing w:after="480" w:line="240" w:lineRule="auto"/>
        <w:rPr>
          <w:rFonts w:ascii="Times New Roman" w:hAnsi="Times New Roman" w:cs="Times New Roman"/>
          <w:bCs/>
          <w:sz w:val="24"/>
          <w:szCs w:val="24"/>
        </w:rPr>
      </w:pPr>
      <w:r w:rsidRPr="004B7B2C">
        <w:rPr>
          <w:rFonts w:ascii="Times New Roman" w:hAnsi="Times New Roman" w:cs="Times New Roman"/>
          <w:bCs/>
          <w:sz w:val="24"/>
          <w:szCs w:val="24"/>
        </w:rPr>
        <w:t xml:space="preserve">For the 2013-2014 funding year, </w:t>
      </w:r>
      <w:r w:rsidR="00C302AD" w:rsidRPr="004B7B2C">
        <w:rPr>
          <w:rFonts w:ascii="Times New Roman" w:hAnsi="Times New Roman" w:cs="Times New Roman"/>
          <w:bCs/>
          <w:sz w:val="24"/>
          <w:szCs w:val="24"/>
        </w:rPr>
        <w:t>the majority of the sub-grantees were classified as school districts (58.2%</w:t>
      </w:r>
      <w:r w:rsidR="007C23F7" w:rsidRPr="004B7B2C">
        <w:rPr>
          <w:rFonts w:ascii="Times New Roman" w:hAnsi="Times New Roman" w:cs="Times New Roman"/>
          <w:bCs/>
          <w:sz w:val="24"/>
          <w:szCs w:val="24"/>
        </w:rPr>
        <w:t>, n = 5,565)</w:t>
      </w:r>
      <w:r w:rsidR="00C302AD" w:rsidRPr="004B7B2C">
        <w:rPr>
          <w:rFonts w:ascii="Times New Roman" w:hAnsi="Times New Roman" w:cs="Times New Roman"/>
          <w:bCs/>
          <w:sz w:val="24"/>
          <w:szCs w:val="24"/>
        </w:rPr>
        <w:t xml:space="preserve"> with community-based organizations following (18.4%</w:t>
      </w:r>
      <w:r w:rsidR="007C23F7" w:rsidRPr="004B7B2C">
        <w:rPr>
          <w:rFonts w:ascii="Times New Roman" w:hAnsi="Times New Roman" w:cs="Times New Roman"/>
          <w:bCs/>
          <w:sz w:val="24"/>
          <w:szCs w:val="24"/>
        </w:rPr>
        <w:t>, n = 1,761)</w:t>
      </w:r>
      <w:r w:rsidR="00C302AD" w:rsidRPr="004B7B2C">
        <w:rPr>
          <w:rFonts w:ascii="Times New Roman" w:hAnsi="Times New Roman" w:cs="Times New Roman"/>
          <w:bCs/>
          <w:sz w:val="24"/>
          <w:szCs w:val="24"/>
        </w:rPr>
        <w:t xml:space="preserve">.  </w:t>
      </w:r>
      <w:r w:rsidR="00D252DF" w:rsidRPr="004B7B2C">
        <w:rPr>
          <w:rFonts w:ascii="Times New Roman" w:hAnsi="Times New Roman" w:cs="Times New Roman"/>
          <w:bCs/>
          <w:sz w:val="24"/>
          <w:szCs w:val="24"/>
        </w:rPr>
        <w:t xml:space="preserve">Table 8 displays the sub-grantees broken down by organization </w:t>
      </w:r>
      <w:r w:rsidR="00AF41A0">
        <w:rPr>
          <w:rFonts w:ascii="Times New Roman" w:hAnsi="Times New Roman" w:cs="Times New Roman"/>
          <w:bCs/>
          <w:sz w:val="24"/>
          <w:szCs w:val="24"/>
        </w:rPr>
        <w:t xml:space="preserve">for all </w:t>
      </w:r>
      <w:r w:rsidR="002E276C">
        <w:rPr>
          <w:rFonts w:ascii="Times New Roman" w:hAnsi="Times New Roman" w:cs="Times New Roman"/>
          <w:bCs/>
          <w:sz w:val="24"/>
          <w:szCs w:val="24"/>
        </w:rPr>
        <w:t xml:space="preserve">54 </w:t>
      </w:r>
      <w:r w:rsidR="00AF41A0">
        <w:rPr>
          <w:rFonts w:ascii="Times New Roman" w:hAnsi="Times New Roman" w:cs="Times New Roman"/>
          <w:bCs/>
          <w:sz w:val="24"/>
          <w:szCs w:val="24"/>
        </w:rPr>
        <w:t>s</w:t>
      </w:r>
      <w:r w:rsidR="00D252DF" w:rsidRPr="004B7B2C">
        <w:rPr>
          <w:rFonts w:ascii="Times New Roman" w:hAnsi="Times New Roman" w:cs="Times New Roman"/>
          <w:bCs/>
          <w:sz w:val="24"/>
          <w:szCs w:val="24"/>
        </w:rPr>
        <w:t>tates</w:t>
      </w:r>
      <w:r w:rsidR="002E276C">
        <w:rPr>
          <w:rFonts w:ascii="Times New Roman" w:hAnsi="Times New Roman" w:cs="Times New Roman"/>
          <w:bCs/>
          <w:sz w:val="24"/>
          <w:szCs w:val="24"/>
        </w:rPr>
        <w:t xml:space="preserve"> and </w:t>
      </w:r>
      <w:r w:rsidR="00D252DF" w:rsidRPr="004B7B2C">
        <w:rPr>
          <w:rFonts w:ascii="Times New Roman" w:hAnsi="Times New Roman" w:cs="Times New Roman"/>
          <w:bCs/>
          <w:sz w:val="24"/>
          <w:szCs w:val="24"/>
        </w:rPr>
        <w:t>territories.</w:t>
      </w:r>
      <w:r w:rsidRPr="004B7B2C">
        <w:rPr>
          <w:rFonts w:ascii="Times New Roman" w:hAnsi="Times New Roman" w:cs="Times New Roman"/>
          <w:bCs/>
          <w:sz w:val="24"/>
          <w:szCs w:val="24"/>
        </w:rPr>
        <w:t xml:space="preserve"> </w:t>
      </w:r>
    </w:p>
    <w:p w:rsidR="00D22B31" w:rsidRPr="004B7B2C" w:rsidRDefault="00266FFF" w:rsidP="00D74015">
      <w:pPr>
        <w:pStyle w:val="Heading3"/>
        <w:ind w:right="180"/>
      </w:pPr>
      <w:bookmarkStart w:id="25" w:name="_Toc422397354"/>
      <w:bookmarkStart w:id="26" w:name="_Toc446579709"/>
      <w:proofErr w:type="gramStart"/>
      <w:r w:rsidRPr="004B7B2C">
        <w:t>Table 8.</w:t>
      </w:r>
      <w:proofErr w:type="gramEnd"/>
      <w:r w:rsidRPr="004B7B2C">
        <w:t xml:space="preserve"> Sub-Grantees Broken Down By </w:t>
      </w:r>
      <w:r w:rsidR="007F36CE" w:rsidRPr="004B7B2C">
        <w:t xml:space="preserve">Organization </w:t>
      </w:r>
      <w:r w:rsidRPr="004B7B2C">
        <w:t>Type</w:t>
      </w:r>
      <w:bookmarkEnd w:id="25"/>
      <w:r w:rsidR="00A40AEF">
        <w:t xml:space="preserve"> – All 54 States/Territories</w:t>
      </w:r>
      <w:bookmarkEnd w:id="26"/>
    </w:p>
    <w:tbl>
      <w:tblPr>
        <w:tblStyle w:val="TableGrid"/>
        <w:tblW w:w="0" w:type="auto"/>
        <w:tblLook w:val="04A0" w:firstRow="1" w:lastRow="0" w:firstColumn="1" w:lastColumn="0" w:noHBand="0" w:noVBand="1"/>
        <w:tblCaption w:val="Table 8. Sub-Grantees Broken Down By Organization Type"/>
      </w:tblPr>
      <w:tblGrid>
        <w:gridCol w:w="3685"/>
        <w:gridCol w:w="2790"/>
        <w:gridCol w:w="2700"/>
      </w:tblGrid>
      <w:tr w:rsidR="00D74015" w:rsidRPr="004B7B2C" w:rsidTr="009D1B95">
        <w:trPr>
          <w:tblHeader/>
        </w:trPr>
        <w:tc>
          <w:tcPr>
            <w:tcW w:w="3685" w:type="dxa"/>
            <w:shd w:val="clear" w:color="auto" w:fill="2E74B5" w:themeFill="accent1" w:themeFillShade="BF"/>
          </w:tcPr>
          <w:p w:rsidR="00D74015" w:rsidRPr="00A40AEF" w:rsidRDefault="00A40AEF" w:rsidP="00891740">
            <w:pPr>
              <w:rPr>
                <w:rFonts w:ascii="Times New Roman" w:hAnsi="Times New Roman" w:cs="Times New Roman"/>
                <w:b/>
                <w:bCs/>
                <w:color w:val="FFFFFF" w:themeColor="background1"/>
                <w:sz w:val="24"/>
                <w:szCs w:val="24"/>
              </w:rPr>
            </w:pPr>
            <w:r w:rsidRPr="00A40AEF">
              <w:rPr>
                <w:rFonts w:ascii="Times New Roman" w:hAnsi="Times New Roman" w:cs="Times New Roman"/>
                <w:b/>
                <w:bCs/>
                <w:color w:val="FFFFFF" w:themeColor="background1"/>
                <w:sz w:val="24"/>
                <w:szCs w:val="24"/>
              </w:rPr>
              <w:t xml:space="preserve">Grantee </w:t>
            </w:r>
            <w:r w:rsidR="00DC6145" w:rsidRPr="00A40AEF">
              <w:rPr>
                <w:rFonts w:ascii="Times New Roman" w:hAnsi="Times New Roman" w:cs="Times New Roman"/>
                <w:b/>
                <w:bCs/>
                <w:color w:val="FFFFFF" w:themeColor="background1"/>
                <w:sz w:val="24"/>
                <w:szCs w:val="24"/>
              </w:rPr>
              <w:t>Type</w:t>
            </w:r>
          </w:p>
        </w:tc>
        <w:tc>
          <w:tcPr>
            <w:tcW w:w="2790" w:type="dxa"/>
            <w:shd w:val="clear" w:color="auto" w:fill="2E74B5" w:themeFill="accent1" w:themeFillShade="BF"/>
          </w:tcPr>
          <w:p w:rsidR="00D74015" w:rsidRPr="00A40AEF" w:rsidRDefault="00D74015" w:rsidP="00B7241A">
            <w:pPr>
              <w:jc w:val="center"/>
              <w:rPr>
                <w:rFonts w:ascii="Times New Roman" w:hAnsi="Times New Roman" w:cs="Times New Roman"/>
                <w:b/>
                <w:bCs/>
                <w:color w:val="FFFFFF" w:themeColor="background1"/>
                <w:sz w:val="24"/>
                <w:szCs w:val="24"/>
              </w:rPr>
            </w:pPr>
            <w:r w:rsidRPr="00A40AEF">
              <w:rPr>
                <w:rFonts w:ascii="Times New Roman" w:hAnsi="Times New Roman" w:cs="Times New Roman"/>
                <w:b/>
                <w:bCs/>
                <w:color w:val="FFFFFF" w:themeColor="background1"/>
                <w:sz w:val="24"/>
                <w:szCs w:val="24"/>
              </w:rPr>
              <w:t>N</w:t>
            </w:r>
          </w:p>
        </w:tc>
        <w:tc>
          <w:tcPr>
            <w:tcW w:w="2700" w:type="dxa"/>
            <w:shd w:val="clear" w:color="auto" w:fill="2E74B5" w:themeFill="accent1" w:themeFillShade="BF"/>
          </w:tcPr>
          <w:p w:rsidR="00D74015" w:rsidRPr="00A40AEF" w:rsidRDefault="00D74015" w:rsidP="00B7241A">
            <w:pPr>
              <w:jc w:val="center"/>
              <w:rPr>
                <w:rFonts w:ascii="Times New Roman" w:hAnsi="Times New Roman" w:cs="Times New Roman"/>
                <w:b/>
                <w:bCs/>
                <w:color w:val="FFFFFF" w:themeColor="background1"/>
                <w:sz w:val="24"/>
                <w:szCs w:val="24"/>
              </w:rPr>
            </w:pPr>
            <w:r w:rsidRPr="00A40AEF">
              <w:rPr>
                <w:rFonts w:ascii="Times New Roman" w:hAnsi="Times New Roman" w:cs="Times New Roman"/>
                <w:b/>
                <w:bCs/>
                <w:color w:val="FFFFFF" w:themeColor="background1"/>
                <w:sz w:val="24"/>
                <w:szCs w:val="24"/>
              </w:rPr>
              <w:t>%</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CBO</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1,761</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18.4</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COU</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165</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1.7</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CS</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155</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1.6</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FBO</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112</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1.2</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FPC</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152</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1.6</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NPA</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588</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6.2</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Other</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656</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6.9</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SD</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5,565</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58.2</w:t>
            </w:r>
          </w:p>
        </w:tc>
      </w:tr>
      <w:tr w:rsidR="00D74015" w:rsidRPr="004B7B2C" w:rsidTr="00D74015">
        <w:tc>
          <w:tcPr>
            <w:tcW w:w="3685" w:type="dxa"/>
            <w:shd w:val="clear" w:color="auto" w:fill="DCE6F1"/>
          </w:tcPr>
          <w:p w:rsidR="00D74015" w:rsidRPr="004B7B2C" w:rsidRDefault="00D74015" w:rsidP="00D74015">
            <w:pPr>
              <w:rPr>
                <w:rFonts w:ascii="Times New Roman" w:hAnsi="Times New Roman" w:cs="Times New Roman"/>
                <w:bCs/>
                <w:sz w:val="24"/>
                <w:szCs w:val="24"/>
              </w:rPr>
            </w:pPr>
            <w:r w:rsidRPr="004B7B2C">
              <w:rPr>
                <w:rFonts w:ascii="Times New Roman" w:hAnsi="Times New Roman" w:cs="Times New Roman"/>
                <w:bCs/>
                <w:sz w:val="24"/>
                <w:szCs w:val="24"/>
              </w:rPr>
              <w:t>Unknown</w:t>
            </w:r>
          </w:p>
        </w:tc>
        <w:tc>
          <w:tcPr>
            <w:tcW w:w="279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402</w:t>
            </w:r>
          </w:p>
        </w:tc>
        <w:tc>
          <w:tcPr>
            <w:tcW w:w="2700" w:type="dxa"/>
            <w:vAlign w:val="bottom"/>
          </w:tcPr>
          <w:p w:rsidR="00D74015" w:rsidRPr="00D74015" w:rsidRDefault="00D74015" w:rsidP="00D74015">
            <w:pPr>
              <w:jc w:val="center"/>
              <w:rPr>
                <w:rFonts w:ascii="Times New Roman" w:hAnsi="Times New Roman" w:cs="Times New Roman"/>
                <w:bCs/>
                <w:sz w:val="24"/>
                <w:szCs w:val="24"/>
              </w:rPr>
            </w:pPr>
            <w:r w:rsidRPr="00D74015">
              <w:rPr>
                <w:rFonts w:ascii="Times New Roman" w:hAnsi="Times New Roman" w:cs="Times New Roman"/>
                <w:color w:val="000000"/>
                <w:sz w:val="24"/>
                <w:szCs w:val="24"/>
              </w:rPr>
              <w:t>4.2</w:t>
            </w:r>
          </w:p>
        </w:tc>
      </w:tr>
      <w:tr w:rsidR="00D74015" w:rsidRPr="004B7B2C" w:rsidTr="00D74015">
        <w:tc>
          <w:tcPr>
            <w:tcW w:w="3685" w:type="dxa"/>
          </w:tcPr>
          <w:p w:rsidR="00D74015" w:rsidRPr="004B7B2C" w:rsidRDefault="00D74015" w:rsidP="00D74015">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2790" w:type="dxa"/>
            <w:vAlign w:val="bottom"/>
          </w:tcPr>
          <w:p w:rsidR="00D74015" w:rsidRPr="00D74015" w:rsidRDefault="00D74015" w:rsidP="00D74015">
            <w:pPr>
              <w:jc w:val="center"/>
              <w:rPr>
                <w:rFonts w:ascii="Times New Roman" w:hAnsi="Times New Roman" w:cs="Times New Roman"/>
                <w:b/>
                <w:bCs/>
                <w:sz w:val="24"/>
                <w:szCs w:val="24"/>
              </w:rPr>
            </w:pPr>
            <w:r w:rsidRPr="00D74015">
              <w:rPr>
                <w:rFonts w:ascii="Times New Roman" w:hAnsi="Times New Roman" w:cs="Times New Roman"/>
                <w:b/>
                <w:color w:val="000000"/>
                <w:sz w:val="24"/>
                <w:szCs w:val="24"/>
              </w:rPr>
              <w:t>9,556</w:t>
            </w:r>
          </w:p>
        </w:tc>
        <w:tc>
          <w:tcPr>
            <w:tcW w:w="2700" w:type="dxa"/>
          </w:tcPr>
          <w:p w:rsidR="00D74015" w:rsidRPr="004B7B2C" w:rsidRDefault="00D74015" w:rsidP="00D74015">
            <w:pPr>
              <w:jc w:val="center"/>
              <w:rPr>
                <w:rFonts w:ascii="Times New Roman" w:hAnsi="Times New Roman" w:cs="Times New Roman"/>
                <w:b/>
                <w:bCs/>
                <w:sz w:val="24"/>
                <w:szCs w:val="24"/>
              </w:rPr>
            </w:pPr>
            <w:r w:rsidRPr="004B7B2C">
              <w:rPr>
                <w:rFonts w:ascii="Times New Roman" w:hAnsi="Times New Roman" w:cs="Times New Roman"/>
                <w:b/>
                <w:bCs/>
                <w:sz w:val="24"/>
                <w:szCs w:val="24"/>
              </w:rPr>
              <w:t>100.0</w:t>
            </w:r>
          </w:p>
        </w:tc>
      </w:tr>
    </w:tbl>
    <w:p w:rsidR="009E3E79" w:rsidRDefault="009E3E79" w:rsidP="003C50B1">
      <w:pPr>
        <w:spacing w:after="0" w:line="240" w:lineRule="auto"/>
        <w:rPr>
          <w:rFonts w:ascii="Times New Roman" w:hAnsi="Times New Roman" w:cs="Times New Roman"/>
          <w:bCs/>
          <w:sz w:val="18"/>
          <w:szCs w:val="18"/>
        </w:rPr>
      </w:pPr>
    </w:p>
    <w:p w:rsidR="003C50B1" w:rsidRPr="004B7B2C" w:rsidRDefault="002D6202" w:rsidP="00A40AEF">
      <w:pPr>
        <w:spacing w:after="480" w:line="240" w:lineRule="auto"/>
        <w:rPr>
          <w:rFonts w:ascii="Times New Roman" w:eastAsia="Times New Roman" w:hAnsi="Times New Roman" w:cs="Times New Roman"/>
          <w:color w:val="555555"/>
          <w:sz w:val="18"/>
          <w:szCs w:val="18"/>
        </w:rPr>
      </w:pPr>
      <w:r w:rsidRPr="000C7B25">
        <w:rPr>
          <w:rFonts w:ascii="Times New Roman" w:hAnsi="Times New Roman" w:cs="Times New Roman"/>
          <w:bCs/>
          <w:sz w:val="18"/>
          <w:szCs w:val="18"/>
        </w:rPr>
        <w:t>Note</w:t>
      </w:r>
      <w:r w:rsidR="000C7B25">
        <w:rPr>
          <w:rFonts w:ascii="Times New Roman" w:hAnsi="Times New Roman" w:cs="Times New Roman"/>
          <w:bCs/>
          <w:sz w:val="18"/>
          <w:szCs w:val="18"/>
        </w:rPr>
        <w:t>:</w:t>
      </w:r>
      <w:r w:rsidRPr="000C7B25">
        <w:rPr>
          <w:rFonts w:ascii="Times New Roman" w:hAnsi="Times New Roman" w:cs="Times New Roman"/>
          <w:bCs/>
          <w:sz w:val="18"/>
          <w:szCs w:val="18"/>
        </w:rPr>
        <w:t xml:space="preserve"> </w:t>
      </w:r>
      <w:r w:rsidR="003B259B" w:rsidRPr="004B7B2C">
        <w:rPr>
          <w:rFonts w:ascii="Times New Roman" w:hAnsi="Times New Roman" w:cs="Times New Roman"/>
          <w:bCs/>
          <w:sz w:val="18"/>
          <w:szCs w:val="18"/>
        </w:rPr>
        <w:t>Nationally Affiliated No</w:t>
      </w:r>
      <w:r w:rsidR="003C50B1" w:rsidRPr="004B7B2C">
        <w:rPr>
          <w:rFonts w:ascii="Times New Roman" w:hAnsi="Times New Roman" w:cs="Times New Roman"/>
          <w:bCs/>
          <w:sz w:val="18"/>
          <w:szCs w:val="18"/>
        </w:rPr>
        <w:t>n</w:t>
      </w:r>
      <w:r w:rsidR="003B259B" w:rsidRPr="004B7B2C">
        <w:rPr>
          <w:rFonts w:ascii="Times New Roman" w:hAnsi="Times New Roman" w:cs="Times New Roman"/>
          <w:bCs/>
          <w:sz w:val="18"/>
          <w:szCs w:val="18"/>
        </w:rPr>
        <w:t xml:space="preserve">-Profit Agency (NPA) is a combination of </w:t>
      </w:r>
      <w:r w:rsidR="003C50B1" w:rsidRPr="004B7B2C">
        <w:rPr>
          <w:rFonts w:ascii="Times New Roman" w:hAnsi="Times New Roman" w:cs="Times New Roman"/>
          <w:bCs/>
          <w:sz w:val="18"/>
          <w:szCs w:val="18"/>
        </w:rPr>
        <w:t>Boys and Girls Club, YMCA/YWCA, and Other Nationally Affiliated Non-Profit Agencies</w:t>
      </w:r>
      <w:r w:rsidR="00B636FE" w:rsidRPr="004B7B2C">
        <w:rPr>
          <w:rFonts w:ascii="Times New Roman" w:hAnsi="Times New Roman" w:cs="Times New Roman"/>
          <w:bCs/>
          <w:sz w:val="18"/>
          <w:szCs w:val="18"/>
        </w:rPr>
        <w:t xml:space="preserve">. </w:t>
      </w:r>
      <w:r w:rsidR="003B259B" w:rsidRPr="004B7B2C">
        <w:rPr>
          <w:rFonts w:ascii="Times New Roman" w:hAnsi="Times New Roman" w:cs="Times New Roman"/>
          <w:bCs/>
          <w:sz w:val="18"/>
          <w:szCs w:val="18"/>
        </w:rPr>
        <w:t xml:space="preserve">The category Other is a combination of </w:t>
      </w:r>
      <w:r w:rsidR="003C50B1" w:rsidRPr="004B7B2C">
        <w:rPr>
          <w:rFonts w:ascii="Times New Roman" w:hAnsi="Times New Roman" w:cs="Times New Roman"/>
          <w:bCs/>
          <w:sz w:val="18"/>
          <w:szCs w:val="18"/>
        </w:rPr>
        <w:t xml:space="preserve">the Bureau of Indian Affairs, Health-Based Organization, Library, Museum, Park/Recreation District, Other Unit of City or County Government, Private School,  </w:t>
      </w:r>
      <w:r w:rsidR="003C50B1" w:rsidRPr="004B7B2C">
        <w:rPr>
          <w:rFonts w:ascii="Times New Roman" w:eastAsia="Times New Roman" w:hAnsi="Times New Roman" w:cs="Times New Roman"/>
          <w:sz w:val="18"/>
          <w:szCs w:val="18"/>
        </w:rPr>
        <w:t>Regional/Intermediate Education Agency, and Other.</w:t>
      </w:r>
    </w:p>
    <w:p w:rsidR="000010C1" w:rsidRPr="004B7B2C" w:rsidRDefault="000010C1" w:rsidP="00300509">
      <w:pPr>
        <w:pStyle w:val="Heading2"/>
      </w:pPr>
      <w:bookmarkStart w:id="27" w:name="_Toc446579710"/>
      <w:r w:rsidRPr="004B7B2C">
        <w:t>B. Center T</w:t>
      </w:r>
      <w:r w:rsidR="00EF3319" w:rsidRPr="004B7B2C">
        <w:t>ype</w:t>
      </w:r>
      <w:bookmarkEnd w:id="27"/>
    </w:p>
    <w:p w:rsidR="000010C1" w:rsidRPr="004B7B2C" w:rsidRDefault="0014007B" w:rsidP="00891740">
      <w:pPr>
        <w:rPr>
          <w:rFonts w:ascii="Times New Roman" w:hAnsi="Times New Roman" w:cs="Times New Roman"/>
          <w:bCs/>
          <w:sz w:val="24"/>
          <w:szCs w:val="24"/>
        </w:rPr>
      </w:pPr>
      <w:r w:rsidRPr="004B7B2C">
        <w:rPr>
          <w:rFonts w:ascii="Times New Roman" w:hAnsi="Times New Roman" w:cs="Times New Roman"/>
          <w:bCs/>
          <w:sz w:val="24"/>
          <w:szCs w:val="24"/>
        </w:rPr>
        <w:t>Table 9 displays the results of the</w:t>
      </w:r>
      <w:r w:rsidR="007C23F7" w:rsidRPr="004B7B2C">
        <w:rPr>
          <w:rFonts w:ascii="Times New Roman" w:hAnsi="Times New Roman" w:cs="Times New Roman"/>
          <w:bCs/>
          <w:sz w:val="24"/>
          <w:szCs w:val="24"/>
        </w:rPr>
        <w:t xml:space="preserve"> sub-grantees’ centers brown down</w:t>
      </w:r>
      <w:r w:rsidR="002E276C">
        <w:rPr>
          <w:rFonts w:ascii="Times New Roman" w:hAnsi="Times New Roman" w:cs="Times New Roman"/>
          <w:bCs/>
          <w:sz w:val="24"/>
          <w:szCs w:val="24"/>
        </w:rPr>
        <w:t xml:space="preserve"> for all 54 </w:t>
      </w:r>
      <w:r w:rsidR="00B95564">
        <w:rPr>
          <w:rFonts w:ascii="Times New Roman" w:hAnsi="Times New Roman" w:cs="Times New Roman"/>
          <w:bCs/>
          <w:sz w:val="24"/>
          <w:szCs w:val="24"/>
        </w:rPr>
        <w:t>states/territories</w:t>
      </w:r>
      <w:r w:rsidR="002E276C" w:rsidRPr="004B7B2C">
        <w:rPr>
          <w:rFonts w:ascii="Times New Roman" w:hAnsi="Times New Roman" w:cs="Times New Roman"/>
          <w:bCs/>
          <w:sz w:val="24"/>
          <w:szCs w:val="24"/>
        </w:rPr>
        <w:t>.</w:t>
      </w:r>
      <w:r w:rsidR="007C23F7" w:rsidRPr="004B7B2C">
        <w:rPr>
          <w:rFonts w:ascii="Times New Roman" w:hAnsi="Times New Roman" w:cs="Times New Roman"/>
          <w:bCs/>
          <w:sz w:val="24"/>
          <w:szCs w:val="24"/>
        </w:rPr>
        <w:t xml:space="preserve"> Appr</w:t>
      </w:r>
      <w:r w:rsidR="00070C96" w:rsidRPr="004B7B2C">
        <w:rPr>
          <w:rFonts w:ascii="Times New Roman" w:hAnsi="Times New Roman" w:cs="Times New Roman"/>
          <w:bCs/>
          <w:sz w:val="24"/>
          <w:szCs w:val="24"/>
        </w:rPr>
        <w:t>oximately 83.0% of the centers we</w:t>
      </w:r>
      <w:r w:rsidR="007C23F7" w:rsidRPr="004B7B2C">
        <w:rPr>
          <w:rFonts w:ascii="Times New Roman" w:hAnsi="Times New Roman" w:cs="Times New Roman"/>
          <w:bCs/>
          <w:sz w:val="24"/>
          <w:szCs w:val="24"/>
        </w:rPr>
        <w:t xml:space="preserve">re classified as school districts (n = 7,901) and 4.6% as community-based organizations (n = 440). </w:t>
      </w:r>
      <w:r w:rsidRPr="004B7B2C">
        <w:rPr>
          <w:rFonts w:ascii="Times New Roman" w:hAnsi="Times New Roman" w:cs="Times New Roman"/>
          <w:bCs/>
          <w:sz w:val="24"/>
          <w:szCs w:val="24"/>
        </w:rPr>
        <w:t xml:space="preserve"> </w:t>
      </w:r>
      <w:r w:rsidR="00D252DF" w:rsidRPr="004B7B2C">
        <w:rPr>
          <w:rFonts w:ascii="Times New Roman" w:hAnsi="Times New Roman" w:cs="Times New Roman"/>
          <w:bCs/>
          <w:sz w:val="24"/>
          <w:szCs w:val="24"/>
        </w:rPr>
        <w:t xml:space="preserve"> </w:t>
      </w:r>
    </w:p>
    <w:p w:rsidR="007F36CE" w:rsidRPr="004B7B2C" w:rsidRDefault="007F36CE" w:rsidP="00CE2F9D">
      <w:pPr>
        <w:pStyle w:val="Heading3"/>
        <w:ind w:right="180"/>
      </w:pPr>
      <w:bookmarkStart w:id="28" w:name="_Toc422397355"/>
      <w:bookmarkStart w:id="29" w:name="_Toc446579711"/>
      <w:proofErr w:type="gramStart"/>
      <w:r w:rsidRPr="004B7B2C">
        <w:t>Table 9.</w:t>
      </w:r>
      <w:proofErr w:type="gramEnd"/>
      <w:r w:rsidRPr="004B7B2C">
        <w:t xml:space="preserve"> Sub-Grantees</w:t>
      </w:r>
      <w:r w:rsidR="00AE37B4" w:rsidRPr="004B7B2C">
        <w:t>’ Centers</w:t>
      </w:r>
      <w:r w:rsidRPr="004B7B2C">
        <w:t xml:space="preserve"> Broken Down By </w:t>
      </w:r>
      <w:r w:rsidR="00C61367" w:rsidRPr="004B7B2C">
        <w:t xml:space="preserve">Organization </w:t>
      </w:r>
      <w:r w:rsidRPr="004B7B2C">
        <w:t>Type</w:t>
      </w:r>
      <w:bookmarkEnd w:id="28"/>
      <w:r w:rsidR="009D1B95">
        <w:t xml:space="preserve"> – All 54 States/Territories</w:t>
      </w:r>
      <w:bookmarkEnd w:id="29"/>
    </w:p>
    <w:tbl>
      <w:tblPr>
        <w:tblStyle w:val="TableGrid"/>
        <w:tblW w:w="0" w:type="auto"/>
        <w:tblLook w:val="04A0" w:firstRow="1" w:lastRow="0" w:firstColumn="1" w:lastColumn="0" w:noHBand="0" w:noVBand="1"/>
        <w:tblCaption w:val="Table 9. Sub-Grantees’ Centers Broken Down By Organization Type"/>
      </w:tblPr>
      <w:tblGrid>
        <w:gridCol w:w="3685"/>
        <w:gridCol w:w="2790"/>
        <w:gridCol w:w="2700"/>
      </w:tblGrid>
      <w:tr w:rsidR="00CE2F9D" w:rsidRPr="004B7B2C" w:rsidTr="009D1B95">
        <w:trPr>
          <w:tblHeader/>
        </w:trPr>
        <w:tc>
          <w:tcPr>
            <w:tcW w:w="3685" w:type="dxa"/>
            <w:shd w:val="clear" w:color="auto" w:fill="2E74B5" w:themeFill="accent1" w:themeFillShade="BF"/>
          </w:tcPr>
          <w:p w:rsidR="00CE2F9D" w:rsidRPr="009D1B95" w:rsidRDefault="009D1B95" w:rsidP="00255F7F">
            <w:pP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 xml:space="preserve">Center </w:t>
            </w:r>
            <w:r w:rsidR="00DC6145" w:rsidRPr="009D1B95">
              <w:rPr>
                <w:rFonts w:ascii="Times New Roman" w:hAnsi="Times New Roman" w:cs="Times New Roman"/>
                <w:b/>
                <w:bCs/>
                <w:color w:val="FFFFFF" w:themeColor="background1"/>
                <w:sz w:val="24"/>
                <w:szCs w:val="24"/>
              </w:rPr>
              <w:t>Type</w:t>
            </w:r>
          </w:p>
        </w:tc>
        <w:tc>
          <w:tcPr>
            <w:tcW w:w="2790" w:type="dxa"/>
            <w:shd w:val="clear" w:color="auto" w:fill="2E74B5" w:themeFill="accent1" w:themeFillShade="BF"/>
          </w:tcPr>
          <w:p w:rsidR="00CE2F9D" w:rsidRPr="009D1B95" w:rsidRDefault="00CE2F9D" w:rsidP="00B2622D">
            <w:pPr>
              <w:jc w:val="cente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N</w:t>
            </w:r>
          </w:p>
        </w:tc>
        <w:tc>
          <w:tcPr>
            <w:tcW w:w="2700" w:type="dxa"/>
            <w:shd w:val="clear" w:color="auto" w:fill="2E74B5" w:themeFill="accent1" w:themeFillShade="BF"/>
          </w:tcPr>
          <w:p w:rsidR="00CE2F9D" w:rsidRPr="009D1B95" w:rsidRDefault="00CE2F9D" w:rsidP="00B2622D">
            <w:pPr>
              <w:jc w:val="cente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CBO</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440</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4.6</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COU</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15</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0.2</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CS</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222</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2.3</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FBO</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85</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0.9</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FPC</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11</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0.1</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NPA</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233</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2.4</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Other</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121</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1.3</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SD</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7,901</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2.7</w:t>
            </w:r>
          </w:p>
        </w:tc>
      </w:tr>
      <w:tr w:rsidR="00CE2F9D" w:rsidRPr="004B7B2C" w:rsidTr="008C08F2">
        <w:tc>
          <w:tcPr>
            <w:tcW w:w="3685" w:type="dxa"/>
            <w:shd w:val="clear" w:color="auto" w:fill="DCE6F1"/>
          </w:tcPr>
          <w:p w:rsidR="00CE2F9D" w:rsidRPr="004B7B2C" w:rsidRDefault="00CE2F9D" w:rsidP="00CE2F9D">
            <w:pPr>
              <w:rPr>
                <w:rFonts w:ascii="Times New Roman" w:hAnsi="Times New Roman" w:cs="Times New Roman"/>
                <w:bCs/>
                <w:sz w:val="24"/>
                <w:szCs w:val="24"/>
              </w:rPr>
            </w:pPr>
            <w:r w:rsidRPr="004B7B2C">
              <w:rPr>
                <w:rFonts w:ascii="Times New Roman" w:hAnsi="Times New Roman" w:cs="Times New Roman"/>
                <w:bCs/>
                <w:sz w:val="24"/>
                <w:szCs w:val="24"/>
              </w:rPr>
              <w:t>Unknown</w:t>
            </w:r>
          </w:p>
        </w:tc>
        <w:tc>
          <w:tcPr>
            <w:tcW w:w="279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528</w:t>
            </w:r>
          </w:p>
        </w:tc>
        <w:tc>
          <w:tcPr>
            <w:tcW w:w="2700" w:type="dxa"/>
            <w:vAlign w:val="bottom"/>
          </w:tcPr>
          <w:p w:rsidR="00CE2F9D" w:rsidRPr="00CE2F9D" w:rsidRDefault="00CE2F9D" w:rsidP="00CE2F9D">
            <w:pPr>
              <w:jc w:val="center"/>
              <w:rPr>
                <w:rFonts w:ascii="Times New Roman" w:hAnsi="Times New Roman" w:cs="Times New Roman"/>
                <w:bCs/>
                <w:sz w:val="24"/>
                <w:szCs w:val="24"/>
              </w:rPr>
            </w:pPr>
            <w:r w:rsidRPr="00CE2F9D">
              <w:rPr>
                <w:rFonts w:ascii="Times New Roman" w:hAnsi="Times New Roman" w:cs="Times New Roman"/>
                <w:color w:val="000000"/>
                <w:sz w:val="24"/>
                <w:szCs w:val="24"/>
              </w:rPr>
              <w:t>5.5</w:t>
            </w:r>
          </w:p>
        </w:tc>
      </w:tr>
      <w:tr w:rsidR="00CE2F9D" w:rsidRPr="004B7B2C" w:rsidTr="00CE2F9D">
        <w:tc>
          <w:tcPr>
            <w:tcW w:w="3685" w:type="dxa"/>
          </w:tcPr>
          <w:p w:rsidR="00CE2F9D" w:rsidRPr="004B7B2C" w:rsidRDefault="00CE2F9D" w:rsidP="002D6202">
            <w:pPr>
              <w:rPr>
                <w:rFonts w:ascii="Times New Roman" w:hAnsi="Times New Roman" w:cs="Times New Roman"/>
                <w:b/>
                <w:bCs/>
                <w:sz w:val="24"/>
                <w:szCs w:val="24"/>
              </w:rPr>
            </w:pPr>
            <w:r w:rsidRPr="004B7B2C">
              <w:rPr>
                <w:rFonts w:ascii="Times New Roman" w:hAnsi="Times New Roman" w:cs="Times New Roman"/>
                <w:b/>
                <w:bCs/>
                <w:sz w:val="24"/>
                <w:szCs w:val="24"/>
              </w:rPr>
              <w:lastRenderedPageBreak/>
              <w:t>Total</w:t>
            </w:r>
          </w:p>
        </w:tc>
        <w:tc>
          <w:tcPr>
            <w:tcW w:w="2790" w:type="dxa"/>
          </w:tcPr>
          <w:p w:rsidR="00CE2F9D" w:rsidRPr="004B7B2C" w:rsidRDefault="003A7E81" w:rsidP="002D6202">
            <w:pPr>
              <w:jc w:val="center"/>
              <w:rPr>
                <w:rFonts w:ascii="Times New Roman" w:hAnsi="Times New Roman" w:cs="Times New Roman"/>
                <w:b/>
                <w:bCs/>
                <w:sz w:val="24"/>
                <w:szCs w:val="24"/>
              </w:rPr>
            </w:pPr>
            <w:r>
              <w:rPr>
                <w:rFonts w:ascii="Times New Roman" w:hAnsi="Times New Roman" w:cs="Times New Roman"/>
                <w:b/>
                <w:bCs/>
                <w:sz w:val="24"/>
                <w:szCs w:val="24"/>
              </w:rPr>
              <w:t>9,556</w:t>
            </w:r>
          </w:p>
        </w:tc>
        <w:tc>
          <w:tcPr>
            <w:tcW w:w="2700" w:type="dxa"/>
          </w:tcPr>
          <w:p w:rsidR="00CE2F9D" w:rsidRPr="004B7B2C" w:rsidRDefault="00CE2F9D" w:rsidP="002D6202">
            <w:pPr>
              <w:jc w:val="center"/>
              <w:rPr>
                <w:rFonts w:ascii="Times New Roman" w:hAnsi="Times New Roman" w:cs="Times New Roman"/>
                <w:b/>
                <w:bCs/>
                <w:sz w:val="24"/>
                <w:szCs w:val="24"/>
              </w:rPr>
            </w:pPr>
            <w:r w:rsidRPr="004B7B2C">
              <w:rPr>
                <w:rFonts w:ascii="Times New Roman" w:hAnsi="Times New Roman" w:cs="Times New Roman"/>
                <w:b/>
                <w:bCs/>
                <w:sz w:val="24"/>
                <w:szCs w:val="24"/>
              </w:rPr>
              <w:t>100.0</w:t>
            </w:r>
          </w:p>
        </w:tc>
      </w:tr>
    </w:tbl>
    <w:p w:rsidR="003C50B1" w:rsidRPr="004B7B2C" w:rsidRDefault="003C50B1" w:rsidP="003C50B1">
      <w:pPr>
        <w:spacing w:after="0" w:line="240" w:lineRule="auto"/>
        <w:rPr>
          <w:rFonts w:ascii="Times New Roman" w:eastAsia="Times New Roman" w:hAnsi="Times New Roman" w:cs="Times New Roman"/>
          <w:color w:val="555555"/>
          <w:sz w:val="18"/>
          <w:szCs w:val="18"/>
        </w:rPr>
      </w:pPr>
      <w:r w:rsidRPr="000C7B25">
        <w:rPr>
          <w:rFonts w:ascii="Times New Roman" w:hAnsi="Times New Roman" w:cs="Times New Roman"/>
          <w:bCs/>
          <w:sz w:val="18"/>
          <w:szCs w:val="18"/>
        </w:rPr>
        <w:t>Note</w:t>
      </w:r>
      <w:r w:rsidR="000C7B25">
        <w:rPr>
          <w:rFonts w:ascii="Times New Roman" w:hAnsi="Times New Roman" w:cs="Times New Roman"/>
          <w:bCs/>
          <w:sz w:val="18"/>
          <w:szCs w:val="18"/>
        </w:rPr>
        <w:t>:</w:t>
      </w:r>
      <w:r w:rsidRPr="000C7B25">
        <w:rPr>
          <w:rFonts w:ascii="Times New Roman" w:hAnsi="Times New Roman" w:cs="Times New Roman"/>
          <w:bCs/>
          <w:sz w:val="18"/>
          <w:szCs w:val="18"/>
        </w:rPr>
        <w:t xml:space="preserve"> </w:t>
      </w:r>
      <w:r w:rsidRPr="004B7B2C">
        <w:rPr>
          <w:rFonts w:ascii="Times New Roman" w:hAnsi="Times New Roman" w:cs="Times New Roman"/>
          <w:bCs/>
          <w:sz w:val="18"/>
          <w:szCs w:val="18"/>
        </w:rPr>
        <w:t>Nationally Affiliated Non-Profit Agency (NPA) is a combination of Boys and Girls Club, YMCA/YWCA, and Other Nationally Affiliated Non-Profit Agencies</w:t>
      </w:r>
      <w:r w:rsidR="00B636FE" w:rsidRPr="004B7B2C">
        <w:rPr>
          <w:rFonts w:ascii="Times New Roman" w:hAnsi="Times New Roman" w:cs="Times New Roman"/>
          <w:bCs/>
          <w:sz w:val="18"/>
          <w:szCs w:val="18"/>
        </w:rPr>
        <w:t xml:space="preserve">. </w:t>
      </w:r>
      <w:r w:rsidRPr="004B7B2C">
        <w:rPr>
          <w:rFonts w:ascii="Times New Roman" w:hAnsi="Times New Roman" w:cs="Times New Roman"/>
          <w:bCs/>
          <w:sz w:val="18"/>
          <w:szCs w:val="18"/>
        </w:rPr>
        <w:t xml:space="preserve">The category Other is a combination of the Bureau of Indian Affairs, Health-Based Organization, Library, Museum, Park/Recreation District, Other Unit of City or County Government, Private School,  </w:t>
      </w:r>
      <w:r w:rsidRPr="004B7B2C">
        <w:rPr>
          <w:rFonts w:ascii="Times New Roman" w:eastAsia="Times New Roman" w:hAnsi="Times New Roman" w:cs="Times New Roman"/>
          <w:sz w:val="18"/>
          <w:szCs w:val="18"/>
        </w:rPr>
        <w:t>Regional/Intermediate Education Agency, and Other.</w:t>
      </w:r>
    </w:p>
    <w:p w:rsidR="00DE2F7A" w:rsidRPr="004B7B2C" w:rsidRDefault="00DE2F7A" w:rsidP="00891740">
      <w:pPr>
        <w:rPr>
          <w:rFonts w:ascii="Times New Roman" w:hAnsi="Times New Roman" w:cs="Times New Roman"/>
          <w:b/>
          <w:bCs/>
          <w:sz w:val="24"/>
          <w:szCs w:val="24"/>
        </w:rPr>
      </w:pPr>
    </w:p>
    <w:p w:rsidR="000010C1" w:rsidRPr="004B7B2C" w:rsidRDefault="000010C1" w:rsidP="00300509">
      <w:pPr>
        <w:pStyle w:val="Heading2"/>
      </w:pPr>
      <w:bookmarkStart w:id="30" w:name="_Toc446579712"/>
      <w:r w:rsidRPr="004B7B2C">
        <w:t>C.</w:t>
      </w:r>
      <w:r w:rsidR="00EF3319" w:rsidRPr="004B7B2C">
        <w:t xml:space="preserve"> </w:t>
      </w:r>
      <w:r w:rsidRPr="004B7B2C">
        <w:t>People S</w:t>
      </w:r>
      <w:r w:rsidR="00EF3319" w:rsidRPr="004B7B2C">
        <w:t>erved</w:t>
      </w:r>
      <w:bookmarkEnd w:id="30"/>
    </w:p>
    <w:p w:rsidR="00DE6B39" w:rsidRPr="004B7B2C" w:rsidRDefault="00DE2F7A" w:rsidP="00891740">
      <w:pPr>
        <w:rPr>
          <w:rFonts w:ascii="Times New Roman" w:hAnsi="Times New Roman" w:cs="Times New Roman"/>
          <w:bCs/>
          <w:sz w:val="24"/>
          <w:szCs w:val="24"/>
        </w:rPr>
      </w:pPr>
      <w:r w:rsidRPr="004B7B2C">
        <w:rPr>
          <w:rFonts w:ascii="Times New Roman" w:hAnsi="Times New Roman" w:cs="Times New Roman"/>
          <w:bCs/>
          <w:sz w:val="24"/>
          <w:szCs w:val="24"/>
        </w:rPr>
        <w:t xml:space="preserve">A total of over </w:t>
      </w:r>
      <w:r w:rsidR="00B10BC9">
        <w:rPr>
          <w:rFonts w:ascii="Times New Roman" w:hAnsi="Times New Roman" w:cs="Times New Roman"/>
          <w:bCs/>
          <w:sz w:val="24"/>
          <w:szCs w:val="24"/>
        </w:rPr>
        <w:t>2</w:t>
      </w:r>
      <w:r w:rsidR="00F470A2">
        <w:rPr>
          <w:rFonts w:ascii="Times New Roman" w:hAnsi="Times New Roman" w:cs="Times New Roman"/>
          <w:bCs/>
          <w:sz w:val="24"/>
          <w:szCs w:val="24"/>
        </w:rPr>
        <w:t>.2</w:t>
      </w:r>
      <w:r w:rsidRPr="004B7B2C">
        <w:rPr>
          <w:rFonts w:ascii="Times New Roman" w:hAnsi="Times New Roman" w:cs="Times New Roman"/>
          <w:bCs/>
          <w:sz w:val="24"/>
          <w:szCs w:val="24"/>
        </w:rPr>
        <w:t xml:space="preserve"> million people have been served by this program.  Table 10 displays the amount of people served by the program per classification: (a) regular student attendees (n = 854,454), (b) total student attendees (n = 1,682,469), (c) summer students (n = 143,739), and (d) adults/family members (n = 431,122).  </w:t>
      </w:r>
    </w:p>
    <w:p w:rsidR="00441D6F" w:rsidRPr="004B7B2C" w:rsidRDefault="00DE2F7A" w:rsidP="00891740">
      <w:pPr>
        <w:rPr>
          <w:rFonts w:ascii="Times New Roman" w:hAnsi="Times New Roman" w:cs="Times New Roman"/>
          <w:bCs/>
          <w:sz w:val="24"/>
          <w:szCs w:val="24"/>
        </w:rPr>
      </w:pPr>
      <w:r w:rsidRPr="004B7B2C">
        <w:rPr>
          <w:rFonts w:ascii="Times New Roman" w:hAnsi="Times New Roman" w:cs="Times New Roman"/>
          <w:bCs/>
          <w:sz w:val="24"/>
          <w:szCs w:val="24"/>
        </w:rPr>
        <w:t xml:space="preserve">Tables 11 and 12 provide an even further examination into the amount/percentage of people served broken down by the type of center attended.  </w:t>
      </w:r>
      <w:r w:rsidR="00DE6B39" w:rsidRPr="004B7B2C">
        <w:rPr>
          <w:rFonts w:ascii="Times New Roman" w:hAnsi="Times New Roman" w:cs="Times New Roman"/>
          <w:bCs/>
          <w:sz w:val="24"/>
          <w:szCs w:val="24"/>
        </w:rPr>
        <w:t>The majority of regular attendees attended programs provided by school districts (84.4%, n = 721,266).</w:t>
      </w:r>
    </w:p>
    <w:p w:rsidR="00845B61" w:rsidRPr="004B7B2C" w:rsidRDefault="00845B61" w:rsidP="00441D6F">
      <w:pPr>
        <w:jc w:val="center"/>
        <w:rPr>
          <w:rFonts w:ascii="Times New Roman" w:hAnsi="Times New Roman" w:cs="Times New Roman"/>
          <w:b/>
          <w:bCs/>
          <w:sz w:val="24"/>
          <w:szCs w:val="24"/>
        </w:rPr>
      </w:pPr>
    </w:p>
    <w:p w:rsidR="000010C1" w:rsidRPr="004B7B2C" w:rsidRDefault="00441D6F" w:rsidP="00053B73">
      <w:pPr>
        <w:pStyle w:val="Heading3"/>
        <w:ind w:right="540"/>
      </w:pPr>
      <w:bookmarkStart w:id="31" w:name="_Toc422397356"/>
      <w:bookmarkStart w:id="32" w:name="_Toc446579713"/>
      <w:proofErr w:type="gramStart"/>
      <w:r w:rsidRPr="004B7B2C">
        <w:t>Table 10.</w:t>
      </w:r>
      <w:proofErr w:type="gramEnd"/>
      <w:r w:rsidRPr="004B7B2C">
        <w:t xml:space="preserve"> Attendees Served based on Type</w:t>
      </w:r>
      <w:bookmarkEnd w:id="31"/>
      <w:bookmarkEnd w:id="32"/>
      <w:r w:rsidR="00B05680" w:rsidRPr="004B7B2C">
        <w:t xml:space="preserve"> </w:t>
      </w:r>
    </w:p>
    <w:tbl>
      <w:tblPr>
        <w:tblStyle w:val="TableGrid"/>
        <w:tblW w:w="0" w:type="auto"/>
        <w:tblLook w:val="04A0" w:firstRow="1" w:lastRow="0" w:firstColumn="1" w:lastColumn="0" w:noHBand="0" w:noVBand="1"/>
        <w:tblCaption w:val="Table 10. Attendees Served based on Type"/>
      </w:tblPr>
      <w:tblGrid>
        <w:gridCol w:w="5395"/>
        <w:gridCol w:w="3420"/>
      </w:tblGrid>
      <w:tr w:rsidR="007B0AE9" w:rsidRPr="004B7B2C" w:rsidTr="004B4E89">
        <w:trPr>
          <w:tblHeader/>
        </w:trPr>
        <w:tc>
          <w:tcPr>
            <w:tcW w:w="5395" w:type="dxa"/>
            <w:shd w:val="clear" w:color="auto" w:fill="4375B1"/>
          </w:tcPr>
          <w:p w:rsidR="007B0AE9" w:rsidRPr="004B7B2C" w:rsidRDefault="008B49CA" w:rsidP="0045325E">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Attendees Served</w:t>
            </w:r>
          </w:p>
        </w:tc>
        <w:tc>
          <w:tcPr>
            <w:tcW w:w="3420" w:type="dxa"/>
            <w:shd w:val="clear" w:color="auto" w:fill="4375B1"/>
          </w:tcPr>
          <w:p w:rsidR="007B0AE9" w:rsidRPr="004B7B2C" w:rsidRDefault="007B0AE9" w:rsidP="008B49CA">
            <w:pPr>
              <w:rPr>
                <w:rFonts w:ascii="Times New Roman" w:hAnsi="Times New Roman" w:cs="Times New Roman"/>
                <w:b/>
                <w:bCs/>
                <w:color w:val="FFFFFF" w:themeColor="background1"/>
                <w:sz w:val="24"/>
                <w:szCs w:val="24"/>
              </w:rPr>
            </w:pPr>
            <w:r w:rsidRPr="004B7B2C">
              <w:rPr>
                <w:rFonts w:ascii="Times New Roman" w:hAnsi="Times New Roman" w:cs="Times New Roman"/>
                <w:b/>
                <w:bCs/>
                <w:color w:val="FFFFFF" w:themeColor="background1"/>
                <w:sz w:val="24"/>
                <w:szCs w:val="24"/>
              </w:rPr>
              <w:t>Total</w:t>
            </w:r>
          </w:p>
        </w:tc>
      </w:tr>
      <w:tr w:rsidR="007B0AE9" w:rsidRPr="004B7B2C" w:rsidTr="007B0AE9">
        <w:tc>
          <w:tcPr>
            <w:tcW w:w="5395" w:type="dxa"/>
            <w:shd w:val="clear" w:color="auto" w:fill="DCE6F1"/>
          </w:tcPr>
          <w:p w:rsidR="007B0AE9" w:rsidRPr="004B7B2C" w:rsidRDefault="007B0AE9" w:rsidP="0045325E">
            <w:pPr>
              <w:rPr>
                <w:rFonts w:ascii="Times New Roman" w:hAnsi="Times New Roman" w:cs="Times New Roman"/>
                <w:bCs/>
                <w:sz w:val="24"/>
                <w:szCs w:val="24"/>
              </w:rPr>
            </w:pPr>
            <w:r w:rsidRPr="004B7B2C">
              <w:rPr>
                <w:rFonts w:ascii="Times New Roman" w:hAnsi="Times New Roman" w:cs="Times New Roman"/>
                <w:bCs/>
                <w:sz w:val="24"/>
                <w:szCs w:val="24"/>
              </w:rPr>
              <w:t>Total Student Attendees</w:t>
            </w:r>
            <w:r>
              <w:rPr>
                <w:rFonts w:ascii="Times New Roman" w:hAnsi="Times New Roman" w:cs="Times New Roman"/>
                <w:bCs/>
                <w:sz w:val="24"/>
                <w:szCs w:val="24"/>
              </w:rPr>
              <w:t xml:space="preserve"> (including regular students)</w:t>
            </w:r>
          </w:p>
        </w:tc>
        <w:tc>
          <w:tcPr>
            <w:tcW w:w="3420" w:type="dxa"/>
          </w:tcPr>
          <w:p w:rsidR="007B0AE9" w:rsidRPr="004B7B2C" w:rsidRDefault="007B0AE9" w:rsidP="0045325E">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1,682,469</w:t>
            </w:r>
          </w:p>
        </w:tc>
      </w:tr>
      <w:tr w:rsidR="007B0AE9" w:rsidRPr="004B7B2C" w:rsidTr="007B0AE9">
        <w:tc>
          <w:tcPr>
            <w:tcW w:w="5395" w:type="dxa"/>
            <w:shd w:val="clear" w:color="auto" w:fill="DCE6F1"/>
          </w:tcPr>
          <w:p w:rsidR="007B0AE9" w:rsidRPr="004B7B2C" w:rsidRDefault="007B0AE9" w:rsidP="0045325E">
            <w:pPr>
              <w:rPr>
                <w:rFonts w:ascii="Times New Roman" w:hAnsi="Times New Roman" w:cs="Times New Roman"/>
                <w:bCs/>
                <w:sz w:val="24"/>
                <w:szCs w:val="24"/>
              </w:rPr>
            </w:pPr>
            <w:r w:rsidRPr="004B7B2C">
              <w:rPr>
                <w:rFonts w:ascii="Times New Roman" w:hAnsi="Times New Roman" w:cs="Times New Roman"/>
                <w:bCs/>
                <w:sz w:val="24"/>
                <w:szCs w:val="24"/>
              </w:rPr>
              <w:t>Regular Student Attendees</w:t>
            </w:r>
          </w:p>
        </w:tc>
        <w:tc>
          <w:tcPr>
            <w:tcW w:w="3420" w:type="dxa"/>
          </w:tcPr>
          <w:p w:rsidR="007B0AE9" w:rsidRPr="004B7B2C" w:rsidRDefault="007B0AE9" w:rsidP="0045325E">
            <w:pPr>
              <w:jc w:val="center"/>
              <w:rPr>
                <w:rFonts w:ascii="Times New Roman" w:hAnsi="Times New Roman" w:cs="Times New Roman"/>
                <w:bCs/>
                <w:sz w:val="24"/>
                <w:szCs w:val="24"/>
              </w:rPr>
            </w:pPr>
            <w:r w:rsidRPr="004B7B2C">
              <w:rPr>
                <w:rFonts w:ascii="Times New Roman" w:hAnsi="Times New Roman" w:cs="Times New Roman"/>
                <w:bCs/>
                <w:sz w:val="24"/>
                <w:szCs w:val="24"/>
              </w:rPr>
              <w:t>854,454</w:t>
            </w:r>
          </w:p>
        </w:tc>
      </w:tr>
      <w:tr w:rsidR="007B0AE9" w:rsidRPr="004B7B2C" w:rsidTr="007B0AE9">
        <w:tc>
          <w:tcPr>
            <w:tcW w:w="5395" w:type="dxa"/>
            <w:shd w:val="clear" w:color="auto" w:fill="DCE6F1"/>
          </w:tcPr>
          <w:p w:rsidR="007B0AE9" w:rsidRPr="004B7B2C" w:rsidRDefault="007B0AE9" w:rsidP="0045325E">
            <w:pPr>
              <w:rPr>
                <w:rFonts w:ascii="Times New Roman" w:hAnsi="Times New Roman" w:cs="Times New Roman"/>
                <w:bCs/>
                <w:sz w:val="24"/>
                <w:szCs w:val="24"/>
              </w:rPr>
            </w:pPr>
            <w:r w:rsidRPr="004B7B2C">
              <w:rPr>
                <w:rFonts w:ascii="Times New Roman" w:hAnsi="Times New Roman" w:cs="Times New Roman"/>
                <w:bCs/>
                <w:sz w:val="24"/>
                <w:szCs w:val="24"/>
              </w:rPr>
              <w:t>Summer Students</w:t>
            </w:r>
          </w:p>
        </w:tc>
        <w:tc>
          <w:tcPr>
            <w:tcW w:w="3420" w:type="dxa"/>
          </w:tcPr>
          <w:p w:rsidR="007B0AE9" w:rsidRPr="004B7B2C" w:rsidRDefault="007B0AE9" w:rsidP="0045325E">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143,739</w:t>
            </w:r>
          </w:p>
        </w:tc>
      </w:tr>
      <w:tr w:rsidR="007B0AE9" w:rsidRPr="004B7B2C" w:rsidTr="007B0AE9">
        <w:tc>
          <w:tcPr>
            <w:tcW w:w="5395" w:type="dxa"/>
            <w:shd w:val="clear" w:color="auto" w:fill="DCE6F1"/>
          </w:tcPr>
          <w:p w:rsidR="007B0AE9" w:rsidRPr="004B7B2C" w:rsidRDefault="007B0AE9" w:rsidP="0045325E">
            <w:pPr>
              <w:rPr>
                <w:rFonts w:ascii="Times New Roman" w:hAnsi="Times New Roman" w:cs="Times New Roman"/>
                <w:bCs/>
                <w:sz w:val="24"/>
                <w:szCs w:val="24"/>
              </w:rPr>
            </w:pPr>
            <w:r w:rsidRPr="004B7B2C">
              <w:rPr>
                <w:rFonts w:ascii="Times New Roman" w:hAnsi="Times New Roman" w:cs="Times New Roman"/>
                <w:bCs/>
                <w:sz w:val="24"/>
                <w:szCs w:val="24"/>
              </w:rPr>
              <w:t>Adults/Family Members</w:t>
            </w:r>
          </w:p>
        </w:tc>
        <w:tc>
          <w:tcPr>
            <w:tcW w:w="3420" w:type="dxa"/>
          </w:tcPr>
          <w:p w:rsidR="007B0AE9" w:rsidRPr="004B7B2C" w:rsidRDefault="007B0AE9" w:rsidP="0045325E">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431,122</w:t>
            </w:r>
          </w:p>
        </w:tc>
      </w:tr>
      <w:tr w:rsidR="007B0AE9" w:rsidRPr="004B7B2C" w:rsidTr="007B0AE9">
        <w:tc>
          <w:tcPr>
            <w:tcW w:w="5395" w:type="dxa"/>
          </w:tcPr>
          <w:p w:rsidR="007B0AE9" w:rsidRPr="004B7B2C" w:rsidRDefault="007B0AE9" w:rsidP="0045325E">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3420" w:type="dxa"/>
          </w:tcPr>
          <w:p w:rsidR="007B0AE9" w:rsidRPr="004B7B2C" w:rsidRDefault="007B0AE9" w:rsidP="0045325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2,257,330</w:t>
            </w:r>
          </w:p>
        </w:tc>
      </w:tr>
    </w:tbl>
    <w:p w:rsidR="00441D6F" w:rsidRPr="004B7B2C" w:rsidRDefault="002E5C47" w:rsidP="009D1B95">
      <w:pPr>
        <w:pStyle w:val="Heading3"/>
        <w:spacing w:before="480" w:line="240" w:lineRule="auto"/>
        <w:ind w:right="187"/>
      </w:pPr>
      <w:bookmarkStart w:id="33" w:name="_Toc422397357"/>
      <w:bookmarkStart w:id="34" w:name="_Toc446579714"/>
      <w:proofErr w:type="gramStart"/>
      <w:r w:rsidRPr="004B7B2C">
        <w:t>Table 11.</w:t>
      </w:r>
      <w:proofErr w:type="gramEnd"/>
      <w:r w:rsidR="00321677" w:rsidRPr="004B7B2C">
        <w:t xml:space="preserve"> Number of Total and Regular Attendees by Center Type</w:t>
      </w:r>
      <w:bookmarkEnd w:id="33"/>
      <w:r w:rsidR="009D1B95">
        <w:t xml:space="preserve"> – All 54 States/Territories</w:t>
      </w:r>
      <w:bookmarkEnd w:id="34"/>
    </w:p>
    <w:tbl>
      <w:tblPr>
        <w:tblStyle w:val="TableGrid"/>
        <w:tblW w:w="9175" w:type="dxa"/>
        <w:tblLook w:val="04A0" w:firstRow="1" w:lastRow="0" w:firstColumn="1" w:lastColumn="0" w:noHBand="0" w:noVBand="1"/>
        <w:tblCaption w:val="Table 11. Number of Total and Regular Attendees by Center Type"/>
      </w:tblPr>
      <w:tblGrid>
        <w:gridCol w:w="3505"/>
        <w:gridCol w:w="2880"/>
        <w:gridCol w:w="2790"/>
      </w:tblGrid>
      <w:tr w:rsidR="00DC07BB" w:rsidRPr="004B7B2C" w:rsidTr="009D1B95">
        <w:trPr>
          <w:tblHeader/>
        </w:trPr>
        <w:tc>
          <w:tcPr>
            <w:tcW w:w="3505" w:type="dxa"/>
            <w:shd w:val="clear" w:color="auto" w:fill="2E74B5" w:themeFill="accent1" w:themeFillShade="BF"/>
          </w:tcPr>
          <w:p w:rsidR="00DC07BB" w:rsidRPr="009D1B95" w:rsidRDefault="009D1B95" w:rsidP="00DE6DB5">
            <w:pP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 xml:space="preserve">Center </w:t>
            </w:r>
            <w:r w:rsidR="00DC6145" w:rsidRPr="009D1B95">
              <w:rPr>
                <w:rFonts w:ascii="Times New Roman" w:hAnsi="Times New Roman" w:cs="Times New Roman"/>
                <w:b/>
                <w:bCs/>
                <w:color w:val="FFFFFF" w:themeColor="background1"/>
                <w:sz w:val="24"/>
                <w:szCs w:val="24"/>
              </w:rPr>
              <w:t>Type</w:t>
            </w:r>
          </w:p>
        </w:tc>
        <w:tc>
          <w:tcPr>
            <w:tcW w:w="2880" w:type="dxa"/>
            <w:shd w:val="clear" w:color="auto" w:fill="2E74B5" w:themeFill="accent1" w:themeFillShade="BF"/>
          </w:tcPr>
          <w:p w:rsidR="00DC07BB" w:rsidRPr="009D1B95" w:rsidRDefault="00DC07BB" w:rsidP="00DE6DB5">
            <w:pPr>
              <w:jc w:val="cente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Total Students</w:t>
            </w:r>
          </w:p>
        </w:tc>
        <w:tc>
          <w:tcPr>
            <w:tcW w:w="2790" w:type="dxa"/>
            <w:shd w:val="clear" w:color="auto" w:fill="2E74B5" w:themeFill="accent1" w:themeFillShade="BF"/>
          </w:tcPr>
          <w:p w:rsidR="00DC07BB" w:rsidRPr="009D1B95" w:rsidRDefault="00DC07BB" w:rsidP="00DE6DB5">
            <w:pPr>
              <w:jc w:val="cente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Regular Students</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CBO</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50,731</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30,160</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COU</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1,712</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628</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CS</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48,872</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25,492</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FBO</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7,298</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5,256</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FPC</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650</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525</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NPA</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33,774</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21,430</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Other</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13,718</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8,265</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SD</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1,447,756</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721,266</w:t>
            </w:r>
          </w:p>
        </w:tc>
      </w:tr>
      <w:tr w:rsidR="00DC07BB" w:rsidRPr="004B7B2C" w:rsidTr="00DC07BB">
        <w:tc>
          <w:tcPr>
            <w:tcW w:w="3505" w:type="dxa"/>
            <w:shd w:val="clear" w:color="auto" w:fill="DCE6F1"/>
          </w:tcPr>
          <w:p w:rsidR="00DC07BB" w:rsidRPr="004B7B2C" w:rsidRDefault="00DC07BB" w:rsidP="00DC07BB">
            <w:pPr>
              <w:rPr>
                <w:rFonts w:ascii="Times New Roman" w:hAnsi="Times New Roman" w:cs="Times New Roman"/>
                <w:bCs/>
                <w:sz w:val="24"/>
                <w:szCs w:val="24"/>
              </w:rPr>
            </w:pPr>
            <w:r w:rsidRPr="004B7B2C">
              <w:rPr>
                <w:rFonts w:ascii="Times New Roman" w:hAnsi="Times New Roman" w:cs="Times New Roman"/>
                <w:bCs/>
                <w:sz w:val="24"/>
                <w:szCs w:val="24"/>
              </w:rPr>
              <w:t>Unknown</w:t>
            </w:r>
          </w:p>
        </w:tc>
        <w:tc>
          <w:tcPr>
            <w:tcW w:w="288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77,958</w:t>
            </w:r>
          </w:p>
        </w:tc>
        <w:tc>
          <w:tcPr>
            <w:tcW w:w="2790" w:type="dxa"/>
            <w:vAlign w:val="bottom"/>
          </w:tcPr>
          <w:p w:rsidR="00DC07BB" w:rsidRPr="00DC07BB" w:rsidRDefault="00DC07BB" w:rsidP="00DC07BB">
            <w:pPr>
              <w:jc w:val="center"/>
              <w:rPr>
                <w:rFonts w:ascii="Times New Roman" w:hAnsi="Times New Roman" w:cs="Times New Roman"/>
                <w:bCs/>
                <w:sz w:val="24"/>
                <w:szCs w:val="24"/>
              </w:rPr>
            </w:pPr>
            <w:r w:rsidRPr="00DC07BB">
              <w:rPr>
                <w:rFonts w:ascii="Times New Roman" w:hAnsi="Times New Roman" w:cs="Times New Roman"/>
                <w:color w:val="000000"/>
                <w:sz w:val="24"/>
                <w:szCs w:val="24"/>
              </w:rPr>
              <w:t>41,432</w:t>
            </w:r>
          </w:p>
        </w:tc>
      </w:tr>
      <w:tr w:rsidR="00DC07BB" w:rsidRPr="004B7B2C" w:rsidTr="00DC07BB">
        <w:tc>
          <w:tcPr>
            <w:tcW w:w="3505" w:type="dxa"/>
          </w:tcPr>
          <w:p w:rsidR="00DC07BB" w:rsidRPr="004B7B2C" w:rsidRDefault="00DC07BB" w:rsidP="00DC07BB">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2880" w:type="dxa"/>
            <w:vAlign w:val="bottom"/>
          </w:tcPr>
          <w:p w:rsidR="00DC07BB" w:rsidRPr="00DC07BB" w:rsidRDefault="00DC07BB" w:rsidP="00DC07BB">
            <w:pPr>
              <w:jc w:val="center"/>
              <w:rPr>
                <w:rFonts w:ascii="Times New Roman" w:hAnsi="Times New Roman" w:cs="Times New Roman"/>
                <w:b/>
                <w:color w:val="000000"/>
                <w:sz w:val="24"/>
                <w:szCs w:val="24"/>
              </w:rPr>
            </w:pPr>
            <w:r w:rsidRPr="00DC07BB">
              <w:rPr>
                <w:rFonts w:ascii="Times New Roman" w:hAnsi="Times New Roman" w:cs="Times New Roman"/>
                <w:b/>
                <w:color w:val="000000"/>
                <w:sz w:val="24"/>
                <w:szCs w:val="24"/>
              </w:rPr>
              <w:t>1,682,469</w:t>
            </w:r>
          </w:p>
        </w:tc>
        <w:tc>
          <w:tcPr>
            <w:tcW w:w="2790" w:type="dxa"/>
            <w:vAlign w:val="bottom"/>
          </w:tcPr>
          <w:p w:rsidR="00DC07BB" w:rsidRPr="00DC07BB" w:rsidRDefault="00DC07BB" w:rsidP="00DC07BB">
            <w:pPr>
              <w:jc w:val="center"/>
              <w:rPr>
                <w:rFonts w:ascii="Times New Roman" w:hAnsi="Times New Roman" w:cs="Times New Roman"/>
                <w:b/>
                <w:color w:val="000000"/>
                <w:sz w:val="24"/>
                <w:szCs w:val="24"/>
              </w:rPr>
            </w:pPr>
            <w:r w:rsidRPr="00DC07BB">
              <w:rPr>
                <w:rFonts w:ascii="Times New Roman" w:hAnsi="Times New Roman" w:cs="Times New Roman"/>
                <w:b/>
                <w:color w:val="000000"/>
                <w:sz w:val="24"/>
                <w:szCs w:val="24"/>
              </w:rPr>
              <w:t>854,454</w:t>
            </w:r>
          </w:p>
        </w:tc>
      </w:tr>
    </w:tbl>
    <w:p w:rsidR="00913FBC" w:rsidRPr="004B7B2C" w:rsidRDefault="00913FBC" w:rsidP="00913FBC">
      <w:pPr>
        <w:spacing w:after="0" w:line="240" w:lineRule="auto"/>
        <w:rPr>
          <w:rFonts w:ascii="Times New Roman" w:eastAsia="Times New Roman" w:hAnsi="Times New Roman" w:cs="Times New Roman"/>
          <w:color w:val="555555"/>
          <w:sz w:val="18"/>
          <w:szCs w:val="18"/>
        </w:rPr>
      </w:pPr>
      <w:r w:rsidRPr="00DA468F">
        <w:rPr>
          <w:rFonts w:ascii="Times New Roman" w:hAnsi="Times New Roman" w:cs="Times New Roman"/>
          <w:bCs/>
          <w:sz w:val="18"/>
          <w:szCs w:val="18"/>
        </w:rPr>
        <w:t>Note</w:t>
      </w:r>
      <w:r w:rsidR="00DA468F">
        <w:rPr>
          <w:rFonts w:ascii="Times New Roman" w:hAnsi="Times New Roman" w:cs="Times New Roman"/>
          <w:bCs/>
          <w:sz w:val="18"/>
          <w:szCs w:val="18"/>
        </w:rPr>
        <w:t>:</w:t>
      </w:r>
      <w:r w:rsidRPr="004B7B2C">
        <w:rPr>
          <w:rFonts w:ascii="Times New Roman" w:hAnsi="Times New Roman" w:cs="Times New Roman"/>
          <w:bCs/>
          <w:sz w:val="18"/>
          <w:szCs w:val="18"/>
        </w:rPr>
        <w:t xml:space="preserve"> Nationally Affiliated Non-Profit Agency (NPA) is a combination of Boys and Girls Club, YMCA/YWCA, and Other Nationally Affiliated Non-Profit Agencies. The category Other is a combination of the Bureau of Indian Affairs, Health-Based Organization, Library, Museum, Park/Recreation District, Other Unit of City or County Government, Private School,  </w:t>
      </w:r>
      <w:r w:rsidRPr="004B7B2C">
        <w:rPr>
          <w:rFonts w:ascii="Times New Roman" w:eastAsia="Times New Roman" w:hAnsi="Times New Roman" w:cs="Times New Roman"/>
          <w:sz w:val="18"/>
          <w:szCs w:val="18"/>
        </w:rPr>
        <w:t>Regional/Intermediate Education Agency, and Other.</w:t>
      </w:r>
    </w:p>
    <w:p w:rsidR="00321677" w:rsidRPr="004B7B2C" w:rsidRDefault="00321677" w:rsidP="009D1B95">
      <w:pPr>
        <w:pStyle w:val="Heading3"/>
        <w:spacing w:before="480" w:line="240" w:lineRule="auto"/>
        <w:ind w:right="187"/>
      </w:pPr>
      <w:bookmarkStart w:id="35" w:name="_Toc422397358"/>
      <w:bookmarkStart w:id="36" w:name="_Toc446579715"/>
      <w:proofErr w:type="gramStart"/>
      <w:r w:rsidRPr="004B7B2C">
        <w:lastRenderedPageBreak/>
        <w:t>Table 12.</w:t>
      </w:r>
      <w:proofErr w:type="gramEnd"/>
      <w:r w:rsidRPr="004B7B2C">
        <w:t xml:space="preserve"> Percentage of Total and Regular Attendees by Center Type</w:t>
      </w:r>
      <w:bookmarkEnd w:id="35"/>
      <w:r w:rsidR="009D1B95">
        <w:t xml:space="preserve"> – All 54 States/Territories</w:t>
      </w:r>
      <w:bookmarkEnd w:id="36"/>
    </w:p>
    <w:tbl>
      <w:tblPr>
        <w:tblStyle w:val="TableGrid"/>
        <w:tblW w:w="9175" w:type="dxa"/>
        <w:tblLook w:val="04A0" w:firstRow="1" w:lastRow="0" w:firstColumn="1" w:lastColumn="0" w:noHBand="0" w:noVBand="1"/>
        <w:tblCaption w:val="Table 12. Percentage of Total and Regular Attendees by Center Type"/>
      </w:tblPr>
      <w:tblGrid>
        <w:gridCol w:w="3505"/>
        <w:gridCol w:w="2880"/>
        <w:gridCol w:w="2790"/>
      </w:tblGrid>
      <w:tr w:rsidR="00B66567" w:rsidRPr="004B7B2C" w:rsidTr="009D1B95">
        <w:trPr>
          <w:tblHeader/>
        </w:trPr>
        <w:tc>
          <w:tcPr>
            <w:tcW w:w="3505" w:type="dxa"/>
            <w:shd w:val="clear" w:color="auto" w:fill="2E74B5" w:themeFill="accent1" w:themeFillShade="BF"/>
          </w:tcPr>
          <w:p w:rsidR="00B66567" w:rsidRPr="009D1B95" w:rsidRDefault="009D1B95" w:rsidP="00255F7F">
            <w:pP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 xml:space="preserve">Center </w:t>
            </w:r>
            <w:r w:rsidR="00DC6145" w:rsidRPr="009D1B95">
              <w:rPr>
                <w:rFonts w:ascii="Times New Roman" w:hAnsi="Times New Roman" w:cs="Times New Roman"/>
                <w:b/>
                <w:bCs/>
                <w:color w:val="FFFFFF" w:themeColor="background1"/>
                <w:sz w:val="24"/>
                <w:szCs w:val="24"/>
              </w:rPr>
              <w:t>Type</w:t>
            </w:r>
          </w:p>
        </w:tc>
        <w:tc>
          <w:tcPr>
            <w:tcW w:w="2880" w:type="dxa"/>
            <w:shd w:val="clear" w:color="auto" w:fill="2E74B5" w:themeFill="accent1" w:themeFillShade="BF"/>
          </w:tcPr>
          <w:p w:rsidR="00B66567" w:rsidRPr="009D1B95" w:rsidRDefault="00B66567" w:rsidP="00255F7F">
            <w:pPr>
              <w:jc w:val="cente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Total Students</w:t>
            </w:r>
          </w:p>
        </w:tc>
        <w:tc>
          <w:tcPr>
            <w:tcW w:w="2790" w:type="dxa"/>
            <w:shd w:val="clear" w:color="auto" w:fill="2E74B5" w:themeFill="accent1" w:themeFillShade="BF"/>
          </w:tcPr>
          <w:p w:rsidR="00B66567" w:rsidRPr="009D1B95" w:rsidRDefault="00B66567" w:rsidP="00255F7F">
            <w:pPr>
              <w:jc w:val="center"/>
              <w:rPr>
                <w:rFonts w:ascii="Times New Roman" w:hAnsi="Times New Roman" w:cs="Times New Roman"/>
                <w:b/>
                <w:bCs/>
                <w:color w:val="FFFFFF" w:themeColor="background1"/>
                <w:sz w:val="24"/>
                <w:szCs w:val="24"/>
              </w:rPr>
            </w:pPr>
            <w:r w:rsidRPr="009D1B95">
              <w:rPr>
                <w:rFonts w:ascii="Times New Roman" w:hAnsi="Times New Roman" w:cs="Times New Roman"/>
                <w:b/>
                <w:bCs/>
                <w:color w:val="FFFFFF" w:themeColor="background1"/>
                <w:sz w:val="24"/>
                <w:szCs w:val="24"/>
              </w:rPr>
              <w:t>Regular Students</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CBO</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3.0</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3.5</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COU</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0.1</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0.1</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CS</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2.9</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3.0</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FBO</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0.4</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0.6</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FPC</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0.0</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0.1</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NPA</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2.0</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2.5</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Other</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0.8</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1.0</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SD</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86.0</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84.4</w:t>
            </w:r>
          </w:p>
        </w:tc>
      </w:tr>
      <w:tr w:rsidR="00B66567" w:rsidRPr="004B7B2C" w:rsidTr="008C08F2">
        <w:tc>
          <w:tcPr>
            <w:tcW w:w="3505" w:type="dxa"/>
            <w:shd w:val="clear" w:color="auto" w:fill="DCE6F1"/>
          </w:tcPr>
          <w:p w:rsidR="00B66567" w:rsidRPr="004B7B2C" w:rsidRDefault="00B66567" w:rsidP="00B66567">
            <w:pPr>
              <w:rPr>
                <w:rFonts w:ascii="Times New Roman" w:hAnsi="Times New Roman" w:cs="Times New Roman"/>
                <w:bCs/>
                <w:sz w:val="24"/>
                <w:szCs w:val="24"/>
              </w:rPr>
            </w:pPr>
            <w:r w:rsidRPr="004B7B2C">
              <w:rPr>
                <w:rFonts w:ascii="Times New Roman" w:hAnsi="Times New Roman" w:cs="Times New Roman"/>
                <w:bCs/>
                <w:sz w:val="24"/>
                <w:szCs w:val="24"/>
              </w:rPr>
              <w:t>Unknown</w:t>
            </w:r>
          </w:p>
        </w:tc>
        <w:tc>
          <w:tcPr>
            <w:tcW w:w="288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4.6</w:t>
            </w:r>
          </w:p>
        </w:tc>
        <w:tc>
          <w:tcPr>
            <w:tcW w:w="2790" w:type="dxa"/>
            <w:vAlign w:val="bottom"/>
          </w:tcPr>
          <w:p w:rsidR="00B66567" w:rsidRPr="00B66567" w:rsidRDefault="00B66567" w:rsidP="00B66567">
            <w:pPr>
              <w:jc w:val="center"/>
              <w:rPr>
                <w:rFonts w:ascii="Times New Roman" w:hAnsi="Times New Roman" w:cs="Times New Roman"/>
                <w:color w:val="000000"/>
                <w:sz w:val="24"/>
                <w:szCs w:val="24"/>
              </w:rPr>
            </w:pPr>
            <w:r w:rsidRPr="00B66567">
              <w:rPr>
                <w:rFonts w:ascii="Times New Roman" w:hAnsi="Times New Roman" w:cs="Times New Roman"/>
                <w:color w:val="000000"/>
                <w:sz w:val="24"/>
                <w:szCs w:val="24"/>
              </w:rPr>
              <w:t>4.8</w:t>
            </w:r>
          </w:p>
        </w:tc>
      </w:tr>
      <w:tr w:rsidR="00B66567" w:rsidRPr="004B7B2C" w:rsidTr="00B66567">
        <w:tc>
          <w:tcPr>
            <w:tcW w:w="3505" w:type="dxa"/>
          </w:tcPr>
          <w:p w:rsidR="00B66567" w:rsidRPr="004B7B2C" w:rsidRDefault="00B66567" w:rsidP="00255F7F">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2880" w:type="dxa"/>
          </w:tcPr>
          <w:p w:rsidR="00B66567" w:rsidRPr="004B7B2C" w:rsidRDefault="00B66567" w:rsidP="00255F7F">
            <w:pPr>
              <w:jc w:val="center"/>
              <w:rPr>
                <w:rFonts w:ascii="Times New Roman" w:hAnsi="Times New Roman" w:cs="Times New Roman"/>
                <w:b/>
                <w:bCs/>
                <w:sz w:val="24"/>
                <w:szCs w:val="24"/>
              </w:rPr>
            </w:pPr>
            <w:r w:rsidRPr="004B7B2C">
              <w:rPr>
                <w:rFonts w:ascii="Times New Roman" w:hAnsi="Times New Roman" w:cs="Times New Roman"/>
                <w:b/>
                <w:bCs/>
                <w:sz w:val="24"/>
                <w:szCs w:val="24"/>
              </w:rPr>
              <w:t>100.0</w:t>
            </w:r>
          </w:p>
        </w:tc>
        <w:tc>
          <w:tcPr>
            <w:tcW w:w="2790" w:type="dxa"/>
          </w:tcPr>
          <w:p w:rsidR="00B66567" w:rsidRPr="004B7B2C" w:rsidRDefault="00B66567" w:rsidP="00255F7F">
            <w:pPr>
              <w:jc w:val="center"/>
              <w:rPr>
                <w:rFonts w:ascii="Times New Roman" w:hAnsi="Times New Roman" w:cs="Times New Roman"/>
                <w:b/>
                <w:bCs/>
                <w:sz w:val="24"/>
                <w:szCs w:val="24"/>
              </w:rPr>
            </w:pPr>
            <w:r w:rsidRPr="004B7B2C">
              <w:rPr>
                <w:rFonts w:ascii="Times New Roman" w:hAnsi="Times New Roman" w:cs="Times New Roman"/>
                <w:b/>
                <w:bCs/>
                <w:sz w:val="24"/>
                <w:szCs w:val="24"/>
              </w:rPr>
              <w:t>100.0</w:t>
            </w:r>
          </w:p>
        </w:tc>
      </w:tr>
    </w:tbl>
    <w:p w:rsidR="00913FBC" w:rsidRPr="004B7B2C" w:rsidRDefault="00913FBC" w:rsidP="00913FBC">
      <w:pPr>
        <w:spacing w:after="0" w:line="240" w:lineRule="auto"/>
        <w:rPr>
          <w:rFonts w:ascii="Times New Roman" w:eastAsia="Times New Roman" w:hAnsi="Times New Roman" w:cs="Times New Roman"/>
          <w:color w:val="555555"/>
          <w:sz w:val="18"/>
          <w:szCs w:val="18"/>
        </w:rPr>
      </w:pPr>
      <w:r w:rsidRPr="00DA468F">
        <w:rPr>
          <w:rFonts w:ascii="Times New Roman" w:hAnsi="Times New Roman" w:cs="Times New Roman"/>
          <w:bCs/>
          <w:sz w:val="18"/>
          <w:szCs w:val="18"/>
        </w:rPr>
        <w:t>Note</w:t>
      </w:r>
      <w:r w:rsidR="00DA468F">
        <w:rPr>
          <w:rFonts w:ascii="Times New Roman" w:hAnsi="Times New Roman" w:cs="Times New Roman"/>
          <w:bCs/>
          <w:sz w:val="18"/>
          <w:szCs w:val="18"/>
        </w:rPr>
        <w:t>:</w:t>
      </w:r>
      <w:r w:rsidRPr="00DA468F">
        <w:rPr>
          <w:rFonts w:ascii="Times New Roman" w:hAnsi="Times New Roman" w:cs="Times New Roman"/>
          <w:bCs/>
          <w:sz w:val="18"/>
          <w:szCs w:val="18"/>
        </w:rPr>
        <w:t xml:space="preserve"> </w:t>
      </w:r>
      <w:r w:rsidRPr="004B7B2C">
        <w:rPr>
          <w:rFonts w:ascii="Times New Roman" w:hAnsi="Times New Roman" w:cs="Times New Roman"/>
          <w:bCs/>
          <w:sz w:val="18"/>
          <w:szCs w:val="18"/>
        </w:rPr>
        <w:t xml:space="preserve">Nationally Affiliated Non-Profit Agency (NPA) is a combination of Boys and Girls Club, YMCA/YWCA, and Other Nationally Affiliated Non-Profit Agencies. The category Other is a combination of the Bureau of Indian Affairs, Health-Based Organization, Library, Museum, Park/Recreation District, Other Unit of City or County Government, Private School,  </w:t>
      </w:r>
      <w:r w:rsidRPr="004B7B2C">
        <w:rPr>
          <w:rFonts w:ascii="Times New Roman" w:eastAsia="Times New Roman" w:hAnsi="Times New Roman" w:cs="Times New Roman"/>
          <w:sz w:val="18"/>
          <w:szCs w:val="18"/>
        </w:rPr>
        <w:t>Regional/Intermediate Education Agency, and Other.</w:t>
      </w:r>
    </w:p>
    <w:p w:rsidR="004655A5" w:rsidRDefault="004655A5" w:rsidP="00E522B6">
      <w:pPr>
        <w:spacing w:after="0" w:line="240" w:lineRule="auto"/>
        <w:rPr>
          <w:rFonts w:ascii="Times New Roman" w:hAnsi="Times New Roman" w:cs="Times New Roman"/>
          <w:b/>
          <w:bCs/>
          <w:sz w:val="24"/>
          <w:szCs w:val="24"/>
        </w:rPr>
      </w:pPr>
    </w:p>
    <w:p w:rsidR="008A31AF" w:rsidRPr="004B7B2C" w:rsidRDefault="00207DA6" w:rsidP="00300509">
      <w:pPr>
        <w:pStyle w:val="Heading2"/>
      </w:pPr>
      <w:bookmarkStart w:id="37" w:name="_Toc446579716"/>
      <w:r w:rsidRPr="004B7B2C">
        <w:t xml:space="preserve">D.  </w:t>
      </w:r>
      <w:r w:rsidR="00F24003" w:rsidRPr="004B7B2C">
        <w:t>Activity</w:t>
      </w:r>
      <w:r w:rsidRPr="004B7B2C">
        <w:t xml:space="preserve"> Participation</w:t>
      </w:r>
      <w:bookmarkEnd w:id="37"/>
    </w:p>
    <w:p w:rsidR="00997603" w:rsidRPr="004B7B2C" w:rsidRDefault="00A15FB6" w:rsidP="009D1B95">
      <w:pPr>
        <w:spacing w:after="480"/>
        <w:rPr>
          <w:rFonts w:ascii="Times New Roman" w:hAnsi="Times New Roman" w:cs="Times New Roman"/>
          <w:bCs/>
          <w:sz w:val="24"/>
          <w:szCs w:val="24"/>
        </w:rPr>
      </w:pPr>
      <w:r w:rsidRPr="004B7B2C">
        <w:rPr>
          <w:rFonts w:ascii="Times New Roman" w:hAnsi="Times New Roman" w:cs="Times New Roman"/>
          <w:bCs/>
          <w:sz w:val="24"/>
          <w:szCs w:val="24"/>
        </w:rPr>
        <w:t xml:space="preserve">Program sites offered various activities for attendees.  Tables 13 and 14 display the results of the amount of hours per week each of the activities were provided.  </w:t>
      </w:r>
      <w:r w:rsidR="00CC2D29" w:rsidRPr="004B7B2C">
        <w:rPr>
          <w:rFonts w:ascii="Times New Roman" w:hAnsi="Times New Roman" w:cs="Times New Roman"/>
          <w:bCs/>
          <w:sz w:val="24"/>
          <w:szCs w:val="24"/>
        </w:rPr>
        <w:t xml:space="preserve">The majority of hours were held providing </w:t>
      </w:r>
      <w:r w:rsidR="00B9517F" w:rsidRPr="004B7B2C">
        <w:rPr>
          <w:rFonts w:ascii="Times New Roman" w:hAnsi="Times New Roman" w:cs="Times New Roman"/>
          <w:bCs/>
          <w:sz w:val="24"/>
          <w:szCs w:val="24"/>
        </w:rPr>
        <w:t xml:space="preserve">activities centered on </w:t>
      </w:r>
      <w:r w:rsidR="00CC2D29" w:rsidRPr="004B7B2C">
        <w:rPr>
          <w:rFonts w:ascii="Times New Roman" w:hAnsi="Times New Roman" w:cs="Times New Roman"/>
          <w:bCs/>
          <w:sz w:val="24"/>
          <w:szCs w:val="24"/>
        </w:rPr>
        <w:t xml:space="preserve">academic enrichment </w:t>
      </w:r>
      <w:r w:rsidR="00B9517F" w:rsidRPr="004B7B2C">
        <w:rPr>
          <w:rFonts w:ascii="Times New Roman" w:hAnsi="Times New Roman" w:cs="Times New Roman"/>
          <w:bCs/>
          <w:sz w:val="24"/>
          <w:szCs w:val="24"/>
        </w:rPr>
        <w:t xml:space="preserve">learning programs </w:t>
      </w:r>
      <w:r w:rsidR="00070C96" w:rsidRPr="004B7B2C">
        <w:rPr>
          <w:rFonts w:ascii="Times New Roman" w:hAnsi="Times New Roman" w:cs="Times New Roman"/>
          <w:bCs/>
          <w:sz w:val="24"/>
          <w:szCs w:val="24"/>
        </w:rPr>
        <w:t xml:space="preserve">(24,239 hours/week total) </w:t>
      </w:r>
      <w:r w:rsidR="00CC2D29" w:rsidRPr="004B7B2C">
        <w:rPr>
          <w:rFonts w:ascii="Times New Roman" w:hAnsi="Times New Roman" w:cs="Times New Roman"/>
          <w:bCs/>
          <w:sz w:val="24"/>
          <w:szCs w:val="24"/>
        </w:rPr>
        <w:t>and assisting students who were not perfo</w:t>
      </w:r>
      <w:r w:rsidR="00B9517F" w:rsidRPr="004B7B2C">
        <w:rPr>
          <w:rFonts w:ascii="Times New Roman" w:hAnsi="Times New Roman" w:cs="Times New Roman"/>
          <w:bCs/>
          <w:sz w:val="24"/>
          <w:szCs w:val="24"/>
        </w:rPr>
        <w:t>rming academically</w:t>
      </w:r>
      <w:r w:rsidR="00070C96" w:rsidRPr="004B7B2C">
        <w:rPr>
          <w:rFonts w:ascii="Times New Roman" w:hAnsi="Times New Roman" w:cs="Times New Roman"/>
          <w:bCs/>
          <w:sz w:val="24"/>
          <w:szCs w:val="24"/>
        </w:rPr>
        <w:t xml:space="preserve"> (23,486 hours/week total).</w:t>
      </w:r>
      <w:r w:rsidR="00CC2D29" w:rsidRPr="004B7B2C">
        <w:rPr>
          <w:rFonts w:ascii="Times New Roman" w:hAnsi="Times New Roman" w:cs="Times New Roman"/>
          <w:bCs/>
          <w:sz w:val="24"/>
          <w:szCs w:val="24"/>
        </w:rPr>
        <w:t xml:space="preserve"> </w:t>
      </w:r>
    </w:p>
    <w:p w:rsidR="00F24003" w:rsidRPr="004B7B2C" w:rsidRDefault="00997603" w:rsidP="009D1B95">
      <w:pPr>
        <w:pStyle w:val="Heading3"/>
        <w:spacing w:before="480"/>
        <w:ind w:right="1627"/>
      </w:pPr>
      <w:bookmarkStart w:id="38" w:name="_Toc422397359"/>
      <w:bookmarkStart w:id="39" w:name="_Toc446579717"/>
      <w:proofErr w:type="gramStart"/>
      <w:r w:rsidRPr="004B7B2C">
        <w:t>Table</w:t>
      </w:r>
      <w:r w:rsidR="00DE6B39" w:rsidRPr="004B7B2C">
        <w:t xml:space="preserve"> 13</w:t>
      </w:r>
      <w:r w:rsidR="00791071" w:rsidRPr="004B7B2C">
        <w:t>.</w:t>
      </w:r>
      <w:proofErr w:type="gramEnd"/>
      <w:r w:rsidR="00791071" w:rsidRPr="004B7B2C">
        <w:t xml:space="preserve"> Hours per Week of E</w:t>
      </w:r>
      <w:r w:rsidRPr="004B7B2C">
        <w:t>ach Activity Offered</w:t>
      </w:r>
      <w:bookmarkEnd w:id="38"/>
      <w:bookmarkEnd w:id="39"/>
    </w:p>
    <w:tbl>
      <w:tblPr>
        <w:tblStyle w:val="TableGrid"/>
        <w:tblW w:w="7735" w:type="dxa"/>
        <w:tblLook w:val="04A0" w:firstRow="1" w:lastRow="0" w:firstColumn="1" w:lastColumn="0" w:noHBand="0" w:noVBand="1"/>
        <w:tblCaption w:val="Table 13. Hours per Week of Each Activity Offered"/>
      </w:tblPr>
      <w:tblGrid>
        <w:gridCol w:w="3325"/>
        <w:gridCol w:w="4410"/>
      </w:tblGrid>
      <w:tr w:rsidR="00ED49A8" w:rsidRPr="004B7B2C" w:rsidTr="004B4E89">
        <w:trPr>
          <w:tblHeader/>
        </w:trPr>
        <w:tc>
          <w:tcPr>
            <w:tcW w:w="3325" w:type="dxa"/>
            <w:shd w:val="clear" w:color="auto" w:fill="4375B1"/>
          </w:tcPr>
          <w:p w:rsidR="00ED49A8" w:rsidRPr="004B7B2C" w:rsidRDefault="00ED49A8" w:rsidP="00F00C2B">
            <w:pPr>
              <w:rPr>
                <w:rFonts w:ascii="Times New Roman" w:hAnsi="Times New Roman" w:cs="Times New Roman"/>
                <w:b/>
                <w:bCs/>
                <w:color w:val="FFFFFF" w:themeColor="background1"/>
                <w:sz w:val="24"/>
                <w:szCs w:val="24"/>
              </w:rPr>
            </w:pPr>
            <w:r w:rsidRPr="004B7B2C">
              <w:rPr>
                <w:rFonts w:ascii="Times New Roman" w:hAnsi="Times New Roman" w:cs="Times New Roman"/>
                <w:b/>
                <w:bCs/>
                <w:color w:val="FFFFFF" w:themeColor="background1"/>
                <w:sz w:val="24"/>
                <w:szCs w:val="24"/>
              </w:rPr>
              <w:t>Activ</w:t>
            </w:r>
            <w:r w:rsidR="008B49CA">
              <w:rPr>
                <w:rFonts w:ascii="Times New Roman" w:hAnsi="Times New Roman" w:cs="Times New Roman"/>
                <w:b/>
                <w:bCs/>
                <w:color w:val="FFFFFF" w:themeColor="background1"/>
                <w:sz w:val="24"/>
                <w:szCs w:val="24"/>
              </w:rPr>
              <w:t xml:space="preserve">ity </w:t>
            </w:r>
          </w:p>
        </w:tc>
        <w:tc>
          <w:tcPr>
            <w:tcW w:w="4410" w:type="dxa"/>
            <w:shd w:val="clear" w:color="auto" w:fill="4375B1"/>
          </w:tcPr>
          <w:p w:rsidR="00ED49A8" w:rsidRPr="004B7B2C" w:rsidRDefault="00ED49A8" w:rsidP="008B49CA">
            <w:pPr>
              <w:rPr>
                <w:rFonts w:ascii="Times New Roman" w:hAnsi="Times New Roman" w:cs="Times New Roman"/>
                <w:b/>
                <w:bCs/>
                <w:color w:val="FFFFFF" w:themeColor="background1"/>
                <w:sz w:val="24"/>
                <w:szCs w:val="24"/>
              </w:rPr>
            </w:pPr>
            <w:r w:rsidRPr="004B7B2C">
              <w:rPr>
                <w:rFonts w:ascii="Times New Roman" w:hAnsi="Times New Roman" w:cs="Times New Roman"/>
                <w:b/>
                <w:bCs/>
                <w:color w:val="FFFFFF" w:themeColor="background1"/>
                <w:sz w:val="24"/>
                <w:szCs w:val="24"/>
              </w:rPr>
              <w:t>Total</w:t>
            </w:r>
            <w:r>
              <w:rPr>
                <w:rFonts w:ascii="Times New Roman" w:hAnsi="Times New Roman" w:cs="Times New Roman"/>
                <w:b/>
                <w:bCs/>
                <w:color w:val="FFFFFF" w:themeColor="background1"/>
                <w:sz w:val="24"/>
                <w:szCs w:val="24"/>
              </w:rPr>
              <w:t xml:space="preserve"> </w:t>
            </w:r>
            <w:r w:rsidRPr="004B7B2C">
              <w:rPr>
                <w:rFonts w:ascii="Times New Roman" w:hAnsi="Times New Roman" w:cs="Times New Roman"/>
                <w:b/>
                <w:bCs/>
                <w:color w:val="FFFFFF" w:themeColor="background1"/>
                <w:sz w:val="24"/>
                <w:szCs w:val="24"/>
              </w:rPr>
              <w:t>Hours</w:t>
            </w:r>
            <w:r>
              <w:rPr>
                <w:rFonts w:ascii="Times New Roman" w:hAnsi="Times New Roman" w:cs="Times New Roman"/>
                <w:b/>
                <w:bCs/>
                <w:color w:val="FFFFFF" w:themeColor="background1"/>
                <w:sz w:val="24"/>
                <w:szCs w:val="24"/>
              </w:rPr>
              <w:t xml:space="preserve"> per </w:t>
            </w:r>
            <w:r w:rsidRPr="004B7B2C">
              <w:rPr>
                <w:rFonts w:ascii="Times New Roman" w:hAnsi="Times New Roman" w:cs="Times New Roman"/>
                <w:b/>
                <w:bCs/>
                <w:color w:val="FFFFFF" w:themeColor="background1"/>
                <w:sz w:val="24"/>
                <w:szCs w:val="24"/>
              </w:rPr>
              <w:t>Week</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Community</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4,925</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Counseling</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4,215</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Drug</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108</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Enrichment</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24,239</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Homework Help</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15,023</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Leadership</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6,409</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Library</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3,973</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Mentoring</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5,770</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Recreational</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16,341</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Supplemental</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3,213</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Tutoring</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11,533</w:t>
            </w:r>
          </w:p>
        </w:tc>
      </w:tr>
      <w:tr w:rsidR="00ED49A8" w:rsidRPr="004B7B2C" w:rsidTr="00ED49A8">
        <w:tc>
          <w:tcPr>
            <w:tcW w:w="3325" w:type="dxa"/>
            <w:shd w:val="clear" w:color="auto" w:fill="DCE6F1"/>
          </w:tcPr>
          <w:p w:rsidR="00ED49A8" w:rsidRPr="003C3E48" w:rsidRDefault="00ED49A8" w:rsidP="001B7C7B">
            <w:pPr>
              <w:rPr>
                <w:rFonts w:ascii="Times New Roman" w:hAnsi="Times New Roman" w:cs="Times New Roman"/>
                <w:bCs/>
                <w:sz w:val="24"/>
                <w:szCs w:val="24"/>
              </w:rPr>
            </w:pPr>
            <w:r w:rsidRPr="003C3E48">
              <w:rPr>
                <w:rFonts w:ascii="Times New Roman" w:hAnsi="Times New Roman" w:cs="Times New Roman"/>
                <w:bCs/>
                <w:sz w:val="24"/>
                <w:szCs w:val="24"/>
              </w:rPr>
              <w:t>Other</w:t>
            </w:r>
          </w:p>
        </w:tc>
        <w:tc>
          <w:tcPr>
            <w:tcW w:w="4410" w:type="dxa"/>
            <w:vAlign w:val="bottom"/>
          </w:tcPr>
          <w:p w:rsidR="00ED49A8" w:rsidRPr="004B7B2C" w:rsidRDefault="00ED49A8"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2,046</w:t>
            </w:r>
          </w:p>
        </w:tc>
      </w:tr>
    </w:tbl>
    <w:p w:rsidR="00997603" w:rsidRPr="004B7B2C" w:rsidRDefault="00997603" w:rsidP="00865BDE">
      <w:pPr>
        <w:pStyle w:val="Heading3"/>
        <w:spacing w:before="480"/>
        <w:ind w:right="1627"/>
      </w:pPr>
      <w:bookmarkStart w:id="40" w:name="_Toc422397360"/>
      <w:bookmarkStart w:id="41" w:name="_Toc446579718"/>
      <w:proofErr w:type="gramStart"/>
      <w:r w:rsidRPr="004B7B2C">
        <w:t>Ta</w:t>
      </w:r>
      <w:r w:rsidR="00CC2D29" w:rsidRPr="004B7B2C">
        <w:t>ble 14</w:t>
      </w:r>
      <w:r w:rsidR="00791071" w:rsidRPr="004B7B2C">
        <w:t>.</w:t>
      </w:r>
      <w:proofErr w:type="gramEnd"/>
      <w:r w:rsidR="00791071" w:rsidRPr="004B7B2C">
        <w:t xml:space="preserve"> Hours per Week of E</w:t>
      </w:r>
      <w:r w:rsidRPr="004B7B2C">
        <w:t>ach Academic Activity Offered</w:t>
      </w:r>
      <w:bookmarkEnd w:id="40"/>
      <w:bookmarkEnd w:id="41"/>
    </w:p>
    <w:tbl>
      <w:tblPr>
        <w:tblStyle w:val="TableGrid"/>
        <w:tblW w:w="7735" w:type="dxa"/>
        <w:tblLook w:val="04A0" w:firstRow="1" w:lastRow="0" w:firstColumn="1" w:lastColumn="0" w:noHBand="0" w:noVBand="1"/>
        <w:tblCaption w:val="Table 14. Hours per Week of Each Academic Activity Offered"/>
      </w:tblPr>
      <w:tblGrid>
        <w:gridCol w:w="3325"/>
        <w:gridCol w:w="4410"/>
      </w:tblGrid>
      <w:tr w:rsidR="00E734AF" w:rsidRPr="004B7B2C" w:rsidTr="004B4E89">
        <w:trPr>
          <w:tblHeader/>
        </w:trPr>
        <w:tc>
          <w:tcPr>
            <w:tcW w:w="3325" w:type="dxa"/>
            <w:shd w:val="clear" w:color="auto" w:fill="4375B1"/>
          </w:tcPr>
          <w:p w:rsidR="00E734AF" w:rsidRPr="004B7B2C" w:rsidRDefault="00BA66E3" w:rsidP="00891740">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Academic Activity </w:t>
            </w:r>
          </w:p>
        </w:tc>
        <w:tc>
          <w:tcPr>
            <w:tcW w:w="4410" w:type="dxa"/>
            <w:shd w:val="clear" w:color="auto" w:fill="4375B1"/>
          </w:tcPr>
          <w:p w:rsidR="00E734AF" w:rsidRPr="004B7B2C" w:rsidRDefault="00E734AF" w:rsidP="00BA66E3">
            <w:pPr>
              <w:rPr>
                <w:rFonts w:ascii="Times New Roman" w:hAnsi="Times New Roman" w:cs="Times New Roman"/>
                <w:b/>
                <w:bCs/>
                <w:color w:val="FFFFFF" w:themeColor="background1"/>
                <w:sz w:val="24"/>
                <w:szCs w:val="24"/>
              </w:rPr>
            </w:pPr>
            <w:r w:rsidRPr="004B7B2C">
              <w:rPr>
                <w:rFonts w:ascii="Times New Roman" w:hAnsi="Times New Roman" w:cs="Times New Roman"/>
                <w:b/>
                <w:bCs/>
                <w:color w:val="FFFFFF" w:themeColor="background1"/>
                <w:sz w:val="24"/>
                <w:szCs w:val="24"/>
              </w:rPr>
              <w:t>Total</w:t>
            </w:r>
            <w:r>
              <w:rPr>
                <w:rFonts w:ascii="Times New Roman" w:hAnsi="Times New Roman" w:cs="Times New Roman"/>
                <w:b/>
                <w:bCs/>
                <w:color w:val="FFFFFF" w:themeColor="background1"/>
                <w:sz w:val="24"/>
                <w:szCs w:val="24"/>
              </w:rPr>
              <w:t xml:space="preserve"> </w:t>
            </w:r>
            <w:r w:rsidRPr="004B7B2C">
              <w:rPr>
                <w:rFonts w:ascii="Times New Roman" w:hAnsi="Times New Roman" w:cs="Times New Roman"/>
                <w:b/>
                <w:bCs/>
                <w:color w:val="FFFFFF" w:themeColor="background1"/>
                <w:sz w:val="24"/>
                <w:szCs w:val="24"/>
              </w:rPr>
              <w:t>Hours</w:t>
            </w:r>
            <w:r>
              <w:rPr>
                <w:rFonts w:ascii="Times New Roman" w:hAnsi="Times New Roman" w:cs="Times New Roman"/>
                <w:b/>
                <w:bCs/>
                <w:color w:val="FFFFFF" w:themeColor="background1"/>
                <w:sz w:val="24"/>
                <w:szCs w:val="24"/>
              </w:rPr>
              <w:t xml:space="preserve"> per </w:t>
            </w:r>
            <w:r w:rsidRPr="004B7B2C">
              <w:rPr>
                <w:rFonts w:ascii="Times New Roman" w:hAnsi="Times New Roman" w:cs="Times New Roman"/>
                <w:b/>
                <w:bCs/>
                <w:color w:val="FFFFFF" w:themeColor="background1"/>
                <w:sz w:val="24"/>
                <w:szCs w:val="24"/>
              </w:rPr>
              <w:t>Week</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Arts</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13,950</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lastRenderedPageBreak/>
              <w:t>Business</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4,032</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Career Adult</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1,013</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Career Youth</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3,406</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Cultural</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10,521</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Family Literacy</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3,354</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Health</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12,854</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LEP</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12,693</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Mathematics</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18,692</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Not Performing</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23,486</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Other Subjects</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3,070</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Parental Involvement</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4,797</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Reading</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19,901</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Science</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14,417</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Special Needs</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12,394</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Substance Abuse</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2,154</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Technology</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10,964</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Truancy</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6,686</w:t>
            </w:r>
          </w:p>
        </w:tc>
      </w:tr>
      <w:tr w:rsidR="00E734AF" w:rsidRPr="004B7B2C" w:rsidTr="00E734AF">
        <w:tc>
          <w:tcPr>
            <w:tcW w:w="3325" w:type="dxa"/>
            <w:shd w:val="clear" w:color="auto" w:fill="DCE6F1"/>
          </w:tcPr>
          <w:p w:rsidR="00E734AF" w:rsidRPr="003C3E48" w:rsidRDefault="00E734AF" w:rsidP="001B7C7B">
            <w:pPr>
              <w:rPr>
                <w:rFonts w:ascii="Times New Roman" w:hAnsi="Times New Roman" w:cs="Times New Roman"/>
                <w:bCs/>
                <w:sz w:val="24"/>
                <w:szCs w:val="24"/>
              </w:rPr>
            </w:pPr>
            <w:r w:rsidRPr="003C3E48">
              <w:rPr>
                <w:rFonts w:ascii="Times New Roman" w:hAnsi="Times New Roman" w:cs="Times New Roman"/>
                <w:bCs/>
                <w:sz w:val="24"/>
                <w:szCs w:val="24"/>
              </w:rPr>
              <w:t>Violence</w:t>
            </w:r>
          </w:p>
        </w:tc>
        <w:tc>
          <w:tcPr>
            <w:tcW w:w="4410" w:type="dxa"/>
            <w:vAlign w:val="bottom"/>
          </w:tcPr>
          <w:p w:rsidR="00E734AF" w:rsidRPr="004B7B2C" w:rsidRDefault="00E734AF" w:rsidP="001B7C7B">
            <w:pPr>
              <w:jc w:val="center"/>
              <w:rPr>
                <w:rFonts w:ascii="Times New Roman" w:hAnsi="Times New Roman" w:cs="Times New Roman"/>
                <w:color w:val="000000"/>
                <w:sz w:val="24"/>
                <w:szCs w:val="24"/>
              </w:rPr>
            </w:pPr>
            <w:r w:rsidRPr="004B7B2C">
              <w:rPr>
                <w:rFonts w:ascii="Times New Roman" w:hAnsi="Times New Roman" w:cs="Times New Roman"/>
                <w:color w:val="000000"/>
                <w:sz w:val="24"/>
                <w:szCs w:val="24"/>
              </w:rPr>
              <w:t>2,131</w:t>
            </w:r>
          </w:p>
        </w:tc>
      </w:tr>
    </w:tbl>
    <w:p w:rsidR="000010C1" w:rsidRPr="004B7B2C" w:rsidRDefault="00207DA6" w:rsidP="00865BDE">
      <w:pPr>
        <w:pStyle w:val="Heading2"/>
        <w:spacing w:before="480" w:after="240"/>
      </w:pPr>
      <w:bookmarkStart w:id="42" w:name="_Toc446579719"/>
      <w:r w:rsidRPr="004B7B2C">
        <w:t>E</w:t>
      </w:r>
      <w:r w:rsidR="00EF3319" w:rsidRPr="004B7B2C">
        <w:t>. Staffing</w:t>
      </w:r>
      <w:r w:rsidR="001428F9" w:rsidRPr="004B7B2C">
        <w:t xml:space="preserve"> Type</w:t>
      </w:r>
      <w:bookmarkEnd w:id="42"/>
    </w:p>
    <w:p w:rsidR="008B51B4" w:rsidRPr="004B7B2C" w:rsidRDefault="00792D3D" w:rsidP="004D35C2">
      <w:pPr>
        <w:rPr>
          <w:rFonts w:ascii="Times New Roman" w:hAnsi="Times New Roman" w:cs="Times New Roman"/>
          <w:bCs/>
          <w:sz w:val="24"/>
          <w:szCs w:val="24"/>
        </w:rPr>
      </w:pPr>
      <w:r w:rsidRPr="004B7B2C">
        <w:rPr>
          <w:rFonts w:ascii="Times New Roman" w:hAnsi="Times New Roman" w:cs="Times New Roman"/>
          <w:bCs/>
          <w:sz w:val="24"/>
          <w:szCs w:val="24"/>
        </w:rPr>
        <w:t xml:space="preserve">Participating centers employ paid and volunteer staff to assist with </w:t>
      </w:r>
      <w:r w:rsidR="0051643D">
        <w:rPr>
          <w:rFonts w:ascii="Times New Roman" w:hAnsi="Times New Roman" w:cs="Times New Roman"/>
          <w:bCs/>
          <w:sz w:val="24"/>
          <w:szCs w:val="24"/>
        </w:rPr>
        <w:t>programming</w:t>
      </w:r>
      <w:r w:rsidRPr="004B7B2C">
        <w:rPr>
          <w:rFonts w:ascii="Times New Roman" w:hAnsi="Times New Roman" w:cs="Times New Roman"/>
          <w:bCs/>
          <w:sz w:val="24"/>
          <w:szCs w:val="24"/>
        </w:rPr>
        <w:t xml:space="preserve">.  </w:t>
      </w:r>
      <w:r w:rsidR="00305E39" w:rsidRPr="004B7B2C">
        <w:rPr>
          <w:rFonts w:ascii="Times New Roman" w:hAnsi="Times New Roman" w:cs="Times New Roman"/>
          <w:bCs/>
          <w:sz w:val="24"/>
          <w:szCs w:val="24"/>
        </w:rPr>
        <w:t xml:space="preserve">There were a reported 116,845 paid staff and 31,054 volunteer staff.  </w:t>
      </w:r>
      <w:r w:rsidRPr="004B7B2C">
        <w:rPr>
          <w:rFonts w:ascii="Times New Roman" w:hAnsi="Times New Roman" w:cs="Times New Roman"/>
          <w:bCs/>
          <w:sz w:val="24"/>
          <w:szCs w:val="24"/>
        </w:rPr>
        <w:t xml:space="preserve">Table 15 </w:t>
      </w:r>
      <w:r w:rsidR="008B5137" w:rsidRPr="004B7B2C">
        <w:rPr>
          <w:rFonts w:ascii="Times New Roman" w:hAnsi="Times New Roman" w:cs="Times New Roman"/>
          <w:bCs/>
          <w:sz w:val="24"/>
          <w:szCs w:val="24"/>
        </w:rPr>
        <w:t>provide</w:t>
      </w:r>
      <w:r w:rsidR="00A55B38">
        <w:rPr>
          <w:rFonts w:ascii="Times New Roman" w:hAnsi="Times New Roman" w:cs="Times New Roman"/>
          <w:bCs/>
          <w:sz w:val="24"/>
          <w:szCs w:val="24"/>
        </w:rPr>
        <w:t>s</w:t>
      </w:r>
      <w:r w:rsidR="008B5137" w:rsidRPr="004B7B2C">
        <w:rPr>
          <w:rFonts w:ascii="Times New Roman" w:hAnsi="Times New Roman" w:cs="Times New Roman"/>
          <w:bCs/>
          <w:sz w:val="24"/>
          <w:szCs w:val="24"/>
        </w:rPr>
        <w:t xml:space="preserve"> the amount of paid and volunteer staff broken down by type </w:t>
      </w:r>
      <w:r w:rsidR="00E734AF">
        <w:rPr>
          <w:rFonts w:ascii="Times New Roman" w:hAnsi="Times New Roman" w:cs="Times New Roman"/>
          <w:bCs/>
          <w:sz w:val="24"/>
          <w:szCs w:val="24"/>
        </w:rPr>
        <w:t>for all 54 states and territories</w:t>
      </w:r>
      <w:r w:rsidR="008B5137" w:rsidRPr="004B7B2C">
        <w:rPr>
          <w:rFonts w:ascii="Times New Roman" w:hAnsi="Times New Roman" w:cs="Times New Roman"/>
          <w:bCs/>
          <w:sz w:val="24"/>
          <w:szCs w:val="24"/>
        </w:rPr>
        <w:t>.  Among the paid staff, the majority were school day teachers (49.6%, n = 57,932) followed by other non-teaching school staff (</w:t>
      </w:r>
      <w:r w:rsidR="001931C8">
        <w:rPr>
          <w:rFonts w:ascii="Times New Roman" w:hAnsi="Times New Roman" w:cs="Times New Roman"/>
          <w:bCs/>
          <w:sz w:val="24"/>
          <w:szCs w:val="24"/>
        </w:rPr>
        <w:t>14.7</w:t>
      </w:r>
      <w:r w:rsidR="008B5137" w:rsidRPr="004B7B2C">
        <w:rPr>
          <w:rFonts w:ascii="Times New Roman" w:hAnsi="Times New Roman" w:cs="Times New Roman"/>
          <w:bCs/>
          <w:sz w:val="24"/>
          <w:szCs w:val="24"/>
        </w:rPr>
        <w:t>%, n = 17,213).</w:t>
      </w:r>
      <w:r w:rsidR="000B4219" w:rsidRPr="004B7B2C">
        <w:rPr>
          <w:rFonts w:ascii="Times New Roman" w:hAnsi="Times New Roman" w:cs="Times New Roman"/>
          <w:bCs/>
          <w:sz w:val="24"/>
          <w:szCs w:val="24"/>
        </w:rPr>
        <w:t xml:space="preserve">  College students served as the majority of volunteers (26.3%, n = 8,153) </w:t>
      </w:r>
      <w:r w:rsidR="003C6235" w:rsidRPr="004B7B2C">
        <w:rPr>
          <w:rFonts w:ascii="Times New Roman" w:hAnsi="Times New Roman" w:cs="Times New Roman"/>
          <w:bCs/>
          <w:sz w:val="24"/>
          <w:szCs w:val="24"/>
        </w:rPr>
        <w:t>used by the centers followed by members of the community (20.6%, n = 6,401).</w:t>
      </w:r>
    </w:p>
    <w:p w:rsidR="00805DFC" w:rsidRPr="004B7B2C" w:rsidRDefault="001934DD" w:rsidP="00865BDE">
      <w:pPr>
        <w:pStyle w:val="Heading3"/>
        <w:spacing w:before="480"/>
        <w:ind w:right="-187"/>
        <w:rPr>
          <w:bCs/>
        </w:rPr>
      </w:pPr>
      <w:bookmarkStart w:id="43" w:name="_Toc422397361"/>
      <w:bookmarkStart w:id="44" w:name="_Toc446579720"/>
      <w:proofErr w:type="gramStart"/>
      <w:r w:rsidRPr="004B7B2C">
        <w:rPr>
          <w:bCs/>
        </w:rPr>
        <w:t>Table 15</w:t>
      </w:r>
      <w:r w:rsidR="00805DFC" w:rsidRPr="004B7B2C">
        <w:rPr>
          <w:bCs/>
        </w:rPr>
        <w:t>.</w:t>
      </w:r>
      <w:proofErr w:type="gramEnd"/>
      <w:r w:rsidR="00805DFC" w:rsidRPr="004B7B2C">
        <w:rPr>
          <w:bCs/>
        </w:rPr>
        <w:t xml:space="preserve"> </w:t>
      </w:r>
      <w:r w:rsidR="00805DFC" w:rsidRPr="004B7B2C">
        <w:t xml:space="preserve">Staffing Type </w:t>
      </w:r>
      <w:bookmarkEnd w:id="43"/>
      <w:r w:rsidR="009750C8">
        <w:t>per</w:t>
      </w:r>
      <w:r w:rsidR="002C30E3">
        <w:t xml:space="preserve"> Paid and Volunteer Staff</w:t>
      </w:r>
      <w:bookmarkEnd w:id="44"/>
    </w:p>
    <w:tbl>
      <w:tblPr>
        <w:tblStyle w:val="TableGrid"/>
        <w:tblW w:w="9535" w:type="dxa"/>
        <w:tblLook w:val="04A0" w:firstRow="1" w:lastRow="0" w:firstColumn="1" w:lastColumn="0" w:noHBand="0" w:noVBand="1"/>
        <w:tblCaption w:val="Table 15. Staffing Type per Paid and Volunteer Staff"/>
      </w:tblPr>
      <w:tblGrid>
        <w:gridCol w:w="3888"/>
        <w:gridCol w:w="1440"/>
        <w:gridCol w:w="1530"/>
        <w:gridCol w:w="1350"/>
        <w:gridCol w:w="1327"/>
      </w:tblGrid>
      <w:tr w:rsidR="00134C16" w:rsidRPr="004B7B2C" w:rsidTr="00FA3D12">
        <w:tc>
          <w:tcPr>
            <w:tcW w:w="3888" w:type="dxa"/>
            <w:shd w:val="clear" w:color="auto" w:fill="2E74B5" w:themeFill="accent1" w:themeFillShade="BF"/>
          </w:tcPr>
          <w:p w:rsidR="00805DFC" w:rsidRPr="00FA3D12" w:rsidRDefault="00463A5F" w:rsidP="00255F7F">
            <w:pPr>
              <w:rPr>
                <w:rFonts w:ascii="Times New Roman" w:hAnsi="Times New Roman" w:cs="Times New Roman"/>
                <w:b/>
                <w:bCs/>
                <w:color w:val="FFFFFF" w:themeColor="background1"/>
                <w:sz w:val="24"/>
                <w:szCs w:val="24"/>
              </w:rPr>
            </w:pPr>
            <w:r w:rsidRPr="00FA3D12">
              <w:rPr>
                <w:rFonts w:ascii="Times New Roman" w:hAnsi="Times New Roman" w:cs="Times New Roman"/>
                <w:b/>
                <w:bCs/>
                <w:color w:val="FFFFFF" w:themeColor="background1"/>
                <w:sz w:val="24"/>
                <w:szCs w:val="24"/>
              </w:rPr>
              <w:t xml:space="preserve">Staffing </w:t>
            </w:r>
            <w:r w:rsidR="00DC6145" w:rsidRPr="00FA3D12">
              <w:rPr>
                <w:rFonts w:ascii="Times New Roman" w:hAnsi="Times New Roman" w:cs="Times New Roman"/>
                <w:b/>
                <w:bCs/>
                <w:color w:val="FFFFFF" w:themeColor="background1"/>
                <w:sz w:val="24"/>
                <w:szCs w:val="24"/>
              </w:rPr>
              <w:t>Type</w:t>
            </w:r>
          </w:p>
        </w:tc>
        <w:tc>
          <w:tcPr>
            <w:tcW w:w="1440" w:type="dxa"/>
            <w:shd w:val="clear" w:color="auto" w:fill="2E74B5" w:themeFill="accent1" w:themeFillShade="BF"/>
          </w:tcPr>
          <w:p w:rsidR="00805DFC" w:rsidRPr="00FA3D12" w:rsidRDefault="00463A5F" w:rsidP="00255F7F">
            <w:pPr>
              <w:jc w:val="center"/>
              <w:rPr>
                <w:rFonts w:ascii="Times New Roman" w:hAnsi="Times New Roman" w:cs="Times New Roman"/>
                <w:b/>
                <w:bCs/>
                <w:color w:val="FFFFFF" w:themeColor="background1"/>
                <w:sz w:val="24"/>
                <w:szCs w:val="24"/>
              </w:rPr>
            </w:pPr>
            <w:r w:rsidRPr="00FA3D12">
              <w:rPr>
                <w:rFonts w:ascii="Times New Roman" w:hAnsi="Times New Roman" w:cs="Times New Roman"/>
                <w:b/>
                <w:bCs/>
                <w:color w:val="FFFFFF" w:themeColor="background1"/>
                <w:sz w:val="24"/>
                <w:szCs w:val="24"/>
              </w:rPr>
              <w:t>Paid Staff (</w:t>
            </w:r>
            <w:r w:rsidR="00805DFC" w:rsidRPr="00FA3D12">
              <w:rPr>
                <w:rFonts w:ascii="Times New Roman" w:hAnsi="Times New Roman" w:cs="Times New Roman"/>
                <w:b/>
                <w:bCs/>
                <w:color w:val="FFFFFF" w:themeColor="background1"/>
                <w:sz w:val="24"/>
                <w:szCs w:val="24"/>
              </w:rPr>
              <w:t>N</w:t>
            </w:r>
            <w:r w:rsidRPr="00FA3D12">
              <w:rPr>
                <w:rFonts w:ascii="Times New Roman" w:hAnsi="Times New Roman" w:cs="Times New Roman"/>
                <w:b/>
                <w:bCs/>
                <w:color w:val="FFFFFF" w:themeColor="background1"/>
                <w:sz w:val="24"/>
                <w:szCs w:val="24"/>
              </w:rPr>
              <w:t>)</w:t>
            </w:r>
          </w:p>
        </w:tc>
        <w:tc>
          <w:tcPr>
            <w:tcW w:w="1530" w:type="dxa"/>
            <w:shd w:val="clear" w:color="auto" w:fill="2E74B5" w:themeFill="accent1" w:themeFillShade="BF"/>
          </w:tcPr>
          <w:p w:rsidR="00805DFC" w:rsidRPr="00FA3D12" w:rsidRDefault="00463A5F" w:rsidP="00255F7F">
            <w:pPr>
              <w:jc w:val="center"/>
              <w:rPr>
                <w:rFonts w:ascii="Times New Roman" w:hAnsi="Times New Roman" w:cs="Times New Roman"/>
                <w:b/>
                <w:bCs/>
                <w:color w:val="FFFFFF" w:themeColor="background1"/>
                <w:sz w:val="24"/>
                <w:szCs w:val="24"/>
              </w:rPr>
            </w:pPr>
            <w:r w:rsidRPr="00FA3D12">
              <w:rPr>
                <w:rFonts w:ascii="Times New Roman" w:hAnsi="Times New Roman" w:cs="Times New Roman"/>
                <w:b/>
                <w:bCs/>
                <w:color w:val="FFFFFF" w:themeColor="background1"/>
                <w:sz w:val="24"/>
                <w:szCs w:val="24"/>
              </w:rPr>
              <w:t>Paid Staff</w:t>
            </w:r>
            <w:r w:rsidR="00FA3D12" w:rsidRPr="00FA3D12">
              <w:rPr>
                <w:rFonts w:ascii="Times New Roman" w:hAnsi="Times New Roman" w:cs="Times New Roman"/>
                <w:b/>
                <w:bCs/>
                <w:color w:val="FFFFFF" w:themeColor="background1"/>
                <w:sz w:val="24"/>
                <w:szCs w:val="24"/>
              </w:rPr>
              <w:t xml:space="preserve"> </w:t>
            </w:r>
            <w:r w:rsidRPr="00FA3D12">
              <w:rPr>
                <w:rFonts w:ascii="Times New Roman" w:hAnsi="Times New Roman" w:cs="Times New Roman"/>
                <w:b/>
                <w:bCs/>
                <w:color w:val="FFFFFF" w:themeColor="background1"/>
                <w:sz w:val="24"/>
                <w:szCs w:val="24"/>
              </w:rPr>
              <w:t>(</w:t>
            </w:r>
            <w:r w:rsidR="00805DFC" w:rsidRPr="00FA3D12">
              <w:rPr>
                <w:rFonts w:ascii="Times New Roman" w:hAnsi="Times New Roman" w:cs="Times New Roman"/>
                <w:b/>
                <w:bCs/>
                <w:color w:val="FFFFFF" w:themeColor="background1"/>
                <w:sz w:val="24"/>
                <w:szCs w:val="24"/>
              </w:rPr>
              <w:t>%</w:t>
            </w:r>
            <w:r w:rsidRPr="00FA3D12">
              <w:rPr>
                <w:rFonts w:ascii="Times New Roman" w:hAnsi="Times New Roman" w:cs="Times New Roman"/>
                <w:b/>
                <w:bCs/>
                <w:color w:val="FFFFFF" w:themeColor="background1"/>
                <w:sz w:val="24"/>
                <w:szCs w:val="24"/>
              </w:rPr>
              <w:t>)</w:t>
            </w:r>
          </w:p>
        </w:tc>
        <w:tc>
          <w:tcPr>
            <w:tcW w:w="1350" w:type="dxa"/>
            <w:shd w:val="clear" w:color="auto" w:fill="2E74B5" w:themeFill="accent1" w:themeFillShade="BF"/>
          </w:tcPr>
          <w:p w:rsidR="00805DFC" w:rsidRPr="00FA3D12" w:rsidRDefault="00463A5F" w:rsidP="00255F7F">
            <w:pPr>
              <w:jc w:val="center"/>
              <w:rPr>
                <w:rFonts w:ascii="Times New Roman" w:hAnsi="Times New Roman" w:cs="Times New Roman"/>
                <w:b/>
                <w:bCs/>
                <w:color w:val="FFFFFF" w:themeColor="background1"/>
                <w:sz w:val="24"/>
                <w:szCs w:val="24"/>
              </w:rPr>
            </w:pPr>
            <w:r w:rsidRPr="00FA3D12">
              <w:rPr>
                <w:rFonts w:ascii="Times New Roman" w:hAnsi="Times New Roman" w:cs="Times New Roman"/>
                <w:b/>
                <w:bCs/>
                <w:color w:val="FFFFFF" w:themeColor="background1"/>
                <w:sz w:val="24"/>
                <w:szCs w:val="24"/>
              </w:rPr>
              <w:t>Volunteer Staff</w:t>
            </w:r>
            <w:r w:rsidR="00FA3D12" w:rsidRPr="00FA3D12">
              <w:rPr>
                <w:rFonts w:ascii="Times New Roman" w:hAnsi="Times New Roman" w:cs="Times New Roman"/>
                <w:b/>
                <w:bCs/>
                <w:color w:val="FFFFFF" w:themeColor="background1"/>
                <w:sz w:val="24"/>
                <w:szCs w:val="24"/>
              </w:rPr>
              <w:t xml:space="preserve"> </w:t>
            </w:r>
            <w:r w:rsidRPr="00FA3D12">
              <w:rPr>
                <w:rFonts w:ascii="Times New Roman" w:hAnsi="Times New Roman" w:cs="Times New Roman"/>
                <w:b/>
                <w:bCs/>
                <w:color w:val="FFFFFF" w:themeColor="background1"/>
                <w:sz w:val="24"/>
                <w:szCs w:val="24"/>
              </w:rPr>
              <w:t>(</w:t>
            </w:r>
            <w:r w:rsidR="00805DFC" w:rsidRPr="00FA3D12">
              <w:rPr>
                <w:rFonts w:ascii="Times New Roman" w:hAnsi="Times New Roman" w:cs="Times New Roman"/>
                <w:b/>
                <w:bCs/>
                <w:color w:val="FFFFFF" w:themeColor="background1"/>
                <w:sz w:val="24"/>
                <w:szCs w:val="24"/>
              </w:rPr>
              <w:t>N</w:t>
            </w:r>
            <w:r w:rsidRPr="00FA3D12">
              <w:rPr>
                <w:rFonts w:ascii="Times New Roman" w:hAnsi="Times New Roman" w:cs="Times New Roman"/>
                <w:b/>
                <w:bCs/>
                <w:color w:val="FFFFFF" w:themeColor="background1"/>
                <w:sz w:val="24"/>
                <w:szCs w:val="24"/>
              </w:rPr>
              <w:t>)</w:t>
            </w:r>
          </w:p>
        </w:tc>
        <w:tc>
          <w:tcPr>
            <w:tcW w:w="1327" w:type="dxa"/>
            <w:shd w:val="clear" w:color="auto" w:fill="2E74B5" w:themeFill="accent1" w:themeFillShade="BF"/>
          </w:tcPr>
          <w:p w:rsidR="00805DFC" w:rsidRPr="00FA3D12" w:rsidRDefault="00463A5F" w:rsidP="00255F7F">
            <w:pPr>
              <w:jc w:val="center"/>
              <w:rPr>
                <w:rFonts w:ascii="Times New Roman" w:hAnsi="Times New Roman" w:cs="Times New Roman"/>
                <w:b/>
                <w:bCs/>
                <w:color w:val="FFFFFF" w:themeColor="background1"/>
                <w:sz w:val="24"/>
                <w:szCs w:val="24"/>
              </w:rPr>
            </w:pPr>
            <w:r w:rsidRPr="00FA3D12">
              <w:rPr>
                <w:rFonts w:ascii="Times New Roman" w:hAnsi="Times New Roman" w:cs="Times New Roman"/>
                <w:b/>
                <w:bCs/>
                <w:color w:val="FFFFFF" w:themeColor="background1"/>
                <w:sz w:val="24"/>
                <w:szCs w:val="24"/>
              </w:rPr>
              <w:t>Volunteer Staff</w:t>
            </w:r>
            <w:r w:rsidR="00FA3D12" w:rsidRPr="00FA3D12">
              <w:rPr>
                <w:rFonts w:ascii="Times New Roman" w:hAnsi="Times New Roman" w:cs="Times New Roman"/>
                <w:b/>
                <w:bCs/>
                <w:color w:val="FFFFFF" w:themeColor="background1"/>
                <w:sz w:val="24"/>
                <w:szCs w:val="24"/>
              </w:rPr>
              <w:t xml:space="preserve"> </w:t>
            </w:r>
            <w:r w:rsidRPr="00FA3D12">
              <w:rPr>
                <w:rFonts w:ascii="Times New Roman" w:hAnsi="Times New Roman" w:cs="Times New Roman"/>
                <w:b/>
                <w:bCs/>
                <w:color w:val="FFFFFF" w:themeColor="background1"/>
                <w:sz w:val="24"/>
                <w:szCs w:val="24"/>
              </w:rPr>
              <w:t>(</w:t>
            </w:r>
            <w:r w:rsidR="00805DFC" w:rsidRPr="00FA3D12">
              <w:rPr>
                <w:rFonts w:ascii="Times New Roman" w:hAnsi="Times New Roman" w:cs="Times New Roman"/>
                <w:b/>
                <w:bCs/>
                <w:color w:val="FFFFFF" w:themeColor="background1"/>
                <w:sz w:val="24"/>
                <w:szCs w:val="24"/>
              </w:rPr>
              <w:t>%</w:t>
            </w:r>
            <w:r w:rsidRPr="00FA3D12">
              <w:rPr>
                <w:rFonts w:ascii="Times New Roman" w:hAnsi="Times New Roman" w:cs="Times New Roman"/>
                <w:b/>
                <w:bCs/>
                <w:color w:val="FFFFFF" w:themeColor="background1"/>
                <w:sz w:val="24"/>
                <w:szCs w:val="24"/>
              </w:rPr>
              <w:t>)</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Center Administrators</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10,903</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9.3</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397</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1.3</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College Students</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10,130</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8.7</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8,153</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26.3</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Community Members</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3,253</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2.8</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6,401</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20.6</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High School Students</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4,510</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3.9</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5,628</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18.1</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Parents</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1,137</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1.0</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5,448</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17.5</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School Day Teachers</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57,932</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49.6</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2,450</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7.9</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Other Non-Teaching School Staff</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17,213</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14.7</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1,021</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3.3</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Other Non-Teaching School Staff with Some or No College</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8,734</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7.5</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761</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2.5</w:t>
            </w:r>
          </w:p>
        </w:tc>
      </w:tr>
      <w:tr w:rsidR="001931C8" w:rsidRPr="004B7B2C" w:rsidTr="009A132C">
        <w:tc>
          <w:tcPr>
            <w:tcW w:w="3888" w:type="dxa"/>
            <w:shd w:val="clear" w:color="auto" w:fill="DCE6F1"/>
          </w:tcPr>
          <w:p w:rsidR="001931C8" w:rsidRPr="004B7B2C" w:rsidRDefault="001931C8" w:rsidP="001931C8">
            <w:pPr>
              <w:rPr>
                <w:rFonts w:ascii="Times New Roman" w:hAnsi="Times New Roman" w:cs="Times New Roman"/>
                <w:bCs/>
                <w:sz w:val="24"/>
                <w:szCs w:val="24"/>
              </w:rPr>
            </w:pPr>
            <w:r w:rsidRPr="004B7B2C">
              <w:rPr>
                <w:rFonts w:ascii="Times New Roman" w:hAnsi="Times New Roman" w:cs="Times New Roman"/>
                <w:bCs/>
                <w:sz w:val="24"/>
                <w:szCs w:val="24"/>
              </w:rPr>
              <w:t>Other</w:t>
            </w:r>
          </w:p>
        </w:tc>
        <w:tc>
          <w:tcPr>
            <w:tcW w:w="1440" w:type="dxa"/>
            <w:vAlign w:val="bottom"/>
          </w:tcPr>
          <w:p w:rsidR="001931C8" w:rsidRPr="00781609"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3,033</w:t>
            </w:r>
          </w:p>
        </w:tc>
        <w:tc>
          <w:tcPr>
            <w:tcW w:w="1530" w:type="dxa"/>
            <w:vAlign w:val="bottom"/>
          </w:tcPr>
          <w:p w:rsidR="001931C8" w:rsidRPr="00781609"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2.6</w:t>
            </w:r>
          </w:p>
        </w:tc>
        <w:tc>
          <w:tcPr>
            <w:tcW w:w="1350" w:type="dxa"/>
            <w:vAlign w:val="bottom"/>
          </w:tcPr>
          <w:p w:rsidR="001931C8" w:rsidRPr="004B7B2C" w:rsidRDefault="001931C8" w:rsidP="001931C8">
            <w:pPr>
              <w:jc w:val="center"/>
              <w:rPr>
                <w:rFonts w:ascii="Times New Roman" w:hAnsi="Times New Roman" w:cs="Times New Roman"/>
                <w:bCs/>
                <w:sz w:val="24"/>
                <w:szCs w:val="24"/>
              </w:rPr>
            </w:pPr>
            <w:r w:rsidRPr="00781609">
              <w:rPr>
                <w:rFonts w:ascii="Times New Roman" w:hAnsi="Times New Roman" w:cs="Times New Roman"/>
                <w:color w:val="000000"/>
                <w:sz w:val="24"/>
                <w:szCs w:val="24"/>
              </w:rPr>
              <w:t>795</w:t>
            </w:r>
          </w:p>
        </w:tc>
        <w:tc>
          <w:tcPr>
            <w:tcW w:w="1327" w:type="dxa"/>
            <w:vAlign w:val="bottom"/>
          </w:tcPr>
          <w:p w:rsidR="001931C8" w:rsidRPr="004B7B2C" w:rsidRDefault="001931C8" w:rsidP="001931C8">
            <w:pPr>
              <w:jc w:val="center"/>
              <w:rPr>
                <w:rFonts w:ascii="Times New Roman" w:hAnsi="Times New Roman" w:cs="Times New Roman"/>
                <w:color w:val="000000"/>
                <w:sz w:val="24"/>
                <w:szCs w:val="24"/>
              </w:rPr>
            </w:pPr>
            <w:r w:rsidRPr="00781609">
              <w:rPr>
                <w:rFonts w:ascii="Times New Roman" w:hAnsi="Times New Roman" w:cs="Times New Roman"/>
                <w:color w:val="000000"/>
                <w:sz w:val="24"/>
                <w:szCs w:val="24"/>
              </w:rPr>
              <w:t>2.6</w:t>
            </w:r>
          </w:p>
        </w:tc>
      </w:tr>
      <w:tr w:rsidR="001931C8" w:rsidRPr="004B7B2C" w:rsidTr="009A132C">
        <w:tc>
          <w:tcPr>
            <w:tcW w:w="3888" w:type="dxa"/>
            <w:shd w:val="clear" w:color="auto" w:fill="auto"/>
          </w:tcPr>
          <w:p w:rsidR="001931C8" w:rsidRPr="004B7B2C" w:rsidRDefault="001931C8" w:rsidP="001931C8">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1440" w:type="dxa"/>
            <w:vAlign w:val="bottom"/>
          </w:tcPr>
          <w:p w:rsidR="001931C8" w:rsidRPr="00781609" w:rsidRDefault="001931C8" w:rsidP="001931C8">
            <w:pPr>
              <w:jc w:val="center"/>
              <w:rPr>
                <w:rFonts w:ascii="Times New Roman" w:hAnsi="Times New Roman" w:cs="Times New Roman"/>
                <w:b/>
                <w:bCs/>
                <w:sz w:val="24"/>
                <w:szCs w:val="24"/>
              </w:rPr>
            </w:pPr>
            <w:r w:rsidRPr="00781609">
              <w:rPr>
                <w:rFonts w:ascii="Times New Roman" w:hAnsi="Times New Roman" w:cs="Times New Roman"/>
                <w:b/>
                <w:color w:val="000000"/>
                <w:sz w:val="24"/>
                <w:szCs w:val="24"/>
              </w:rPr>
              <w:t>116,845</w:t>
            </w:r>
          </w:p>
        </w:tc>
        <w:tc>
          <w:tcPr>
            <w:tcW w:w="1530" w:type="dxa"/>
            <w:vAlign w:val="bottom"/>
          </w:tcPr>
          <w:p w:rsidR="001931C8" w:rsidRPr="00781609" w:rsidRDefault="001931C8" w:rsidP="001931C8">
            <w:pPr>
              <w:jc w:val="center"/>
              <w:rPr>
                <w:rFonts w:ascii="Times New Roman" w:hAnsi="Times New Roman" w:cs="Times New Roman"/>
                <w:b/>
                <w:bCs/>
                <w:sz w:val="24"/>
                <w:szCs w:val="24"/>
              </w:rPr>
            </w:pPr>
            <w:r w:rsidRPr="00781609">
              <w:rPr>
                <w:rFonts w:ascii="Times New Roman" w:hAnsi="Times New Roman" w:cs="Times New Roman"/>
                <w:b/>
                <w:color w:val="000000"/>
                <w:sz w:val="24"/>
                <w:szCs w:val="24"/>
              </w:rPr>
              <w:t>100.0</w:t>
            </w:r>
          </w:p>
        </w:tc>
        <w:tc>
          <w:tcPr>
            <w:tcW w:w="1350" w:type="dxa"/>
            <w:vAlign w:val="bottom"/>
          </w:tcPr>
          <w:p w:rsidR="001931C8" w:rsidRPr="004B7B2C" w:rsidRDefault="001931C8" w:rsidP="001931C8">
            <w:pPr>
              <w:jc w:val="center"/>
              <w:rPr>
                <w:rFonts w:ascii="Times New Roman" w:hAnsi="Times New Roman" w:cs="Times New Roman"/>
                <w:b/>
                <w:bCs/>
                <w:sz w:val="24"/>
                <w:szCs w:val="24"/>
              </w:rPr>
            </w:pPr>
            <w:r w:rsidRPr="00781609">
              <w:rPr>
                <w:rFonts w:ascii="Times New Roman" w:hAnsi="Times New Roman" w:cs="Times New Roman"/>
                <w:b/>
                <w:color w:val="000000"/>
                <w:sz w:val="24"/>
                <w:szCs w:val="24"/>
              </w:rPr>
              <w:t>31,054</w:t>
            </w:r>
          </w:p>
        </w:tc>
        <w:tc>
          <w:tcPr>
            <w:tcW w:w="1327" w:type="dxa"/>
            <w:vAlign w:val="bottom"/>
          </w:tcPr>
          <w:p w:rsidR="001931C8" w:rsidRPr="004B7B2C" w:rsidRDefault="001931C8" w:rsidP="001931C8">
            <w:pPr>
              <w:jc w:val="center"/>
              <w:rPr>
                <w:rFonts w:ascii="Times New Roman" w:hAnsi="Times New Roman" w:cs="Times New Roman"/>
                <w:b/>
                <w:bCs/>
                <w:sz w:val="24"/>
                <w:szCs w:val="24"/>
              </w:rPr>
            </w:pPr>
            <w:r w:rsidRPr="00781609">
              <w:rPr>
                <w:rFonts w:ascii="Times New Roman" w:hAnsi="Times New Roman" w:cs="Times New Roman"/>
                <w:b/>
                <w:color w:val="000000"/>
                <w:sz w:val="24"/>
                <w:szCs w:val="24"/>
              </w:rPr>
              <w:t>100.0</w:t>
            </w:r>
          </w:p>
        </w:tc>
      </w:tr>
    </w:tbl>
    <w:p w:rsidR="00805DFC" w:rsidRPr="004B7B2C" w:rsidRDefault="00805DFC" w:rsidP="00805DFC">
      <w:pPr>
        <w:rPr>
          <w:rFonts w:ascii="Times New Roman" w:hAnsi="Times New Roman" w:cs="Times New Roman"/>
          <w:b/>
          <w:bCs/>
          <w:sz w:val="24"/>
          <w:szCs w:val="24"/>
        </w:rPr>
      </w:pPr>
    </w:p>
    <w:p w:rsidR="000010C1" w:rsidRPr="004B7B2C" w:rsidRDefault="00207DA6" w:rsidP="00300509">
      <w:pPr>
        <w:pStyle w:val="Heading2"/>
      </w:pPr>
      <w:bookmarkStart w:id="45" w:name="_Toc446579721"/>
      <w:r w:rsidRPr="004B7B2C">
        <w:t>F</w:t>
      </w:r>
      <w:r w:rsidR="00EF3319" w:rsidRPr="004B7B2C">
        <w:t xml:space="preserve">. </w:t>
      </w:r>
      <w:r w:rsidR="00283876" w:rsidRPr="004B7B2C">
        <w:t>Attendees</w:t>
      </w:r>
      <w:r w:rsidR="00EF3319" w:rsidRPr="004B7B2C">
        <w:t xml:space="preserve"> Served</w:t>
      </w:r>
      <w:r w:rsidR="004D35C2" w:rsidRPr="004B7B2C">
        <w:t xml:space="preserve"> per Gender/Race/Grade Level</w:t>
      </w:r>
      <w:bookmarkEnd w:id="45"/>
    </w:p>
    <w:p w:rsidR="000010C1" w:rsidRPr="004B7B2C" w:rsidRDefault="004D47EE" w:rsidP="00891740">
      <w:pPr>
        <w:rPr>
          <w:rFonts w:ascii="Times New Roman" w:hAnsi="Times New Roman" w:cs="Times New Roman"/>
          <w:bCs/>
          <w:sz w:val="24"/>
          <w:szCs w:val="24"/>
        </w:rPr>
      </w:pPr>
      <w:r>
        <w:rPr>
          <w:rFonts w:ascii="Times New Roman" w:hAnsi="Times New Roman" w:cs="Times New Roman"/>
          <w:bCs/>
          <w:sz w:val="24"/>
          <w:szCs w:val="24"/>
        </w:rPr>
        <w:t>Tables 16-18</w:t>
      </w:r>
      <w:r w:rsidR="008D0141" w:rsidRPr="004B7B2C">
        <w:rPr>
          <w:rFonts w:ascii="Times New Roman" w:hAnsi="Times New Roman" w:cs="Times New Roman"/>
          <w:bCs/>
          <w:sz w:val="24"/>
          <w:szCs w:val="24"/>
        </w:rPr>
        <w:t xml:space="preserve"> provide a demographic depiction of the program attendees broken down by gender, race/ethnicity, and grade level.  </w:t>
      </w:r>
      <w:r w:rsidR="00807750" w:rsidRPr="004B7B2C">
        <w:rPr>
          <w:rFonts w:ascii="Times New Roman" w:hAnsi="Times New Roman" w:cs="Times New Roman"/>
          <w:bCs/>
          <w:sz w:val="24"/>
          <w:szCs w:val="24"/>
        </w:rPr>
        <w:t xml:space="preserve">Overall, there was a fairly even split between male (50.4%, </w:t>
      </w:r>
      <w:r w:rsidR="00F6308F">
        <w:rPr>
          <w:rFonts w:ascii="Times New Roman" w:hAnsi="Times New Roman" w:cs="Times New Roman"/>
          <w:bCs/>
          <w:sz w:val="24"/>
          <w:szCs w:val="24"/>
        </w:rPr>
        <w:t xml:space="preserve">        </w:t>
      </w:r>
      <w:r w:rsidR="00807750" w:rsidRPr="004B7B2C">
        <w:rPr>
          <w:rFonts w:ascii="Times New Roman" w:hAnsi="Times New Roman" w:cs="Times New Roman"/>
          <w:bCs/>
          <w:sz w:val="24"/>
          <w:szCs w:val="24"/>
        </w:rPr>
        <w:t xml:space="preserve">n = 811,231) and female (49.6%, n = 798,716) attendees.  </w:t>
      </w:r>
      <w:r w:rsidR="003364F6" w:rsidRPr="004B7B2C">
        <w:rPr>
          <w:rFonts w:ascii="Times New Roman" w:hAnsi="Times New Roman" w:cs="Times New Roman"/>
          <w:bCs/>
          <w:sz w:val="24"/>
          <w:szCs w:val="24"/>
        </w:rPr>
        <w:t xml:space="preserve">In terms of race/ethnicity, the majority of the attendees were identified as Hispanic (35.5%, n = 597,807), with </w:t>
      </w:r>
      <w:r w:rsidR="00C21650" w:rsidRPr="004B7B2C">
        <w:rPr>
          <w:rFonts w:ascii="Times New Roman" w:hAnsi="Times New Roman" w:cs="Times New Roman"/>
          <w:bCs/>
          <w:sz w:val="24"/>
          <w:szCs w:val="24"/>
        </w:rPr>
        <w:t>White (</w:t>
      </w:r>
      <w:r w:rsidR="003364F6" w:rsidRPr="004B7B2C">
        <w:rPr>
          <w:rFonts w:ascii="Times New Roman" w:hAnsi="Times New Roman" w:cs="Times New Roman"/>
          <w:bCs/>
          <w:sz w:val="24"/>
          <w:szCs w:val="24"/>
        </w:rPr>
        <w:t xml:space="preserve">29.6%, </w:t>
      </w:r>
      <w:r w:rsidR="00F6308F">
        <w:rPr>
          <w:rFonts w:ascii="Times New Roman" w:hAnsi="Times New Roman" w:cs="Times New Roman"/>
          <w:bCs/>
          <w:sz w:val="24"/>
          <w:szCs w:val="24"/>
        </w:rPr>
        <w:t xml:space="preserve">                </w:t>
      </w:r>
      <w:r w:rsidR="003364F6" w:rsidRPr="004B7B2C">
        <w:rPr>
          <w:rFonts w:ascii="Times New Roman" w:hAnsi="Times New Roman" w:cs="Times New Roman"/>
          <w:bCs/>
          <w:sz w:val="24"/>
          <w:szCs w:val="24"/>
        </w:rPr>
        <w:t>n = 498,592) and Black (22.4%, n = 377,063) following.</w:t>
      </w:r>
      <w:r w:rsidR="00FF3E1E" w:rsidRPr="004B7B2C">
        <w:rPr>
          <w:rFonts w:ascii="Times New Roman" w:hAnsi="Times New Roman" w:cs="Times New Roman"/>
          <w:bCs/>
          <w:sz w:val="24"/>
          <w:szCs w:val="24"/>
        </w:rPr>
        <w:t xml:space="preserve">  Although there were slightly more 3</w:t>
      </w:r>
      <w:r w:rsidR="00FF3E1E" w:rsidRPr="004B7B2C">
        <w:rPr>
          <w:rFonts w:ascii="Times New Roman" w:hAnsi="Times New Roman" w:cs="Times New Roman"/>
          <w:bCs/>
          <w:sz w:val="24"/>
          <w:szCs w:val="24"/>
          <w:vertAlign w:val="superscript"/>
        </w:rPr>
        <w:t>rd</w:t>
      </w:r>
      <w:r w:rsidR="00FF3E1E" w:rsidRPr="004B7B2C">
        <w:rPr>
          <w:rFonts w:ascii="Times New Roman" w:hAnsi="Times New Roman" w:cs="Times New Roman"/>
          <w:bCs/>
          <w:sz w:val="24"/>
          <w:szCs w:val="24"/>
        </w:rPr>
        <w:t xml:space="preserve"> graders, there appeared to be a concentration of regular attendees from 2</w:t>
      </w:r>
      <w:r w:rsidR="00FF3E1E" w:rsidRPr="004B7B2C">
        <w:rPr>
          <w:rFonts w:ascii="Times New Roman" w:hAnsi="Times New Roman" w:cs="Times New Roman"/>
          <w:bCs/>
          <w:sz w:val="24"/>
          <w:szCs w:val="24"/>
          <w:vertAlign w:val="superscript"/>
        </w:rPr>
        <w:t>nd</w:t>
      </w:r>
      <w:r w:rsidR="00FF3E1E" w:rsidRPr="004B7B2C">
        <w:rPr>
          <w:rFonts w:ascii="Times New Roman" w:hAnsi="Times New Roman" w:cs="Times New Roman"/>
          <w:bCs/>
          <w:sz w:val="24"/>
          <w:szCs w:val="24"/>
        </w:rPr>
        <w:t xml:space="preserve"> to 6</w:t>
      </w:r>
      <w:r w:rsidR="00FF3E1E" w:rsidRPr="004B7B2C">
        <w:rPr>
          <w:rFonts w:ascii="Times New Roman" w:hAnsi="Times New Roman" w:cs="Times New Roman"/>
          <w:bCs/>
          <w:sz w:val="24"/>
          <w:szCs w:val="24"/>
          <w:vertAlign w:val="superscript"/>
        </w:rPr>
        <w:t>th</w:t>
      </w:r>
      <w:r w:rsidR="00FF3E1E" w:rsidRPr="004B7B2C">
        <w:rPr>
          <w:rFonts w:ascii="Times New Roman" w:hAnsi="Times New Roman" w:cs="Times New Roman"/>
          <w:bCs/>
          <w:sz w:val="24"/>
          <w:szCs w:val="24"/>
        </w:rPr>
        <w:t xml:space="preserve"> grade.</w:t>
      </w:r>
    </w:p>
    <w:p w:rsidR="004D35C2" w:rsidRPr="004B7B2C" w:rsidRDefault="004D47EE" w:rsidP="00865BDE">
      <w:pPr>
        <w:pStyle w:val="Heading3"/>
        <w:spacing w:before="480" w:line="240" w:lineRule="auto"/>
        <w:ind w:right="994"/>
        <w:rPr>
          <w:bCs/>
        </w:rPr>
      </w:pPr>
      <w:bookmarkStart w:id="46" w:name="_Toc422397363"/>
      <w:bookmarkStart w:id="47" w:name="_Toc446579722"/>
      <w:bookmarkStart w:id="48" w:name="_GoBack"/>
      <w:bookmarkEnd w:id="48"/>
      <w:proofErr w:type="gramStart"/>
      <w:r w:rsidRPr="008C08F2">
        <w:rPr>
          <w:bCs/>
        </w:rPr>
        <w:t>Table 16</w:t>
      </w:r>
      <w:r w:rsidR="004D35C2" w:rsidRPr="008C08F2">
        <w:rPr>
          <w:bCs/>
        </w:rPr>
        <w:t>.</w:t>
      </w:r>
      <w:proofErr w:type="gramEnd"/>
      <w:r w:rsidR="004D35C2" w:rsidRPr="008C08F2">
        <w:rPr>
          <w:bCs/>
        </w:rPr>
        <w:t xml:space="preserve"> </w:t>
      </w:r>
      <w:r w:rsidR="004D35C2" w:rsidRPr="008C08F2">
        <w:t xml:space="preserve">Gender of </w:t>
      </w:r>
      <w:r w:rsidR="004D35C2" w:rsidRPr="00463A5F">
        <w:t>Attendees</w:t>
      </w:r>
      <w:bookmarkEnd w:id="46"/>
      <w:r w:rsidR="00463A5F" w:rsidRPr="00463A5F">
        <w:t xml:space="preserve"> -</w:t>
      </w:r>
      <w:r w:rsidR="00463A5F" w:rsidRPr="00463A5F">
        <w:rPr>
          <w:bCs/>
        </w:rPr>
        <w:t xml:space="preserve"> All 54 States/Territories</w:t>
      </w:r>
      <w:bookmarkEnd w:id="47"/>
    </w:p>
    <w:tbl>
      <w:tblPr>
        <w:tblStyle w:val="TableGrid"/>
        <w:tblW w:w="0" w:type="auto"/>
        <w:tblLook w:val="04A0" w:firstRow="1" w:lastRow="0" w:firstColumn="1" w:lastColumn="0" w:noHBand="0" w:noVBand="1"/>
        <w:tblCaption w:val="Table 16. Gender of Attendees"/>
      </w:tblPr>
      <w:tblGrid>
        <w:gridCol w:w="2875"/>
        <w:gridCol w:w="2880"/>
        <w:gridCol w:w="2610"/>
      </w:tblGrid>
      <w:tr w:rsidR="00396C92" w:rsidRPr="004B7B2C" w:rsidTr="00865BDE">
        <w:trPr>
          <w:tblHeader/>
        </w:trPr>
        <w:tc>
          <w:tcPr>
            <w:tcW w:w="2875" w:type="dxa"/>
            <w:shd w:val="clear" w:color="auto" w:fill="2E74B5" w:themeFill="accent1" w:themeFillShade="BF"/>
          </w:tcPr>
          <w:p w:rsidR="00396C92" w:rsidRPr="00463A5F" w:rsidRDefault="00FE0BE8" w:rsidP="00255F7F">
            <w:pP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Gender</w:t>
            </w:r>
          </w:p>
        </w:tc>
        <w:tc>
          <w:tcPr>
            <w:tcW w:w="2880" w:type="dxa"/>
            <w:shd w:val="clear" w:color="auto" w:fill="2E74B5" w:themeFill="accent1" w:themeFillShade="BF"/>
          </w:tcPr>
          <w:p w:rsidR="00396C92" w:rsidRPr="00463A5F" w:rsidRDefault="00396C92" w:rsidP="00255F7F">
            <w:pPr>
              <w:jc w:val="cente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N</w:t>
            </w:r>
          </w:p>
        </w:tc>
        <w:tc>
          <w:tcPr>
            <w:tcW w:w="2610" w:type="dxa"/>
            <w:shd w:val="clear" w:color="auto" w:fill="2E74B5" w:themeFill="accent1" w:themeFillShade="BF"/>
          </w:tcPr>
          <w:p w:rsidR="00B42735" w:rsidRPr="00463A5F" w:rsidRDefault="00396C92" w:rsidP="00B42735">
            <w:pPr>
              <w:jc w:val="cente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w:t>
            </w:r>
          </w:p>
        </w:tc>
      </w:tr>
      <w:tr w:rsidR="00B42735" w:rsidRPr="004B7B2C" w:rsidTr="00781A37">
        <w:tc>
          <w:tcPr>
            <w:tcW w:w="2875" w:type="dxa"/>
            <w:shd w:val="clear" w:color="auto" w:fill="DCE6F1"/>
          </w:tcPr>
          <w:p w:rsidR="00B42735" w:rsidRPr="004B7B2C" w:rsidRDefault="00B42735" w:rsidP="00B42735">
            <w:pPr>
              <w:rPr>
                <w:rFonts w:ascii="Times New Roman" w:hAnsi="Times New Roman" w:cs="Times New Roman"/>
                <w:bCs/>
                <w:sz w:val="24"/>
                <w:szCs w:val="24"/>
              </w:rPr>
            </w:pPr>
            <w:r w:rsidRPr="004B7B2C">
              <w:rPr>
                <w:rFonts w:ascii="Times New Roman" w:hAnsi="Times New Roman" w:cs="Times New Roman"/>
                <w:bCs/>
                <w:sz w:val="24"/>
                <w:szCs w:val="24"/>
              </w:rPr>
              <w:t>Male</w:t>
            </w:r>
          </w:p>
        </w:tc>
        <w:tc>
          <w:tcPr>
            <w:tcW w:w="2880" w:type="dxa"/>
            <w:shd w:val="clear" w:color="auto" w:fill="DCE6F1"/>
            <w:vAlign w:val="bottom"/>
          </w:tcPr>
          <w:p w:rsidR="00B42735" w:rsidRPr="00B42735" w:rsidRDefault="00B42735" w:rsidP="00B42735">
            <w:pPr>
              <w:jc w:val="center"/>
              <w:rPr>
                <w:rFonts w:ascii="Times New Roman" w:hAnsi="Times New Roman" w:cs="Times New Roman"/>
                <w:bCs/>
                <w:sz w:val="24"/>
                <w:szCs w:val="24"/>
              </w:rPr>
            </w:pPr>
            <w:r w:rsidRPr="00B42735">
              <w:rPr>
                <w:rFonts w:ascii="Times New Roman" w:hAnsi="Times New Roman" w:cs="Times New Roman"/>
                <w:color w:val="000000"/>
                <w:sz w:val="24"/>
                <w:szCs w:val="24"/>
              </w:rPr>
              <w:t>811,231</w:t>
            </w:r>
          </w:p>
        </w:tc>
        <w:tc>
          <w:tcPr>
            <w:tcW w:w="2610" w:type="dxa"/>
            <w:shd w:val="clear" w:color="auto" w:fill="DCE6F1"/>
            <w:vAlign w:val="bottom"/>
          </w:tcPr>
          <w:p w:rsidR="00B42735" w:rsidRPr="00B42735" w:rsidRDefault="00B42735" w:rsidP="00B42735">
            <w:pPr>
              <w:jc w:val="center"/>
              <w:rPr>
                <w:rFonts w:ascii="Times New Roman" w:hAnsi="Times New Roman" w:cs="Times New Roman"/>
                <w:bCs/>
                <w:sz w:val="24"/>
                <w:szCs w:val="24"/>
              </w:rPr>
            </w:pPr>
            <w:r>
              <w:rPr>
                <w:rFonts w:ascii="Times New Roman" w:hAnsi="Times New Roman" w:cs="Times New Roman"/>
                <w:color w:val="000000"/>
                <w:sz w:val="24"/>
                <w:szCs w:val="24"/>
              </w:rPr>
              <w:t>50.4</w:t>
            </w:r>
          </w:p>
        </w:tc>
      </w:tr>
      <w:tr w:rsidR="00B42735" w:rsidRPr="004B7B2C" w:rsidTr="00781A37">
        <w:tc>
          <w:tcPr>
            <w:tcW w:w="2875" w:type="dxa"/>
            <w:shd w:val="clear" w:color="auto" w:fill="DCE6F1"/>
          </w:tcPr>
          <w:p w:rsidR="00B42735" w:rsidRPr="004B7B2C" w:rsidRDefault="00B42735" w:rsidP="00B42735">
            <w:pPr>
              <w:rPr>
                <w:rFonts w:ascii="Times New Roman" w:hAnsi="Times New Roman" w:cs="Times New Roman"/>
                <w:bCs/>
                <w:sz w:val="24"/>
                <w:szCs w:val="24"/>
              </w:rPr>
            </w:pPr>
            <w:r w:rsidRPr="004B7B2C">
              <w:rPr>
                <w:rFonts w:ascii="Times New Roman" w:hAnsi="Times New Roman" w:cs="Times New Roman"/>
                <w:bCs/>
                <w:sz w:val="24"/>
                <w:szCs w:val="24"/>
              </w:rPr>
              <w:t>Female</w:t>
            </w:r>
          </w:p>
        </w:tc>
        <w:tc>
          <w:tcPr>
            <w:tcW w:w="2880" w:type="dxa"/>
            <w:shd w:val="clear" w:color="auto" w:fill="DCE6F1"/>
            <w:vAlign w:val="bottom"/>
          </w:tcPr>
          <w:p w:rsidR="00B42735" w:rsidRPr="00B42735" w:rsidRDefault="00B42735" w:rsidP="00B42735">
            <w:pPr>
              <w:jc w:val="center"/>
              <w:rPr>
                <w:rFonts w:ascii="Times New Roman" w:hAnsi="Times New Roman" w:cs="Times New Roman"/>
                <w:bCs/>
                <w:sz w:val="24"/>
                <w:szCs w:val="24"/>
              </w:rPr>
            </w:pPr>
            <w:r w:rsidRPr="00B42735">
              <w:rPr>
                <w:rFonts w:ascii="Times New Roman" w:hAnsi="Times New Roman" w:cs="Times New Roman"/>
                <w:color w:val="000000"/>
                <w:sz w:val="24"/>
                <w:szCs w:val="24"/>
              </w:rPr>
              <w:t>798,716</w:t>
            </w:r>
          </w:p>
        </w:tc>
        <w:tc>
          <w:tcPr>
            <w:tcW w:w="2610" w:type="dxa"/>
            <w:shd w:val="clear" w:color="auto" w:fill="DCE6F1"/>
            <w:vAlign w:val="bottom"/>
          </w:tcPr>
          <w:p w:rsidR="00B42735" w:rsidRPr="00B42735" w:rsidRDefault="00B42735" w:rsidP="00B42735">
            <w:pPr>
              <w:jc w:val="center"/>
              <w:rPr>
                <w:rFonts w:ascii="Times New Roman" w:hAnsi="Times New Roman" w:cs="Times New Roman"/>
                <w:bCs/>
                <w:sz w:val="24"/>
                <w:szCs w:val="24"/>
              </w:rPr>
            </w:pPr>
            <w:r>
              <w:rPr>
                <w:rFonts w:ascii="Times New Roman" w:hAnsi="Times New Roman" w:cs="Times New Roman"/>
                <w:color w:val="000000"/>
                <w:sz w:val="24"/>
                <w:szCs w:val="24"/>
              </w:rPr>
              <w:t>49.6</w:t>
            </w:r>
          </w:p>
        </w:tc>
      </w:tr>
      <w:tr w:rsidR="00B42735" w:rsidRPr="004B7B2C" w:rsidTr="00781A37">
        <w:tc>
          <w:tcPr>
            <w:tcW w:w="2875" w:type="dxa"/>
            <w:shd w:val="clear" w:color="auto" w:fill="FFFFFF" w:themeFill="background1"/>
          </w:tcPr>
          <w:p w:rsidR="00B42735" w:rsidRPr="004B7B2C" w:rsidRDefault="00B42735" w:rsidP="00B42735">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2880" w:type="dxa"/>
            <w:shd w:val="clear" w:color="auto" w:fill="FFFFFF" w:themeFill="background1"/>
            <w:vAlign w:val="bottom"/>
          </w:tcPr>
          <w:p w:rsidR="00B42735" w:rsidRPr="00B42735" w:rsidRDefault="00B42735" w:rsidP="00B42735">
            <w:pPr>
              <w:jc w:val="center"/>
              <w:rPr>
                <w:rFonts w:ascii="Times New Roman" w:hAnsi="Times New Roman" w:cs="Times New Roman"/>
                <w:b/>
                <w:bCs/>
                <w:sz w:val="24"/>
                <w:szCs w:val="24"/>
              </w:rPr>
            </w:pPr>
            <w:r w:rsidRPr="00B42735">
              <w:rPr>
                <w:rFonts w:ascii="Times New Roman" w:hAnsi="Times New Roman" w:cs="Times New Roman"/>
                <w:b/>
                <w:color w:val="000000"/>
                <w:sz w:val="24"/>
                <w:szCs w:val="24"/>
              </w:rPr>
              <w:t>1,609,947</w:t>
            </w:r>
          </w:p>
        </w:tc>
        <w:tc>
          <w:tcPr>
            <w:tcW w:w="2610" w:type="dxa"/>
            <w:shd w:val="clear" w:color="auto" w:fill="FFFFFF" w:themeFill="background1"/>
            <w:vAlign w:val="bottom"/>
          </w:tcPr>
          <w:p w:rsidR="00B42735" w:rsidRPr="00B42735" w:rsidRDefault="00B42735" w:rsidP="00B42735">
            <w:pPr>
              <w:jc w:val="center"/>
              <w:rPr>
                <w:rFonts w:ascii="Times New Roman" w:hAnsi="Times New Roman" w:cs="Times New Roman"/>
                <w:b/>
                <w:bCs/>
                <w:sz w:val="24"/>
                <w:szCs w:val="24"/>
              </w:rPr>
            </w:pPr>
            <w:r w:rsidRPr="00B42735">
              <w:rPr>
                <w:rFonts w:ascii="Times New Roman" w:hAnsi="Times New Roman" w:cs="Times New Roman"/>
                <w:b/>
                <w:color w:val="000000"/>
                <w:sz w:val="24"/>
                <w:szCs w:val="24"/>
              </w:rPr>
              <w:t>100</w:t>
            </w:r>
            <w:r>
              <w:rPr>
                <w:rFonts w:ascii="Times New Roman" w:hAnsi="Times New Roman" w:cs="Times New Roman"/>
                <w:b/>
                <w:color w:val="000000"/>
                <w:sz w:val="24"/>
                <w:szCs w:val="24"/>
              </w:rPr>
              <w:t>.0</w:t>
            </w:r>
          </w:p>
        </w:tc>
      </w:tr>
    </w:tbl>
    <w:p w:rsidR="00377ED2" w:rsidRDefault="00377ED2" w:rsidP="008D07FC">
      <w:pPr>
        <w:spacing w:after="0" w:line="240" w:lineRule="auto"/>
        <w:ind w:right="1170"/>
        <w:rPr>
          <w:rFonts w:ascii="Times New Roman" w:hAnsi="Times New Roman" w:cs="Times New Roman"/>
          <w:bCs/>
          <w:sz w:val="24"/>
          <w:szCs w:val="24"/>
        </w:rPr>
      </w:pPr>
      <w:bookmarkStart w:id="49" w:name="_Toc422397364"/>
      <w:r w:rsidRPr="00377ED2">
        <w:rPr>
          <w:rFonts w:ascii="Times New Roman" w:hAnsi="Times New Roman" w:cs="Times New Roman"/>
          <w:bCs/>
          <w:sz w:val="24"/>
          <w:szCs w:val="24"/>
        </w:rPr>
        <w:t>Note</w:t>
      </w:r>
      <w:r w:rsidR="00952A38">
        <w:rPr>
          <w:rFonts w:ascii="Times New Roman" w:hAnsi="Times New Roman" w:cs="Times New Roman"/>
          <w:bCs/>
          <w:sz w:val="24"/>
          <w:szCs w:val="24"/>
        </w:rPr>
        <w:t>:</w:t>
      </w:r>
      <w:r w:rsidRPr="00377ED2">
        <w:rPr>
          <w:rFonts w:ascii="Times New Roman" w:hAnsi="Times New Roman" w:cs="Times New Roman"/>
          <w:bCs/>
          <w:sz w:val="24"/>
          <w:szCs w:val="24"/>
        </w:rPr>
        <w:t xml:space="preserve"> </w:t>
      </w:r>
      <w:r>
        <w:rPr>
          <w:rFonts w:ascii="Times New Roman" w:hAnsi="Times New Roman" w:cs="Times New Roman"/>
          <w:bCs/>
          <w:sz w:val="24"/>
          <w:szCs w:val="24"/>
        </w:rPr>
        <w:t xml:space="preserve">Given that </w:t>
      </w:r>
      <w:r w:rsidRPr="00377ED2">
        <w:rPr>
          <w:rFonts w:ascii="Times New Roman" w:hAnsi="Times New Roman" w:cs="Times New Roman"/>
          <w:bCs/>
          <w:sz w:val="24"/>
          <w:szCs w:val="24"/>
        </w:rPr>
        <w:t>not all of the data were</w:t>
      </w:r>
      <w:r>
        <w:rPr>
          <w:rFonts w:ascii="Times New Roman" w:hAnsi="Times New Roman" w:cs="Times New Roman"/>
          <w:bCs/>
          <w:sz w:val="24"/>
          <w:szCs w:val="24"/>
        </w:rPr>
        <w:t xml:space="preserve"> reported, </w:t>
      </w:r>
      <w:r w:rsidR="008D07FC">
        <w:rPr>
          <w:rFonts w:ascii="Times New Roman" w:hAnsi="Times New Roman" w:cs="Times New Roman"/>
          <w:bCs/>
          <w:sz w:val="24"/>
          <w:szCs w:val="24"/>
        </w:rPr>
        <w:t xml:space="preserve">the </w:t>
      </w:r>
      <w:r>
        <w:rPr>
          <w:rFonts w:ascii="Times New Roman" w:hAnsi="Times New Roman" w:cs="Times New Roman"/>
          <w:bCs/>
          <w:sz w:val="24"/>
          <w:szCs w:val="24"/>
        </w:rPr>
        <w:t>t</w:t>
      </w:r>
      <w:r w:rsidRPr="00377ED2">
        <w:rPr>
          <w:rFonts w:ascii="Times New Roman" w:hAnsi="Times New Roman" w:cs="Times New Roman"/>
          <w:bCs/>
          <w:sz w:val="24"/>
          <w:szCs w:val="24"/>
        </w:rPr>
        <w:t xml:space="preserve">otal amount calculated </w:t>
      </w:r>
      <w:r>
        <w:rPr>
          <w:rFonts w:ascii="Times New Roman" w:hAnsi="Times New Roman" w:cs="Times New Roman"/>
          <w:bCs/>
          <w:sz w:val="24"/>
          <w:szCs w:val="24"/>
        </w:rPr>
        <w:t>differ</w:t>
      </w:r>
      <w:r w:rsidR="008D07FC">
        <w:rPr>
          <w:rFonts w:ascii="Times New Roman" w:hAnsi="Times New Roman" w:cs="Times New Roman"/>
          <w:bCs/>
          <w:sz w:val="24"/>
          <w:szCs w:val="24"/>
        </w:rPr>
        <w:t xml:space="preserve">s </w:t>
      </w:r>
      <w:r w:rsidRPr="00377ED2">
        <w:rPr>
          <w:rFonts w:ascii="Times New Roman" w:hAnsi="Times New Roman" w:cs="Times New Roman"/>
          <w:bCs/>
          <w:sz w:val="24"/>
          <w:szCs w:val="24"/>
        </w:rPr>
        <w:t xml:space="preserve">from the </w:t>
      </w:r>
      <w:r>
        <w:rPr>
          <w:rFonts w:ascii="Times New Roman" w:hAnsi="Times New Roman" w:cs="Times New Roman"/>
          <w:bCs/>
          <w:sz w:val="24"/>
          <w:szCs w:val="24"/>
        </w:rPr>
        <w:t xml:space="preserve">actual </w:t>
      </w:r>
      <w:r w:rsidRPr="00377ED2">
        <w:rPr>
          <w:rFonts w:ascii="Times New Roman" w:hAnsi="Times New Roman" w:cs="Times New Roman"/>
          <w:bCs/>
          <w:sz w:val="24"/>
          <w:szCs w:val="24"/>
        </w:rPr>
        <w:t xml:space="preserve">amount </w:t>
      </w:r>
      <w:r>
        <w:rPr>
          <w:rFonts w:ascii="Times New Roman" w:hAnsi="Times New Roman" w:cs="Times New Roman"/>
          <w:bCs/>
          <w:sz w:val="24"/>
          <w:szCs w:val="24"/>
        </w:rPr>
        <w:t xml:space="preserve">provided </w:t>
      </w:r>
      <w:r w:rsidRPr="00377ED2">
        <w:rPr>
          <w:rFonts w:ascii="Times New Roman" w:hAnsi="Times New Roman" w:cs="Times New Roman"/>
          <w:bCs/>
          <w:sz w:val="24"/>
          <w:szCs w:val="24"/>
        </w:rPr>
        <w:t>in Table</w:t>
      </w:r>
      <w:r>
        <w:rPr>
          <w:rFonts w:ascii="Times New Roman" w:hAnsi="Times New Roman" w:cs="Times New Roman"/>
          <w:bCs/>
          <w:sz w:val="24"/>
          <w:szCs w:val="24"/>
        </w:rPr>
        <w:t>s</w:t>
      </w:r>
      <w:r w:rsidRPr="00377ED2">
        <w:rPr>
          <w:rFonts w:ascii="Times New Roman" w:hAnsi="Times New Roman" w:cs="Times New Roman"/>
          <w:bCs/>
          <w:sz w:val="24"/>
          <w:szCs w:val="24"/>
        </w:rPr>
        <w:t xml:space="preserve"> 10 and 11. </w:t>
      </w:r>
    </w:p>
    <w:p w:rsidR="004D35C2" w:rsidRPr="004B7B2C" w:rsidRDefault="004D47EE" w:rsidP="00865BDE">
      <w:pPr>
        <w:pStyle w:val="Heading3"/>
        <w:spacing w:before="480" w:line="240" w:lineRule="auto"/>
        <w:ind w:right="994"/>
        <w:rPr>
          <w:bCs/>
        </w:rPr>
      </w:pPr>
      <w:bookmarkStart w:id="50" w:name="_Toc446579723"/>
      <w:proofErr w:type="gramStart"/>
      <w:r w:rsidRPr="00F6308F">
        <w:rPr>
          <w:bCs/>
        </w:rPr>
        <w:t>Table 17</w:t>
      </w:r>
      <w:r w:rsidR="004D35C2" w:rsidRPr="00F6308F">
        <w:rPr>
          <w:bCs/>
        </w:rPr>
        <w:t>.</w:t>
      </w:r>
      <w:proofErr w:type="gramEnd"/>
      <w:r w:rsidR="004D35C2" w:rsidRPr="00F6308F">
        <w:rPr>
          <w:bCs/>
        </w:rPr>
        <w:t xml:space="preserve"> </w:t>
      </w:r>
      <w:r w:rsidR="004D35C2" w:rsidRPr="00F6308F">
        <w:t>Race/Eth</w:t>
      </w:r>
      <w:r w:rsidR="004D35C2" w:rsidRPr="004B7B2C">
        <w:t>nicity of Attendees</w:t>
      </w:r>
      <w:bookmarkEnd w:id="49"/>
      <w:r w:rsidR="00463A5F">
        <w:t xml:space="preserve"> – All 54 State/Territories</w:t>
      </w:r>
      <w:bookmarkEnd w:id="50"/>
    </w:p>
    <w:tbl>
      <w:tblPr>
        <w:tblStyle w:val="TableGrid"/>
        <w:tblW w:w="0" w:type="auto"/>
        <w:tblLook w:val="04A0" w:firstRow="1" w:lastRow="0" w:firstColumn="1" w:lastColumn="0" w:noHBand="0" w:noVBand="1"/>
        <w:tblCaption w:val="Table 17. Race/Ethnicity of Attendees"/>
      </w:tblPr>
      <w:tblGrid>
        <w:gridCol w:w="2875"/>
        <w:gridCol w:w="2880"/>
        <w:gridCol w:w="2610"/>
      </w:tblGrid>
      <w:tr w:rsidR="00FE0BE8" w:rsidRPr="004B7B2C" w:rsidTr="00865BDE">
        <w:trPr>
          <w:tblHeader/>
        </w:trPr>
        <w:tc>
          <w:tcPr>
            <w:tcW w:w="2875" w:type="dxa"/>
            <w:shd w:val="clear" w:color="auto" w:fill="2E74B5" w:themeFill="accent1" w:themeFillShade="BF"/>
          </w:tcPr>
          <w:p w:rsidR="00FE0BE8" w:rsidRPr="00463A5F" w:rsidRDefault="00FE0BE8" w:rsidP="00FE0BE8">
            <w:pP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Race/Ethnicity</w:t>
            </w:r>
          </w:p>
        </w:tc>
        <w:tc>
          <w:tcPr>
            <w:tcW w:w="2880" w:type="dxa"/>
            <w:shd w:val="clear" w:color="auto" w:fill="2E74B5" w:themeFill="accent1" w:themeFillShade="BF"/>
          </w:tcPr>
          <w:p w:rsidR="00FE0BE8" w:rsidRPr="00463A5F" w:rsidRDefault="00FE0BE8" w:rsidP="00255F7F">
            <w:pPr>
              <w:jc w:val="cente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N</w:t>
            </w:r>
          </w:p>
        </w:tc>
        <w:tc>
          <w:tcPr>
            <w:tcW w:w="2610" w:type="dxa"/>
            <w:shd w:val="clear" w:color="auto" w:fill="2E74B5" w:themeFill="accent1" w:themeFillShade="BF"/>
          </w:tcPr>
          <w:p w:rsidR="00FE0BE8" w:rsidRPr="00463A5F" w:rsidRDefault="00FE0BE8" w:rsidP="00255F7F">
            <w:pPr>
              <w:jc w:val="cente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w:t>
            </w:r>
          </w:p>
        </w:tc>
      </w:tr>
      <w:tr w:rsidR="00FE0BE8" w:rsidRPr="004B7B2C" w:rsidTr="00007C58">
        <w:tc>
          <w:tcPr>
            <w:tcW w:w="2875" w:type="dxa"/>
            <w:shd w:val="clear" w:color="auto" w:fill="DCE6F1"/>
          </w:tcPr>
          <w:p w:rsidR="00FE0BE8" w:rsidRPr="004B7B2C" w:rsidRDefault="00FE0BE8" w:rsidP="00007C58">
            <w:pPr>
              <w:rPr>
                <w:rFonts w:ascii="Times New Roman" w:hAnsi="Times New Roman" w:cs="Times New Roman"/>
                <w:bCs/>
                <w:sz w:val="24"/>
                <w:szCs w:val="24"/>
              </w:rPr>
            </w:pPr>
            <w:r w:rsidRPr="004B7B2C">
              <w:rPr>
                <w:rFonts w:ascii="Times New Roman" w:hAnsi="Times New Roman" w:cs="Times New Roman"/>
                <w:bCs/>
                <w:sz w:val="24"/>
                <w:szCs w:val="24"/>
              </w:rPr>
              <w:t>Asian</w:t>
            </w:r>
          </w:p>
        </w:tc>
        <w:tc>
          <w:tcPr>
            <w:tcW w:w="2880" w:type="dxa"/>
            <w:vAlign w:val="bottom"/>
          </w:tcPr>
          <w:p w:rsidR="00FE0BE8" w:rsidRPr="00007C58" w:rsidRDefault="00FE0BE8" w:rsidP="00007C58">
            <w:pPr>
              <w:jc w:val="center"/>
              <w:rPr>
                <w:rFonts w:ascii="Times New Roman" w:hAnsi="Times New Roman" w:cs="Times New Roman"/>
                <w:bCs/>
                <w:sz w:val="24"/>
                <w:szCs w:val="24"/>
              </w:rPr>
            </w:pPr>
            <w:r w:rsidRPr="00007C58">
              <w:rPr>
                <w:rFonts w:ascii="Times New Roman" w:hAnsi="Times New Roman" w:cs="Times New Roman"/>
                <w:color w:val="000000"/>
                <w:sz w:val="24"/>
                <w:szCs w:val="24"/>
              </w:rPr>
              <w:t>73,735</w:t>
            </w:r>
          </w:p>
        </w:tc>
        <w:tc>
          <w:tcPr>
            <w:tcW w:w="2610" w:type="dxa"/>
            <w:vAlign w:val="bottom"/>
          </w:tcPr>
          <w:p w:rsidR="00FE0BE8" w:rsidRPr="00007C58" w:rsidRDefault="00FE0BE8" w:rsidP="00007C58">
            <w:pPr>
              <w:jc w:val="center"/>
              <w:rPr>
                <w:rFonts w:ascii="Times New Roman" w:hAnsi="Times New Roman" w:cs="Times New Roman"/>
                <w:color w:val="000000"/>
                <w:sz w:val="24"/>
                <w:szCs w:val="24"/>
              </w:rPr>
            </w:pPr>
            <w:r w:rsidRPr="00007C58">
              <w:rPr>
                <w:rFonts w:ascii="Times New Roman" w:hAnsi="Times New Roman" w:cs="Times New Roman"/>
                <w:color w:val="000000"/>
                <w:sz w:val="24"/>
                <w:szCs w:val="24"/>
              </w:rPr>
              <w:t>4.4</w:t>
            </w:r>
          </w:p>
        </w:tc>
      </w:tr>
      <w:tr w:rsidR="00FE0BE8" w:rsidRPr="004B7B2C" w:rsidTr="00007C58">
        <w:tc>
          <w:tcPr>
            <w:tcW w:w="2875" w:type="dxa"/>
            <w:shd w:val="clear" w:color="auto" w:fill="DCE6F1"/>
          </w:tcPr>
          <w:p w:rsidR="00FE0BE8" w:rsidRPr="004B7B2C" w:rsidRDefault="00FE0BE8" w:rsidP="00007C58">
            <w:pPr>
              <w:rPr>
                <w:rFonts w:ascii="Times New Roman" w:hAnsi="Times New Roman" w:cs="Times New Roman"/>
                <w:bCs/>
                <w:sz w:val="24"/>
                <w:szCs w:val="24"/>
              </w:rPr>
            </w:pPr>
            <w:r w:rsidRPr="004B7B2C">
              <w:rPr>
                <w:rFonts w:ascii="Times New Roman" w:hAnsi="Times New Roman" w:cs="Times New Roman"/>
                <w:bCs/>
                <w:sz w:val="24"/>
                <w:szCs w:val="24"/>
              </w:rPr>
              <w:t>Black</w:t>
            </w:r>
          </w:p>
        </w:tc>
        <w:tc>
          <w:tcPr>
            <w:tcW w:w="2880" w:type="dxa"/>
            <w:vAlign w:val="bottom"/>
          </w:tcPr>
          <w:p w:rsidR="00FE0BE8" w:rsidRPr="00007C58" w:rsidRDefault="00FE0BE8" w:rsidP="00007C58">
            <w:pPr>
              <w:jc w:val="center"/>
              <w:rPr>
                <w:rFonts w:ascii="Times New Roman" w:hAnsi="Times New Roman" w:cs="Times New Roman"/>
                <w:bCs/>
                <w:sz w:val="24"/>
                <w:szCs w:val="24"/>
              </w:rPr>
            </w:pPr>
            <w:r w:rsidRPr="00007C58">
              <w:rPr>
                <w:rFonts w:ascii="Times New Roman" w:hAnsi="Times New Roman" w:cs="Times New Roman"/>
                <w:color w:val="000000"/>
                <w:sz w:val="24"/>
                <w:szCs w:val="24"/>
              </w:rPr>
              <w:t>377,063</w:t>
            </w:r>
          </w:p>
        </w:tc>
        <w:tc>
          <w:tcPr>
            <w:tcW w:w="2610" w:type="dxa"/>
            <w:vAlign w:val="bottom"/>
          </w:tcPr>
          <w:p w:rsidR="00FE0BE8" w:rsidRPr="00007C58" w:rsidRDefault="00FE0BE8" w:rsidP="00007C58">
            <w:pPr>
              <w:jc w:val="center"/>
              <w:rPr>
                <w:rFonts w:ascii="Times New Roman" w:hAnsi="Times New Roman" w:cs="Times New Roman"/>
                <w:color w:val="000000"/>
                <w:sz w:val="24"/>
                <w:szCs w:val="24"/>
              </w:rPr>
            </w:pPr>
            <w:r w:rsidRPr="00007C58">
              <w:rPr>
                <w:rFonts w:ascii="Times New Roman" w:hAnsi="Times New Roman" w:cs="Times New Roman"/>
                <w:color w:val="000000"/>
                <w:sz w:val="24"/>
                <w:szCs w:val="24"/>
              </w:rPr>
              <w:t>22.4</w:t>
            </w:r>
          </w:p>
        </w:tc>
      </w:tr>
      <w:tr w:rsidR="00FE0BE8" w:rsidRPr="004B7B2C" w:rsidTr="00007C58">
        <w:tc>
          <w:tcPr>
            <w:tcW w:w="2875" w:type="dxa"/>
            <w:shd w:val="clear" w:color="auto" w:fill="DCE6F1"/>
          </w:tcPr>
          <w:p w:rsidR="00FE0BE8" w:rsidRPr="004B7B2C" w:rsidRDefault="00FE0BE8" w:rsidP="00007C58">
            <w:pPr>
              <w:rPr>
                <w:rFonts w:ascii="Times New Roman" w:hAnsi="Times New Roman" w:cs="Times New Roman"/>
                <w:bCs/>
                <w:sz w:val="24"/>
                <w:szCs w:val="24"/>
              </w:rPr>
            </w:pPr>
            <w:r w:rsidRPr="004B7B2C">
              <w:rPr>
                <w:rFonts w:ascii="Times New Roman" w:hAnsi="Times New Roman" w:cs="Times New Roman"/>
                <w:bCs/>
                <w:sz w:val="24"/>
                <w:szCs w:val="24"/>
              </w:rPr>
              <w:t>Hispanic</w:t>
            </w:r>
          </w:p>
        </w:tc>
        <w:tc>
          <w:tcPr>
            <w:tcW w:w="2880" w:type="dxa"/>
            <w:vAlign w:val="bottom"/>
          </w:tcPr>
          <w:p w:rsidR="00FE0BE8" w:rsidRPr="00007C58" w:rsidRDefault="00FE0BE8" w:rsidP="00007C58">
            <w:pPr>
              <w:jc w:val="center"/>
              <w:rPr>
                <w:rFonts w:ascii="Times New Roman" w:hAnsi="Times New Roman" w:cs="Times New Roman"/>
                <w:bCs/>
                <w:sz w:val="24"/>
                <w:szCs w:val="24"/>
              </w:rPr>
            </w:pPr>
            <w:r w:rsidRPr="00007C58">
              <w:rPr>
                <w:rFonts w:ascii="Times New Roman" w:hAnsi="Times New Roman" w:cs="Times New Roman"/>
                <w:color w:val="000000"/>
                <w:sz w:val="24"/>
                <w:szCs w:val="24"/>
              </w:rPr>
              <w:t>597,807</w:t>
            </w:r>
          </w:p>
        </w:tc>
        <w:tc>
          <w:tcPr>
            <w:tcW w:w="2610" w:type="dxa"/>
            <w:vAlign w:val="bottom"/>
          </w:tcPr>
          <w:p w:rsidR="00FE0BE8" w:rsidRPr="00007C58" w:rsidRDefault="00FE0BE8" w:rsidP="00007C58">
            <w:pPr>
              <w:jc w:val="center"/>
              <w:rPr>
                <w:rFonts w:ascii="Times New Roman" w:hAnsi="Times New Roman" w:cs="Times New Roman"/>
                <w:color w:val="000000"/>
                <w:sz w:val="24"/>
                <w:szCs w:val="24"/>
              </w:rPr>
            </w:pPr>
            <w:r w:rsidRPr="00007C58">
              <w:rPr>
                <w:rFonts w:ascii="Times New Roman" w:hAnsi="Times New Roman" w:cs="Times New Roman"/>
                <w:color w:val="000000"/>
                <w:sz w:val="24"/>
                <w:szCs w:val="24"/>
              </w:rPr>
              <w:t>35.5</w:t>
            </w:r>
          </w:p>
        </w:tc>
      </w:tr>
      <w:tr w:rsidR="00FE0BE8" w:rsidRPr="004B7B2C" w:rsidTr="00007C58">
        <w:tc>
          <w:tcPr>
            <w:tcW w:w="2875" w:type="dxa"/>
            <w:shd w:val="clear" w:color="auto" w:fill="DCE6F1"/>
          </w:tcPr>
          <w:p w:rsidR="00FE0BE8" w:rsidRPr="004B7B2C" w:rsidRDefault="00FE0BE8" w:rsidP="00007C58">
            <w:pPr>
              <w:rPr>
                <w:rFonts w:ascii="Times New Roman" w:hAnsi="Times New Roman" w:cs="Times New Roman"/>
                <w:bCs/>
                <w:sz w:val="24"/>
                <w:szCs w:val="24"/>
              </w:rPr>
            </w:pPr>
            <w:r w:rsidRPr="004B7B2C">
              <w:rPr>
                <w:rFonts w:ascii="Times New Roman" w:hAnsi="Times New Roman" w:cs="Times New Roman"/>
                <w:bCs/>
                <w:sz w:val="24"/>
                <w:szCs w:val="24"/>
              </w:rPr>
              <w:t>Native American</w:t>
            </w:r>
          </w:p>
        </w:tc>
        <w:tc>
          <w:tcPr>
            <w:tcW w:w="2880" w:type="dxa"/>
            <w:vAlign w:val="bottom"/>
          </w:tcPr>
          <w:p w:rsidR="00FE0BE8" w:rsidRPr="00007C58" w:rsidRDefault="00FE0BE8" w:rsidP="00007C58">
            <w:pPr>
              <w:jc w:val="center"/>
              <w:rPr>
                <w:rFonts w:ascii="Times New Roman" w:hAnsi="Times New Roman" w:cs="Times New Roman"/>
                <w:bCs/>
                <w:sz w:val="24"/>
                <w:szCs w:val="24"/>
              </w:rPr>
            </w:pPr>
            <w:r w:rsidRPr="00007C58">
              <w:rPr>
                <w:rFonts w:ascii="Times New Roman" w:hAnsi="Times New Roman" w:cs="Times New Roman"/>
                <w:color w:val="000000"/>
                <w:sz w:val="24"/>
                <w:szCs w:val="24"/>
              </w:rPr>
              <w:t>60,614</w:t>
            </w:r>
          </w:p>
        </w:tc>
        <w:tc>
          <w:tcPr>
            <w:tcW w:w="2610" w:type="dxa"/>
            <w:vAlign w:val="bottom"/>
          </w:tcPr>
          <w:p w:rsidR="00FE0BE8" w:rsidRPr="00007C58" w:rsidRDefault="00FE0BE8" w:rsidP="00007C58">
            <w:pPr>
              <w:jc w:val="center"/>
              <w:rPr>
                <w:rFonts w:ascii="Times New Roman" w:hAnsi="Times New Roman" w:cs="Times New Roman"/>
                <w:color w:val="000000"/>
                <w:sz w:val="24"/>
                <w:szCs w:val="24"/>
              </w:rPr>
            </w:pPr>
            <w:r w:rsidRPr="00007C58">
              <w:rPr>
                <w:rFonts w:ascii="Times New Roman" w:hAnsi="Times New Roman" w:cs="Times New Roman"/>
                <w:color w:val="000000"/>
                <w:sz w:val="24"/>
                <w:szCs w:val="24"/>
              </w:rPr>
              <w:t>3.6</w:t>
            </w:r>
          </w:p>
        </w:tc>
      </w:tr>
      <w:tr w:rsidR="00FE0BE8" w:rsidRPr="004B7B2C" w:rsidTr="00007C58">
        <w:tc>
          <w:tcPr>
            <w:tcW w:w="2875" w:type="dxa"/>
            <w:shd w:val="clear" w:color="auto" w:fill="DCE6F1"/>
          </w:tcPr>
          <w:p w:rsidR="00FE0BE8" w:rsidRPr="00463A5F" w:rsidRDefault="00FE0BE8" w:rsidP="00007C58">
            <w:pPr>
              <w:rPr>
                <w:rFonts w:ascii="Times New Roman" w:hAnsi="Times New Roman" w:cs="Times New Roman"/>
                <w:bCs/>
                <w:sz w:val="24"/>
                <w:szCs w:val="24"/>
              </w:rPr>
            </w:pPr>
            <w:r w:rsidRPr="00463A5F">
              <w:rPr>
                <w:rFonts w:ascii="Times New Roman" w:hAnsi="Times New Roman" w:cs="Times New Roman"/>
                <w:bCs/>
                <w:sz w:val="24"/>
                <w:szCs w:val="24"/>
              </w:rPr>
              <w:t>Pacific Islander</w:t>
            </w:r>
          </w:p>
        </w:tc>
        <w:tc>
          <w:tcPr>
            <w:tcW w:w="2880" w:type="dxa"/>
            <w:vAlign w:val="bottom"/>
          </w:tcPr>
          <w:p w:rsidR="00FE0BE8" w:rsidRPr="00463A5F" w:rsidRDefault="00FE0BE8" w:rsidP="00007C58">
            <w:pPr>
              <w:jc w:val="center"/>
              <w:rPr>
                <w:rFonts w:ascii="Times New Roman" w:hAnsi="Times New Roman" w:cs="Times New Roman"/>
                <w:bCs/>
                <w:sz w:val="24"/>
                <w:szCs w:val="24"/>
              </w:rPr>
            </w:pPr>
            <w:r w:rsidRPr="00463A5F">
              <w:rPr>
                <w:rFonts w:ascii="Times New Roman" w:hAnsi="Times New Roman" w:cs="Times New Roman"/>
                <w:color w:val="000000"/>
                <w:sz w:val="24"/>
                <w:szCs w:val="24"/>
              </w:rPr>
              <w:t>258</w:t>
            </w:r>
          </w:p>
        </w:tc>
        <w:tc>
          <w:tcPr>
            <w:tcW w:w="2610" w:type="dxa"/>
            <w:vAlign w:val="bottom"/>
          </w:tcPr>
          <w:p w:rsidR="00FE0BE8" w:rsidRPr="00007C58" w:rsidRDefault="00FE0BE8" w:rsidP="00007C58">
            <w:pPr>
              <w:jc w:val="center"/>
              <w:rPr>
                <w:rFonts w:ascii="Times New Roman" w:hAnsi="Times New Roman" w:cs="Times New Roman"/>
                <w:color w:val="000000"/>
                <w:sz w:val="24"/>
                <w:szCs w:val="24"/>
              </w:rPr>
            </w:pPr>
            <w:r w:rsidRPr="00463A5F">
              <w:rPr>
                <w:rFonts w:ascii="Times New Roman" w:hAnsi="Times New Roman" w:cs="Times New Roman"/>
                <w:color w:val="000000"/>
                <w:sz w:val="24"/>
                <w:szCs w:val="24"/>
              </w:rPr>
              <w:t>0.02</w:t>
            </w:r>
          </w:p>
        </w:tc>
      </w:tr>
      <w:tr w:rsidR="00FE0BE8" w:rsidRPr="004B7B2C" w:rsidTr="00007C58">
        <w:tc>
          <w:tcPr>
            <w:tcW w:w="2875" w:type="dxa"/>
            <w:shd w:val="clear" w:color="auto" w:fill="DCE6F1"/>
          </w:tcPr>
          <w:p w:rsidR="00FE0BE8" w:rsidRPr="004B7B2C" w:rsidRDefault="00FE0BE8" w:rsidP="00007C58">
            <w:pPr>
              <w:rPr>
                <w:rFonts w:ascii="Times New Roman" w:hAnsi="Times New Roman" w:cs="Times New Roman"/>
                <w:bCs/>
                <w:sz w:val="24"/>
                <w:szCs w:val="24"/>
              </w:rPr>
            </w:pPr>
            <w:r w:rsidRPr="004B7B2C">
              <w:rPr>
                <w:rFonts w:ascii="Times New Roman" w:hAnsi="Times New Roman" w:cs="Times New Roman"/>
                <w:bCs/>
                <w:sz w:val="24"/>
                <w:szCs w:val="24"/>
              </w:rPr>
              <w:t>White</w:t>
            </w:r>
          </w:p>
        </w:tc>
        <w:tc>
          <w:tcPr>
            <w:tcW w:w="2880" w:type="dxa"/>
            <w:vAlign w:val="bottom"/>
          </w:tcPr>
          <w:p w:rsidR="00FE0BE8" w:rsidRPr="00007C58" w:rsidRDefault="00FE0BE8" w:rsidP="00007C58">
            <w:pPr>
              <w:jc w:val="center"/>
              <w:rPr>
                <w:rFonts w:ascii="Times New Roman" w:hAnsi="Times New Roman" w:cs="Times New Roman"/>
                <w:bCs/>
                <w:sz w:val="24"/>
                <w:szCs w:val="24"/>
              </w:rPr>
            </w:pPr>
            <w:r w:rsidRPr="00007C58">
              <w:rPr>
                <w:rFonts w:ascii="Times New Roman" w:hAnsi="Times New Roman" w:cs="Times New Roman"/>
                <w:color w:val="000000"/>
                <w:sz w:val="24"/>
                <w:szCs w:val="24"/>
              </w:rPr>
              <w:t>498,592</w:t>
            </w:r>
          </w:p>
        </w:tc>
        <w:tc>
          <w:tcPr>
            <w:tcW w:w="2610" w:type="dxa"/>
            <w:vAlign w:val="bottom"/>
          </w:tcPr>
          <w:p w:rsidR="00FE0BE8" w:rsidRPr="00007C58" w:rsidRDefault="00FE0BE8" w:rsidP="00007C58">
            <w:pPr>
              <w:jc w:val="center"/>
              <w:rPr>
                <w:rFonts w:ascii="Times New Roman" w:hAnsi="Times New Roman" w:cs="Times New Roman"/>
                <w:color w:val="000000"/>
                <w:sz w:val="24"/>
                <w:szCs w:val="24"/>
              </w:rPr>
            </w:pPr>
            <w:r w:rsidRPr="00007C58">
              <w:rPr>
                <w:rFonts w:ascii="Times New Roman" w:hAnsi="Times New Roman" w:cs="Times New Roman"/>
                <w:color w:val="000000"/>
                <w:sz w:val="24"/>
                <w:szCs w:val="24"/>
              </w:rPr>
              <w:t>29.6</w:t>
            </w:r>
          </w:p>
        </w:tc>
      </w:tr>
      <w:tr w:rsidR="00FE0BE8" w:rsidRPr="004B7B2C" w:rsidTr="00007C58">
        <w:tc>
          <w:tcPr>
            <w:tcW w:w="2875" w:type="dxa"/>
            <w:tcBorders>
              <w:bottom w:val="single" w:sz="2" w:space="0" w:color="auto"/>
            </w:tcBorders>
            <w:shd w:val="clear" w:color="auto" w:fill="DCE6F1"/>
          </w:tcPr>
          <w:p w:rsidR="00FE0BE8" w:rsidRPr="004B7B2C" w:rsidRDefault="00FE0BE8" w:rsidP="00007C58">
            <w:pPr>
              <w:rPr>
                <w:rFonts w:ascii="Times New Roman" w:hAnsi="Times New Roman" w:cs="Times New Roman"/>
                <w:bCs/>
                <w:sz w:val="24"/>
                <w:szCs w:val="24"/>
              </w:rPr>
            </w:pPr>
            <w:r w:rsidRPr="004B7B2C">
              <w:rPr>
                <w:rFonts w:ascii="Times New Roman" w:hAnsi="Times New Roman" w:cs="Times New Roman"/>
                <w:bCs/>
                <w:sz w:val="24"/>
                <w:szCs w:val="24"/>
              </w:rPr>
              <w:t>Unknown</w:t>
            </w:r>
          </w:p>
        </w:tc>
        <w:tc>
          <w:tcPr>
            <w:tcW w:w="2880" w:type="dxa"/>
            <w:tcBorders>
              <w:bottom w:val="single" w:sz="2" w:space="0" w:color="auto"/>
            </w:tcBorders>
            <w:vAlign w:val="bottom"/>
          </w:tcPr>
          <w:p w:rsidR="00FE0BE8" w:rsidRPr="00007C58" w:rsidRDefault="00FE0BE8" w:rsidP="00007C58">
            <w:pPr>
              <w:jc w:val="center"/>
              <w:rPr>
                <w:rFonts w:ascii="Times New Roman" w:hAnsi="Times New Roman" w:cs="Times New Roman"/>
                <w:bCs/>
                <w:sz w:val="24"/>
                <w:szCs w:val="24"/>
              </w:rPr>
            </w:pPr>
            <w:r w:rsidRPr="00007C58">
              <w:rPr>
                <w:rFonts w:ascii="Times New Roman" w:hAnsi="Times New Roman" w:cs="Times New Roman"/>
                <w:color w:val="000000"/>
                <w:sz w:val="24"/>
                <w:szCs w:val="24"/>
              </w:rPr>
              <w:t>74,400</w:t>
            </w:r>
          </w:p>
        </w:tc>
        <w:tc>
          <w:tcPr>
            <w:tcW w:w="2610" w:type="dxa"/>
            <w:tcBorders>
              <w:bottom w:val="single" w:sz="2" w:space="0" w:color="auto"/>
            </w:tcBorders>
            <w:vAlign w:val="bottom"/>
          </w:tcPr>
          <w:p w:rsidR="00FE0BE8" w:rsidRPr="00007C58" w:rsidRDefault="00FE0BE8" w:rsidP="00007C58">
            <w:pPr>
              <w:jc w:val="center"/>
              <w:rPr>
                <w:rFonts w:ascii="Times New Roman" w:hAnsi="Times New Roman" w:cs="Times New Roman"/>
                <w:color w:val="000000"/>
                <w:sz w:val="24"/>
                <w:szCs w:val="24"/>
              </w:rPr>
            </w:pPr>
            <w:r w:rsidRPr="00007C58">
              <w:rPr>
                <w:rFonts w:ascii="Times New Roman" w:hAnsi="Times New Roman" w:cs="Times New Roman"/>
                <w:color w:val="000000"/>
                <w:sz w:val="24"/>
                <w:szCs w:val="24"/>
              </w:rPr>
              <w:t>4.4</w:t>
            </w:r>
          </w:p>
        </w:tc>
      </w:tr>
      <w:tr w:rsidR="00FE0BE8" w:rsidRPr="004B7B2C" w:rsidTr="00007C58">
        <w:tc>
          <w:tcPr>
            <w:tcW w:w="2875" w:type="dxa"/>
            <w:tcBorders>
              <w:top w:val="single" w:sz="2" w:space="0" w:color="auto"/>
              <w:left w:val="single" w:sz="2" w:space="0" w:color="auto"/>
              <w:bottom w:val="single" w:sz="2" w:space="0" w:color="auto"/>
              <w:right w:val="single" w:sz="2" w:space="0" w:color="auto"/>
            </w:tcBorders>
            <w:shd w:val="clear" w:color="auto" w:fill="FFFFFF" w:themeFill="background1"/>
          </w:tcPr>
          <w:p w:rsidR="00FE0BE8" w:rsidRPr="004B7B2C" w:rsidRDefault="00FE0BE8" w:rsidP="00007C58">
            <w:pPr>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2880" w:type="dxa"/>
            <w:tcBorders>
              <w:top w:val="single" w:sz="2" w:space="0" w:color="auto"/>
              <w:left w:val="single" w:sz="2" w:space="0" w:color="auto"/>
              <w:bottom w:val="single" w:sz="2" w:space="0" w:color="auto"/>
              <w:right w:val="single" w:sz="2" w:space="0" w:color="auto"/>
            </w:tcBorders>
            <w:vAlign w:val="bottom"/>
          </w:tcPr>
          <w:p w:rsidR="00FE0BE8" w:rsidRPr="00007C58" w:rsidRDefault="00FE0BE8" w:rsidP="00007C58">
            <w:pPr>
              <w:jc w:val="center"/>
              <w:rPr>
                <w:rFonts w:ascii="Times New Roman" w:hAnsi="Times New Roman" w:cs="Times New Roman"/>
                <w:b/>
                <w:bCs/>
                <w:sz w:val="24"/>
                <w:szCs w:val="24"/>
              </w:rPr>
            </w:pPr>
            <w:r>
              <w:rPr>
                <w:rFonts w:ascii="Times New Roman" w:hAnsi="Times New Roman" w:cs="Times New Roman"/>
                <w:b/>
                <w:color w:val="000000"/>
                <w:sz w:val="24"/>
                <w:szCs w:val="24"/>
              </w:rPr>
              <w:t>1,682,469</w:t>
            </w:r>
          </w:p>
        </w:tc>
        <w:tc>
          <w:tcPr>
            <w:tcW w:w="2610" w:type="dxa"/>
            <w:tcBorders>
              <w:top w:val="single" w:sz="2" w:space="0" w:color="auto"/>
              <w:left w:val="single" w:sz="2" w:space="0" w:color="auto"/>
              <w:bottom w:val="single" w:sz="2" w:space="0" w:color="auto"/>
              <w:right w:val="single" w:sz="2" w:space="0" w:color="auto"/>
            </w:tcBorders>
            <w:vAlign w:val="bottom"/>
          </w:tcPr>
          <w:p w:rsidR="00FE0BE8" w:rsidRPr="00007C58" w:rsidRDefault="00FE0BE8" w:rsidP="00007C58">
            <w:pPr>
              <w:jc w:val="center"/>
              <w:rPr>
                <w:rFonts w:ascii="Times New Roman" w:hAnsi="Times New Roman" w:cs="Times New Roman"/>
                <w:b/>
                <w:bCs/>
                <w:sz w:val="24"/>
                <w:szCs w:val="24"/>
              </w:rPr>
            </w:pPr>
            <w:r w:rsidRPr="00007C58">
              <w:rPr>
                <w:rFonts w:ascii="Times New Roman" w:hAnsi="Times New Roman" w:cs="Times New Roman"/>
                <w:b/>
                <w:color w:val="000000"/>
                <w:sz w:val="24"/>
                <w:szCs w:val="24"/>
              </w:rPr>
              <w:t>100.0</w:t>
            </w:r>
          </w:p>
        </w:tc>
      </w:tr>
    </w:tbl>
    <w:p w:rsidR="008D7E37" w:rsidRPr="004B7B2C" w:rsidRDefault="004D47EE" w:rsidP="00865BDE">
      <w:pPr>
        <w:pStyle w:val="Heading3"/>
        <w:spacing w:before="480"/>
        <w:ind w:right="0"/>
        <w:rPr>
          <w:bCs/>
        </w:rPr>
      </w:pPr>
      <w:bookmarkStart w:id="51" w:name="_Toc422397365"/>
      <w:bookmarkStart w:id="52" w:name="_Toc446579724"/>
      <w:proofErr w:type="gramStart"/>
      <w:r>
        <w:t>Table 18</w:t>
      </w:r>
      <w:r w:rsidR="00437C3A" w:rsidRPr="004B7B2C">
        <w:t>.</w:t>
      </w:r>
      <w:proofErr w:type="gramEnd"/>
      <w:r w:rsidR="00437C3A" w:rsidRPr="004B7B2C">
        <w:t xml:space="preserve">  Number of Participants per Grade Level</w:t>
      </w:r>
      <w:bookmarkEnd w:id="51"/>
      <w:bookmarkEnd w:id="52"/>
    </w:p>
    <w:tbl>
      <w:tblPr>
        <w:tblStyle w:val="TableGrid"/>
        <w:tblW w:w="0" w:type="auto"/>
        <w:tblLook w:val="04A0" w:firstRow="1" w:lastRow="0" w:firstColumn="1" w:lastColumn="0" w:noHBand="0" w:noVBand="1"/>
        <w:tblCaption w:val="Table 18.  Number of Participants per Grade Level"/>
      </w:tblPr>
      <w:tblGrid>
        <w:gridCol w:w="1870"/>
        <w:gridCol w:w="1870"/>
        <w:gridCol w:w="1870"/>
        <w:gridCol w:w="1870"/>
        <w:gridCol w:w="1870"/>
      </w:tblGrid>
      <w:tr w:rsidR="00437C3A" w:rsidRPr="004B7B2C" w:rsidTr="00865BDE">
        <w:trPr>
          <w:tblHeader/>
        </w:trPr>
        <w:tc>
          <w:tcPr>
            <w:tcW w:w="1870" w:type="dxa"/>
            <w:shd w:val="clear" w:color="auto" w:fill="2E74B5" w:themeFill="accent1" w:themeFillShade="BF"/>
          </w:tcPr>
          <w:p w:rsidR="00437C3A" w:rsidRPr="00463A5F" w:rsidRDefault="003D09FD" w:rsidP="00463A5F">
            <w:pPr>
              <w:rPr>
                <w:rFonts w:ascii="Times New Roman" w:hAnsi="Times New Roman" w:cs="Times New Roman"/>
                <w:b/>
                <w:bCs/>
                <w:color w:val="FFFFFF" w:themeColor="background1"/>
                <w:sz w:val="24"/>
                <w:szCs w:val="24"/>
              </w:rPr>
            </w:pPr>
            <w:bookmarkStart w:id="53" w:name="OLE_LINK1"/>
            <w:r w:rsidRPr="00463A5F">
              <w:rPr>
                <w:rFonts w:ascii="Times New Roman" w:hAnsi="Times New Roman" w:cs="Times New Roman"/>
                <w:b/>
                <w:bCs/>
                <w:color w:val="FFFFFF" w:themeColor="background1"/>
                <w:sz w:val="24"/>
                <w:szCs w:val="24"/>
              </w:rPr>
              <w:t>Grade Level</w:t>
            </w:r>
          </w:p>
        </w:tc>
        <w:tc>
          <w:tcPr>
            <w:tcW w:w="1870" w:type="dxa"/>
            <w:shd w:val="clear" w:color="auto" w:fill="2E74B5" w:themeFill="accent1" w:themeFillShade="BF"/>
          </w:tcPr>
          <w:p w:rsidR="00437C3A" w:rsidRPr="00463A5F" w:rsidRDefault="00463A5F" w:rsidP="00463A5F">
            <w:pP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Total Student Attendees (</w:t>
            </w:r>
            <w:r w:rsidR="00437C3A" w:rsidRPr="00463A5F">
              <w:rPr>
                <w:rFonts w:ascii="Times New Roman" w:hAnsi="Times New Roman" w:cs="Times New Roman"/>
                <w:b/>
                <w:bCs/>
                <w:color w:val="FFFFFF" w:themeColor="background1"/>
                <w:sz w:val="24"/>
                <w:szCs w:val="24"/>
              </w:rPr>
              <w:t>N</w:t>
            </w:r>
            <w:r w:rsidRPr="00463A5F">
              <w:rPr>
                <w:rFonts w:ascii="Times New Roman" w:hAnsi="Times New Roman" w:cs="Times New Roman"/>
                <w:b/>
                <w:bCs/>
                <w:color w:val="FFFFFF" w:themeColor="background1"/>
                <w:sz w:val="24"/>
                <w:szCs w:val="24"/>
              </w:rPr>
              <w:t>)</w:t>
            </w:r>
          </w:p>
        </w:tc>
        <w:tc>
          <w:tcPr>
            <w:tcW w:w="1870" w:type="dxa"/>
            <w:shd w:val="clear" w:color="auto" w:fill="2E74B5" w:themeFill="accent1" w:themeFillShade="BF"/>
          </w:tcPr>
          <w:p w:rsidR="00437C3A" w:rsidRPr="00463A5F" w:rsidRDefault="00463A5F" w:rsidP="00463A5F">
            <w:pP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Total Student Attendees (</w:t>
            </w:r>
            <w:r w:rsidR="00437C3A" w:rsidRPr="00463A5F">
              <w:rPr>
                <w:rFonts w:ascii="Times New Roman" w:hAnsi="Times New Roman" w:cs="Times New Roman"/>
                <w:b/>
                <w:bCs/>
                <w:color w:val="FFFFFF" w:themeColor="background1"/>
                <w:sz w:val="24"/>
                <w:szCs w:val="24"/>
              </w:rPr>
              <w:t>%</w:t>
            </w:r>
            <w:r w:rsidRPr="00463A5F">
              <w:rPr>
                <w:rFonts w:ascii="Times New Roman" w:hAnsi="Times New Roman" w:cs="Times New Roman"/>
                <w:b/>
                <w:bCs/>
                <w:color w:val="FFFFFF" w:themeColor="background1"/>
                <w:sz w:val="24"/>
                <w:szCs w:val="24"/>
              </w:rPr>
              <w:t>)</w:t>
            </w:r>
          </w:p>
        </w:tc>
        <w:tc>
          <w:tcPr>
            <w:tcW w:w="1870" w:type="dxa"/>
            <w:shd w:val="clear" w:color="auto" w:fill="2E74B5" w:themeFill="accent1" w:themeFillShade="BF"/>
          </w:tcPr>
          <w:p w:rsidR="00437C3A" w:rsidRPr="00463A5F" w:rsidRDefault="00463A5F" w:rsidP="00463A5F">
            <w:pP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Total Regular Student Attendees (</w:t>
            </w:r>
            <w:r w:rsidR="00437C3A" w:rsidRPr="00463A5F">
              <w:rPr>
                <w:rFonts w:ascii="Times New Roman" w:hAnsi="Times New Roman" w:cs="Times New Roman"/>
                <w:b/>
                <w:bCs/>
                <w:color w:val="FFFFFF" w:themeColor="background1"/>
                <w:sz w:val="24"/>
                <w:szCs w:val="24"/>
              </w:rPr>
              <w:t>N</w:t>
            </w:r>
            <w:r w:rsidRPr="00463A5F">
              <w:rPr>
                <w:rFonts w:ascii="Times New Roman" w:hAnsi="Times New Roman" w:cs="Times New Roman"/>
                <w:b/>
                <w:bCs/>
                <w:color w:val="FFFFFF" w:themeColor="background1"/>
                <w:sz w:val="24"/>
                <w:szCs w:val="24"/>
              </w:rPr>
              <w:t>)</w:t>
            </w:r>
          </w:p>
        </w:tc>
        <w:tc>
          <w:tcPr>
            <w:tcW w:w="1870" w:type="dxa"/>
            <w:shd w:val="clear" w:color="auto" w:fill="2E74B5" w:themeFill="accent1" w:themeFillShade="BF"/>
          </w:tcPr>
          <w:p w:rsidR="00437C3A" w:rsidRPr="00463A5F" w:rsidRDefault="00463A5F" w:rsidP="00463A5F">
            <w:pPr>
              <w:rPr>
                <w:rFonts w:ascii="Times New Roman" w:hAnsi="Times New Roman" w:cs="Times New Roman"/>
                <w:b/>
                <w:bCs/>
                <w:color w:val="FFFFFF" w:themeColor="background1"/>
                <w:sz w:val="24"/>
                <w:szCs w:val="24"/>
              </w:rPr>
            </w:pPr>
            <w:r w:rsidRPr="00463A5F">
              <w:rPr>
                <w:rFonts w:ascii="Times New Roman" w:hAnsi="Times New Roman" w:cs="Times New Roman"/>
                <w:b/>
                <w:bCs/>
                <w:color w:val="FFFFFF" w:themeColor="background1"/>
                <w:sz w:val="24"/>
                <w:szCs w:val="24"/>
              </w:rPr>
              <w:t>Total Regular Student Attendees (</w:t>
            </w:r>
            <w:r w:rsidR="00437C3A" w:rsidRPr="00463A5F">
              <w:rPr>
                <w:rFonts w:ascii="Times New Roman" w:hAnsi="Times New Roman" w:cs="Times New Roman"/>
                <w:b/>
                <w:bCs/>
                <w:color w:val="FFFFFF" w:themeColor="background1"/>
                <w:sz w:val="24"/>
                <w:szCs w:val="24"/>
              </w:rPr>
              <w:t>%</w:t>
            </w:r>
            <w:r w:rsidRPr="00463A5F">
              <w:rPr>
                <w:rFonts w:ascii="Times New Roman" w:hAnsi="Times New Roman" w:cs="Times New Roman"/>
                <w:b/>
                <w:bCs/>
                <w:color w:val="FFFFFF" w:themeColor="background1"/>
                <w:sz w:val="24"/>
                <w:szCs w:val="24"/>
              </w:rPr>
              <w:t>)</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Pre-K</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7,665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0.5</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4,470</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0.5</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K</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69,719</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4.3</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44,345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5.4</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1</w:t>
            </w:r>
            <w:r w:rsidRPr="004B7B2C">
              <w:rPr>
                <w:rFonts w:ascii="Times New Roman" w:hAnsi="Times New Roman" w:cs="Times New Roman"/>
                <w:bCs/>
                <w:sz w:val="24"/>
                <w:szCs w:val="24"/>
                <w:vertAlign w:val="superscript"/>
              </w:rPr>
              <w:t>st</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109,645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6.8</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72,032</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8.7</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2</w:t>
            </w:r>
            <w:r w:rsidRPr="004B7B2C">
              <w:rPr>
                <w:rFonts w:ascii="Times New Roman" w:hAnsi="Times New Roman" w:cs="Times New Roman"/>
                <w:bCs/>
                <w:sz w:val="24"/>
                <w:szCs w:val="24"/>
                <w:vertAlign w:val="superscript"/>
              </w:rPr>
              <w:t>nd</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124,037</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7.7</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83,861</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10.2</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3</w:t>
            </w:r>
            <w:r w:rsidRPr="004B7B2C">
              <w:rPr>
                <w:rFonts w:ascii="Times New Roman" w:hAnsi="Times New Roman" w:cs="Times New Roman"/>
                <w:bCs/>
                <w:sz w:val="24"/>
                <w:szCs w:val="24"/>
                <w:vertAlign w:val="superscript"/>
              </w:rPr>
              <w:t>rd</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144,814</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9.0</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98,009</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11.9</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4</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144,485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9.0</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96,105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11.6</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5</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140,335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8.7</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86,588</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10.5</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6</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146,293</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9.1</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79,935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9.7</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lastRenderedPageBreak/>
              <w:t>7</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130,582</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8.1</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63,511</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7.7</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8</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113,949</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7.1</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51,880</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6.3</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9</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133,546</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8.3</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38,371</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4.6</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10</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123,374</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7.7</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38,116</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4.6</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11</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114,625</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7.1</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36,051</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4.4</w:t>
            </w:r>
          </w:p>
        </w:tc>
      </w:tr>
      <w:tr w:rsidR="00CA065E" w:rsidRPr="004B7B2C" w:rsidTr="008C08F2">
        <w:tc>
          <w:tcPr>
            <w:tcW w:w="1870" w:type="dxa"/>
            <w:shd w:val="clear" w:color="auto" w:fill="DCE6F1"/>
          </w:tcPr>
          <w:p w:rsidR="00CA065E" w:rsidRPr="004B7B2C" w:rsidRDefault="00CA065E" w:rsidP="00CA065E">
            <w:pPr>
              <w:jc w:val="right"/>
              <w:rPr>
                <w:rFonts w:ascii="Times New Roman" w:hAnsi="Times New Roman" w:cs="Times New Roman"/>
                <w:bCs/>
                <w:sz w:val="24"/>
                <w:szCs w:val="24"/>
              </w:rPr>
            </w:pPr>
            <w:r w:rsidRPr="004B7B2C">
              <w:rPr>
                <w:rFonts w:ascii="Times New Roman" w:hAnsi="Times New Roman" w:cs="Times New Roman"/>
                <w:bCs/>
                <w:sz w:val="24"/>
                <w:szCs w:val="24"/>
              </w:rPr>
              <w:t>12</w:t>
            </w:r>
            <w:r w:rsidRPr="004B7B2C">
              <w:rPr>
                <w:rFonts w:ascii="Times New Roman" w:hAnsi="Times New Roman" w:cs="Times New Roman"/>
                <w:bCs/>
                <w:sz w:val="24"/>
                <w:szCs w:val="24"/>
                <w:vertAlign w:val="superscript"/>
              </w:rPr>
              <w:t>th</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106,890</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6.6</w:t>
            </w:r>
          </w:p>
        </w:tc>
        <w:tc>
          <w:tcPr>
            <w:tcW w:w="1870" w:type="dxa"/>
            <w:vAlign w:val="bottom"/>
          </w:tcPr>
          <w:p w:rsidR="00CA065E" w:rsidRPr="00CA065E" w:rsidRDefault="00CA065E" w:rsidP="00CA065E">
            <w:pPr>
              <w:jc w:val="center"/>
              <w:rPr>
                <w:rFonts w:ascii="Times New Roman" w:hAnsi="Times New Roman" w:cs="Times New Roman"/>
                <w:bCs/>
                <w:sz w:val="24"/>
                <w:szCs w:val="24"/>
              </w:rPr>
            </w:pPr>
            <w:r w:rsidRPr="00CA065E">
              <w:rPr>
                <w:rFonts w:ascii="Times New Roman" w:hAnsi="Times New Roman" w:cs="Times New Roman"/>
                <w:color w:val="000000"/>
                <w:sz w:val="24"/>
                <w:szCs w:val="24"/>
              </w:rPr>
              <w:t>32,106</w:t>
            </w:r>
          </w:p>
        </w:tc>
        <w:tc>
          <w:tcPr>
            <w:tcW w:w="1870" w:type="dxa"/>
            <w:vAlign w:val="bottom"/>
          </w:tcPr>
          <w:p w:rsidR="00CA065E" w:rsidRPr="00CA065E" w:rsidRDefault="00CA065E" w:rsidP="00CA065E">
            <w:pPr>
              <w:jc w:val="center"/>
              <w:rPr>
                <w:rFonts w:ascii="Times New Roman" w:hAnsi="Times New Roman" w:cs="Times New Roman"/>
                <w:color w:val="000000"/>
                <w:sz w:val="24"/>
                <w:szCs w:val="24"/>
              </w:rPr>
            </w:pPr>
            <w:r w:rsidRPr="00CA065E">
              <w:rPr>
                <w:rFonts w:ascii="Times New Roman" w:hAnsi="Times New Roman" w:cs="Times New Roman"/>
                <w:color w:val="000000"/>
                <w:sz w:val="24"/>
                <w:szCs w:val="24"/>
              </w:rPr>
              <w:t>3.9</w:t>
            </w:r>
          </w:p>
        </w:tc>
      </w:tr>
      <w:tr w:rsidR="00CA065E" w:rsidRPr="004B7B2C" w:rsidTr="008C08F2">
        <w:tc>
          <w:tcPr>
            <w:tcW w:w="1870" w:type="dxa"/>
            <w:shd w:val="clear" w:color="auto" w:fill="FFFFFF" w:themeFill="background1"/>
          </w:tcPr>
          <w:p w:rsidR="00CA065E" w:rsidRPr="004B7B2C" w:rsidRDefault="00CA065E" w:rsidP="00CA065E">
            <w:pPr>
              <w:jc w:val="right"/>
              <w:rPr>
                <w:rFonts w:ascii="Times New Roman" w:hAnsi="Times New Roman" w:cs="Times New Roman"/>
                <w:b/>
                <w:bCs/>
                <w:sz w:val="24"/>
                <w:szCs w:val="24"/>
              </w:rPr>
            </w:pPr>
            <w:r w:rsidRPr="004B7B2C">
              <w:rPr>
                <w:rFonts w:ascii="Times New Roman" w:hAnsi="Times New Roman" w:cs="Times New Roman"/>
                <w:b/>
                <w:bCs/>
                <w:sz w:val="24"/>
                <w:szCs w:val="24"/>
              </w:rPr>
              <w:t>Total</w:t>
            </w:r>
          </w:p>
        </w:tc>
        <w:tc>
          <w:tcPr>
            <w:tcW w:w="1870" w:type="dxa"/>
            <w:vAlign w:val="bottom"/>
          </w:tcPr>
          <w:p w:rsidR="00CA065E" w:rsidRPr="00CA065E" w:rsidRDefault="00CA065E" w:rsidP="00CA065E">
            <w:pPr>
              <w:jc w:val="center"/>
              <w:rPr>
                <w:rFonts w:ascii="Times New Roman" w:hAnsi="Times New Roman" w:cs="Times New Roman"/>
                <w:b/>
                <w:bCs/>
                <w:sz w:val="24"/>
                <w:szCs w:val="24"/>
              </w:rPr>
            </w:pPr>
            <w:r w:rsidRPr="00CA065E">
              <w:rPr>
                <w:rFonts w:ascii="Times New Roman" w:hAnsi="Times New Roman" w:cs="Times New Roman"/>
                <w:b/>
                <w:color w:val="000000"/>
                <w:sz w:val="24"/>
                <w:szCs w:val="24"/>
              </w:rPr>
              <w:t>1,609,959</w:t>
            </w:r>
          </w:p>
        </w:tc>
        <w:tc>
          <w:tcPr>
            <w:tcW w:w="1870" w:type="dxa"/>
            <w:vAlign w:val="bottom"/>
          </w:tcPr>
          <w:p w:rsidR="00CA065E" w:rsidRPr="00CA065E" w:rsidRDefault="00CA065E" w:rsidP="00CA065E">
            <w:pPr>
              <w:jc w:val="center"/>
              <w:rPr>
                <w:rFonts w:ascii="Times New Roman" w:hAnsi="Times New Roman" w:cs="Times New Roman"/>
                <w:b/>
                <w:bCs/>
                <w:sz w:val="24"/>
                <w:szCs w:val="24"/>
              </w:rPr>
            </w:pPr>
            <w:r w:rsidRPr="00CA065E">
              <w:rPr>
                <w:rFonts w:ascii="Times New Roman" w:hAnsi="Times New Roman" w:cs="Times New Roman"/>
                <w:b/>
                <w:color w:val="000000"/>
                <w:sz w:val="24"/>
                <w:szCs w:val="24"/>
              </w:rPr>
              <w:t>100.0</w:t>
            </w:r>
          </w:p>
        </w:tc>
        <w:tc>
          <w:tcPr>
            <w:tcW w:w="1870" w:type="dxa"/>
            <w:vAlign w:val="bottom"/>
          </w:tcPr>
          <w:p w:rsidR="00CA065E" w:rsidRPr="00CA065E" w:rsidRDefault="00CA065E" w:rsidP="00CA065E">
            <w:pPr>
              <w:jc w:val="center"/>
              <w:rPr>
                <w:rFonts w:ascii="Times New Roman" w:hAnsi="Times New Roman" w:cs="Times New Roman"/>
                <w:b/>
                <w:bCs/>
                <w:sz w:val="24"/>
                <w:szCs w:val="24"/>
              </w:rPr>
            </w:pPr>
            <w:r w:rsidRPr="00CA065E">
              <w:rPr>
                <w:rFonts w:ascii="Times New Roman" w:hAnsi="Times New Roman" w:cs="Times New Roman"/>
                <w:b/>
                <w:color w:val="000000"/>
                <w:sz w:val="24"/>
                <w:szCs w:val="24"/>
              </w:rPr>
              <w:t>825,380</w:t>
            </w:r>
          </w:p>
        </w:tc>
        <w:tc>
          <w:tcPr>
            <w:tcW w:w="1870" w:type="dxa"/>
            <w:vAlign w:val="bottom"/>
          </w:tcPr>
          <w:p w:rsidR="00CA065E" w:rsidRPr="00CA065E" w:rsidRDefault="00CA065E" w:rsidP="00CA065E">
            <w:pPr>
              <w:jc w:val="center"/>
              <w:rPr>
                <w:rFonts w:ascii="Times New Roman" w:hAnsi="Times New Roman" w:cs="Times New Roman"/>
                <w:b/>
                <w:bCs/>
                <w:sz w:val="24"/>
                <w:szCs w:val="24"/>
              </w:rPr>
            </w:pPr>
            <w:r w:rsidRPr="00CA065E">
              <w:rPr>
                <w:rFonts w:ascii="Times New Roman" w:hAnsi="Times New Roman" w:cs="Times New Roman"/>
                <w:b/>
                <w:color w:val="000000"/>
                <w:sz w:val="24"/>
                <w:szCs w:val="24"/>
              </w:rPr>
              <w:t>100.0</w:t>
            </w:r>
          </w:p>
        </w:tc>
      </w:tr>
    </w:tbl>
    <w:bookmarkEnd w:id="53"/>
    <w:p w:rsidR="00377ED2" w:rsidRPr="00377ED2" w:rsidRDefault="00377ED2" w:rsidP="00865BDE">
      <w:pPr>
        <w:spacing w:after="240"/>
        <w:rPr>
          <w:rFonts w:ascii="Times New Roman" w:hAnsi="Times New Roman" w:cs="Times New Roman"/>
          <w:bCs/>
          <w:sz w:val="24"/>
          <w:szCs w:val="24"/>
        </w:rPr>
      </w:pPr>
      <w:r w:rsidRPr="00377ED2">
        <w:rPr>
          <w:rFonts w:ascii="Times New Roman" w:hAnsi="Times New Roman" w:cs="Times New Roman"/>
          <w:bCs/>
          <w:sz w:val="24"/>
          <w:szCs w:val="24"/>
        </w:rPr>
        <w:t>Note</w:t>
      </w:r>
      <w:r w:rsidR="00952A38">
        <w:rPr>
          <w:rFonts w:ascii="Times New Roman" w:hAnsi="Times New Roman" w:cs="Times New Roman"/>
          <w:bCs/>
          <w:sz w:val="24"/>
          <w:szCs w:val="24"/>
        </w:rPr>
        <w:t>:</w:t>
      </w:r>
      <w:r w:rsidRPr="00377ED2">
        <w:rPr>
          <w:rFonts w:ascii="Times New Roman" w:hAnsi="Times New Roman" w:cs="Times New Roman"/>
          <w:bCs/>
          <w:sz w:val="24"/>
          <w:szCs w:val="24"/>
        </w:rPr>
        <w:t xml:space="preserve"> </w:t>
      </w:r>
      <w:r>
        <w:rPr>
          <w:rFonts w:ascii="Times New Roman" w:hAnsi="Times New Roman" w:cs="Times New Roman"/>
          <w:bCs/>
          <w:sz w:val="24"/>
          <w:szCs w:val="24"/>
        </w:rPr>
        <w:t xml:space="preserve">Given that </w:t>
      </w:r>
      <w:r w:rsidRPr="00377ED2">
        <w:rPr>
          <w:rFonts w:ascii="Times New Roman" w:hAnsi="Times New Roman" w:cs="Times New Roman"/>
          <w:bCs/>
          <w:sz w:val="24"/>
          <w:szCs w:val="24"/>
        </w:rPr>
        <w:t>not all of the data were</w:t>
      </w:r>
      <w:r>
        <w:rPr>
          <w:rFonts w:ascii="Times New Roman" w:hAnsi="Times New Roman" w:cs="Times New Roman"/>
          <w:bCs/>
          <w:sz w:val="24"/>
          <w:szCs w:val="24"/>
        </w:rPr>
        <w:t xml:space="preserve"> reported, t</w:t>
      </w:r>
      <w:r w:rsidRPr="00377ED2">
        <w:rPr>
          <w:rFonts w:ascii="Times New Roman" w:hAnsi="Times New Roman" w:cs="Times New Roman"/>
          <w:bCs/>
          <w:sz w:val="24"/>
          <w:szCs w:val="24"/>
        </w:rPr>
        <w:t>otal amount</w:t>
      </w:r>
      <w:r>
        <w:rPr>
          <w:rFonts w:ascii="Times New Roman" w:hAnsi="Times New Roman" w:cs="Times New Roman"/>
          <w:bCs/>
          <w:sz w:val="24"/>
          <w:szCs w:val="24"/>
        </w:rPr>
        <w:t>s</w:t>
      </w:r>
      <w:r w:rsidRPr="00377ED2">
        <w:rPr>
          <w:rFonts w:ascii="Times New Roman" w:hAnsi="Times New Roman" w:cs="Times New Roman"/>
          <w:bCs/>
          <w:sz w:val="24"/>
          <w:szCs w:val="24"/>
        </w:rPr>
        <w:t xml:space="preserve"> calculated </w:t>
      </w:r>
      <w:r>
        <w:rPr>
          <w:rFonts w:ascii="Times New Roman" w:hAnsi="Times New Roman" w:cs="Times New Roman"/>
          <w:bCs/>
          <w:sz w:val="24"/>
          <w:szCs w:val="24"/>
        </w:rPr>
        <w:t>differ</w:t>
      </w:r>
      <w:r w:rsidRPr="00377ED2">
        <w:rPr>
          <w:rFonts w:ascii="Times New Roman" w:hAnsi="Times New Roman" w:cs="Times New Roman"/>
          <w:bCs/>
          <w:sz w:val="24"/>
          <w:szCs w:val="24"/>
        </w:rPr>
        <w:t xml:space="preserve"> from the </w:t>
      </w:r>
      <w:r>
        <w:rPr>
          <w:rFonts w:ascii="Times New Roman" w:hAnsi="Times New Roman" w:cs="Times New Roman"/>
          <w:bCs/>
          <w:sz w:val="24"/>
          <w:szCs w:val="24"/>
        </w:rPr>
        <w:t xml:space="preserve">actual </w:t>
      </w:r>
      <w:r w:rsidRPr="00377ED2">
        <w:rPr>
          <w:rFonts w:ascii="Times New Roman" w:hAnsi="Times New Roman" w:cs="Times New Roman"/>
          <w:bCs/>
          <w:sz w:val="24"/>
          <w:szCs w:val="24"/>
        </w:rPr>
        <w:t>amount</w:t>
      </w:r>
      <w:r>
        <w:rPr>
          <w:rFonts w:ascii="Times New Roman" w:hAnsi="Times New Roman" w:cs="Times New Roman"/>
          <w:bCs/>
          <w:sz w:val="24"/>
          <w:szCs w:val="24"/>
        </w:rPr>
        <w:t>s</w:t>
      </w:r>
      <w:r w:rsidRPr="00377ED2">
        <w:rPr>
          <w:rFonts w:ascii="Times New Roman" w:hAnsi="Times New Roman" w:cs="Times New Roman"/>
          <w:bCs/>
          <w:sz w:val="24"/>
          <w:szCs w:val="24"/>
        </w:rPr>
        <w:t xml:space="preserve"> </w:t>
      </w:r>
      <w:r>
        <w:rPr>
          <w:rFonts w:ascii="Times New Roman" w:hAnsi="Times New Roman" w:cs="Times New Roman"/>
          <w:bCs/>
          <w:sz w:val="24"/>
          <w:szCs w:val="24"/>
        </w:rPr>
        <w:t xml:space="preserve">provided </w:t>
      </w:r>
      <w:r w:rsidRPr="00377ED2">
        <w:rPr>
          <w:rFonts w:ascii="Times New Roman" w:hAnsi="Times New Roman" w:cs="Times New Roman"/>
          <w:bCs/>
          <w:sz w:val="24"/>
          <w:szCs w:val="24"/>
        </w:rPr>
        <w:t>in Table</w:t>
      </w:r>
      <w:r>
        <w:rPr>
          <w:rFonts w:ascii="Times New Roman" w:hAnsi="Times New Roman" w:cs="Times New Roman"/>
          <w:bCs/>
          <w:sz w:val="24"/>
          <w:szCs w:val="24"/>
        </w:rPr>
        <w:t>s</w:t>
      </w:r>
      <w:r w:rsidRPr="00377ED2">
        <w:rPr>
          <w:rFonts w:ascii="Times New Roman" w:hAnsi="Times New Roman" w:cs="Times New Roman"/>
          <w:bCs/>
          <w:sz w:val="24"/>
          <w:szCs w:val="24"/>
        </w:rPr>
        <w:t xml:space="preserve"> 10 and 11. </w:t>
      </w:r>
    </w:p>
    <w:p w:rsidR="008F1A1E" w:rsidRDefault="008F1A1E" w:rsidP="00865BDE">
      <w:pPr>
        <w:pStyle w:val="Heading2"/>
        <w:spacing w:after="240" w:line="240" w:lineRule="auto"/>
      </w:pPr>
      <w:bookmarkStart w:id="54" w:name="_Toc446579725"/>
      <w:r>
        <w:t>G. Estimated Per-S</w:t>
      </w:r>
      <w:r w:rsidRPr="000010C1">
        <w:t>tudent Expenditures</w:t>
      </w:r>
      <w:bookmarkEnd w:id="54"/>
    </w:p>
    <w:p w:rsidR="008F1A1E" w:rsidRDefault="008F1A1E" w:rsidP="008F1A1E">
      <w:pPr>
        <w:rPr>
          <w:rFonts w:ascii="Times New Roman" w:hAnsi="Times New Roman" w:cs="Times New Roman"/>
          <w:bCs/>
          <w:sz w:val="24"/>
          <w:szCs w:val="24"/>
        </w:rPr>
      </w:pPr>
      <w:r w:rsidRPr="00B07FD4">
        <w:rPr>
          <w:rFonts w:ascii="Times New Roman" w:hAnsi="Times New Roman" w:cs="Times New Roman"/>
          <w:bCs/>
          <w:sz w:val="24"/>
          <w:szCs w:val="24"/>
        </w:rPr>
        <w:t xml:space="preserve">For the 2013-2014 </w:t>
      </w:r>
      <w:r>
        <w:rPr>
          <w:rFonts w:ascii="Times New Roman" w:hAnsi="Times New Roman" w:cs="Times New Roman"/>
          <w:bCs/>
          <w:sz w:val="24"/>
          <w:szCs w:val="24"/>
        </w:rPr>
        <w:t xml:space="preserve">academic school </w:t>
      </w:r>
      <w:proofErr w:type="gramStart"/>
      <w:r>
        <w:rPr>
          <w:rFonts w:ascii="Times New Roman" w:hAnsi="Times New Roman" w:cs="Times New Roman"/>
          <w:bCs/>
          <w:sz w:val="24"/>
          <w:szCs w:val="24"/>
        </w:rPr>
        <w:t>year</w:t>
      </w:r>
      <w:proofErr w:type="gramEnd"/>
      <w:r w:rsidRPr="00B07FD4">
        <w:rPr>
          <w:rFonts w:ascii="Times New Roman" w:hAnsi="Times New Roman" w:cs="Times New Roman"/>
          <w:bCs/>
          <w:sz w:val="24"/>
          <w:szCs w:val="24"/>
        </w:rPr>
        <w:t>, an estimated $</w:t>
      </w:r>
      <w:r>
        <w:rPr>
          <w:rFonts w:ascii="Times New Roman" w:hAnsi="Times New Roman" w:cs="Times New Roman"/>
          <w:bCs/>
          <w:sz w:val="24"/>
          <w:szCs w:val="24"/>
        </w:rPr>
        <w:t>1,135,149,873</w:t>
      </w:r>
      <w:r w:rsidRPr="00B07FD4">
        <w:rPr>
          <w:rFonts w:ascii="Times New Roman" w:hAnsi="Times New Roman" w:cs="Times New Roman"/>
          <w:bCs/>
          <w:sz w:val="24"/>
          <w:szCs w:val="24"/>
        </w:rPr>
        <w:t xml:space="preserve"> </w:t>
      </w:r>
      <w:r>
        <w:rPr>
          <w:rFonts w:ascii="Times New Roman" w:hAnsi="Times New Roman" w:cs="Times New Roman"/>
          <w:bCs/>
          <w:sz w:val="24"/>
          <w:szCs w:val="24"/>
        </w:rPr>
        <w:t xml:space="preserve">($1,542.80 per attendee) </w:t>
      </w:r>
      <w:r w:rsidRPr="00B07FD4">
        <w:rPr>
          <w:rFonts w:ascii="Times New Roman" w:hAnsi="Times New Roman" w:cs="Times New Roman"/>
          <w:bCs/>
          <w:sz w:val="24"/>
          <w:szCs w:val="24"/>
        </w:rPr>
        <w:t xml:space="preserve">was awarded </w:t>
      </w:r>
      <w:r>
        <w:rPr>
          <w:rFonts w:ascii="Times New Roman" w:hAnsi="Times New Roman" w:cs="Times New Roman"/>
          <w:bCs/>
          <w:sz w:val="24"/>
          <w:szCs w:val="24"/>
        </w:rPr>
        <w:t xml:space="preserve">to 854,454 regular attendees across </w:t>
      </w:r>
      <w:r w:rsidR="000C1AF0">
        <w:rPr>
          <w:rFonts w:ascii="Times New Roman" w:hAnsi="Times New Roman" w:cs="Times New Roman"/>
          <w:bCs/>
          <w:sz w:val="24"/>
          <w:szCs w:val="24"/>
        </w:rPr>
        <w:t xml:space="preserve">the </w:t>
      </w:r>
      <w:r w:rsidRPr="00B07FD4">
        <w:rPr>
          <w:rFonts w:ascii="Times New Roman" w:hAnsi="Times New Roman" w:cs="Times New Roman"/>
          <w:bCs/>
          <w:sz w:val="24"/>
          <w:szCs w:val="24"/>
        </w:rPr>
        <w:t>54 states</w:t>
      </w:r>
      <w:r w:rsidR="00B95564">
        <w:rPr>
          <w:rFonts w:ascii="Times New Roman" w:hAnsi="Times New Roman" w:cs="Times New Roman"/>
          <w:bCs/>
          <w:sz w:val="24"/>
          <w:szCs w:val="24"/>
        </w:rPr>
        <w:t>/</w:t>
      </w:r>
      <w:r w:rsidRPr="00B07FD4">
        <w:rPr>
          <w:rFonts w:ascii="Times New Roman" w:hAnsi="Times New Roman" w:cs="Times New Roman"/>
          <w:bCs/>
          <w:sz w:val="24"/>
          <w:szCs w:val="24"/>
        </w:rPr>
        <w:t xml:space="preserve">territories.  </w:t>
      </w:r>
      <w:r>
        <w:rPr>
          <w:rFonts w:ascii="Times New Roman" w:hAnsi="Times New Roman" w:cs="Times New Roman"/>
          <w:bCs/>
          <w:sz w:val="24"/>
          <w:szCs w:val="24"/>
        </w:rPr>
        <w:t xml:space="preserve">Table </w:t>
      </w:r>
      <w:r w:rsidR="000C1AF0">
        <w:rPr>
          <w:rFonts w:ascii="Times New Roman" w:hAnsi="Times New Roman" w:cs="Times New Roman"/>
          <w:bCs/>
          <w:sz w:val="24"/>
          <w:szCs w:val="24"/>
        </w:rPr>
        <w:t>19</w:t>
      </w:r>
      <w:r>
        <w:rPr>
          <w:rFonts w:ascii="Times New Roman" w:hAnsi="Times New Roman" w:cs="Times New Roman"/>
          <w:bCs/>
          <w:sz w:val="24"/>
          <w:szCs w:val="24"/>
        </w:rPr>
        <w:t xml:space="preserve"> displays the total award amounts and per student expenditure broken down by state/territory.  </w:t>
      </w:r>
    </w:p>
    <w:p w:rsidR="008F1A1E" w:rsidRPr="00B07FD4" w:rsidRDefault="008F1A1E" w:rsidP="008F1A1E">
      <w:pPr>
        <w:rPr>
          <w:rFonts w:ascii="Times New Roman" w:hAnsi="Times New Roman" w:cs="Times New Roman"/>
          <w:bCs/>
          <w:sz w:val="24"/>
          <w:szCs w:val="24"/>
        </w:rPr>
      </w:pPr>
      <w:r>
        <w:rPr>
          <w:rFonts w:ascii="Times New Roman" w:hAnsi="Times New Roman" w:cs="Times New Roman"/>
          <w:bCs/>
          <w:sz w:val="24"/>
          <w:szCs w:val="24"/>
        </w:rPr>
        <w:t xml:space="preserve">Amounts were calculated based on data obtained from two separate sources.  Total funding was calculated based on award amounts provided by </w:t>
      </w:r>
      <w:r w:rsidR="006D5D35">
        <w:rPr>
          <w:rFonts w:ascii="Times New Roman" w:hAnsi="Times New Roman" w:cs="Times New Roman"/>
          <w:bCs/>
          <w:sz w:val="24"/>
          <w:szCs w:val="24"/>
        </w:rPr>
        <w:t xml:space="preserve">the </w:t>
      </w:r>
      <w:r w:rsidR="001E44B2">
        <w:rPr>
          <w:rFonts w:ascii="Times New Roman" w:hAnsi="Times New Roman" w:cs="Times New Roman"/>
          <w:bCs/>
          <w:sz w:val="24"/>
          <w:szCs w:val="24"/>
        </w:rPr>
        <w:t>U</w:t>
      </w:r>
      <w:r w:rsidR="006D5D35">
        <w:rPr>
          <w:rFonts w:ascii="Times New Roman" w:hAnsi="Times New Roman" w:cs="Times New Roman"/>
          <w:bCs/>
          <w:sz w:val="24"/>
          <w:szCs w:val="24"/>
        </w:rPr>
        <w:t>.</w:t>
      </w:r>
      <w:r w:rsidR="001E44B2">
        <w:rPr>
          <w:rFonts w:ascii="Times New Roman" w:hAnsi="Times New Roman" w:cs="Times New Roman"/>
          <w:bCs/>
          <w:sz w:val="24"/>
          <w:szCs w:val="24"/>
        </w:rPr>
        <w:t>S</w:t>
      </w:r>
      <w:r w:rsidR="006D5D35">
        <w:rPr>
          <w:rFonts w:ascii="Times New Roman" w:hAnsi="Times New Roman" w:cs="Times New Roman"/>
          <w:bCs/>
          <w:sz w:val="24"/>
          <w:szCs w:val="24"/>
        </w:rPr>
        <w:t>.</w:t>
      </w:r>
      <w:r w:rsidR="001E44B2">
        <w:rPr>
          <w:rFonts w:ascii="Times New Roman" w:hAnsi="Times New Roman" w:cs="Times New Roman"/>
          <w:bCs/>
          <w:sz w:val="24"/>
          <w:szCs w:val="24"/>
        </w:rPr>
        <w:t xml:space="preserve"> Department of Education </w:t>
      </w:r>
      <w:r>
        <w:rPr>
          <w:rFonts w:ascii="Times New Roman" w:hAnsi="Times New Roman" w:cs="Times New Roman"/>
          <w:bCs/>
          <w:sz w:val="24"/>
          <w:szCs w:val="24"/>
        </w:rPr>
        <w:t>for each state</w:t>
      </w:r>
      <w:r w:rsidR="005F6E2C">
        <w:rPr>
          <w:rFonts w:ascii="Times New Roman" w:hAnsi="Times New Roman" w:cs="Times New Roman"/>
          <w:bCs/>
          <w:sz w:val="24"/>
          <w:szCs w:val="24"/>
        </w:rPr>
        <w:t xml:space="preserve"> and </w:t>
      </w:r>
      <w:r>
        <w:rPr>
          <w:rFonts w:ascii="Times New Roman" w:hAnsi="Times New Roman" w:cs="Times New Roman"/>
          <w:bCs/>
          <w:sz w:val="24"/>
          <w:szCs w:val="24"/>
        </w:rPr>
        <w:t>territory.  The total amount of regular attendees for participating states’</w:t>
      </w:r>
      <w:r w:rsidR="005F6E2C">
        <w:rPr>
          <w:rFonts w:ascii="Times New Roman" w:hAnsi="Times New Roman" w:cs="Times New Roman"/>
          <w:bCs/>
          <w:sz w:val="24"/>
          <w:szCs w:val="24"/>
        </w:rPr>
        <w:t xml:space="preserve"> and </w:t>
      </w:r>
      <w:r>
        <w:rPr>
          <w:rFonts w:ascii="Times New Roman" w:hAnsi="Times New Roman" w:cs="Times New Roman"/>
          <w:bCs/>
          <w:sz w:val="24"/>
          <w:szCs w:val="24"/>
        </w:rPr>
        <w:t xml:space="preserve">territories’ sub-grantees/centers </w:t>
      </w:r>
      <w:proofErr w:type="gramStart"/>
      <w:r>
        <w:rPr>
          <w:rFonts w:ascii="Times New Roman" w:hAnsi="Times New Roman" w:cs="Times New Roman"/>
          <w:bCs/>
          <w:sz w:val="24"/>
          <w:szCs w:val="24"/>
        </w:rPr>
        <w:t>was</w:t>
      </w:r>
      <w:proofErr w:type="gramEnd"/>
      <w:r>
        <w:rPr>
          <w:rFonts w:ascii="Times New Roman" w:hAnsi="Times New Roman" w:cs="Times New Roman"/>
          <w:bCs/>
          <w:sz w:val="24"/>
          <w:szCs w:val="24"/>
        </w:rPr>
        <w:t xml:space="preserve"> based on data </w:t>
      </w:r>
      <w:r w:rsidR="006A3DBA">
        <w:rPr>
          <w:rFonts w:ascii="Times New Roman" w:hAnsi="Times New Roman" w:cs="Times New Roman"/>
          <w:bCs/>
          <w:sz w:val="24"/>
          <w:szCs w:val="24"/>
        </w:rPr>
        <w:t xml:space="preserve">that States reported </w:t>
      </w:r>
      <w:r w:rsidR="00E63507">
        <w:rPr>
          <w:rFonts w:ascii="Times New Roman" w:hAnsi="Times New Roman" w:cs="Times New Roman"/>
          <w:bCs/>
          <w:sz w:val="24"/>
          <w:szCs w:val="24"/>
        </w:rPr>
        <w:t>through</w:t>
      </w:r>
      <w:r>
        <w:rPr>
          <w:rFonts w:ascii="Times New Roman" w:hAnsi="Times New Roman" w:cs="Times New Roman"/>
          <w:bCs/>
          <w:sz w:val="24"/>
          <w:szCs w:val="24"/>
        </w:rPr>
        <w:t xml:space="preserve"> </w:t>
      </w:r>
      <w:r w:rsidR="00A77747">
        <w:rPr>
          <w:rFonts w:ascii="Times New Roman" w:hAnsi="Times New Roman" w:cs="Times New Roman"/>
          <w:bCs/>
          <w:sz w:val="24"/>
          <w:szCs w:val="24"/>
        </w:rPr>
        <w:t>PPICS</w:t>
      </w:r>
      <w:r>
        <w:rPr>
          <w:rFonts w:ascii="Times New Roman" w:hAnsi="Times New Roman" w:cs="Times New Roman"/>
          <w:bCs/>
          <w:sz w:val="24"/>
          <w:szCs w:val="24"/>
        </w:rPr>
        <w:t xml:space="preserve">. </w:t>
      </w:r>
    </w:p>
    <w:p w:rsidR="008F1A1E" w:rsidRPr="000010C1" w:rsidRDefault="008F1A1E" w:rsidP="00865BDE">
      <w:pPr>
        <w:pStyle w:val="Heading3"/>
        <w:spacing w:before="480"/>
      </w:pPr>
      <w:bookmarkStart w:id="55" w:name="_Toc422397367"/>
      <w:bookmarkStart w:id="56" w:name="_Toc446579726"/>
      <w:proofErr w:type="gramStart"/>
      <w:r>
        <w:t xml:space="preserve">Table </w:t>
      </w:r>
      <w:r w:rsidR="00271B9E">
        <w:t>19</w:t>
      </w:r>
      <w:r>
        <w:t>.</w:t>
      </w:r>
      <w:proofErr w:type="gramEnd"/>
      <w:r>
        <w:t xml:space="preserve">  Funding per Regular Attendees</w:t>
      </w:r>
      <w:bookmarkEnd w:id="55"/>
      <w:bookmarkEnd w:id="56"/>
    </w:p>
    <w:tbl>
      <w:tblPr>
        <w:tblStyle w:val="TableGrid"/>
        <w:tblW w:w="9895" w:type="dxa"/>
        <w:tblLook w:val="04A0" w:firstRow="1" w:lastRow="0" w:firstColumn="1" w:lastColumn="0" w:noHBand="0" w:noVBand="1"/>
        <w:tblCaption w:val="Table 19.  Funding per Regular Attendees"/>
      </w:tblPr>
      <w:tblGrid>
        <w:gridCol w:w="3055"/>
        <w:gridCol w:w="2430"/>
        <w:gridCol w:w="2250"/>
        <w:gridCol w:w="2160"/>
      </w:tblGrid>
      <w:tr w:rsidR="008F1A1E" w:rsidRPr="00023545" w:rsidTr="004B4E89">
        <w:trPr>
          <w:tblHeader/>
        </w:trPr>
        <w:tc>
          <w:tcPr>
            <w:tcW w:w="3055" w:type="dxa"/>
            <w:shd w:val="clear" w:color="auto" w:fill="4375B1"/>
          </w:tcPr>
          <w:p w:rsidR="008F1A1E" w:rsidRPr="0071734B" w:rsidRDefault="0071734B" w:rsidP="005013EB">
            <w:pPr>
              <w:rPr>
                <w:rFonts w:ascii="Times New Roman" w:hAnsi="Times New Roman" w:cs="Times New Roman"/>
                <w:b/>
                <w:color w:val="FFFFFF" w:themeColor="background1"/>
                <w:sz w:val="24"/>
                <w:szCs w:val="24"/>
              </w:rPr>
            </w:pPr>
            <w:r w:rsidRPr="0071734B">
              <w:rPr>
                <w:rFonts w:ascii="Times New Roman" w:hAnsi="Times New Roman" w:cs="Times New Roman"/>
                <w:b/>
                <w:color w:val="FFFFFF" w:themeColor="background1"/>
                <w:sz w:val="24"/>
                <w:szCs w:val="24"/>
              </w:rPr>
              <w:t>State/Territory</w:t>
            </w:r>
          </w:p>
        </w:tc>
        <w:tc>
          <w:tcPr>
            <w:tcW w:w="2430" w:type="dxa"/>
            <w:shd w:val="clear" w:color="auto" w:fill="4375B1"/>
          </w:tcPr>
          <w:p w:rsidR="008F1A1E" w:rsidRPr="005A3CD2" w:rsidRDefault="008F1A1E" w:rsidP="005013EB">
            <w:pPr>
              <w:rPr>
                <w:rFonts w:ascii="Times New Roman" w:hAnsi="Times New Roman" w:cs="Times New Roman"/>
                <w:b/>
                <w:color w:val="FFFFFF" w:themeColor="background1"/>
                <w:sz w:val="24"/>
                <w:szCs w:val="24"/>
              </w:rPr>
            </w:pPr>
            <w:r w:rsidRPr="005A3CD2">
              <w:rPr>
                <w:rFonts w:ascii="Times New Roman" w:hAnsi="Times New Roman" w:cs="Times New Roman"/>
                <w:b/>
                <w:color w:val="FFFFFF" w:themeColor="background1"/>
                <w:sz w:val="24"/>
                <w:szCs w:val="24"/>
              </w:rPr>
              <w:t xml:space="preserve">Total Funding </w:t>
            </w:r>
          </w:p>
          <w:p w:rsidR="008F1A1E" w:rsidRPr="005A3CD2" w:rsidRDefault="006A3DBA" w:rsidP="005013EB">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Awarded in 2013-14</w:t>
            </w:r>
          </w:p>
        </w:tc>
        <w:tc>
          <w:tcPr>
            <w:tcW w:w="2250" w:type="dxa"/>
            <w:shd w:val="clear" w:color="auto" w:fill="4375B1"/>
          </w:tcPr>
          <w:p w:rsidR="008F1A1E" w:rsidRPr="005A3CD2" w:rsidRDefault="008F1A1E" w:rsidP="005013EB">
            <w:pPr>
              <w:rPr>
                <w:rFonts w:ascii="Times New Roman" w:hAnsi="Times New Roman" w:cs="Times New Roman"/>
                <w:b/>
                <w:color w:val="FFFFFF" w:themeColor="background1"/>
                <w:sz w:val="24"/>
                <w:szCs w:val="24"/>
              </w:rPr>
            </w:pPr>
            <w:r w:rsidRPr="005A3CD2">
              <w:rPr>
                <w:rFonts w:ascii="Times New Roman" w:hAnsi="Times New Roman" w:cs="Times New Roman"/>
                <w:b/>
                <w:color w:val="FFFFFF" w:themeColor="background1"/>
                <w:sz w:val="24"/>
                <w:szCs w:val="24"/>
              </w:rPr>
              <w:t>Total Regular Attendees</w:t>
            </w:r>
          </w:p>
        </w:tc>
        <w:tc>
          <w:tcPr>
            <w:tcW w:w="2160" w:type="dxa"/>
            <w:shd w:val="clear" w:color="auto" w:fill="4375B1"/>
          </w:tcPr>
          <w:p w:rsidR="0066762B" w:rsidRDefault="008F1A1E" w:rsidP="005013EB">
            <w:pPr>
              <w:rPr>
                <w:rFonts w:ascii="Times New Roman" w:hAnsi="Times New Roman" w:cs="Times New Roman"/>
                <w:b/>
                <w:color w:val="FFFFFF" w:themeColor="background1"/>
                <w:sz w:val="24"/>
                <w:szCs w:val="24"/>
              </w:rPr>
            </w:pPr>
            <w:r w:rsidRPr="005A3CD2">
              <w:rPr>
                <w:rFonts w:ascii="Times New Roman" w:hAnsi="Times New Roman" w:cs="Times New Roman"/>
                <w:b/>
                <w:color w:val="FFFFFF" w:themeColor="background1"/>
                <w:sz w:val="24"/>
                <w:szCs w:val="24"/>
              </w:rPr>
              <w:t xml:space="preserve">Funding </w:t>
            </w:r>
          </w:p>
          <w:p w:rsidR="008F1A1E" w:rsidRPr="005A3CD2" w:rsidRDefault="008F1A1E" w:rsidP="005013EB">
            <w:pPr>
              <w:rPr>
                <w:rFonts w:ascii="Times New Roman" w:hAnsi="Times New Roman" w:cs="Times New Roman"/>
                <w:b/>
                <w:color w:val="FFFFFF" w:themeColor="background1"/>
                <w:sz w:val="24"/>
                <w:szCs w:val="24"/>
              </w:rPr>
            </w:pPr>
            <w:r w:rsidRPr="005A3CD2">
              <w:rPr>
                <w:rFonts w:ascii="Times New Roman" w:hAnsi="Times New Roman" w:cs="Times New Roman"/>
                <w:b/>
                <w:color w:val="FFFFFF" w:themeColor="background1"/>
                <w:sz w:val="24"/>
                <w:szCs w:val="24"/>
              </w:rPr>
              <w:t>per Attendee</w:t>
            </w:r>
          </w:p>
        </w:tc>
      </w:tr>
      <w:tr w:rsidR="00EC1917" w:rsidRPr="00023545" w:rsidTr="008F1A1E">
        <w:tc>
          <w:tcPr>
            <w:tcW w:w="3055" w:type="dxa"/>
            <w:tcBorders>
              <w:top w:val="single" w:sz="2" w:space="0" w:color="auto"/>
              <w:left w:val="single" w:sz="2" w:space="0" w:color="auto"/>
              <w:bottom w:val="single" w:sz="2" w:space="0" w:color="auto"/>
              <w:right w:val="single" w:sz="2" w:space="0" w:color="auto"/>
            </w:tcBorders>
          </w:tcPr>
          <w:p w:rsidR="00EC1917" w:rsidRDefault="00EC1917" w:rsidP="00EC1917">
            <w:pPr>
              <w:rPr>
                <w:rFonts w:ascii="Times New Roman" w:hAnsi="Times New Roman" w:cs="Times New Roman"/>
                <w:sz w:val="24"/>
                <w:szCs w:val="24"/>
              </w:rPr>
            </w:pPr>
            <w:r>
              <w:rPr>
                <w:rFonts w:ascii="Times New Roman" w:hAnsi="Times New Roman" w:cs="Times New Roman"/>
                <w:sz w:val="24"/>
                <w:szCs w:val="24"/>
              </w:rPr>
              <w:t>Overall</w:t>
            </w:r>
          </w:p>
        </w:tc>
        <w:tc>
          <w:tcPr>
            <w:tcW w:w="2430" w:type="dxa"/>
            <w:tcBorders>
              <w:top w:val="single" w:sz="2" w:space="0" w:color="auto"/>
              <w:left w:val="single" w:sz="2" w:space="0" w:color="auto"/>
              <w:bottom w:val="single" w:sz="2" w:space="0" w:color="auto"/>
              <w:right w:val="single" w:sz="2" w:space="0" w:color="auto"/>
            </w:tcBorders>
            <w:vAlign w:val="bottom"/>
          </w:tcPr>
          <w:p w:rsidR="00EC1917" w:rsidRPr="006653CE" w:rsidRDefault="006653CE" w:rsidP="006653C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6653CE">
              <w:rPr>
                <w:rFonts w:ascii="Times New Roman" w:hAnsi="Times New Roman" w:cs="Times New Roman"/>
                <w:b/>
                <w:color w:val="000000"/>
                <w:sz w:val="24"/>
                <w:szCs w:val="24"/>
              </w:rPr>
              <w:t>1,135,149,873</w:t>
            </w:r>
          </w:p>
        </w:tc>
        <w:tc>
          <w:tcPr>
            <w:tcW w:w="2250" w:type="dxa"/>
            <w:tcBorders>
              <w:top w:val="single" w:sz="2" w:space="0" w:color="auto"/>
              <w:left w:val="single" w:sz="2" w:space="0" w:color="auto"/>
              <w:bottom w:val="single" w:sz="2" w:space="0" w:color="auto"/>
              <w:right w:val="single" w:sz="2" w:space="0" w:color="auto"/>
            </w:tcBorders>
            <w:vAlign w:val="bottom"/>
          </w:tcPr>
          <w:p w:rsidR="00EC1917" w:rsidRPr="00D02F5C" w:rsidRDefault="006653CE" w:rsidP="006653CE">
            <w:pPr>
              <w:jc w:val="center"/>
              <w:rPr>
                <w:rFonts w:ascii="Times New Roman" w:hAnsi="Times New Roman" w:cs="Times New Roman"/>
                <w:b/>
                <w:color w:val="000000"/>
                <w:sz w:val="24"/>
                <w:szCs w:val="24"/>
              </w:rPr>
            </w:pPr>
            <w:r w:rsidRPr="006653CE">
              <w:rPr>
                <w:rFonts w:ascii="Times New Roman" w:hAnsi="Times New Roman" w:cs="Times New Roman"/>
                <w:b/>
                <w:color w:val="000000"/>
                <w:sz w:val="24"/>
                <w:szCs w:val="24"/>
              </w:rPr>
              <w:t>854,454</w:t>
            </w:r>
          </w:p>
        </w:tc>
        <w:tc>
          <w:tcPr>
            <w:tcW w:w="2160" w:type="dxa"/>
            <w:tcBorders>
              <w:top w:val="single" w:sz="2" w:space="0" w:color="auto"/>
              <w:left w:val="single" w:sz="2" w:space="0" w:color="auto"/>
              <w:bottom w:val="single" w:sz="2" w:space="0" w:color="auto"/>
              <w:right w:val="single" w:sz="2" w:space="0" w:color="auto"/>
            </w:tcBorders>
          </w:tcPr>
          <w:p w:rsidR="00EC1917" w:rsidRPr="00B931A2" w:rsidRDefault="00EC1917" w:rsidP="006653CE">
            <w:pPr>
              <w:jc w:val="center"/>
              <w:rPr>
                <w:rFonts w:ascii="Times New Roman" w:hAnsi="Times New Roman" w:cs="Times New Roman"/>
                <w:b/>
                <w:sz w:val="24"/>
                <w:szCs w:val="24"/>
              </w:rPr>
            </w:pPr>
            <w:r>
              <w:rPr>
                <w:rFonts w:ascii="Times New Roman" w:hAnsi="Times New Roman" w:cs="Times New Roman"/>
                <w:b/>
                <w:color w:val="000000"/>
                <w:sz w:val="24"/>
                <w:szCs w:val="24"/>
              </w:rPr>
              <w:t>$</w:t>
            </w:r>
            <w:r w:rsidR="00D8469B">
              <w:rPr>
                <w:rFonts w:ascii="Times New Roman" w:hAnsi="Times New Roman" w:cs="Times New Roman"/>
                <w:b/>
                <w:color w:val="000000"/>
                <w:sz w:val="24"/>
                <w:szCs w:val="24"/>
              </w:rPr>
              <w:t>1542.80</w:t>
            </w:r>
            <w:r w:rsidR="006E3572">
              <w:rPr>
                <w:rFonts w:ascii="Times New Roman" w:hAnsi="Times New Roman" w:cs="Times New Roman"/>
                <w:b/>
                <w:color w:val="000000"/>
                <w:sz w:val="24"/>
                <w:szCs w:val="24"/>
              </w:rPr>
              <w:t>*</w:t>
            </w:r>
          </w:p>
        </w:tc>
      </w:tr>
    </w:tbl>
    <w:p w:rsidR="00FB6AFC" w:rsidRPr="006E3572" w:rsidRDefault="006E3572">
      <w:pPr>
        <w:rPr>
          <w:rFonts w:ascii="Times New Roman" w:hAnsi="Times New Roman" w:cs="Times New Roman"/>
          <w:bCs/>
          <w:sz w:val="24"/>
          <w:szCs w:val="24"/>
        </w:rPr>
      </w:pPr>
      <w:r w:rsidRPr="006E3572">
        <w:rPr>
          <w:rFonts w:ascii="Times New Roman" w:hAnsi="Times New Roman" w:cs="Times New Roman"/>
          <w:bCs/>
          <w:sz w:val="24"/>
          <w:szCs w:val="24"/>
        </w:rPr>
        <w:t>*Average funding per attendee across all 54 state</w:t>
      </w:r>
      <w:r w:rsidR="001A75AF">
        <w:rPr>
          <w:rFonts w:ascii="Times New Roman" w:hAnsi="Times New Roman" w:cs="Times New Roman"/>
          <w:bCs/>
          <w:sz w:val="24"/>
          <w:szCs w:val="24"/>
        </w:rPr>
        <w:t>s</w:t>
      </w:r>
      <w:r w:rsidRPr="006E3572">
        <w:rPr>
          <w:rFonts w:ascii="Times New Roman" w:hAnsi="Times New Roman" w:cs="Times New Roman"/>
          <w:bCs/>
          <w:sz w:val="24"/>
          <w:szCs w:val="24"/>
        </w:rPr>
        <w:t xml:space="preserve">/territories.  </w:t>
      </w:r>
      <w:r w:rsidR="00FB6AFC" w:rsidRPr="006E3572">
        <w:rPr>
          <w:rFonts w:ascii="Times New Roman" w:hAnsi="Times New Roman" w:cs="Times New Roman"/>
          <w:bCs/>
          <w:sz w:val="24"/>
          <w:szCs w:val="24"/>
        </w:rPr>
        <w:br w:type="page"/>
      </w:r>
    </w:p>
    <w:p w:rsidR="0051643D" w:rsidRPr="00830261" w:rsidRDefault="00891740" w:rsidP="00E432FA">
      <w:pPr>
        <w:pStyle w:val="Heading1"/>
      </w:pPr>
      <w:bookmarkStart w:id="57" w:name="_Toc446579727"/>
      <w:r w:rsidRPr="004B7B2C">
        <w:lastRenderedPageBreak/>
        <w:t>SUMMARY</w:t>
      </w:r>
      <w:bookmarkEnd w:id="57"/>
      <w:r w:rsidRPr="004B7B2C">
        <w:t xml:space="preserve"> </w:t>
      </w:r>
    </w:p>
    <w:p w:rsidR="00E34BA6" w:rsidRDefault="00E54636" w:rsidP="00E34BA6">
      <w:pPr>
        <w:rPr>
          <w:rFonts w:ascii="Times New Roman" w:hAnsi="Times New Roman" w:cs="Times New Roman"/>
          <w:bCs/>
          <w:sz w:val="24"/>
          <w:szCs w:val="24"/>
        </w:rPr>
      </w:pPr>
      <w:r w:rsidRPr="004B7B2C">
        <w:rPr>
          <w:rFonts w:ascii="Times New Roman" w:hAnsi="Times New Roman" w:cs="Times New Roman"/>
          <w:bCs/>
          <w:sz w:val="24"/>
          <w:szCs w:val="24"/>
        </w:rPr>
        <w:t xml:space="preserve">For the 2013-2014 academic school </w:t>
      </w:r>
      <w:proofErr w:type="gramStart"/>
      <w:r w:rsidRPr="004B7B2C">
        <w:rPr>
          <w:rFonts w:ascii="Times New Roman" w:hAnsi="Times New Roman" w:cs="Times New Roman"/>
          <w:bCs/>
          <w:sz w:val="24"/>
          <w:szCs w:val="24"/>
        </w:rPr>
        <w:t>year</w:t>
      </w:r>
      <w:proofErr w:type="gramEnd"/>
      <w:r w:rsidRPr="004B7B2C">
        <w:rPr>
          <w:rFonts w:ascii="Times New Roman" w:hAnsi="Times New Roman" w:cs="Times New Roman"/>
          <w:bCs/>
          <w:sz w:val="24"/>
          <w:szCs w:val="24"/>
        </w:rPr>
        <w:t>, 9,556 centers received federal funding to implement the 21</w:t>
      </w:r>
      <w:r w:rsidRPr="004B7B2C">
        <w:rPr>
          <w:rFonts w:ascii="Times New Roman" w:hAnsi="Times New Roman" w:cs="Times New Roman"/>
          <w:bCs/>
          <w:sz w:val="24"/>
          <w:szCs w:val="24"/>
          <w:vertAlign w:val="superscript"/>
        </w:rPr>
        <w:t>st</w:t>
      </w:r>
      <w:r w:rsidRPr="004B7B2C">
        <w:rPr>
          <w:rFonts w:ascii="Times New Roman" w:hAnsi="Times New Roman" w:cs="Times New Roman"/>
          <w:bCs/>
          <w:sz w:val="24"/>
          <w:szCs w:val="24"/>
        </w:rPr>
        <w:t xml:space="preserve"> CCLC grant.  The majority of these were classified as school districts with community-based organizations following second.  This prog</w:t>
      </w:r>
      <w:r w:rsidR="00830261">
        <w:rPr>
          <w:rFonts w:ascii="Times New Roman" w:hAnsi="Times New Roman" w:cs="Times New Roman"/>
          <w:bCs/>
          <w:sz w:val="24"/>
          <w:szCs w:val="24"/>
        </w:rPr>
        <w:t>ram has served a total of over 2.2</w:t>
      </w:r>
      <w:r w:rsidRPr="004B7B2C">
        <w:rPr>
          <w:rFonts w:ascii="Times New Roman" w:hAnsi="Times New Roman" w:cs="Times New Roman"/>
          <w:bCs/>
          <w:sz w:val="24"/>
          <w:szCs w:val="24"/>
        </w:rPr>
        <w:t xml:space="preserve"> million people and employed 116,845 paid and 31,054 volunteer staff.  The majority of the paid staff </w:t>
      </w:r>
      <w:proofErr w:type="gramStart"/>
      <w:r w:rsidRPr="004B7B2C">
        <w:rPr>
          <w:rFonts w:ascii="Times New Roman" w:hAnsi="Times New Roman" w:cs="Times New Roman"/>
          <w:bCs/>
          <w:sz w:val="24"/>
          <w:szCs w:val="24"/>
        </w:rPr>
        <w:t>were</w:t>
      </w:r>
      <w:proofErr w:type="gramEnd"/>
      <w:r w:rsidRPr="004B7B2C">
        <w:rPr>
          <w:rFonts w:ascii="Times New Roman" w:hAnsi="Times New Roman" w:cs="Times New Roman"/>
          <w:bCs/>
          <w:sz w:val="24"/>
          <w:szCs w:val="24"/>
        </w:rPr>
        <w:t xml:space="preserve"> school day teachers and most of the volunteers were rep</w:t>
      </w:r>
      <w:r w:rsidR="00E34BA6">
        <w:rPr>
          <w:rFonts w:ascii="Times New Roman" w:hAnsi="Times New Roman" w:cs="Times New Roman"/>
          <w:bCs/>
          <w:sz w:val="24"/>
          <w:szCs w:val="24"/>
        </w:rPr>
        <w:t xml:space="preserve">orted to be college students.  </w:t>
      </w:r>
    </w:p>
    <w:p w:rsidR="00E34BA6" w:rsidRPr="004B7B2C" w:rsidRDefault="00E34BA6" w:rsidP="00E34BA6">
      <w:pPr>
        <w:rPr>
          <w:rFonts w:ascii="Times New Roman" w:hAnsi="Times New Roman" w:cs="Times New Roman"/>
          <w:bCs/>
          <w:sz w:val="24"/>
          <w:szCs w:val="24"/>
        </w:rPr>
      </w:pPr>
      <w:r>
        <w:rPr>
          <w:rFonts w:ascii="Times New Roman" w:hAnsi="Times New Roman" w:cs="Times New Roman"/>
          <w:bCs/>
          <w:sz w:val="24"/>
          <w:szCs w:val="24"/>
        </w:rPr>
        <w:t xml:space="preserve">The inclusion of school day teachers as the primary means of staffing the program is a critical aspect to program success.  Education professionals who can bridge the school day with out-of-school time staff the afterschool program. This best practice is a hallmark of high quality. The statistical results also support the value of this program. Both in mathematics and </w:t>
      </w:r>
      <w:r w:rsidR="009A132C">
        <w:rPr>
          <w:rFonts w:ascii="Times New Roman" w:hAnsi="Times New Roman" w:cs="Times New Roman"/>
          <w:bCs/>
          <w:sz w:val="24"/>
          <w:szCs w:val="24"/>
        </w:rPr>
        <w:t>l</w:t>
      </w:r>
      <w:r>
        <w:rPr>
          <w:rFonts w:ascii="Times New Roman" w:hAnsi="Times New Roman" w:cs="Times New Roman"/>
          <w:bCs/>
          <w:sz w:val="24"/>
          <w:szCs w:val="24"/>
        </w:rPr>
        <w:t xml:space="preserve">iteracy/English, students showed improvement in achievement. This was further supported by teacher evaluations of student improvement both in achievement and behavior. </w:t>
      </w:r>
    </w:p>
    <w:p w:rsidR="00E34BA6" w:rsidRPr="00D2571A" w:rsidRDefault="00E34BA6" w:rsidP="00E34BA6">
      <w:pPr>
        <w:rPr>
          <w:rFonts w:ascii="Times New Roman" w:hAnsi="Times New Roman" w:cs="Times New Roman"/>
          <w:bCs/>
          <w:sz w:val="24"/>
          <w:szCs w:val="24"/>
        </w:rPr>
      </w:pPr>
      <w:r>
        <w:rPr>
          <w:rFonts w:ascii="Times New Roman" w:hAnsi="Times New Roman" w:cs="Times New Roman"/>
          <w:bCs/>
          <w:sz w:val="24"/>
          <w:szCs w:val="24"/>
        </w:rPr>
        <w:t>Over the past year this program served</w:t>
      </w:r>
      <w:r w:rsidR="0078229F">
        <w:rPr>
          <w:rFonts w:ascii="Times New Roman" w:hAnsi="Times New Roman" w:cs="Times New Roman"/>
          <w:bCs/>
          <w:sz w:val="24"/>
          <w:szCs w:val="24"/>
        </w:rPr>
        <w:t xml:space="preserve"> 1.8</w:t>
      </w:r>
      <w:r w:rsidRPr="00D2571A">
        <w:rPr>
          <w:rFonts w:ascii="Times New Roman" w:hAnsi="Times New Roman" w:cs="Times New Roman"/>
          <w:bCs/>
          <w:sz w:val="24"/>
          <w:szCs w:val="24"/>
        </w:rPr>
        <w:t xml:space="preserve"> million </w:t>
      </w:r>
      <w:r w:rsidRPr="0078229F">
        <w:rPr>
          <w:rFonts w:ascii="Times New Roman" w:hAnsi="Times New Roman" w:cs="Times New Roman"/>
          <w:bCs/>
          <w:sz w:val="24"/>
          <w:szCs w:val="24"/>
        </w:rPr>
        <w:t>students ac</w:t>
      </w:r>
      <w:r>
        <w:rPr>
          <w:rFonts w:ascii="Times New Roman" w:hAnsi="Times New Roman" w:cs="Times New Roman"/>
          <w:bCs/>
          <w:sz w:val="24"/>
          <w:szCs w:val="24"/>
        </w:rPr>
        <w:t>ross 54 states</w:t>
      </w:r>
      <w:r w:rsidR="008A04D2">
        <w:rPr>
          <w:rFonts w:ascii="Times New Roman" w:hAnsi="Times New Roman" w:cs="Times New Roman"/>
          <w:bCs/>
          <w:sz w:val="24"/>
          <w:szCs w:val="24"/>
        </w:rPr>
        <w:t>/</w:t>
      </w:r>
      <w:r>
        <w:rPr>
          <w:rFonts w:ascii="Times New Roman" w:hAnsi="Times New Roman" w:cs="Times New Roman"/>
          <w:bCs/>
          <w:sz w:val="24"/>
          <w:szCs w:val="24"/>
        </w:rPr>
        <w:t>t</w:t>
      </w:r>
      <w:r w:rsidR="00C9512E">
        <w:rPr>
          <w:rFonts w:ascii="Times New Roman" w:hAnsi="Times New Roman" w:cs="Times New Roman"/>
          <w:bCs/>
          <w:sz w:val="24"/>
          <w:szCs w:val="24"/>
        </w:rPr>
        <w:t xml:space="preserve">erritories. This translates to </w:t>
      </w:r>
      <w:r w:rsidR="0078229F">
        <w:rPr>
          <w:rFonts w:ascii="Times New Roman" w:hAnsi="Times New Roman" w:cs="Times New Roman"/>
          <w:bCs/>
          <w:sz w:val="24"/>
          <w:szCs w:val="24"/>
        </w:rPr>
        <w:t>1.8</w:t>
      </w:r>
      <w:r>
        <w:rPr>
          <w:rFonts w:ascii="Times New Roman" w:hAnsi="Times New Roman" w:cs="Times New Roman"/>
          <w:bCs/>
          <w:sz w:val="24"/>
          <w:szCs w:val="24"/>
        </w:rPr>
        <w:t xml:space="preserve"> million low-income students having a safe place to receive academic enrichment.  This enrichment leads to improvement in achievement and behavior.  In the long run these areas of improvement, as well as 21</w:t>
      </w:r>
      <w:r w:rsidRPr="00D2571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CCLC students developing a positive relationship to school through their participation, means that these students are more likely to persist to graduation. The data and performance indicate that this broad reaching program touches students’ lives in ways that will have far reaching academic impact. </w:t>
      </w:r>
    </w:p>
    <w:p w:rsidR="00E34BA6" w:rsidRPr="00E4396D" w:rsidRDefault="00E34BA6" w:rsidP="00E54636">
      <w:pPr>
        <w:rPr>
          <w:rFonts w:ascii="Times New Roman" w:hAnsi="Times New Roman" w:cs="Times New Roman"/>
          <w:bCs/>
          <w:sz w:val="24"/>
          <w:szCs w:val="24"/>
        </w:rPr>
      </w:pPr>
    </w:p>
    <w:sectPr w:rsidR="00E34BA6" w:rsidRPr="00E4396D" w:rsidSect="009550FA">
      <w:footerReference w:type="even" r:id="rId9"/>
      <w:footerReference w:type="defaul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D1" w:rsidRDefault="00343FD1" w:rsidP="00BF092F">
      <w:pPr>
        <w:spacing w:after="0" w:line="240" w:lineRule="auto"/>
      </w:pPr>
      <w:r>
        <w:separator/>
      </w:r>
    </w:p>
  </w:endnote>
  <w:endnote w:type="continuationSeparator" w:id="0">
    <w:p w:rsidR="00343FD1" w:rsidRDefault="00343FD1" w:rsidP="00BF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12" w:rsidRDefault="00FA3D12" w:rsidP="004B7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3D12" w:rsidRDefault="00FA3D12" w:rsidP="004B7B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12" w:rsidRPr="00E60767" w:rsidRDefault="00FA3D12" w:rsidP="004B7B2C">
    <w:pPr>
      <w:pStyle w:val="Footer"/>
      <w:framePr w:wrap="around" w:vAnchor="text" w:hAnchor="margin" w:xAlign="right" w:y="1"/>
      <w:rPr>
        <w:rStyle w:val="PageNumber"/>
        <w:rFonts w:ascii="Times New Roman" w:hAnsi="Times New Roman" w:cs="Times New Roman"/>
      </w:rPr>
    </w:pPr>
    <w:r w:rsidRPr="00E60767">
      <w:rPr>
        <w:rStyle w:val="PageNumber"/>
        <w:rFonts w:ascii="Times New Roman" w:hAnsi="Times New Roman" w:cs="Times New Roman"/>
      </w:rPr>
      <w:fldChar w:fldCharType="begin"/>
    </w:r>
    <w:r w:rsidRPr="00E60767">
      <w:rPr>
        <w:rStyle w:val="PageNumber"/>
        <w:rFonts w:ascii="Times New Roman" w:hAnsi="Times New Roman" w:cs="Times New Roman"/>
      </w:rPr>
      <w:instrText xml:space="preserve">PAGE  </w:instrText>
    </w:r>
    <w:r w:rsidRPr="00E60767">
      <w:rPr>
        <w:rStyle w:val="PageNumber"/>
        <w:rFonts w:ascii="Times New Roman" w:hAnsi="Times New Roman" w:cs="Times New Roman"/>
      </w:rPr>
      <w:fldChar w:fldCharType="separate"/>
    </w:r>
    <w:r w:rsidR="00B97CC1">
      <w:rPr>
        <w:rStyle w:val="PageNumber"/>
        <w:rFonts w:ascii="Times New Roman" w:hAnsi="Times New Roman" w:cs="Times New Roman"/>
        <w:noProof/>
      </w:rPr>
      <w:t>2</w:t>
    </w:r>
    <w:r w:rsidRPr="00E60767">
      <w:rPr>
        <w:rStyle w:val="PageNumber"/>
        <w:rFonts w:ascii="Times New Roman" w:hAnsi="Times New Roman" w:cs="Times New Roman"/>
      </w:rPr>
      <w:fldChar w:fldCharType="end"/>
    </w:r>
  </w:p>
  <w:p w:rsidR="00FA3D12" w:rsidRDefault="00FA3D12" w:rsidP="00584AE6">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D1" w:rsidRDefault="00343FD1" w:rsidP="00BF092F">
      <w:pPr>
        <w:spacing w:after="0" w:line="240" w:lineRule="auto"/>
      </w:pPr>
      <w:r>
        <w:separator/>
      </w:r>
    </w:p>
  </w:footnote>
  <w:footnote w:type="continuationSeparator" w:id="0">
    <w:p w:rsidR="00343FD1" w:rsidRDefault="00343FD1" w:rsidP="00BF0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F6"/>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2FF3"/>
    <w:multiLevelType w:val="hybridMultilevel"/>
    <w:tmpl w:val="752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F0747"/>
    <w:multiLevelType w:val="hybridMultilevel"/>
    <w:tmpl w:val="B5586614"/>
    <w:lvl w:ilvl="0" w:tplc="2B7ECB2A">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7797C"/>
    <w:multiLevelType w:val="hybridMultilevel"/>
    <w:tmpl w:val="AD8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C0E"/>
    <w:multiLevelType w:val="multilevel"/>
    <w:tmpl w:val="829E6DD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F4E9A"/>
    <w:multiLevelType w:val="hybridMultilevel"/>
    <w:tmpl w:val="7BD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91E8A"/>
    <w:multiLevelType w:val="hybridMultilevel"/>
    <w:tmpl w:val="80E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40DEC"/>
    <w:multiLevelType w:val="hybridMultilevel"/>
    <w:tmpl w:val="8C1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19"/>
    <w:rsid w:val="000010C1"/>
    <w:rsid w:val="00007C58"/>
    <w:rsid w:val="0001706B"/>
    <w:rsid w:val="00026E0B"/>
    <w:rsid w:val="0003380D"/>
    <w:rsid w:val="00037356"/>
    <w:rsid w:val="00040103"/>
    <w:rsid w:val="00040AA8"/>
    <w:rsid w:val="000417A4"/>
    <w:rsid w:val="00053B73"/>
    <w:rsid w:val="00055067"/>
    <w:rsid w:val="00070C96"/>
    <w:rsid w:val="00072D1D"/>
    <w:rsid w:val="00075FD0"/>
    <w:rsid w:val="00077337"/>
    <w:rsid w:val="00083E58"/>
    <w:rsid w:val="0008497F"/>
    <w:rsid w:val="000926CD"/>
    <w:rsid w:val="000B0897"/>
    <w:rsid w:val="000B4219"/>
    <w:rsid w:val="000B4BC1"/>
    <w:rsid w:val="000B5FA9"/>
    <w:rsid w:val="000B7C4D"/>
    <w:rsid w:val="000C1AF0"/>
    <w:rsid w:val="000C2501"/>
    <w:rsid w:val="000C7B25"/>
    <w:rsid w:val="000D17D7"/>
    <w:rsid w:val="000D2420"/>
    <w:rsid w:val="000D3932"/>
    <w:rsid w:val="000D45D0"/>
    <w:rsid w:val="000D5C5C"/>
    <w:rsid w:val="000D6E63"/>
    <w:rsid w:val="000E53AA"/>
    <w:rsid w:val="000F4FFA"/>
    <w:rsid w:val="00100880"/>
    <w:rsid w:val="00102F25"/>
    <w:rsid w:val="00104F9D"/>
    <w:rsid w:val="00111B75"/>
    <w:rsid w:val="00123455"/>
    <w:rsid w:val="001326E1"/>
    <w:rsid w:val="00134C16"/>
    <w:rsid w:val="001375EB"/>
    <w:rsid w:val="0014007B"/>
    <w:rsid w:val="001428F9"/>
    <w:rsid w:val="00147FFE"/>
    <w:rsid w:val="00152492"/>
    <w:rsid w:val="00160169"/>
    <w:rsid w:val="00165717"/>
    <w:rsid w:val="00165811"/>
    <w:rsid w:val="00166672"/>
    <w:rsid w:val="001811ED"/>
    <w:rsid w:val="00182E77"/>
    <w:rsid w:val="00187952"/>
    <w:rsid w:val="001903D1"/>
    <w:rsid w:val="001931C8"/>
    <w:rsid w:val="001934DD"/>
    <w:rsid w:val="0019489D"/>
    <w:rsid w:val="001A2C69"/>
    <w:rsid w:val="001A5F31"/>
    <w:rsid w:val="001A75AF"/>
    <w:rsid w:val="001B7C7B"/>
    <w:rsid w:val="001C090B"/>
    <w:rsid w:val="001C1E58"/>
    <w:rsid w:val="001C3E64"/>
    <w:rsid w:val="001D141A"/>
    <w:rsid w:val="001D48DB"/>
    <w:rsid w:val="001D7862"/>
    <w:rsid w:val="001E44B2"/>
    <w:rsid w:val="001E518B"/>
    <w:rsid w:val="00200185"/>
    <w:rsid w:val="00201A7C"/>
    <w:rsid w:val="00201D51"/>
    <w:rsid w:val="00203A6B"/>
    <w:rsid w:val="00207DA6"/>
    <w:rsid w:val="00215158"/>
    <w:rsid w:val="002237AC"/>
    <w:rsid w:val="002251C0"/>
    <w:rsid w:val="00237A11"/>
    <w:rsid w:val="00246FDE"/>
    <w:rsid w:val="00255F7F"/>
    <w:rsid w:val="00266FFF"/>
    <w:rsid w:val="00271B9E"/>
    <w:rsid w:val="00271BD4"/>
    <w:rsid w:val="00271CB6"/>
    <w:rsid w:val="002720C1"/>
    <w:rsid w:val="00282B4F"/>
    <w:rsid w:val="002832AA"/>
    <w:rsid w:val="00283876"/>
    <w:rsid w:val="002840B0"/>
    <w:rsid w:val="00286012"/>
    <w:rsid w:val="00291707"/>
    <w:rsid w:val="00294297"/>
    <w:rsid w:val="002A0891"/>
    <w:rsid w:val="002A39F2"/>
    <w:rsid w:val="002B1143"/>
    <w:rsid w:val="002B7504"/>
    <w:rsid w:val="002C30E3"/>
    <w:rsid w:val="002C5846"/>
    <w:rsid w:val="002D334A"/>
    <w:rsid w:val="002D6202"/>
    <w:rsid w:val="002E1660"/>
    <w:rsid w:val="002E276C"/>
    <w:rsid w:val="002E5C47"/>
    <w:rsid w:val="002F1379"/>
    <w:rsid w:val="002F37CC"/>
    <w:rsid w:val="00300509"/>
    <w:rsid w:val="00305E39"/>
    <w:rsid w:val="00306044"/>
    <w:rsid w:val="00316FC3"/>
    <w:rsid w:val="0032035A"/>
    <w:rsid w:val="00320B4A"/>
    <w:rsid w:val="0032109B"/>
    <w:rsid w:val="00321677"/>
    <w:rsid w:val="0032287E"/>
    <w:rsid w:val="0033373D"/>
    <w:rsid w:val="00334488"/>
    <w:rsid w:val="003364F6"/>
    <w:rsid w:val="0034177E"/>
    <w:rsid w:val="00343FD1"/>
    <w:rsid w:val="003446A8"/>
    <w:rsid w:val="00350D72"/>
    <w:rsid w:val="00351EA5"/>
    <w:rsid w:val="0035365A"/>
    <w:rsid w:val="00357C51"/>
    <w:rsid w:val="00365888"/>
    <w:rsid w:val="003659B0"/>
    <w:rsid w:val="00366B15"/>
    <w:rsid w:val="00370BB1"/>
    <w:rsid w:val="003712C3"/>
    <w:rsid w:val="0037459E"/>
    <w:rsid w:val="00377ED2"/>
    <w:rsid w:val="00380C8C"/>
    <w:rsid w:val="00381DD1"/>
    <w:rsid w:val="00385BC1"/>
    <w:rsid w:val="00387FDE"/>
    <w:rsid w:val="00392530"/>
    <w:rsid w:val="0039269C"/>
    <w:rsid w:val="00394BF1"/>
    <w:rsid w:val="00396C92"/>
    <w:rsid w:val="003A0B88"/>
    <w:rsid w:val="003A2086"/>
    <w:rsid w:val="003A3FDC"/>
    <w:rsid w:val="003A7550"/>
    <w:rsid w:val="003A7E81"/>
    <w:rsid w:val="003B252A"/>
    <w:rsid w:val="003B259B"/>
    <w:rsid w:val="003B5598"/>
    <w:rsid w:val="003B6D19"/>
    <w:rsid w:val="003C3E48"/>
    <w:rsid w:val="003C50B1"/>
    <w:rsid w:val="003C6235"/>
    <w:rsid w:val="003C692A"/>
    <w:rsid w:val="003D09FD"/>
    <w:rsid w:val="003E7B3D"/>
    <w:rsid w:val="003E7D45"/>
    <w:rsid w:val="003F5059"/>
    <w:rsid w:val="0041204C"/>
    <w:rsid w:val="00412889"/>
    <w:rsid w:val="004177EA"/>
    <w:rsid w:val="004255D8"/>
    <w:rsid w:val="00436C7E"/>
    <w:rsid w:val="00437C3A"/>
    <w:rsid w:val="0044177D"/>
    <w:rsid w:val="00441D6F"/>
    <w:rsid w:val="004424F4"/>
    <w:rsid w:val="00446E1D"/>
    <w:rsid w:val="0045323D"/>
    <w:rsid w:val="0045325E"/>
    <w:rsid w:val="004601DD"/>
    <w:rsid w:val="00463757"/>
    <w:rsid w:val="00463A5F"/>
    <w:rsid w:val="004655A5"/>
    <w:rsid w:val="004827D0"/>
    <w:rsid w:val="00487E44"/>
    <w:rsid w:val="0049161A"/>
    <w:rsid w:val="00493795"/>
    <w:rsid w:val="004A09F4"/>
    <w:rsid w:val="004A6C01"/>
    <w:rsid w:val="004A7A88"/>
    <w:rsid w:val="004B09B7"/>
    <w:rsid w:val="004B1FD6"/>
    <w:rsid w:val="004B4E89"/>
    <w:rsid w:val="004B7B2C"/>
    <w:rsid w:val="004C3FC5"/>
    <w:rsid w:val="004D35C2"/>
    <w:rsid w:val="004D47EE"/>
    <w:rsid w:val="004D5D9B"/>
    <w:rsid w:val="004E075D"/>
    <w:rsid w:val="004E72D4"/>
    <w:rsid w:val="004E7CB3"/>
    <w:rsid w:val="004F554A"/>
    <w:rsid w:val="004F62CF"/>
    <w:rsid w:val="005010DA"/>
    <w:rsid w:val="005013EB"/>
    <w:rsid w:val="00505315"/>
    <w:rsid w:val="00511F8F"/>
    <w:rsid w:val="0051273A"/>
    <w:rsid w:val="0051643D"/>
    <w:rsid w:val="00526B79"/>
    <w:rsid w:val="00530304"/>
    <w:rsid w:val="00530A7F"/>
    <w:rsid w:val="00533501"/>
    <w:rsid w:val="0053606D"/>
    <w:rsid w:val="0053736E"/>
    <w:rsid w:val="00543076"/>
    <w:rsid w:val="00547559"/>
    <w:rsid w:val="005561F3"/>
    <w:rsid w:val="00556827"/>
    <w:rsid w:val="00562606"/>
    <w:rsid w:val="00563BA4"/>
    <w:rsid w:val="005654C2"/>
    <w:rsid w:val="00584AE6"/>
    <w:rsid w:val="00587306"/>
    <w:rsid w:val="005A24DE"/>
    <w:rsid w:val="005A2C93"/>
    <w:rsid w:val="005A3CD2"/>
    <w:rsid w:val="005A4A42"/>
    <w:rsid w:val="005A4AA7"/>
    <w:rsid w:val="005A5FD5"/>
    <w:rsid w:val="005B23ED"/>
    <w:rsid w:val="005B4CDE"/>
    <w:rsid w:val="005B67E1"/>
    <w:rsid w:val="005B7A90"/>
    <w:rsid w:val="005E13F8"/>
    <w:rsid w:val="005E74ED"/>
    <w:rsid w:val="005F0157"/>
    <w:rsid w:val="005F3489"/>
    <w:rsid w:val="005F37DF"/>
    <w:rsid w:val="005F6E2C"/>
    <w:rsid w:val="00601326"/>
    <w:rsid w:val="00616387"/>
    <w:rsid w:val="00634141"/>
    <w:rsid w:val="00645116"/>
    <w:rsid w:val="006629C1"/>
    <w:rsid w:val="006633ED"/>
    <w:rsid w:val="006653CE"/>
    <w:rsid w:val="0066762B"/>
    <w:rsid w:val="00675102"/>
    <w:rsid w:val="00684B75"/>
    <w:rsid w:val="00687C99"/>
    <w:rsid w:val="006A3DBA"/>
    <w:rsid w:val="006A50BD"/>
    <w:rsid w:val="006A731A"/>
    <w:rsid w:val="006A749F"/>
    <w:rsid w:val="006C1486"/>
    <w:rsid w:val="006C3163"/>
    <w:rsid w:val="006C4F57"/>
    <w:rsid w:val="006D5402"/>
    <w:rsid w:val="006D5D35"/>
    <w:rsid w:val="006D7C0C"/>
    <w:rsid w:val="006E2D68"/>
    <w:rsid w:val="006E3572"/>
    <w:rsid w:val="006E38B0"/>
    <w:rsid w:val="00706C5E"/>
    <w:rsid w:val="0071643E"/>
    <w:rsid w:val="0071734B"/>
    <w:rsid w:val="00724FEF"/>
    <w:rsid w:val="00735077"/>
    <w:rsid w:val="0073575C"/>
    <w:rsid w:val="007448AA"/>
    <w:rsid w:val="00746413"/>
    <w:rsid w:val="007526F8"/>
    <w:rsid w:val="0075720E"/>
    <w:rsid w:val="00771CCA"/>
    <w:rsid w:val="00776033"/>
    <w:rsid w:val="00781609"/>
    <w:rsid w:val="00781A37"/>
    <w:rsid w:val="0078229F"/>
    <w:rsid w:val="00791071"/>
    <w:rsid w:val="00792D3D"/>
    <w:rsid w:val="007935E4"/>
    <w:rsid w:val="007A7F64"/>
    <w:rsid w:val="007B05C6"/>
    <w:rsid w:val="007B0AE9"/>
    <w:rsid w:val="007B53C4"/>
    <w:rsid w:val="007C23F7"/>
    <w:rsid w:val="007C354B"/>
    <w:rsid w:val="007E2F54"/>
    <w:rsid w:val="007F36CE"/>
    <w:rsid w:val="007F63DE"/>
    <w:rsid w:val="008012D4"/>
    <w:rsid w:val="00805DFC"/>
    <w:rsid w:val="00807750"/>
    <w:rsid w:val="00820271"/>
    <w:rsid w:val="0082191D"/>
    <w:rsid w:val="00823552"/>
    <w:rsid w:val="00826362"/>
    <w:rsid w:val="00830261"/>
    <w:rsid w:val="00834D5D"/>
    <w:rsid w:val="00845B61"/>
    <w:rsid w:val="00850ECF"/>
    <w:rsid w:val="00854C87"/>
    <w:rsid w:val="00862FB1"/>
    <w:rsid w:val="00865BDE"/>
    <w:rsid w:val="00872C24"/>
    <w:rsid w:val="00873DB8"/>
    <w:rsid w:val="008753EC"/>
    <w:rsid w:val="008877B1"/>
    <w:rsid w:val="008908A8"/>
    <w:rsid w:val="00890DB4"/>
    <w:rsid w:val="00891740"/>
    <w:rsid w:val="008947C0"/>
    <w:rsid w:val="008A04D2"/>
    <w:rsid w:val="008A31AF"/>
    <w:rsid w:val="008A7D0E"/>
    <w:rsid w:val="008B49CA"/>
    <w:rsid w:val="008B5137"/>
    <w:rsid w:val="008B51B4"/>
    <w:rsid w:val="008C08F2"/>
    <w:rsid w:val="008C1D89"/>
    <w:rsid w:val="008C2ECC"/>
    <w:rsid w:val="008C4E80"/>
    <w:rsid w:val="008D0141"/>
    <w:rsid w:val="008D07FC"/>
    <w:rsid w:val="008D12D1"/>
    <w:rsid w:val="008D7E37"/>
    <w:rsid w:val="008E3E38"/>
    <w:rsid w:val="008F1A1E"/>
    <w:rsid w:val="008F47B5"/>
    <w:rsid w:val="008F5F5B"/>
    <w:rsid w:val="00907E25"/>
    <w:rsid w:val="00913FBC"/>
    <w:rsid w:val="00916421"/>
    <w:rsid w:val="009300AA"/>
    <w:rsid w:val="00943703"/>
    <w:rsid w:val="00944DF7"/>
    <w:rsid w:val="00952A38"/>
    <w:rsid w:val="009550FA"/>
    <w:rsid w:val="00966759"/>
    <w:rsid w:val="009750C8"/>
    <w:rsid w:val="00976645"/>
    <w:rsid w:val="00980821"/>
    <w:rsid w:val="009830DC"/>
    <w:rsid w:val="00983537"/>
    <w:rsid w:val="0099230A"/>
    <w:rsid w:val="00992FCD"/>
    <w:rsid w:val="00993E01"/>
    <w:rsid w:val="00996270"/>
    <w:rsid w:val="00997603"/>
    <w:rsid w:val="009A0A50"/>
    <w:rsid w:val="009A132C"/>
    <w:rsid w:val="009B3A27"/>
    <w:rsid w:val="009B4158"/>
    <w:rsid w:val="009D1062"/>
    <w:rsid w:val="009D1B95"/>
    <w:rsid w:val="009D1F41"/>
    <w:rsid w:val="009D6638"/>
    <w:rsid w:val="009E3E79"/>
    <w:rsid w:val="009E64C9"/>
    <w:rsid w:val="009E712C"/>
    <w:rsid w:val="009F52E0"/>
    <w:rsid w:val="009F587F"/>
    <w:rsid w:val="009F5DCA"/>
    <w:rsid w:val="00A0419B"/>
    <w:rsid w:val="00A0642A"/>
    <w:rsid w:val="00A110CB"/>
    <w:rsid w:val="00A15FB6"/>
    <w:rsid w:val="00A20339"/>
    <w:rsid w:val="00A23D19"/>
    <w:rsid w:val="00A314C8"/>
    <w:rsid w:val="00A370C2"/>
    <w:rsid w:val="00A40AEF"/>
    <w:rsid w:val="00A55B38"/>
    <w:rsid w:val="00A60EB7"/>
    <w:rsid w:val="00A640E7"/>
    <w:rsid w:val="00A66ADE"/>
    <w:rsid w:val="00A71547"/>
    <w:rsid w:val="00A77747"/>
    <w:rsid w:val="00A80A08"/>
    <w:rsid w:val="00AA22B1"/>
    <w:rsid w:val="00AA53DF"/>
    <w:rsid w:val="00AD2935"/>
    <w:rsid w:val="00AD4899"/>
    <w:rsid w:val="00AD557E"/>
    <w:rsid w:val="00AE37B4"/>
    <w:rsid w:val="00AE4D7F"/>
    <w:rsid w:val="00AE6497"/>
    <w:rsid w:val="00AF41A0"/>
    <w:rsid w:val="00B05680"/>
    <w:rsid w:val="00B07FD4"/>
    <w:rsid w:val="00B1074A"/>
    <w:rsid w:val="00B10BC9"/>
    <w:rsid w:val="00B1729B"/>
    <w:rsid w:val="00B2622D"/>
    <w:rsid w:val="00B301CE"/>
    <w:rsid w:val="00B31441"/>
    <w:rsid w:val="00B333FA"/>
    <w:rsid w:val="00B42735"/>
    <w:rsid w:val="00B43452"/>
    <w:rsid w:val="00B50259"/>
    <w:rsid w:val="00B50864"/>
    <w:rsid w:val="00B54391"/>
    <w:rsid w:val="00B61650"/>
    <w:rsid w:val="00B62781"/>
    <w:rsid w:val="00B62CB3"/>
    <w:rsid w:val="00B636FE"/>
    <w:rsid w:val="00B640F4"/>
    <w:rsid w:val="00B66567"/>
    <w:rsid w:val="00B7241A"/>
    <w:rsid w:val="00B73784"/>
    <w:rsid w:val="00B743D2"/>
    <w:rsid w:val="00B74A2C"/>
    <w:rsid w:val="00B7557D"/>
    <w:rsid w:val="00B770C9"/>
    <w:rsid w:val="00B81D44"/>
    <w:rsid w:val="00B833FB"/>
    <w:rsid w:val="00B834EF"/>
    <w:rsid w:val="00B85094"/>
    <w:rsid w:val="00B87C58"/>
    <w:rsid w:val="00B93F4E"/>
    <w:rsid w:val="00B94BBF"/>
    <w:rsid w:val="00B9517F"/>
    <w:rsid w:val="00B95564"/>
    <w:rsid w:val="00B97CC1"/>
    <w:rsid w:val="00BA117C"/>
    <w:rsid w:val="00BA3E29"/>
    <w:rsid w:val="00BA66E3"/>
    <w:rsid w:val="00BB0222"/>
    <w:rsid w:val="00BC101E"/>
    <w:rsid w:val="00BC1082"/>
    <w:rsid w:val="00BC24F6"/>
    <w:rsid w:val="00BC2D6D"/>
    <w:rsid w:val="00BC3BCA"/>
    <w:rsid w:val="00BC5A25"/>
    <w:rsid w:val="00BD39CC"/>
    <w:rsid w:val="00BD4C7D"/>
    <w:rsid w:val="00BD7DAA"/>
    <w:rsid w:val="00BE0791"/>
    <w:rsid w:val="00BE6974"/>
    <w:rsid w:val="00BF04C1"/>
    <w:rsid w:val="00BF092F"/>
    <w:rsid w:val="00C157D2"/>
    <w:rsid w:val="00C1580D"/>
    <w:rsid w:val="00C175DA"/>
    <w:rsid w:val="00C17B61"/>
    <w:rsid w:val="00C21650"/>
    <w:rsid w:val="00C21D08"/>
    <w:rsid w:val="00C22FF9"/>
    <w:rsid w:val="00C233AE"/>
    <w:rsid w:val="00C23CF3"/>
    <w:rsid w:val="00C302AD"/>
    <w:rsid w:val="00C30A85"/>
    <w:rsid w:val="00C4245A"/>
    <w:rsid w:val="00C43526"/>
    <w:rsid w:val="00C4391C"/>
    <w:rsid w:val="00C45765"/>
    <w:rsid w:val="00C47A89"/>
    <w:rsid w:val="00C519FC"/>
    <w:rsid w:val="00C54073"/>
    <w:rsid w:val="00C57915"/>
    <w:rsid w:val="00C61367"/>
    <w:rsid w:val="00C82CE9"/>
    <w:rsid w:val="00C8648C"/>
    <w:rsid w:val="00C90FF9"/>
    <w:rsid w:val="00C9512E"/>
    <w:rsid w:val="00CA065E"/>
    <w:rsid w:val="00CA2314"/>
    <w:rsid w:val="00CA2C28"/>
    <w:rsid w:val="00CA4E07"/>
    <w:rsid w:val="00CB3488"/>
    <w:rsid w:val="00CC2D29"/>
    <w:rsid w:val="00CC75A4"/>
    <w:rsid w:val="00CD13A2"/>
    <w:rsid w:val="00CD2807"/>
    <w:rsid w:val="00CD335F"/>
    <w:rsid w:val="00CE2F9D"/>
    <w:rsid w:val="00CE7CCD"/>
    <w:rsid w:val="00CF03DA"/>
    <w:rsid w:val="00CF0F41"/>
    <w:rsid w:val="00D00843"/>
    <w:rsid w:val="00D015E5"/>
    <w:rsid w:val="00D01C07"/>
    <w:rsid w:val="00D01F12"/>
    <w:rsid w:val="00D02F5C"/>
    <w:rsid w:val="00D07483"/>
    <w:rsid w:val="00D11339"/>
    <w:rsid w:val="00D13646"/>
    <w:rsid w:val="00D16DF8"/>
    <w:rsid w:val="00D16EBE"/>
    <w:rsid w:val="00D22B31"/>
    <w:rsid w:val="00D2392C"/>
    <w:rsid w:val="00D252DF"/>
    <w:rsid w:val="00D30A30"/>
    <w:rsid w:val="00D35A16"/>
    <w:rsid w:val="00D472CD"/>
    <w:rsid w:val="00D53380"/>
    <w:rsid w:val="00D5529D"/>
    <w:rsid w:val="00D60229"/>
    <w:rsid w:val="00D650E4"/>
    <w:rsid w:val="00D71CA3"/>
    <w:rsid w:val="00D74015"/>
    <w:rsid w:val="00D801D5"/>
    <w:rsid w:val="00D8469B"/>
    <w:rsid w:val="00D85EDF"/>
    <w:rsid w:val="00D8681A"/>
    <w:rsid w:val="00D86919"/>
    <w:rsid w:val="00D9613F"/>
    <w:rsid w:val="00D9761F"/>
    <w:rsid w:val="00D979D2"/>
    <w:rsid w:val="00DA0566"/>
    <w:rsid w:val="00DA1B5E"/>
    <w:rsid w:val="00DA468F"/>
    <w:rsid w:val="00DB09CD"/>
    <w:rsid w:val="00DB30E4"/>
    <w:rsid w:val="00DB37D4"/>
    <w:rsid w:val="00DC07BB"/>
    <w:rsid w:val="00DC1E3B"/>
    <w:rsid w:val="00DC6145"/>
    <w:rsid w:val="00DD04D5"/>
    <w:rsid w:val="00DD1F77"/>
    <w:rsid w:val="00DD3045"/>
    <w:rsid w:val="00DD340E"/>
    <w:rsid w:val="00DE2F7A"/>
    <w:rsid w:val="00DE4162"/>
    <w:rsid w:val="00DE48CB"/>
    <w:rsid w:val="00DE6815"/>
    <w:rsid w:val="00DE69E8"/>
    <w:rsid w:val="00DE6B39"/>
    <w:rsid w:val="00DE6C32"/>
    <w:rsid w:val="00DE6DB5"/>
    <w:rsid w:val="00DF5FD2"/>
    <w:rsid w:val="00E0376F"/>
    <w:rsid w:val="00E061AF"/>
    <w:rsid w:val="00E24C02"/>
    <w:rsid w:val="00E33BEC"/>
    <w:rsid w:val="00E34BA6"/>
    <w:rsid w:val="00E432FA"/>
    <w:rsid w:val="00E4396D"/>
    <w:rsid w:val="00E43D41"/>
    <w:rsid w:val="00E522B6"/>
    <w:rsid w:val="00E54636"/>
    <w:rsid w:val="00E56A39"/>
    <w:rsid w:val="00E60767"/>
    <w:rsid w:val="00E63507"/>
    <w:rsid w:val="00E6596E"/>
    <w:rsid w:val="00E7296E"/>
    <w:rsid w:val="00E734AF"/>
    <w:rsid w:val="00E738FE"/>
    <w:rsid w:val="00E76614"/>
    <w:rsid w:val="00E91AE5"/>
    <w:rsid w:val="00E92B4A"/>
    <w:rsid w:val="00E9490D"/>
    <w:rsid w:val="00E95AE3"/>
    <w:rsid w:val="00E97951"/>
    <w:rsid w:val="00EA2000"/>
    <w:rsid w:val="00EA33B0"/>
    <w:rsid w:val="00EB475E"/>
    <w:rsid w:val="00EC0BD3"/>
    <w:rsid w:val="00EC1917"/>
    <w:rsid w:val="00EC4979"/>
    <w:rsid w:val="00ED0CB1"/>
    <w:rsid w:val="00ED49A8"/>
    <w:rsid w:val="00ED4D41"/>
    <w:rsid w:val="00ED6FCE"/>
    <w:rsid w:val="00EF3319"/>
    <w:rsid w:val="00EF5249"/>
    <w:rsid w:val="00F00C2B"/>
    <w:rsid w:val="00F1643A"/>
    <w:rsid w:val="00F21A13"/>
    <w:rsid w:val="00F21B10"/>
    <w:rsid w:val="00F22274"/>
    <w:rsid w:val="00F24003"/>
    <w:rsid w:val="00F247B6"/>
    <w:rsid w:val="00F31E9E"/>
    <w:rsid w:val="00F3473E"/>
    <w:rsid w:val="00F3795A"/>
    <w:rsid w:val="00F379B9"/>
    <w:rsid w:val="00F37B94"/>
    <w:rsid w:val="00F464E7"/>
    <w:rsid w:val="00F470A2"/>
    <w:rsid w:val="00F52E2A"/>
    <w:rsid w:val="00F56E19"/>
    <w:rsid w:val="00F60F1C"/>
    <w:rsid w:val="00F6308F"/>
    <w:rsid w:val="00F636B5"/>
    <w:rsid w:val="00F67C47"/>
    <w:rsid w:val="00F67C86"/>
    <w:rsid w:val="00F71D9F"/>
    <w:rsid w:val="00F778B5"/>
    <w:rsid w:val="00F8026D"/>
    <w:rsid w:val="00F82FB5"/>
    <w:rsid w:val="00F853FC"/>
    <w:rsid w:val="00F86D93"/>
    <w:rsid w:val="00F96A5C"/>
    <w:rsid w:val="00FA3D12"/>
    <w:rsid w:val="00FA5471"/>
    <w:rsid w:val="00FA551A"/>
    <w:rsid w:val="00FB6AFC"/>
    <w:rsid w:val="00FB6C9E"/>
    <w:rsid w:val="00FE0BE8"/>
    <w:rsid w:val="00FE259C"/>
    <w:rsid w:val="00FF0BC7"/>
    <w:rsid w:val="00FF1BEF"/>
    <w:rsid w:val="00FF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AA"/>
  </w:style>
  <w:style w:type="paragraph" w:styleId="Heading1">
    <w:name w:val="heading 1"/>
    <w:basedOn w:val="Normal"/>
    <w:next w:val="Normal"/>
    <w:link w:val="Heading1Char"/>
    <w:uiPriority w:val="9"/>
    <w:qFormat/>
    <w:rsid w:val="00E432FA"/>
    <w:pPr>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0C2501"/>
    <w:pP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9550FA"/>
    <w:pPr>
      <w:ind w:right="-360"/>
      <w:jc w:val="center"/>
      <w:outlineLvl w:val="2"/>
    </w:pPr>
    <w:rPr>
      <w:rFonts w:ascii="Times New Roman" w:hAnsi="Times New Roman" w:cs="Times New Roman"/>
      <w:b/>
      <w:sz w:val="24"/>
      <w:szCs w:val="24"/>
    </w:rPr>
  </w:style>
  <w:style w:type="paragraph" w:styleId="Heading4">
    <w:name w:val="heading 4"/>
    <w:basedOn w:val="Normal"/>
    <w:link w:val="Heading4Char"/>
    <w:uiPriority w:val="9"/>
    <w:qFormat/>
    <w:rsid w:val="004B7B2C"/>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79"/>
  </w:style>
  <w:style w:type="paragraph" w:styleId="Footer">
    <w:name w:val="footer"/>
    <w:basedOn w:val="Normal"/>
    <w:link w:val="FooterChar"/>
    <w:uiPriority w:val="99"/>
    <w:unhideWhenUsed/>
    <w:rsid w:val="002F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79"/>
  </w:style>
  <w:style w:type="paragraph" w:styleId="ListParagraph">
    <w:name w:val="List Paragraph"/>
    <w:basedOn w:val="Normal"/>
    <w:uiPriority w:val="34"/>
    <w:qFormat/>
    <w:rsid w:val="002F1379"/>
    <w:pPr>
      <w:ind w:left="720"/>
      <w:contextualSpacing/>
    </w:pPr>
  </w:style>
  <w:style w:type="character" w:customStyle="1" w:styleId="Heading4Char">
    <w:name w:val="Heading 4 Char"/>
    <w:basedOn w:val="DefaultParagraphFont"/>
    <w:link w:val="Heading4"/>
    <w:uiPriority w:val="9"/>
    <w:rsid w:val="004B7B2C"/>
    <w:rPr>
      <w:rFonts w:ascii="Times" w:hAnsi="Times"/>
      <w:b/>
      <w:bCs/>
      <w:sz w:val="24"/>
      <w:szCs w:val="24"/>
    </w:rPr>
  </w:style>
  <w:style w:type="paragraph" w:styleId="NormalWeb">
    <w:name w:val="Normal (Web)"/>
    <w:basedOn w:val="Normal"/>
    <w:uiPriority w:val="99"/>
    <w:semiHidden/>
    <w:unhideWhenUsed/>
    <w:rsid w:val="004B7B2C"/>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4B7B2C"/>
  </w:style>
  <w:style w:type="character" w:styleId="CommentReference">
    <w:name w:val="annotation reference"/>
    <w:basedOn w:val="DefaultParagraphFont"/>
    <w:uiPriority w:val="99"/>
    <w:semiHidden/>
    <w:unhideWhenUsed/>
    <w:rsid w:val="008753EC"/>
    <w:rPr>
      <w:sz w:val="16"/>
      <w:szCs w:val="16"/>
    </w:rPr>
  </w:style>
  <w:style w:type="paragraph" w:styleId="CommentText">
    <w:name w:val="annotation text"/>
    <w:basedOn w:val="Normal"/>
    <w:link w:val="CommentTextChar"/>
    <w:uiPriority w:val="99"/>
    <w:semiHidden/>
    <w:unhideWhenUsed/>
    <w:rsid w:val="008753EC"/>
    <w:pPr>
      <w:spacing w:line="240" w:lineRule="auto"/>
    </w:pPr>
    <w:rPr>
      <w:sz w:val="20"/>
      <w:szCs w:val="20"/>
    </w:rPr>
  </w:style>
  <w:style w:type="character" w:customStyle="1" w:styleId="CommentTextChar">
    <w:name w:val="Comment Text Char"/>
    <w:basedOn w:val="DefaultParagraphFont"/>
    <w:link w:val="CommentText"/>
    <w:uiPriority w:val="99"/>
    <w:semiHidden/>
    <w:rsid w:val="008753EC"/>
    <w:rPr>
      <w:sz w:val="20"/>
      <w:szCs w:val="20"/>
    </w:rPr>
  </w:style>
  <w:style w:type="paragraph" w:styleId="CommentSubject">
    <w:name w:val="annotation subject"/>
    <w:basedOn w:val="CommentText"/>
    <w:next w:val="CommentText"/>
    <w:link w:val="CommentSubjectChar"/>
    <w:uiPriority w:val="99"/>
    <w:semiHidden/>
    <w:unhideWhenUsed/>
    <w:rsid w:val="008753EC"/>
    <w:rPr>
      <w:b/>
      <w:bCs/>
    </w:rPr>
  </w:style>
  <w:style w:type="character" w:customStyle="1" w:styleId="CommentSubjectChar">
    <w:name w:val="Comment Subject Char"/>
    <w:basedOn w:val="CommentTextChar"/>
    <w:link w:val="CommentSubject"/>
    <w:uiPriority w:val="99"/>
    <w:semiHidden/>
    <w:rsid w:val="008753EC"/>
    <w:rPr>
      <w:b/>
      <w:bCs/>
      <w:sz w:val="20"/>
      <w:szCs w:val="20"/>
    </w:rPr>
  </w:style>
  <w:style w:type="paragraph" w:styleId="BalloonText">
    <w:name w:val="Balloon Text"/>
    <w:basedOn w:val="Normal"/>
    <w:link w:val="BalloonTextChar"/>
    <w:uiPriority w:val="99"/>
    <w:semiHidden/>
    <w:unhideWhenUsed/>
    <w:rsid w:val="008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C"/>
    <w:rPr>
      <w:rFonts w:ascii="Segoe UI" w:hAnsi="Segoe UI" w:cs="Segoe UI"/>
      <w:sz w:val="18"/>
      <w:szCs w:val="18"/>
    </w:rPr>
  </w:style>
  <w:style w:type="paragraph" w:styleId="Revision">
    <w:name w:val="Revision"/>
    <w:hidden/>
    <w:uiPriority w:val="99"/>
    <w:semiHidden/>
    <w:rsid w:val="00A77747"/>
    <w:pPr>
      <w:spacing w:after="0" w:line="240" w:lineRule="auto"/>
    </w:pPr>
  </w:style>
  <w:style w:type="paragraph" w:styleId="FootnoteText">
    <w:name w:val="footnote text"/>
    <w:basedOn w:val="Normal"/>
    <w:link w:val="FootnoteTextChar"/>
    <w:uiPriority w:val="99"/>
    <w:semiHidden/>
    <w:unhideWhenUsed/>
    <w:rsid w:val="00A77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747"/>
    <w:rPr>
      <w:sz w:val="20"/>
      <w:szCs w:val="20"/>
    </w:rPr>
  </w:style>
  <w:style w:type="character" w:styleId="FootnoteReference">
    <w:name w:val="footnote reference"/>
    <w:basedOn w:val="DefaultParagraphFont"/>
    <w:uiPriority w:val="99"/>
    <w:semiHidden/>
    <w:unhideWhenUsed/>
    <w:rsid w:val="00A77747"/>
    <w:rPr>
      <w:vertAlign w:val="superscript"/>
    </w:rPr>
  </w:style>
  <w:style w:type="paragraph" w:customStyle="1" w:styleId="TOCPgnumber">
    <w:name w:val="TOC Pg number"/>
    <w:basedOn w:val="Normal"/>
    <w:rsid w:val="00820271"/>
    <w:pPr>
      <w:spacing w:after="120" w:line="240" w:lineRule="auto"/>
      <w:jc w:val="right"/>
    </w:pPr>
    <w:rPr>
      <w:rFonts w:ascii="Times New Roman" w:eastAsia="Times New Roman" w:hAnsi="Times New Roman" w:cs="Times New Roman"/>
      <w:b/>
      <w:bCs/>
      <w:sz w:val="24"/>
      <w:szCs w:val="20"/>
    </w:rPr>
  </w:style>
  <w:style w:type="character" w:styleId="Hyperlink">
    <w:name w:val="Hyperlink"/>
    <w:basedOn w:val="DefaultParagraphFont"/>
    <w:uiPriority w:val="99"/>
    <w:rsid w:val="00820271"/>
    <w:rPr>
      <w:color w:val="0000FF"/>
      <w:u w:val="single"/>
    </w:rPr>
  </w:style>
  <w:style w:type="paragraph" w:styleId="TOC1">
    <w:name w:val="toc 1"/>
    <w:basedOn w:val="Normal"/>
    <w:next w:val="Normal"/>
    <w:autoRedefine/>
    <w:uiPriority w:val="39"/>
    <w:qFormat/>
    <w:rsid w:val="0082027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32FA"/>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C250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C2501"/>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0C2501"/>
    <w:pPr>
      <w:spacing w:after="100"/>
      <w:ind w:left="220"/>
    </w:pPr>
  </w:style>
  <w:style w:type="character" w:customStyle="1" w:styleId="Heading3Char">
    <w:name w:val="Heading 3 Char"/>
    <w:basedOn w:val="DefaultParagraphFont"/>
    <w:link w:val="Heading3"/>
    <w:uiPriority w:val="9"/>
    <w:rsid w:val="009550FA"/>
    <w:rPr>
      <w:rFonts w:ascii="Times New Roman" w:hAnsi="Times New Roman" w:cs="Times New Roman"/>
      <w:b/>
      <w:sz w:val="24"/>
      <w:szCs w:val="24"/>
    </w:rPr>
  </w:style>
  <w:style w:type="paragraph" w:styleId="TableofFigures">
    <w:name w:val="table of figures"/>
    <w:basedOn w:val="Normal"/>
    <w:next w:val="Normal"/>
    <w:uiPriority w:val="99"/>
    <w:unhideWhenUsed/>
    <w:rsid w:val="009550FA"/>
    <w:pPr>
      <w:spacing w:after="0"/>
    </w:pPr>
  </w:style>
  <w:style w:type="paragraph" w:styleId="TOC3">
    <w:name w:val="toc 3"/>
    <w:basedOn w:val="Normal"/>
    <w:next w:val="Normal"/>
    <w:autoRedefine/>
    <w:uiPriority w:val="39"/>
    <w:unhideWhenUsed/>
    <w:rsid w:val="00B62781"/>
    <w:pPr>
      <w:spacing w:after="100"/>
      <w:ind w:left="440"/>
    </w:pPr>
  </w:style>
  <w:style w:type="paragraph" w:styleId="Caption">
    <w:name w:val="caption"/>
    <w:basedOn w:val="Normal"/>
    <w:next w:val="Normal"/>
    <w:uiPriority w:val="35"/>
    <w:unhideWhenUsed/>
    <w:qFormat/>
    <w:rsid w:val="00C4391C"/>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AA"/>
  </w:style>
  <w:style w:type="paragraph" w:styleId="Heading1">
    <w:name w:val="heading 1"/>
    <w:basedOn w:val="Normal"/>
    <w:next w:val="Normal"/>
    <w:link w:val="Heading1Char"/>
    <w:uiPriority w:val="9"/>
    <w:qFormat/>
    <w:rsid w:val="00E432FA"/>
    <w:pPr>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0C2501"/>
    <w:pP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9550FA"/>
    <w:pPr>
      <w:ind w:right="-360"/>
      <w:jc w:val="center"/>
      <w:outlineLvl w:val="2"/>
    </w:pPr>
    <w:rPr>
      <w:rFonts w:ascii="Times New Roman" w:hAnsi="Times New Roman" w:cs="Times New Roman"/>
      <w:b/>
      <w:sz w:val="24"/>
      <w:szCs w:val="24"/>
    </w:rPr>
  </w:style>
  <w:style w:type="paragraph" w:styleId="Heading4">
    <w:name w:val="heading 4"/>
    <w:basedOn w:val="Normal"/>
    <w:link w:val="Heading4Char"/>
    <w:uiPriority w:val="9"/>
    <w:qFormat/>
    <w:rsid w:val="004B7B2C"/>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79"/>
  </w:style>
  <w:style w:type="paragraph" w:styleId="Footer">
    <w:name w:val="footer"/>
    <w:basedOn w:val="Normal"/>
    <w:link w:val="FooterChar"/>
    <w:uiPriority w:val="99"/>
    <w:unhideWhenUsed/>
    <w:rsid w:val="002F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79"/>
  </w:style>
  <w:style w:type="paragraph" w:styleId="ListParagraph">
    <w:name w:val="List Paragraph"/>
    <w:basedOn w:val="Normal"/>
    <w:uiPriority w:val="34"/>
    <w:qFormat/>
    <w:rsid w:val="002F1379"/>
    <w:pPr>
      <w:ind w:left="720"/>
      <w:contextualSpacing/>
    </w:pPr>
  </w:style>
  <w:style w:type="character" w:customStyle="1" w:styleId="Heading4Char">
    <w:name w:val="Heading 4 Char"/>
    <w:basedOn w:val="DefaultParagraphFont"/>
    <w:link w:val="Heading4"/>
    <w:uiPriority w:val="9"/>
    <w:rsid w:val="004B7B2C"/>
    <w:rPr>
      <w:rFonts w:ascii="Times" w:hAnsi="Times"/>
      <w:b/>
      <w:bCs/>
      <w:sz w:val="24"/>
      <w:szCs w:val="24"/>
    </w:rPr>
  </w:style>
  <w:style w:type="paragraph" w:styleId="NormalWeb">
    <w:name w:val="Normal (Web)"/>
    <w:basedOn w:val="Normal"/>
    <w:uiPriority w:val="99"/>
    <w:semiHidden/>
    <w:unhideWhenUsed/>
    <w:rsid w:val="004B7B2C"/>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4B7B2C"/>
  </w:style>
  <w:style w:type="character" w:styleId="CommentReference">
    <w:name w:val="annotation reference"/>
    <w:basedOn w:val="DefaultParagraphFont"/>
    <w:uiPriority w:val="99"/>
    <w:semiHidden/>
    <w:unhideWhenUsed/>
    <w:rsid w:val="008753EC"/>
    <w:rPr>
      <w:sz w:val="16"/>
      <w:szCs w:val="16"/>
    </w:rPr>
  </w:style>
  <w:style w:type="paragraph" w:styleId="CommentText">
    <w:name w:val="annotation text"/>
    <w:basedOn w:val="Normal"/>
    <w:link w:val="CommentTextChar"/>
    <w:uiPriority w:val="99"/>
    <w:semiHidden/>
    <w:unhideWhenUsed/>
    <w:rsid w:val="008753EC"/>
    <w:pPr>
      <w:spacing w:line="240" w:lineRule="auto"/>
    </w:pPr>
    <w:rPr>
      <w:sz w:val="20"/>
      <w:szCs w:val="20"/>
    </w:rPr>
  </w:style>
  <w:style w:type="character" w:customStyle="1" w:styleId="CommentTextChar">
    <w:name w:val="Comment Text Char"/>
    <w:basedOn w:val="DefaultParagraphFont"/>
    <w:link w:val="CommentText"/>
    <w:uiPriority w:val="99"/>
    <w:semiHidden/>
    <w:rsid w:val="008753EC"/>
    <w:rPr>
      <w:sz w:val="20"/>
      <w:szCs w:val="20"/>
    </w:rPr>
  </w:style>
  <w:style w:type="paragraph" w:styleId="CommentSubject">
    <w:name w:val="annotation subject"/>
    <w:basedOn w:val="CommentText"/>
    <w:next w:val="CommentText"/>
    <w:link w:val="CommentSubjectChar"/>
    <w:uiPriority w:val="99"/>
    <w:semiHidden/>
    <w:unhideWhenUsed/>
    <w:rsid w:val="008753EC"/>
    <w:rPr>
      <w:b/>
      <w:bCs/>
    </w:rPr>
  </w:style>
  <w:style w:type="character" w:customStyle="1" w:styleId="CommentSubjectChar">
    <w:name w:val="Comment Subject Char"/>
    <w:basedOn w:val="CommentTextChar"/>
    <w:link w:val="CommentSubject"/>
    <w:uiPriority w:val="99"/>
    <w:semiHidden/>
    <w:rsid w:val="008753EC"/>
    <w:rPr>
      <w:b/>
      <w:bCs/>
      <w:sz w:val="20"/>
      <w:szCs w:val="20"/>
    </w:rPr>
  </w:style>
  <w:style w:type="paragraph" w:styleId="BalloonText">
    <w:name w:val="Balloon Text"/>
    <w:basedOn w:val="Normal"/>
    <w:link w:val="BalloonTextChar"/>
    <w:uiPriority w:val="99"/>
    <w:semiHidden/>
    <w:unhideWhenUsed/>
    <w:rsid w:val="008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C"/>
    <w:rPr>
      <w:rFonts w:ascii="Segoe UI" w:hAnsi="Segoe UI" w:cs="Segoe UI"/>
      <w:sz w:val="18"/>
      <w:szCs w:val="18"/>
    </w:rPr>
  </w:style>
  <w:style w:type="paragraph" w:styleId="Revision">
    <w:name w:val="Revision"/>
    <w:hidden/>
    <w:uiPriority w:val="99"/>
    <w:semiHidden/>
    <w:rsid w:val="00A77747"/>
    <w:pPr>
      <w:spacing w:after="0" w:line="240" w:lineRule="auto"/>
    </w:pPr>
  </w:style>
  <w:style w:type="paragraph" w:styleId="FootnoteText">
    <w:name w:val="footnote text"/>
    <w:basedOn w:val="Normal"/>
    <w:link w:val="FootnoteTextChar"/>
    <w:uiPriority w:val="99"/>
    <w:semiHidden/>
    <w:unhideWhenUsed/>
    <w:rsid w:val="00A77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747"/>
    <w:rPr>
      <w:sz w:val="20"/>
      <w:szCs w:val="20"/>
    </w:rPr>
  </w:style>
  <w:style w:type="character" w:styleId="FootnoteReference">
    <w:name w:val="footnote reference"/>
    <w:basedOn w:val="DefaultParagraphFont"/>
    <w:uiPriority w:val="99"/>
    <w:semiHidden/>
    <w:unhideWhenUsed/>
    <w:rsid w:val="00A77747"/>
    <w:rPr>
      <w:vertAlign w:val="superscript"/>
    </w:rPr>
  </w:style>
  <w:style w:type="paragraph" w:customStyle="1" w:styleId="TOCPgnumber">
    <w:name w:val="TOC Pg number"/>
    <w:basedOn w:val="Normal"/>
    <w:rsid w:val="00820271"/>
    <w:pPr>
      <w:spacing w:after="120" w:line="240" w:lineRule="auto"/>
      <w:jc w:val="right"/>
    </w:pPr>
    <w:rPr>
      <w:rFonts w:ascii="Times New Roman" w:eastAsia="Times New Roman" w:hAnsi="Times New Roman" w:cs="Times New Roman"/>
      <w:b/>
      <w:bCs/>
      <w:sz w:val="24"/>
      <w:szCs w:val="20"/>
    </w:rPr>
  </w:style>
  <w:style w:type="character" w:styleId="Hyperlink">
    <w:name w:val="Hyperlink"/>
    <w:basedOn w:val="DefaultParagraphFont"/>
    <w:uiPriority w:val="99"/>
    <w:rsid w:val="00820271"/>
    <w:rPr>
      <w:color w:val="0000FF"/>
      <w:u w:val="single"/>
    </w:rPr>
  </w:style>
  <w:style w:type="paragraph" w:styleId="TOC1">
    <w:name w:val="toc 1"/>
    <w:basedOn w:val="Normal"/>
    <w:next w:val="Normal"/>
    <w:autoRedefine/>
    <w:uiPriority w:val="39"/>
    <w:qFormat/>
    <w:rsid w:val="0082027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32FA"/>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C250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C2501"/>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0C2501"/>
    <w:pPr>
      <w:spacing w:after="100"/>
      <w:ind w:left="220"/>
    </w:pPr>
  </w:style>
  <w:style w:type="character" w:customStyle="1" w:styleId="Heading3Char">
    <w:name w:val="Heading 3 Char"/>
    <w:basedOn w:val="DefaultParagraphFont"/>
    <w:link w:val="Heading3"/>
    <w:uiPriority w:val="9"/>
    <w:rsid w:val="009550FA"/>
    <w:rPr>
      <w:rFonts w:ascii="Times New Roman" w:hAnsi="Times New Roman" w:cs="Times New Roman"/>
      <w:b/>
      <w:sz w:val="24"/>
      <w:szCs w:val="24"/>
    </w:rPr>
  </w:style>
  <w:style w:type="paragraph" w:styleId="TableofFigures">
    <w:name w:val="table of figures"/>
    <w:basedOn w:val="Normal"/>
    <w:next w:val="Normal"/>
    <w:uiPriority w:val="99"/>
    <w:unhideWhenUsed/>
    <w:rsid w:val="009550FA"/>
    <w:pPr>
      <w:spacing w:after="0"/>
    </w:pPr>
  </w:style>
  <w:style w:type="paragraph" w:styleId="TOC3">
    <w:name w:val="toc 3"/>
    <w:basedOn w:val="Normal"/>
    <w:next w:val="Normal"/>
    <w:autoRedefine/>
    <w:uiPriority w:val="39"/>
    <w:unhideWhenUsed/>
    <w:rsid w:val="00B62781"/>
    <w:pPr>
      <w:spacing w:after="100"/>
      <w:ind w:left="440"/>
    </w:pPr>
  </w:style>
  <w:style w:type="paragraph" w:styleId="Caption">
    <w:name w:val="caption"/>
    <w:basedOn w:val="Normal"/>
    <w:next w:val="Normal"/>
    <w:uiPriority w:val="35"/>
    <w:unhideWhenUsed/>
    <w:qFormat/>
    <w:rsid w:val="00C4391C"/>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671">
      <w:bodyDiv w:val="1"/>
      <w:marLeft w:val="0"/>
      <w:marRight w:val="0"/>
      <w:marTop w:val="0"/>
      <w:marBottom w:val="0"/>
      <w:divBdr>
        <w:top w:val="none" w:sz="0" w:space="0" w:color="auto"/>
        <w:left w:val="none" w:sz="0" w:space="0" w:color="auto"/>
        <w:bottom w:val="none" w:sz="0" w:space="0" w:color="auto"/>
        <w:right w:val="none" w:sz="0" w:space="0" w:color="auto"/>
      </w:divBdr>
    </w:div>
    <w:div w:id="55444804">
      <w:bodyDiv w:val="1"/>
      <w:marLeft w:val="0"/>
      <w:marRight w:val="0"/>
      <w:marTop w:val="0"/>
      <w:marBottom w:val="0"/>
      <w:divBdr>
        <w:top w:val="none" w:sz="0" w:space="0" w:color="auto"/>
        <w:left w:val="none" w:sz="0" w:space="0" w:color="auto"/>
        <w:bottom w:val="none" w:sz="0" w:space="0" w:color="auto"/>
        <w:right w:val="none" w:sz="0" w:space="0" w:color="auto"/>
      </w:divBdr>
    </w:div>
    <w:div w:id="161821995">
      <w:bodyDiv w:val="1"/>
      <w:marLeft w:val="0"/>
      <w:marRight w:val="0"/>
      <w:marTop w:val="0"/>
      <w:marBottom w:val="0"/>
      <w:divBdr>
        <w:top w:val="none" w:sz="0" w:space="0" w:color="auto"/>
        <w:left w:val="none" w:sz="0" w:space="0" w:color="auto"/>
        <w:bottom w:val="none" w:sz="0" w:space="0" w:color="auto"/>
        <w:right w:val="none" w:sz="0" w:space="0" w:color="auto"/>
      </w:divBdr>
    </w:div>
    <w:div w:id="449277626">
      <w:bodyDiv w:val="1"/>
      <w:marLeft w:val="0"/>
      <w:marRight w:val="0"/>
      <w:marTop w:val="0"/>
      <w:marBottom w:val="0"/>
      <w:divBdr>
        <w:top w:val="none" w:sz="0" w:space="0" w:color="auto"/>
        <w:left w:val="none" w:sz="0" w:space="0" w:color="auto"/>
        <w:bottom w:val="none" w:sz="0" w:space="0" w:color="auto"/>
        <w:right w:val="none" w:sz="0" w:space="0" w:color="auto"/>
      </w:divBdr>
    </w:div>
    <w:div w:id="482239303">
      <w:bodyDiv w:val="1"/>
      <w:marLeft w:val="0"/>
      <w:marRight w:val="0"/>
      <w:marTop w:val="0"/>
      <w:marBottom w:val="0"/>
      <w:divBdr>
        <w:top w:val="none" w:sz="0" w:space="0" w:color="auto"/>
        <w:left w:val="none" w:sz="0" w:space="0" w:color="auto"/>
        <w:bottom w:val="none" w:sz="0" w:space="0" w:color="auto"/>
        <w:right w:val="none" w:sz="0" w:space="0" w:color="auto"/>
      </w:divBdr>
    </w:div>
    <w:div w:id="509636213">
      <w:bodyDiv w:val="1"/>
      <w:marLeft w:val="0"/>
      <w:marRight w:val="0"/>
      <w:marTop w:val="0"/>
      <w:marBottom w:val="0"/>
      <w:divBdr>
        <w:top w:val="none" w:sz="0" w:space="0" w:color="auto"/>
        <w:left w:val="none" w:sz="0" w:space="0" w:color="auto"/>
        <w:bottom w:val="none" w:sz="0" w:space="0" w:color="auto"/>
        <w:right w:val="none" w:sz="0" w:space="0" w:color="auto"/>
      </w:divBdr>
    </w:div>
    <w:div w:id="675159290">
      <w:bodyDiv w:val="1"/>
      <w:marLeft w:val="0"/>
      <w:marRight w:val="0"/>
      <w:marTop w:val="0"/>
      <w:marBottom w:val="0"/>
      <w:divBdr>
        <w:top w:val="none" w:sz="0" w:space="0" w:color="auto"/>
        <w:left w:val="none" w:sz="0" w:space="0" w:color="auto"/>
        <w:bottom w:val="none" w:sz="0" w:space="0" w:color="auto"/>
        <w:right w:val="none" w:sz="0" w:space="0" w:color="auto"/>
      </w:divBdr>
    </w:div>
    <w:div w:id="782921165">
      <w:bodyDiv w:val="1"/>
      <w:marLeft w:val="0"/>
      <w:marRight w:val="0"/>
      <w:marTop w:val="0"/>
      <w:marBottom w:val="0"/>
      <w:divBdr>
        <w:top w:val="none" w:sz="0" w:space="0" w:color="auto"/>
        <w:left w:val="none" w:sz="0" w:space="0" w:color="auto"/>
        <w:bottom w:val="none" w:sz="0" w:space="0" w:color="auto"/>
        <w:right w:val="none" w:sz="0" w:space="0" w:color="auto"/>
      </w:divBdr>
    </w:div>
    <w:div w:id="839663324">
      <w:bodyDiv w:val="1"/>
      <w:marLeft w:val="0"/>
      <w:marRight w:val="0"/>
      <w:marTop w:val="0"/>
      <w:marBottom w:val="0"/>
      <w:divBdr>
        <w:top w:val="none" w:sz="0" w:space="0" w:color="auto"/>
        <w:left w:val="none" w:sz="0" w:space="0" w:color="auto"/>
        <w:bottom w:val="none" w:sz="0" w:space="0" w:color="auto"/>
        <w:right w:val="none" w:sz="0" w:space="0" w:color="auto"/>
      </w:divBdr>
    </w:div>
    <w:div w:id="996499440">
      <w:bodyDiv w:val="1"/>
      <w:marLeft w:val="0"/>
      <w:marRight w:val="0"/>
      <w:marTop w:val="0"/>
      <w:marBottom w:val="0"/>
      <w:divBdr>
        <w:top w:val="none" w:sz="0" w:space="0" w:color="auto"/>
        <w:left w:val="none" w:sz="0" w:space="0" w:color="auto"/>
        <w:bottom w:val="none" w:sz="0" w:space="0" w:color="auto"/>
        <w:right w:val="none" w:sz="0" w:space="0" w:color="auto"/>
      </w:divBdr>
    </w:div>
    <w:div w:id="1004749229">
      <w:bodyDiv w:val="1"/>
      <w:marLeft w:val="0"/>
      <w:marRight w:val="0"/>
      <w:marTop w:val="0"/>
      <w:marBottom w:val="0"/>
      <w:divBdr>
        <w:top w:val="none" w:sz="0" w:space="0" w:color="auto"/>
        <w:left w:val="none" w:sz="0" w:space="0" w:color="auto"/>
        <w:bottom w:val="none" w:sz="0" w:space="0" w:color="auto"/>
        <w:right w:val="none" w:sz="0" w:space="0" w:color="auto"/>
      </w:divBdr>
    </w:div>
    <w:div w:id="1057165021">
      <w:bodyDiv w:val="1"/>
      <w:marLeft w:val="0"/>
      <w:marRight w:val="0"/>
      <w:marTop w:val="0"/>
      <w:marBottom w:val="0"/>
      <w:divBdr>
        <w:top w:val="none" w:sz="0" w:space="0" w:color="auto"/>
        <w:left w:val="none" w:sz="0" w:space="0" w:color="auto"/>
        <w:bottom w:val="none" w:sz="0" w:space="0" w:color="auto"/>
        <w:right w:val="none" w:sz="0" w:space="0" w:color="auto"/>
      </w:divBdr>
    </w:div>
    <w:div w:id="1117718677">
      <w:bodyDiv w:val="1"/>
      <w:marLeft w:val="0"/>
      <w:marRight w:val="0"/>
      <w:marTop w:val="0"/>
      <w:marBottom w:val="0"/>
      <w:divBdr>
        <w:top w:val="none" w:sz="0" w:space="0" w:color="auto"/>
        <w:left w:val="none" w:sz="0" w:space="0" w:color="auto"/>
        <w:bottom w:val="none" w:sz="0" w:space="0" w:color="auto"/>
        <w:right w:val="none" w:sz="0" w:space="0" w:color="auto"/>
      </w:divBdr>
    </w:div>
    <w:div w:id="1246649761">
      <w:bodyDiv w:val="1"/>
      <w:marLeft w:val="0"/>
      <w:marRight w:val="0"/>
      <w:marTop w:val="0"/>
      <w:marBottom w:val="0"/>
      <w:divBdr>
        <w:top w:val="none" w:sz="0" w:space="0" w:color="auto"/>
        <w:left w:val="none" w:sz="0" w:space="0" w:color="auto"/>
        <w:bottom w:val="none" w:sz="0" w:space="0" w:color="auto"/>
        <w:right w:val="none" w:sz="0" w:space="0" w:color="auto"/>
      </w:divBdr>
    </w:div>
    <w:div w:id="1312907203">
      <w:bodyDiv w:val="1"/>
      <w:marLeft w:val="0"/>
      <w:marRight w:val="0"/>
      <w:marTop w:val="0"/>
      <w:marBottom w:val="0"/>
      <w:divBdr>
        <w:top w:val="none" w:sz="0" w:space="0" w:color="auto"/>
        <w:left w:val="none" w:sz="0" w:space="0" w:color="auto"/>
        <w:bottom w:val="none" w:sz="0" w:space="0" w:color="auto"/>
        <w:right w:val="none" w:sz="0" w:space="0" w:color="auto"/>
      </w:divBdr>
    </w:div>
    <w:div w:id="1766724493">
      <w:bodyDiv w:val="1"/>
      <w:marLeft w:val="0"/>
      <w:marRight w:val="0"/>
      <w:marTop w:val="0"/>
      <w:marBottom w:val="0"/>
      <w:divBdr>
        <w:top w:val="none" w:sz="0" w:space="0" w:color="auto"/>
        <w:left w:val="none" w:sz="0" w:space="0" w:color="auto"/>
        <w:bottom w:val="none" w:sz="0" w:space="0" w:color="auto"/>
        <w:right w:val="none" w:sz="0" w:space="0" w:color="auto"/>
      </w:divBdr>
    </w:div>
    <w:div w:id="1819035958">
      <w:bodyDiv w:val="1"/>
      <w:marLeft w:val="0"/>
      <w:marRight w:val="0"/>
      <w:marTop w:val="0"/>
      <w:marBottom w:val="0"/>
      <w:divBdr>
        <w:top w:val="none" w:sz="0" w:space="0" w:color="auto"/>
        <w:left w:val="none" w:sz="0" w:space="0" w:color="auto"/>
        <w:bottom w:val="none" w:sz="0" w:space="0" w:color="auto"/>
        <w:right w:val="none" w:sz="0" w:space="0" w:color="auto"/>
      </w:divBdr>
    </w:div>
    <w:div w:id="1823691861">
      <w:bodyDiv w:val="1"/>
      <w:marLeft w:val="0"/>
      <w:marRight w:val="0"/>
      <w:marTop w:val="0"/>
      <w:marBottom w:val="0"/>
      <w:divBdr>
        <w:top w:val="none" w:sz="0" w:space="0" w:color="auto"/>
        <w:left w:val="none" w:sz="0" w:space="0" w:color="auto"/>
        <w:bottom w:val="none" w:sz="0" w:space="0" w:color="auto"/>
        <w:right w:val="none" w:sz="0" w:space="0" w:color="auto"/>
      </w:divBdr>
    </w:div>
    <w:div w:id="1929730678">
      <w:bodyDiv w:val="1"/>
      <w:marLeft w:val="0"/>
      <w:marRight w:val="0"/>
      <w:marTop w:val="0"/>
      <w:marBottom w:val="0"/>
      <w:divBdr>
        <w:top w:val="none" w:sz="0" w:space="0" w:color="auto"/>
        <w:left w:val="none" w:sz="0" w:space="0" w:color="auto"/>
        <w:bottom w:val="none" w:sz="0" w:space="0" w:color="auto"/>
        <w:right w:val="none" w:sz="0" w:space="0" w:color="auto"/>
      </w:divBdr>
    </w:div>
    <w:div w:id="1932740133">
      <w:bodyDiv w:val="1"/>
      <w:marLeft w:val="0"/>
      <w:marRight w:val="0"/>
      <w:marTop w:val="0"/>
      <w:marBottom w:val="0"/>
      <w:divBdr>
        <w:top w:val="none" w:sz="0" w:space="0" w:color="auto"/>
        <w:left w:val="none" w:sz="0" w:space="0" w:color="auto"/>
        <w:bottom w:val="none" w:sz="0" w:space="0" w:color="auto"/>
        <w:right w:val="none" w:sz="0" w:space="0" w:color="auto"/>
      </w:divBdr>
    </w:div>
    <w:div w:id="204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78CA-34B6-4F7F-B3E8-9BC3412E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Analytic Support for Evaluation and Program Monitoring 2013-14 (MSWord)</vt:lpstr>
    </vt:vector>
  </TitlesOfParts>
  <Company>U.S. Department of Education</Company>
  <LinksUpToDate>false</LinksUpToDate>
  <CharactersWithSpaces>32734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 Support for Evaluation and Program Monitoring 2013-14 (MSWord)</dc:title>
  <dc:creator>U.S. Department of Education</dc:creator>
  <cp:lastModifiedBy>Authorised User</cp:lastModifiedBy>
  <cp:revision>4</cp:revision>
  <cp:lastPrinted>2015-06-13T04:36:00Z</cp:lastPrinted>
  <dcterms:created xsi:type="dcterms:W3CDTF">2016-03-23T19:17:00Z</dcterms:created>
  <dcterms:modified xsi:type="dcterms:W3CDTF">2016-03-24T15:00:00Z</dcterms:modified>
</cp:coreProperties>
</file>