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F6" w:rsidRPr="006F603A" w:rsidRDefault="00074EDB" w:rsidP="006F603A">
      <w:pPr>
        <w:jc w:val="center"/>
        <w:rPr>
          <w:b/>
          <w:sz w:val="40"/>
          <w:szCs w:val="40"/>
        </w:rPr>
      </w:pPr>
      <w:bookmarkStart w:id="0" w:name="_Toc129767014"/>
      <w:bookmarkStart w:id="1" w:name="_Toc129767148"/>
      <w:bookmarkStart w:id="2" w:name="_GoBack"/>
      <w:bookmarkEnd w:id="2"/>
      <w:r w:rsidRPr="006F603A">
        <w:rPr>
          <w:b/>
          <w:sz w:val="40"/>
          <w:szCs w:val="40"/>
        </w:rPr>
        <w:t>21</w:t>
      </w:r>
      <w:r w:rsidR="00990BF6" w:rsidRPr="006F603A">
        <w:rPr>
          <w:b/>
          <w:sz w:val="40"/>
          <w:szCs w:val="40"/>
        </w:rPr>
        <w:t>st Century Community Learning Centers (21st CCLC)</w:t>
      </w:r>
      <w:bookmarkEnd w:id="0"/>
      <w:bookmarkEnd w:id="1"/>
    </w:p>
    <w:p w:rsidR="00990BF6" w:rsidRDefault="00990BF6">
      <w:pPr>
        <w:jc w:val="center"/>
        <w:rPr>
          <w:b/>
          <w:sz w:val="40"/>
          <w:szCs w:val="40"/>
        </w:rPr>
      </w:pPr>
      <w:r w:rsidRPr="006F603A">
        <w:rPr>
          <w:b/>
          <w:sz w:val="40"/>
          <w:szCs w:val="40"/>
        </w:rPr>
        <w:t xml:space="preserve">An Overview of the </w:t>
      </w:r>
      <w:r w:rsidRPr="006F603A">
        <w:rPr>
          <w:b/>
          <w:sz w:val="40"/>
          <w:szCs w:val="40"/>
        </w:rPr>
        <w:br/>
        <w:t xml:space="preserve">21st CCLC Performance Data: </w:t>
      </w:r>
      <w:r w:rsidR="001F000F" w:rsidRPr="006F603A">
        <w:rPr>
          <w:b/>
          <w:sz w:val="40"/>
          <w:szCs w:val="40"/>
        </w:rPr>
        <w:t>20</w:t>
      </w:r>
      <w:r w:rsidR="001F525E" w:rsidRPr="006F603A">
        <w:rPr>
          <w:b/>
          <w:sz w:val="40"/>
          <w:szCs w:val="40"/>
        </w:rPr>
        <w:t>1</w:t>
      </w:r>
      <w:r w:rsidR="00BC6D64" w:rsidRPr="006F603A">
        <w:rPr>
          <w:b/>
          <w:sz w:val="40"/>
          <w:szCs w:val="40"/>
        </w:rPr>
        <w:t>2</w:t>
      </w:r>
      <w:r w:rsidR="001F000F" w:rsidRPr="006F603A">
        <w:rPr>
          <w:b/>
          <w:sz w:val="40"/>
          <w:szCs w:val="40"/>
        </w:rPr>
        <w:t>–</w:t>
      </w:r>
      <w:r w:rsidR="00562E2A" w:rsidRPr="006F603A">
        <w:rPr>
          <w:b/>
          <w:sz w:val="40"/>
          <w:szCs w:val="40"/>
        </w:rPr>
        <w:t>1</w:t>
      </w:r>
      <w:r w:rsidR="00BC6D64" w:rsidRPr="006F603A">
        <w:rPr>
          <w:b/>
          <w:sz w:val="40"/>
          <w:szCs w:val="40"/>
        </w:rPr>
        <w:t>3</w:t>
      </w:r>
    </w:p>
    <w:p w:rsidR="006F603A" w:rsidRDefault="006F603A">
      <w:pPr>
        <w:jc w:val="center"/>
        <w:rPr>
          <w:b/>
          <w:sz w:val="40"/>
          <w:szCs w:val="40"/>
        </w:rPr>
      </w:pPr>
    </w:p>
    <w:p w:rsidR="006F603A" w:rsidRPr="00BC6D64" w:rsidRDefault="006F603A">
      <w:pPr>
        <w:jc w:val="center"/>
      </w:pPr>
    </w:p>
    <w:p w:rsidR="00990BF6" w:rsidRPr="00BC6D64" w:rsidRDefault="00990BF6">
      <w:pPr>
        <w:jc w:val="center"/>
        <w:rPr>
          <w:b/>
          <w:bCs/>
          <w:sz w:val="28"/>
          <w:szCs w:val="28"/>
        </w:rPr>
      </w:pPr>
      <w:r w:rsidRPr="00BC6D64">
        <w:rPr>
          <w:b/>
          <w:bCs/>
          <w:sz w:val="28"/>
          <w:szCs w:val="28"/>
        </w:rPr>
        <w:t>U.S. Department of Education</w:t>
      </w:r>
    </w:p>
    <w:p w:rsidR="00990BF6" w:rsidRPr="00BC6D64" w:rsidRDefault="00990BF6">
      <w:pPr>
        <w:jc w:val="center"/>
        <w:rPr>
          <w:b/>
          <w:bCs/>
          <w:sz w:val="28"/>
          <w:szCs w:val="28"/>
        </w:rPr>
      </w:pPr>
      <w:r w:rsidRPr="00BC6D64">
        <w:rPr>
          <w:b/>
          <w:bCs/>
          <w:sz w:val="28"/>
          <w:szCs w:val="28"/>
        </w:rPr>
        <w:t>Office of Elementary and Secondary Education</w:t>
      </w:r>
    </w:p>
    <w:p w:rsidR="00990BF6" w:rsidRPr="000E6DA5" w:rsidRDefault="00990BF6" w:rsidP="000E6DA5">
      <w:pPr>
        <w:jc w:val="center"/>
        <w:rPr>
          <w:b/>
          <w:bCs/>
          <w:sz w:val="28"/>
          <w:szCs w:val="28"/>
        </w:rPr>
      </w:pPr>
      <w:r w:rsidRPr="000E6DA5">
        <w:rPr>
          <w:b/>
          <w:bCs/>
          <w:sz w:val="28"/>
          <w:szCs w:val="28"/>
        </w:rPr>
        <w:t>21st Century Community Learning Centers</w:t>
      </w:r>
    </w:p>
    <w:p w:rsidR="000D4CAA" w:rsidRPr="000E6DA5" w:rsidRDefault="000D4CAA">
      <w:pPr>
        <w:jc w:val="center"/>
        <w:rPr>
          <w:b/>
          <w:bCs/>
          <w:sz w:val="28"/>
          <w:szCs w:val="28"/>
        </w:rPr>
      </w:pPr>
    </w:p>
    <w:p w:rsidR="00990BF6" w:rsidRDefault="00D5396A">
      <w:pPr>
        <w:jc w:val="center"/>
        <w:rPr>
          <w:b/>
          <w:sz w:val="28"/>
          <w:szCs w:val="28"/>
        </w:rPr>
      </w:pPr>
      <w:r>
        <w:rPr>
          <w:b/>
          <w:sz w:val="28"/>
          <w:szCs w:val="28"/>
        </w:rPr>
        <w:t xml:space="preserve">Dr. </w:t>
      </w:r>
      <w:r w:rsidR="00C96CBC" w:rsidRPr="00BC6D64">
        <w:rPr>
          <w:b/>
          <w:sz w:val="28"/>
          <w:szCs w:val="28"/>
        </w:rPr>
        <w:t>Sylvia Lyles, Program Director</w:t>
      </w:r>
      <w:r>
        <w:rPr>
          <w:b/>
          <w:sz w:val="28"/>
          <w:szCs w:val="28"/>
        </w:rPr>
        <w:t xml:space="preserve">, </w:t>
      </w:r>
      <w:r>
        <w:rPr>
          <w:b/>
          <w:sz w:val="28"/>
          <w:szCs w:val="28"/>
        </w:rPr>
        <w:br/>
        <w:t>Academic Improvement and Teacher Quality</w:t>
      </w:r>
    </w:p>
    <w:p w:rsidR="006F603A" w:rsidRDefault="006F603A">
      <w:pPr>
        <w:jc w:val="center"/>
        <w:rPr>
          <w:b/>
          <w:sz w:val="28"/>
          <w:szCs w:val="28"/>
        </w:rPr>
      </w:pPr>
    </w:p>
    <w:p w:rsidR="006F603A" w:rsidRPr="00BC6D64" w:rsidRDefault="006F603A">
      <w:pPr>
        <w:jc w:val="center"/>
      </w:pPr>
    </w:p>
    <w:p w:rsidR="00F057A2" w:rsidRPr="00BC6D64" w:rsidRDefault="00F057A2" w:rsidP="00F057A2">
      <w:pPr>
        <w:jc w:val="center"/>
        <w:rPr>
          <w:b/>
          <w:bCs/>
          <w:sz w:val="28"/>
        </w:rPr>
      </w:pPr>
      <w:r w:rsidRPr="00BC6D64">
        <w:rPr>
          <w:b/>
          <w:bCs/>
          <w:sz w:val="28"/>
        </w:rPr>
        <w:t>Prepared by:</w:t>
      </w:r>
    </w:p>
    <w:p w:rsidR="00ED70E2" w:rsidRPr="00BC6D64" w:rsidRDefault="00ED70E2" w:rsidP="00F057A2">
      <w:pPr>
        <w:jc w:val="center"/>
        <w:rPr>
          <w:b/>
          <w:bCs/>
          <w:sz w:val="28"/>
        </w:rPr>
      </w:pPr>
    </w:p>
    <w:p w:rsidR="00ED70E2" w:rsidRPr="00BC6D64" w:rsidRDefault="00ED70E2" w:rsidP="00F057A2">
      <w:pPr>
        <w:jc w:val="center"/>
        <w:rPr>
          <w:b/>
          <w:i/>
          <w:sz w:val="28"/>
          <w:szCs w:val="28"/>
        </w:rPr>
      </w:pPr>
      <w:r w:rsidRPr="00BC6D64">
        <w:rPr>
          <w:b/>
          <w:sz w:val="28"/>
          <w:szCs w:val="28"/>
        </w:rPr>
        <w:t>Matthew Vinson</w:t>
      </w:r>
    </w:p>
    <w:p w:rsidR="00F057A2" w:rsidRPr="00BC6D64" w:rsidRDefault="00F057A2" w:rsidP="00F057A2">
      <w:pPr>
        <w:jc w:val="center"/>
        <w:rPr>
          <w:b/>
          <w:i/>
          <w:sz w:val="28"/>
          <w:szCs w:val="28"/>
        </w:rPr>
      </w:pPr>
      <w:r w:rsidRPr="00BC6D64">
        <w:rPr>
          <w:b/>
          <w:i/>
          <w:sz w:val="28"/>
          <w:szCs w:val="28"/>
        </w:rPr>
        <w:t>Learning Point Associates</w:t>
      </w:r>
    </w:p>
    <w:p w:rsidR="00F057A2" w:rsidRPr="00BC6D64" w:rsidRDefault="00F057A2" w:rsidP="00F057A2">
      <w:pPr>
        <w:jc w:val="center"/>
        <w:rPr>
          <w:b/>
          <w:i/>
          <w:sz w:val="28"/>
          <w:szCs w:val="28"/>
        </w:rPr>
      </w:pPr>
    </w:p>
    <w:p w:rsidR="00F057A2" w:rsidRPr="00BC6D64" w:rsidRDefault="00F057A2" w:rsidP="00F057A2">
      <w:pPr>
        <w:jc w:val="center"/>
        <w:rPr>
          <w:b/>
          <w:sz w:val="28"/>
          <w:szCs w:val="28"/>
        </w:rPr>
      </w:pPr>
      <w:proofErr w:type="gramStart"/>
      <w:r w:rsidRPr="00BC6D64">
        <w:rPr>
          <w:b/>
          <w:sz w:val="28"/>
          <w:szCs w:val="28"/>
        </w:rPr>
        <w:t>and</w:t>
      </w:r>
      <w:proofErr w:type="gramEnd"/>
    </w:p>
    <w:p w:rsidR="00F057A2" w:rsidRPr="00BC6D64" w:rsidRDefault="00F057A2" w:rsidP="00F057A2">
      <w:pPr>
        <w:jc w:val="center"/>
        <w:rPr>
          <w:b/>
          <w:sz w:val="28"/>
          <w:szCs w:val="28"/>
        </w:rPr>
      </w:pPr>
    </w:p>
    <w:p w:rsidR="00ED70E2" w:rsidRPr="00BC6D64" w:rsidRDefault="00ED70E2" w:rsidP="00F057A2">
      <w:pPr>
        <w:jc w:val="center"/>
        <w:rPr>
          <w:b/>
          <w:sz w:val="28"/>
          <w:szCs w:val="28"/>
        </w:rPr>
      </w:pPr>
      <w:r w:rsidRPr="00BC6D64">
        <w:rPr>
          <w:b/>
          <w:sz w:val="28"/>
          <w:szCs w:val="28"/>
        </w:rPr>
        <w:t>Dan Diehl</w:t>
      </w:r>
    </w:p>
    <w:p w:rsidR="00990BF6" w:rsidRPr="006D619E" w:rsidRDefault="00F057A2" w:rsidP="006F603A">
      <w:pPr>
        <w:jc w:val="center"/>
        <w:rPr>
          <w:b/>
          <w:i/>
        </w:rPr>
      </w:pPr>
      <w:proofErr w:type="gramStart"/>
      <w:r w:rsidRPr="00BC6D64">
        <w:rPr>
          <w:b/>
          <w:i/>
          <w:sz w:val="28"/>
          <w:szCs w:val="28"/>
        </w:rPr>
        <w:t>Diehl Evaluation and Consulting Services, Inc.</w:t>
      </w:r>
      <w:proofErr w:type="gramEnd"/>
      <w:r w:rsidR="006F603A" w:rsidRPr="006D619E">
        <w:rPr>
          <w:b/>
          <w:i/>
        </w:rPr>
        <w:t xml:space="preserve"> </w:t>
      </w:r>
    </w:p>
    <w:p w:rsidR="00990BF6" w:rsidRPr="006D619E" w:rsidRDefault="00EA4405">
      <w:pPr>
        <w:pStyle w:val="NormalWeb"/>
        <w:spacing w:before="0" w:beforeAutospacing="0" w:after="0" w:afterAutospacing="0"/>
      </w:pPr>
      <w:r w:rsidRPr="006D619E">
        <w:rPr>
          <w:noProof/>
        </w:rPr>
        <w:drawing>
          <wp:inline distT="0" distB="0" distL="0" distR="0" wp14:anchorId="3FEE1686" wp14:editId="2BE2D90A">
            <wp:extent cx="2743200" cy="628650"/>
            <wp:effectExtent l="0" t="0" r="0" b="0"/>
            <wp:docPr id="1" name="Picture 1" descr="Learning Point Associat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PA Logo_2007_Grey_LR_Grey_03-07"/>
                    <pic:cNvPicPr>
                      <a:picLocks noChangeArrowheads="1"/>
                    </pic:cNvPicPr>
                  </pic:nvPicPr>
                  <pic:blipFill>
                    <a:blip r:embed="rId9" cstate="print"/>
                    <a:srcRect/>
                    <a:stretch>
                      <a:fillRect/>
                    </a:stretch>
                  </pic:blipFill>
                  <pic:spPr bwMode="auto">
                    <a:xfrm>
                      <a:off x="0" y="0"/>
                      <a:ext cx="2743200" cy="628650"/>
                    </a:xfrm>
                    <a:prstGeom prst="rect">
                      <a:avLst/>
                    </a:prstGeom>
                    <a:noFill/>
                    <a:ln w="9525">
                      <a:noFill/>
                      <a:miter lim="800000"/>
                      <a:headEnd/>
                      <a:tailEnd/>
                    </a:ln>
                  </pic:spPr>
                </pic:pic>
              </a:graphicData>
            </a:graphic>
          </wp:inline>
        </w:drawing>
      </w:r>
    </w:p>
    <w:p w:rsidR="00990BF6" w:rsidRPr="006D619E" w:rsidRDefault="00990BF6">
      <w:pPr>
        <w:ind w:left="720"/>
      </w:pPr>
      <w:r w:rsidRPr="006D619E">
        <w:t>1120 East Diehl Road, Suite 200</w:t>
      </w:r>
    </w:p>
    <w:p w:rsidR="00990BF6" w:rsidRPr="006D619E" w:rsidRDefault="00990BF6">
      <w:pPr>
        <w:ind w:left="720"/>
      </w:pPr>
      <w:r w:rsidRPr="006D619E">
        <w:t>Naperville, IL 60563-1486</w:t>
      </w:r>
    </w:p>
    <w:p w:rsidR="00990BF6" w:rsidRPr="006D619E" w:rsidRDefault="00990BF6">
      <w:pPr>
        <w:ind w:left="720"/>
      </w:pPr>
      <w:r w:rsidRPr="006D619E">
        <w:t xml:space="preserve">800-356-2735 </w:t>
      </w:r>
      <w:r w:rsidRPr="006D619E">
        <w:sym w:font="Wingdings" w:char="F09F"/>
      </w:r>
      <w:r w:rsidRPr="006D619E">
        <w:t xml:space="preserve"> 630-649-6500</w:t>
      </w:r>
    </w:p>
    <w:p w:rsidR="00F21390" w:rsidRPr="006D619E" w:rsidRDefault="00F21390">
      <w:pPr>
        <w:ind w:left="720"/>
      </w:pPr>
      <w:r w:rsidRPr="006D619E">
        <w:t xml:space="preserve">www.learningpt.org </w:t>
      </w:r>
    </w:p>
    <w:p w:rsidR="00F21390" w:rsidRPr="006D619E" w:rsidRDefault="00F21390" w:rsidP="00F21390">
      <w:pPr>
        <w:tabs>
          <w:tab w:val="right" w:pos="9360"/>
        </w:tabs>
        <w:ind w:left="720"/>
        <w:rPr>
          <w:sz w:val="20"/>
          <w:szCs w:val="20"/>
        </w:rPr>
      </w:pPr>
      <w:r w:rsidRPr="006D619E">
        <w:rPr>
          <w:sz w:val="20"/>
          <w:szCs w:val="20"/>
        </w:rPr>
        <w:tab/>
        <w:t>3520_03/09</w:t>
      </w:r>
    </w:p>
    <w:p w:rsidR="00F21390" w:rsidRPr="00D07AC9" w:rsidRDefault="00F21390" w:rsidP="00F21390">
      <w:pPr>
        <w:tabs>
          <w:tab w:val="right" w:pos="9360"/>
        </w:tabs>
        <w:ind w:left="720"/>
        <w:rPr>
          <w:highlight w:val="yellow"/>
        </w:rPr>
      </w:pPr>
    </w:p>
    <w:p w:rsidR="00033070" w:rsidRPr="00D07AC9" w:rsidRDefault="00033070">
      <w:pPr>
        <w:rPr>
          <w:sz w:val="16"/>
          <w:szCs w:val="16"/>
          <w:highlight w:val="yellow"/>
        </w:rPr>
        <w:sectPr w:rsidR="00033070" w:rsidRPr="00D07AC9" w:rsidSect="00033070">
          <w:footerReference w:type="default" r:id="rId10"/>
          <w:pgSz w:w="12240" w:h="15840" w:code="1"/>
          <w:pgMar w:top="1440" w:right="1440" w:bottom="1440" w:left="1440" w:header="720" w:footer="720" w:gutter="0"/>
          <w:pgNumType w:start="1"/>
          <w:cols w:space="720"/>
          <w:titlePg/>
          <w:docGrid w:linePitch="360"/>
        </w:sectPr>
      </w:pPr>
    </w:p>
    <w:p w:rsidR="00C96CBC" w:rsidRPr="006D619E" w:rsidRDefault="00C96CBC" w:rsidP="00B12A68">
      <w:pPr>
        <w:tabs>
          <w:tab w:val="right" w:leader="dot" w:pos="9360"/>
        </w:tabs>
      </w:pPr>
      <w:r w:rsidRPr="006D619E">
        <w:lastRenderedPageBreak/>
        <w:t xml:space="preserve">This report was prepared for the U.S. Department of Education under </w:t>
      </w:r>
      <w:r w:rsidR="00B12A68" w:rsidRPr="006D619E">
        <w:t>c</w:t>
      </w:r>
      <w:r w:rsidRPr="006D619E">
        <w:t xml:space="preserve">ontract </w:t>
      </w:r>
      <w:r w:rsidR="00B12A68" w:rsidRPr="006D619E">
        <w:t>number</w:t>
      </w:r>
      <w:r w:rsidRPr="006D619E">
        <w:t xml:space="preserve"> ED </w:t>
      </w:r>
      <w:r w:rsidRPr="006D619E">
        <w:rPr>
          <w:rStyle w:val="Strong"/>
          <w:b w:val="0"/>
        </w:rPr>
        <w:t>1810-0668</w:t>
      </w:r>
      <w:r w:rsidRPr="006D619E">
        <w:t>.</w:t>
      </w:r>
      <w:r w:rsidR="00481775" w:rsidRPr="006D619E">
        <w:t xml:space="preserve"> </w:t>
      </w:r>
      <w:r w:rsidRPr="006D619E">
        <w:t xml:space="preserve">The </w:t>
      </w:r>
      <w:r w:rsidR="00D5396A">
        <w:t xml:space="preserve">contracting </w:t>
      </w:r>
      <w:r w:rsidRPr="006D619E">
        <w:t xml:space="preserve">officer </w:t>
      </w:r>
      <w:r w:rsidR="00D5396A">
        <w:t xml:space="preserve">representative </w:t>
      </w:r>
      <w:r w:rsidRPr="006D619E">
        <w:t xml:space="preserve">is Stephen Balkcom </w:t>
      </w:r>
      <w:r w:rsidR="00B12A68" w:rsidRPr="006D619E">
        <w:t xml:space="preserve">of </w:t>
      </w:r>
      <w:r w:rsidRPr="006D619E">
        <w:t xml:space="preserve">the Academic Improvement and Teacher Quality </w:t>
      </w:r>
      <w:r w:rsidR="00B12A68" w:rsidRPr="006D619E">
        <w:t>Programs</w:t>
      </w:r>
      <w:r w:rsidRPr="006D619E">
        <w:t>.</w:t>
      </w:r>
    </w:p>
    <w:p w:rsidR="00C96CBC" w:rsidRPr="006D619E" w:rsidRDefault="00C96CBC" w:rsidP="00B12A68">
      <w:pPr>
        <w:tabs>
          <w:tab w:val="right" w:leader="dot" w:pos="9360"/>
        </w:tabs>
      </w:pPr>
    </w:p>
    <w:p w:rsidR="00B12A68" w:rsidRPr="00C1785C" w:rsidRDefault="00C96CBC" w:rsidP="006F603A">
      <w:pPr>
        <w:rPr>
          <w:b/>
        </w:rPr>
      </w:pPr>
      <w:r w:rsidRPr="006D619E">
        <w:t>This report is in the public domain.</w:t>
      </w:r>
      <w:r w:rsidR="00481775" w:rsidRPr="006D619E">
        <w:t xml:space="preserve"> </w:t>
      </w:r>
      <w:r w:rsidRPr="006D619E">
        <w:t>Authorization to reproduce it in whole or in part is granted.</w:t>
      </w:r>
      <w:r w:rsidR="00481775" w:rsidRPr="00C1785C">
        <w:t xml:space="preserve"> </w:t>
      </w:r>
      <w:r w:rsidRPr="00C1785C">
        <w:t xml:space="preserve">While permission to reprint this publication is not necessary, the suggested citation is </w:t>
      </w:r>
      <w:r w:rsidR="00B12A68" w:rsidRPr="00C1785C">
        <w:t>as follows:</w:t>
      </w:r>
    </w:p>
    <w:p w:rsidR="00B12A68" w:rsidRPr="00C1785C" w:rsidRDefault="00B12A68" w:rsidP="006F603A">
      <w:pPr>
        <w:rPr>
          <w:b/>
        </w:rPr>
      </w:pPr>
    </w:p>
    <w:p w:rsidR="00C96CBC" w:rsidRPr="00C1785C" w:rsidRDefault="00A269F3" w:rsidP="006F603A">
      <w:pPr>
        <w:rPr>
          <w:b/>
        </w:rPr>
      </w:pPr>
      <w:proofErr w:type="gramStart"/>
      <w:r w:rsidRPr="00C1785C">
        <w:rPr>
          <w:szCs w:val="48"/>
        </w:rPr>
        <w:t>U.S. Department of Education (201</w:t>
      </w:r>
      <w:r w:rsidR="00C1785C" w:rsidRPr="00C1785C">
        <w:rPr>
          <w:szCs w:val="48"/>
        </w:rPr>
        <w:t>4</w:t>
      </w:r>
      <w:r w:rsidRPr="00C1785C">
        <w:rPr>
          <w:szCs w:val="48"/>
        </w:rPr>
        <w:t>).</w:t>
      </w:r>
      <w:proofErr w:type="gramEnd"/>
      <w:r w:rsidRPr="00C1785C">
        <w:rPr>
          <w:szCs w:val="48"/>
        </w:rPr>
        <w:t xml:space="preserve"> </w:t>
      </w:r>
      <w:r w:rsidR="00C96CBC" w:rsidRPr="00C1785C">
        <w:rPr>
          <w:i/>
          <w:szCs w:val="48"/>
        </w:rPr>
        <w:t xml:space="preserve">21st Century Community Learning Centers (21st CCLC) </w:t>
      </w:r>
      <w:r w:rsidR="009617E8" w:rsidRPr="00C1785C">
        <w:rPr>
          <w:i/>
          <w:szCs w:val="48"/>
        </w:rPr>
        <w:t>a</w:t>
      </w:r>
      <w:r w:rsidR="00C96CBC" w:rsidRPr="00C1785C">
        <w:rPr>
          <w:i/>
          <w:szCs w:val="48"/>
        </w:rPr>
        <w:t xml:space="preserve">nalytic </w:t>
      </w:r>
      <w:r w:rsidR="009617E8" w:rsidRPr="00C1785C">
        <w:rPr>
          <w:i/>
          <w:szCs w:val="48"/>
        </w:rPr>
        <w:t>s</w:t>
      </w:r>
      <w:r w:rsidR="00C96CBC" w:rsidRPr="00C1785C">
        <w:rPr>
          <w:i/>
          <w:szCs w:val="48"/>
        </w:rPr>
        <w:t xml:space="preserve">upport for </w:t>
      </w:r>
      <w:r w:rsidR="009617E8" w:rsidRPr="00C1785C">
        <w:rPr>
          <w:i/>
          <w:szCs w:val="48"/>
        </w:rPr>
        <w:t>e</w:t>
      </w:r>
      <w:r w:rsidR="00C96CBC" w:rsidRPr="00C1785C">
        <w:rPr>
          <w:i/>
          <w:szCs w:val="48"/>
        </w:rPr>
        <w:t xml:space="preserve">valuation and </w:t>
      </w:r>
      <w:r w:rsidR="009617E8" w:rsidRPr="00C1785C">
        <w:rPr>
          <w:i/>
          <w:szCs w:val="48"/>
        </w:rPr>
        <w:t>p</w:t>
      </w:r>
      <w:r w:rsidR="00C96CBC" w:rsidRPr="00C1785C">
        <w:rPr>
          <w:i/>
          <w:szCs w:val="48"/>
        </w:rPr>
        <w:t xml:space="preserve">rogram </w:t>
      </w:r>
      <w:r w:rsidR="009617E8" w:rsidRPr="00C1785C">
        <w:rPr>
          <w:i/>
          <w:szCs w:val="48"/>
        </w:rPr>
        <w:t>m</w:t>
      </w:r>
      <w:r w:rsidR="00C96CBC" w:rsidRPr="00C1785C">
        <w:rPr>
          <w:i/>
          <w:szCs w:val="48"/>
        </w:rPr>
        <w:t>onitoring:</w:t>
      </w:r>
      <w:r w:rsidR="00481775" w:rsidRPr="00C1785C">
        <w:rPr>
          <w:i/>
          <w:szCs w:val="48"/>
        </w:rPr>
        <w:t xml:space="preserve"> </w:t>
      </w:r>
      <w:r w:rsidR="00C96CBC" w:rsidRPr="00C1785C">
        <w:rPr>
          <w:i/>
          <w:szCs w:val="48"/>
        </w:rPr>
        <w:t xml:space="preserve">An </w:t>
      </w:r>
      <w:r w:rsidR="009617E8" w:rsidRPr="00C1785C">
        <w:rPr>
          <w:i/>
          <w:szCs w:val="48"/>
        </w:rPr>
        <w:t>o</w:t>
      </w:r>
      <w:r w:rsidR="00C96CBC" w:rsidRPr="00C1785C">
        <w:rPr>
          <w:i/>
          <w:szCs w:val="48"/>
        </w:rPr>
        <w:t xml:space="preserve">verview of the 21st CCLC </w:t>
      </w:r>
      <w:r w:rsidR="009617E8" w:rsidRPr="00C1785C">
        <w:rPr>
          <w:i/>
          <w:szCs w:val="48"/>
        </w:rPr>
        <w:t>p</w:t>
      </w:r>
      <w:r w:rsidR="00C96CBC" w:rsidRPr="00C1785C">
        <w:rPr>
          <w:i/>
          <w:szCs w:val="48"/>
        </w:rPr>
        <w:t xml:space="preserve">erformance </w:t>
      </w:r>
      <w:r w:rsidR="009617E8" w:rsidRPr="00C1785C">
        <w:rPr>
          <w:i/>
          <w:szCs w:val="48"/>
        </w:rPr>
        <w:t>d</w:t>
      </w:r>
      <w:r w:rsidR="00C96CBC" w:rsidRPr="00C1785C">
        <w:rPr>
          <w:i/>
          <w:szCs w:val="48"/>
        </w:rPr>
        <w:t xml:space="preserve">ata: </w:t>
      </w:r>
      <w:r w:rsidR="00C267F8" w:rsidRPr="00C1785C">
        <w:rPr>
          <w:i/>
          <w:szCs w:val="48"/>
        </w:rPr>
        <w:t>201</w:t>
      </w:r>
      <w:r w:rsidR="00C1785C" w:rsidRPr="00C1785C">
        <w:rPr>
          <w:i/>
          <w:szCs w:val="48"/>
        </w:rPr>
        <w:t>2</w:t>
      </w:r>
      <w:r w:rsidR="005254C8" w:rsidRPr="00C1785C">
        <w:rPr>
          <w:i/>
          <w:szCs w:val="48"/>
        </w:rPr>
        <w:t>–</w:t>
      </w:r>
      <w:r w:rsidR="00562E2A" w:rsidRPr="00C1785C">
        <w:rPr>
          <w:i/>
          <w:szCs w:val="48"/>
        </w:rPr>
        <w:t>1</w:t>
      </w:r>
      <w:r w:rsidR="00C1785C" w:rsidRPr="00C1785C">
        <w:rPr>
          <w:i/>
          <w:szCs w:val="48"/>
        </w:rPr>
        <w:t>3</w:t>
      </w:r>
      <w:r w:rsidR="009617E8" w:rsidRPr="00C1785C">
        <w:rPr>
          <w:szCs w:val="48"/>
        </w:rPr>
        <w:t xml:space="preserve"> (</w:t>
      </w:r>
      <w:r w:rsidR="00C1785C" w:rsidRPr="00C1785C">
        <w:rPr>
          <w:szCs w:val="48"/>
        </w:rPr>
        <w:t>Tenth</w:t>
      </w:r>
      <w:r w:rsidR="00562E2A" w:rsidRPr="00C1785C">
        <w:rPr>
          <w:iCs/>
        </w:rPr>
        <w:t xml:space="preserve"> </w:t>
      </w:r>
      <w:r w:rsidR="009617E8" w:rsidRPr="00C1785C">
        <w:rPr>
          <w:iCs/>
        </w:rPr>
        <w:t xml:space="preserve">Report). Washington, DC: </w:t>
      </w:r>
    </w:p>
    <w:p w:rsidR="00033070" w:rsidRPr="00D07AC9" w:rsidRDefault="00033070">
      <w:pPr>
        <w:tabs>
          <w:tab w:val="right" w:pos="10080"/>
          <w:tab w:val="right" w:pos="11160"/>
        </w:tabs>
        <w:rPr>
          <w:highlight w:val="yellow"/>
        </w:rPr>
        <w:sectPr w:rsidR="00033070" w:rsidRPr="00D07AC9" w:rsidSect="00F21390">
          <w:pgSz w:w="12240" w:h="15840" w:code="1"/>
          <w:pgMar w:top="1440" w:right="1440" w:bottom="1440" w:left="1440" w:header="720" w:footer="720" w:gutter="0"/>
          <w:pgNumType w:start="1"/>
          <w:cols w:space="720"/>
          <w:titlePg/>
          <w:docGrid w:linePitch="360"/>
        </w:sectPr>
      </w:pPr>
    </w:p>
    <w:sdt>
      <w:sdtPr>
        <w:rPr>
          <w:rFonts w:ascii="Times New Roman" w:eastAsia="Times New Roman" w:hAnsi="Times New Roman" w:cs="Times New Roman"/>
          <w:b w:val="0"/>
          <w:bCs w:val="0"/>
          <w:color w:val="auto"/>
          <w:sz w:val="24"/>
          <w:szCs w:val="24"/>
          <w:lang w:eastAsia="en-US"/>
        </w:rPr>
        <w:id w:val="-1372848408"/>
        <w:docPartObj>
          <w:docPartGallery w:val="Table of Contents"/>
          <w:docPartUnique/>
        </w:docPartObj>
      </w:sdtPr>
      <w:sdtEndPr>
        <w:rPr>
          <w:noProof/>
        </w:rPr>
      </w:sdtEndPr>
      <w:sdtContent>
        <w:p w:rsidR="000E6DA5" w:rsidRDefault="000E6DA5" w:rsidP="000E6DA5">
          <w:pPr>
            <w:pStyle w:val="TOCHeading"/>
            <w:spacing w:line="360" w:lineRule="auto"/>
          </w:pPr>
          <w:r>
            <w:t>Table of Contents</w:t>
          </w:r>
        </w:p>
        <w:p w:rsidR="000E6DA5" w:rsidRDefault="000E6DA5">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6063945" w:history="1">
            <w:r w:rsidRPr="006E3422">
              <w:rPr>
                <w:rStyle w:val="Hyperlink"/>
                <w:noProof/>
              </w:rPr>
              <w:t>Executive Summary</w:t>
            </w:r>
            <w:r>
              <w:rPr>
                <w:noProof/>
                <w:webHidden/>
              </w:rPr>
              <w:tab/>
            </w:r>
            <w:r>
              <w:rPr>
                <w:noProof/>
                <w:webHidden/>
              </w:rPr>
              <w:fldChar w:fldCharType="begin"/>
            </w:r>
            <w:r>
              <w:rPr>
                <w:noProof/>
                <w:webHidden/>
              </w:rPr>
              <w:instrText xml:space="preserve"> PAGEREF _Toc446063945 \h </w:instrText>
            </w:r>
            <w:r>
              <w:rPr>
                <w:noProof/>
                <w:webHidden/>
              </w:rPr>
            </w:r>
            <w:r>
              <w:rPr>
                <w:noProof/>
                <w:webHidden/>
              </w:rPr>
              <w:fldChar w:fldCharType="separate"/>
            </w:r>
            <w:r>
              <w:rPr>
                <w:noProof/>
                <w:webHidden/>
              </w:rPr>
              <w:t>4</w:t>
            </w:r>
            <w:r>
              <w:rPr>
                <w:noProof/>
                <w:webHidden/>
              </w:rPr>
              <w:fldChar w:fldCharType="end"/>
            </w:r>
          </w:hyperlink>
        </w:p>
        <w:p w:rsidR="000E6DA5" w:rsidRDefault="004B22AF">
          <w:pPr>
            <w:pStyle w:val="TOC1"/>
            <w:tabs>
              <w:tab w:val="right" w:leader="dot" w:pos="9350"/>
            </w:tabs>
            <w:rPr>
              <w:rFonts w:asciiTheme="minorHAnsi" w:eastAsiaTheme="minorEastAsia" w:hAnsiTheme="minorHAnsi" w:cstheme="minorBidi"/>
              <w:noProof/>
              <w:sz w:val="22"/>
              <w:szCs w:val="22"/>
            </w:rPr>
          </w:pPr>
          <w:hyperlink w:anchor="_Toc446063946" w:history="1">
            <w:r w:rsidR="000E6DA5" w:rsidRPr="006E3422">
              <w:rPr>
                <w:rStyle w:val="Hyperlink"/>
                <w:noProof/>
              </w:rPr>
              <w:t>Introduction</w:t>
            </w:r>
            <w:r w:rsidR="000E6DA5">
              <w:rPr>
                <w:noProof/>
                <w:webHidden/>
              </w:rPr>
              <w:tab/>
            </w:r>
            <w:r w:rsidR="000E6DA5">
              <w:rPr>
                <w:noProof/>
                <w:webHidden/>
              </w:rPr>
              <w:fldChar w:fldCharType="begin"/>
            </w:r>
            <w:r w:rsidR="000E6DA5">
              <w:rPr>
                <w:noProof/>
                <w:webHidden/>
              </w:rPr>
              <w:instrText xml:space="preserve"> PAGEREF _Toc446063946 \h </w:instrText>
            </w:r>
            <w:r w:rsidR="000E6DA5">
              <w:rPr>
                <w:noProof/>
                <w:webHidden/>
              </w:rPr>
            </w:r>
            <w:r w:rsidR="000E6DA5">
              <w:rPr>
                <w:noProof/>
                <w:webHidden/>
              </w:rPr>
              <w:fldChar w:fldCharType="separate"/>
            </w:r>
            <w:r w:rsidR="000E6DA5">
              <w:rPr>
                <w:noProof/>
                <w:webHidden/>
              </w:rPr>
              <w:t>6</w:t>
            </w:r>
            <w:r w:rsidR="000E6DA5">
              <w:rPr>
                <w:noProof/>
                <w:webHidden/>
              </w:rPr>
              <w:fldChar w:fldCharType="end"/>
            </w:r>
          </w:hyperlink>
        </w:p>
        <w:p w:rsidR="000E6DA5" w:rsidRDefault="004B22AF">
          <w:pPr>
            <w:pStyle w:val="TOC1"/>
            <w:tabs>
              <w:tab w:val="right" w:leader="dot" w:pos="9350"/>
            </w:tabs>
            <w:rPr>
              <w:rFonts w:asciiTheme="minorHAnsi" w:eastAsiaTheme="minorEastAsia" w:hAnsiTheme="minorHAnsi" w:cstheme="minorBidi"/>
              <w:noProof/>
              <w:sz w:val="22"/>
              <w:szCs w:val="22"/>
            </w:rPr>
          </w:pPr>
          <w:hyperlink w:anchor="_Toc446063947" w:history="1">
            <w:r w:rsidR="000E6DA5" w:rsidRPr="006E3422">
              <w:rPr>
                <w:rStyle w:val="Hyperlink"/>
                <w:noProof/>
              </w:rPr>
              <w:t>Section 1: Grantee and Center Characteristics</w:t>
            </w:r>
            <w:r w:rsidR="000E6DA5">
              <w:rPr>
                <w:noProof/>
                <w:webHidden/>
              </w:rPr>
              <w:tab/>
            </w:r>
            <w:r w:rsidR="000E6DA5">
              <w:rPr>
                <w:noProof/>
                <w:webHidden/>
              </w:rPr>
              <w:fldChar w:fldCharType="begin"/>
            </w:r>
            <w:r w:rsidR="000E6DA5">
              <w:rPr>
                <w:noProof/>
                <w:webHidden/>
              </w:rPr>
              <w:instrText xml:space="preserve"> PAGEREF _Toc446063947 \h </w:instrText>
            </w:r>
            <w:r w:rsidR="000E6DA5">
              <w:rPr>
                <w:noProof/>
                <w:webHidden/>
              </w:rPr>
            </w:r>
            <w:r w:rsidR="000E6DA5">
              <w:rPr>
                <w:noProof/>
                <w:webHidden/>
              </w:rPr>
              <w:fldChar w:fldCharType="separate"/>
            </w:r>
            <w:r w:rsidR="000E6DA5">
              <w:rPr>
                <w:noProof/>
                <w:webHidden/>
              </w:rPr>
              <w:t>7</w:t>
            </w:r>
            <w:r w:rsidR="000E6DA5">
              <w:rPr>
                <w:noProof/>
                <w:webHidden/>
              </w:rPr>
              <w:fldChar w:fldCharType="end"/>
            </w:r>
          </w:hyperlink>
        </w:p>
        <w:p w:rsidR="000E6DA5" w:rsidRDefault="004B22AF">
          <w:pPr>
            <w:pStyle w:val="TOC2"/>
            <w:tabs>
              <w:tab w:val="right" w:leader="dot" w:pos="9350"/>
            </w:tabs>
            <w:rPr>
              <w:rFonts w:asciiTheme="minorHAnsi" w:eastAsiaTheme="minorEastAsia" w:hAnsiTheme="minorHAnsi" w:cstheme="minorBidi"/>
              <w:noProof/>
              <w:sz w:val="22"/>
              <w:szCs w:val="22"/>
            </w:rPr>
          </w:pPr>
          <w:hyperlink w:anchor="_Toc446063948" w:history="1">
            <w:r w:rsidR="000E6DA5" w:rsidRPr="006E3422">
              <w:rPr>
                <w:rStyle w:val="Hyperlink"/>
                <w:noProof/>
              </w:rPr>
              <w:t>Grantee Type</w:t>
            </w:r>
            <w:r w:rsidR="000E6DA5">
              <w:rPr>
                <w:noProof/>
                <w:webHidden/>
              </w:rPr>
              <w:tab/>
            </w:r>
            <w:r w:rsidR="000E6DA5">
              <w:rPr>
                <w:noProof/>
                <w:webHidden/>
              </w:rPr>
              <w:fldChar w:fldCharType="begin"/>
            </w:r>
            <w:r w:rsidR="000E6DA5">
              <w:rPr>
                <w:noProof/>
                <w:webHidden/>
              </w:rPr>
              <w:instrText xml:space="preserve"> PAGEREF _Toc446063948 \h </w:instrText>
            </w:r>
            <w:r w:rsidR="000E6DA5">
              <w:rPr>
                <w:noProof/>
                <w:webHidden/>
              </w:rPr>
            </w:r>
            <w:r w:rsidR="000E6DA5">
              <w:rPr>
                <w:noProof/>
                <w:webHidden/>
              </w:rPr>
              <w:fldChar w:fldCharType="separate"/>
            </w:r>
            <w:r w:rsidR="000E6DA5">
              <w:rPr>
                <w:noProof/>
                <w:webHidden/>
              </w:rPr>
              <w:t>7</w:t>
            </w:r>
            <w:r w:rsidR="000E6DA5">
              <w:rPr>
                <w:noProof/>
                <w:webHidden/>
              </w:rPr>
              <w:fldChar w:fldCharType="end"/>
            </w:r>
          </w:hyperlink>
        </w:p>
        <w:p w:rsidR="000E6DA5" w:rsidRDefault="004B22AF">
          <w:pPr>
            <w:pStyle w:val="TOC2"/>
            <w:tabs>
              <w:tab w:val="right" w:leader="dot" w:pos="9350"/>
            </w:tabs>
            <w:rPr>
              <w:rFonts w:asciiTheme="minorHAnsi" w:eastAsiaTheme="minorEastAsia" w:hAnsiTheme="minorHAnsi" w:cstheme="minorBidi"/>
              <w:noProof/>
              <w:sz w:val="22"/>
              <w:szCs w:val="22"/>
            </w:rPr>
          </w:pPr>
          <w:hyperlink w:anchor="_Toc446063949" w:history="1">
            <w:r w:rsidR="000E6DA5" w:rsidRPr="006E3422">
              <w:rPr>
                <w:rStyle w:val="Hyperlink"/>
                <w:noProof/>
              </w:rPr>
              <w:t>Center Type</w:t>
            </w:r>
            <w:r w:rsidR="000E6DA5">
              <w:rPr>
                <w:noProof/>
                <w:webHidden/>
              </w:rPr>
              <w:tab/>
            </w:r>
            <w:r w:rsidR="000E6DA5">
              <w:rPr>
                <w:noProof/>
                <w:webHidden/>
              </w:rPr>
              <w:fldChar w:fldCharType="begin"/>
            </w:r>
            <w:r w:rsidR="000E6DA5">
              <w:rPr>
                <w:noProof/>
                <w:webHidden/>
              </w:rPr>
              <w:instrText xml:space="preserve"> PAGEREF _Toc446063949 \h </w:instrText>
            </w:r>
            <w:r w:rsidR="000E6DA5">
              <w:rPr>
                <w:noProof/>
                <w:webHidden/>
              </w:rPr>
            </w:r>
            <w:r w:rsidR="000E6DA5">
              <w:rPr>
                <w:noProof/>
                <w:webHidden/>
              </w:rPr>
              <w:fldChar w:fldCharType="separate"/>
            </w:r>
            <w:r w:rsidR="000E6DA5">
              <w:rPr>
                <w:noProof/>
                <w:webHidden/>
              </w:rPr>
              <w:t>8</w:t>
            </w:r>
            <w:r w:rsidR="000E6DA5">
              <w:rPr>
                <w:noProof/>
                <w:webHidden/>
              </w:rPr>
              <w:fldChar w:fldCharType="end"/>
            </w:r>
          </w:hyperlink>
        </w:p>
        <w:p w:rsidR="000E6DA5" w:rsidRDefault="004B22AF">
          <w:pPr>
            <w:pStyle w:val="TOC2"/>
            <w:tabs>
              <w:tab w:val="right" w:leader="dot" w:pos="9350"/>
            </w:tabs>
            <w:rPr>
              <w:rFonts w:asciiTheme="minorHAnsi" w:eastAsiaTheme="minorEastAsia" w:hAnsiTheme="minorHAnsi" w:cstheme="minorBidi"/>
              <w:noProof/>
              <w:sz w:val="22"/>
              <w:szCs w:val="22"/>
            </w:rPr>
          </w:pPr>
          <w:hyperlink w:anchor="_Toc446063950" w:history="1">
            <w:r w:rsidR="000E6DA5" w:rsidRPr="006E3422">
              <w:rPr>
                <w:rStyle w:val="Hyperlink"/>
                <w:noProof/>
              </w:rPr>
              <w:t>People Served</w:t>
            </w:r>
            <w:r w:rsidR="000E6DA5">
              <w:rPr>
                <w:noProof/>
                <w:webHidden/>
              </w:rPr>
              <w:tab/>
            </w:r>
            <w:r w:rsidR="000E6DA5">
              <w:rPr>
                <w:noProof/>
                <w:webHidden/>
              </w:rPr>
              <w:fldChar w:fldCharType="begin"/>
            </w:r>
            <w:r w:rsidR="000E6DA5">
              <w:rPr>
                <w:noProof/>
                <w:webHidden/>
              </w:rPr>
              <w:instrText xml:space="preserve"> PAGEREF _Toc446063950 \h </w:instrText>
            </w:r>
            <w:r w:rsidR="000E6DA5">
              <w:rPr>
                <w:noProof/>
                <w:webHidden/>
              </w:rPr>
            </w:r>
            <w:r w:rsidR="000E6DA5">
              <w:rPr>
                <w:noProof/>
                <w:webHidden/>
              </w:rPr>
              <w:fldChar w:fldCharType="separate"/>
            </w:r>
            <w:r w:rsidR="000E6DA5">
              <w:rPr>
                <w:noProof/>
                <w:webHidden/>
              </w:rPr>
              <w:t>10</w:t>
            </w:r>
            <w:r w:rsidR="000E6DA5">
              <w:rPr>
                <w:noProof/>
                <w:webHidden/>
              </w:rPr>
              <w:fldChar w:fldCharType="end"/>
            </w:r>
          </w:hyperlink>
        </w:p>
        <w:p w:rsidR="000E6DA5" w:rsidRDefault="004B22AF">
          <w:pPr>
            <w:pStyle w:val="TOC2"/>
            <w:tabs>
              <w:tab w:val="right" w:leader="dot" w:pos="9350"/>
            </w:tabs>
            <w:rPr>
              <w:rFonts w:asciiTheme="minorHAnsi" w:eastAsiaTheme="minorEastAsia" w:hAnsiTheme="minorHAnsi" w:cstheme="minorBidi"/>
              <w:noProof/>
              <w:sz w:val="22"/>
              <w:szCs w:val="22"/>
            </w:rPr>
          </w:pPr>
          <w:hyperlink w:anchor="_Toc446063951" w:history="1">
            <w:r w:rsidR="000E6DA5" w:rsidRPr="006E3422">
              <w:rPr>
                <w:rStyle w:val="Hyperlink"/>
                <w:noProof/>
              </w:rPr>
              <w:t>Activity Cluster</w:t>
            </w:r>
            <w:r w:rsidR="000E6DA5">
              <w:rPr>
                <w:noProof/>
                <w:webHidden/>
              </w:rPr>
              <w:tab/>
            </w:r>
            <w:r w:rsidR="000E6DA5">
              <w:rPr>
                <w:noProof/>
                <w:webHidden/>
              </w:rPr>
              <w:fldChar w:fldCharType="begin"/>
            </w:r>
            <w:r w:rsidR="000E6DA5">
              <w:rPr>
                <w:noProof/>
                <w:webHidden/>
              </w:rPr>
              <w:instrText xml:space="preserve"> PAGEREF _Toc446063951 \h </w:instrText>
            </w:r>
            <w:r w:rsidR="000E6DA5">
              <w:rPr>
                <w:noProof/>
                <w:webHidden/>
              </w:rPr>
            </w:r>
            <w:r w:rsidR="000E6DA5">
              <w:rPr>
                <w:noProof/>
                <w:webHidden/>
              </w:rPr>
              <w:fldChar w:fldCharType="separate"/>
            </w:r>
            <w:r w:rsidR="000E6DA5">
              <w:rPr>
                <w:noProof/>
                <w:webHidden/>
              </w:rPr>
              <w:t>12</w:t>
            </w:r>
            <w:r w:rsidR="000E6DA5">
              <w:rPr>
                <w:noProof/>
                <w:webHidden/>
              </w:rPr>
              <w:fldChar w:fldCharType="end"/>
            </w:r>
          </w:hyperlink>
        </w:p>
        <w:p w:rsidR="000E6DA5" w:rsidRDefault="004B22AF">
          <w:pPr>
            <w:pStyle w:val="TOC2"/>
            <w:tabs>
              <w:tab w:val="right" w:leader="dot" w:pos="9350"/>
            </w:tabs>
            <w:rPr>
              <w:rFonts w:asciiTheme="minorHAnsi" w:eastAsiaTheme="minorEastAsia" w:hAnsiTheme="minorHAnsi" w:cstheme="minorBidi"/>
              <w:noProof/>
              <w:sz w:val="22"/>
              <w:szCs w:val="22"/>
            </w:rPr>
          </w:pPr>
          <w:hyperlink w:anchor="_Toc446063952" w:history="1">
            <w:r w:rsidR="000E6DA5" w:rsidRPr="006E3422">
              <w:rPr>
                <w:rStyle w:val="Hyperlink"/>
                <w:noProof/>
              </w:rPr>
              <w:t>Staffing</w:t>
            </w:r>
            <w:r w:rsidR="000E6DA5">
              <w:rPr>
                <w:noProof/>
                <w:webHidden/>
              </w:rPr>
              <w:tab/>
            </w:r>
            <w:r w:rsidR="000E6DA5">
              <w:rPr>
                <w:noProof/>
                <w:webHidden/>
              </w:rPr>
              <w:fldChar w:fldCharType="begin"/>
            </w:r>
            <w:r w:rsidR="000E6DA5">
              <w:rPr>
                <w:noProof/>
                <w:webHidden/>
              </w:rPr>
              <w:instrText xml:space="preserve"> PAGEREF _Toc446063952 \h </w:instrText>
            </w:r>
            <w:r w:rsidR="000E6DA5">
              <w:rPr>
                <w:noProof/>
                <w:webHidden/>
              </w:rPr>
            </w:r>
            <w:r w:rsidR="000E6DA5">
              <w:rPr>
                <w:noProof/>
                <w:webHidden/>
              </w:rPr>
              <w:fldChar w:fldCharType="separate"/>
            </w:r>
            <w:r w:rsidR="000E6DA5">
              <w:rPr>
                <w:noProof/>
                <w:webHidden/>
              </w:rPr>
              <w:t>14</w:t>
            </w:r>
            <w:r w:rsidR="000E6DA5">
              <w:rPr>
                <w:noProof/>
                <w:webHidden/>
              </w:rPr>
              <w:fldChar w:fldCharType="end"/>
            </w:r>
          </w:hyperlink>
        </w:p>
        <w:p w:rsidR="000E6DA5" w:rsidRDefault="004B22AF">
          <w:pPr>
            <w:pStyle w:val="TOC3"/>
            <w:tabs>
              <w:tab w:val="right" w:leader="dot" w:pos="9350"/>
            </w:tabs>
            <w:rPr>
              <w:rFonts w:asciiTheme="minorHAnsi" w:eastAsiaTheme="minorEastAsia" w:hAnsiTheme="minorHAnsi" w:cstheme="minorBidi"/>
              <w:noProof/>
              <w:sz w:val="22"/>
              <w:szCs w:val="22"/>
            </w:rPr>
          </w:pPr>
          <w:hyperlink w:anchor="_Toc446063953" w:history="1">
            <w:r w:rsidR="000E6DA5" w:rsidRPr="006E3422">
              <w:rPr>
                <w:rStyle w:val="Hyperlink"/>
                <w:noProof/>
              </w:rPr>
              <w:t>Types of Employees</w:t>
            </w:r>
            <w:r w:rsidR="000E6DA5">
              <w:rPr>
                <w:noProof/>
                <w:webHidden/>
              </w:rPr>
              <w:tab/>
            </w:r>
            <w:r w:rsidR="000E6DA5">
              <w:rPr>
                <w:noProof/>
                <w:webHidden/>
              </w:rPr>
              <w:fldChar w:fldCharType="begin"/>
            </w:r>
            <w:r w:rsidR="000E6DA5">
              <w:rPr>
                <w:noProof/>
                <w:webHidden/>
              </w:rPr>
              <w:instrText xml:space="preserve"> PAGEREF _Toc446063953 \h </w:instrText>
            </w:r>
            <w:r w:rsidR="000E6DA5">
              <w:rPr>
                <w:noProof/>
                <w:webHidden/>
              </w:rPr>
            </w:r>
            <w:r w:rsidR="000E6DA5">
              <w:rPr>
                <w:noProof/>
                <w:webHidden/>
              </w:rPr>
              <w:fldChar w:fldCharType="separate"/>
            </w:r>
            <w:r w:rsidR="000E6DA5">
              <w:rPr>
                <w:noProof/>
                <w:webHidden/>
              </w:rPr>
              <w:t>14</w:t>
            </w:r>
            <w:r w:rsidR="000E6DA5">
              <w:rPr>
                <w:noProof/>
                <w:webHidden/>
              </w:rPr>
              <w:fldChar w:fldCharType="end"/>
            </w:r>
          </w:hyperlink>
        </w:p>
        <w:p w:rsidR="000E6DA5" w:rsidRDefault="004B22AF">
          <w:pPr>
            <w:pStyle w:val="TOC3"/>
            <w:tabs>
              <w:tab w:val="right" w:leader="dot" w:pos="9350"/>
            </w:tabs>
            <w:rPr>
              <w:rFonts w:asciiTheme="minorHAnsi" w:eastAsiaTheme="minorEastAsia" w:hAnsiTheme="minorHAnsi" w:cstheme="minorBidi"/>
              <w:noProof/>
              <w:sz w:val="22"/>
              <w:szCs w:val="22"/>
            </w:rPr>
          </w:pPr>
          <w:hyperlink w:anchor="_Toc446063954" w:history="1">
            <w:r w:rsidR="000E6DA5" w:rsidRPr="006E3422">
              <w:rPr>
                <w:rStyle w:val="Hyperlink"/>
                <w:noProof/>
              </w:rPr>
              <w:t>Staffing Clusters</w:t>
            </w:r>
            <w:r w:rsidR="000E6DA5">
              <w:rPr>
                <w:noProof/>
                <w:webHidden/>
              </w:rPr>
              <w:tab/>
            </w:r>
            <w:r w:rsidR="000E6DA5">
              <w:rPr>
                <w:noProof/>
                <w:webHidden/>
              </w:rPr>
              <w:fldChar w:fldCharType="begin"/>
            </w:r>
            <w:r w:rsidR="000E6DA5">
              <w:rPr>
                <w:noProof/>
                <w:webHidden/>
              </w:rPr>
              <w:instrText xml:space="preserve"> PAGEREF _Toc446063954 \h </w:instrText>
            </w:r>
            <w:r w:rsidR="000E6DA5">
              <w:rPr>
                <w:noProof/>
                <w:webHidden/>
              </w:rPr>
            </w:r>
            <w:r w:rsidR="000E6DA5">
              <w:rPr>
                <w:noProof/>
                <w:webHidden/>
              </w:rPr>
              <w:fldChar w:fldCharType="separate"/>
            </w:r>
            <w:r w:rsidR="000E6DA5">
              <w:rPr>
                <w:noProof/>
                <w:webHidden/>
              </w:rPr>
              <w:t>15</w:t>
            </w:r>
            <w:r w:rsidR="000E6DA5">
              <w:rPr>
                <w:noProof/>
                <w:webHidden/>
              </w:rPr>
              <w:fldChar w:fldCharType="end"/>
            </w:r>
          </w:hyperlink>
        </w:p>
        <w:p w:rsidR="000E6DA5" w:rsidRDefault="004B22AF">
          <w:pPr>
            <w:pStyle w:val="TOC2"/>
            <w:tabs>
              <w:tab w:val="right" w:leader="dot" w:pos="9350"/>
            </w:tabs>
            <w:rPr>
              <w:rFonts w:asciiTheme="minorHAnsi" w:eastAsiaTheme="minorEastAsia" w:hAnsiTheme="minorHAnsi" w:cstheme="minorBidi"/>
              <w:noProof/>
              <w:sz w:val="22"/>
              <w:szCs w:val="22"/>
            </w:rPr>
          </w:pPr>
          <w:hyperlink w:anchor="_Toc446063955" w:history="1">
            <w:r w:rsidR="000E6DA5" w:rsidRPr="006E3422">
              <w:rPr>
                <w:rStyle w:val="Hyperlink"/>
                <w:noProof/>
              </w:rPr>
              <w:t>Grade Level Served</w:t>
            </w:r>
            <w:r w:rsidR="000E6DA5">
              <w:rPr>
                <w:noProof/>
                <w:webHidden/>
              </w:rPr>
              <w:tab/>
            </w:r>
            <w:r w:rsidR="000E6DA5">
              <w:rPr>
                <w:noProof/>
                <w:webHidden/>
              </w:rPr>
              <w:fldChar w:fldCharType="begin"/>
            </w:r>
            <w:r w:rsidR="000E6DA5">
              <w:rPr>
                <w:noProof/>
                <w:webHidden/>
              </w:rPr>
              <w:instrText xml:space="preserve"> PAGEREF _Toc446063955 \h </w:instrText>
            </w:r>
            <w:r w:rsidR="000E6DA5">
              <w:rPr>
                <w:noProof/>
                <w:webHidden/>
              </w:rPr>
            </w:r>
            <w:r w:rsidR="000E6DA5">
              <w:rPr>
                <w:noProof/>
                <w:webHidden/>
              </w:rPr>
              <w:fldChar w:fldCharType="separate"/>
            </w:r>
            <w:r w:rsidR="000E6DA5">
              <w:rPr>
                <w:noProof/>
                <w:webHidden/>
              </w:rPr>
              <w:t>17</w:t>
            </w:r>
            <w:r w:rsidR="000E6DA5">
              <w:rPr>
                <w:noProof/>
                <w:webHidden/>
              </w:rPr>
              <w:fldChar w:fldCharType="end"/>
            </w:r>
          </w:hyperlink>
        </w:p>
        <w:p w:rsidR="000E6DA5" w:rsidRDefault="004B22AF">
          <w:pPr>
            <w:pStyle w:val="TOC3"/>
            <w:tabs>
              <w:tab w:val="right" w:leader="dot" w:pos="9350"/>
            </w:tabs>
            <w:rPr>
              <w:rFonts w:asciiTheme="minorHAnsi" w:eastAsiaTheme="minorEastAsia" w:hAnsiTheme="minorHAnsi" w:cstheme="minorBidi"/>
              <w:noProof/>
              <w:sz w:val="22"/>
              <w:szCs w:val="22"/>
            </w:rPr>
          </w:pPr>
          <w:hyperlink w:anchor="_Toc446063956" w:history="1">
            <w:r w:rsidR="000E6DA5" w:rsidRPr="006E3422">
              <w:rPr>
                <w:rStyle w:val="Hyperlink"/>
                <w:noProof/>
              </w:rPr>
              <w:t>Students and Grade Level</w:t>
            </w:r>
            <w:r w:rsidR="000E6DA5">
              <w:rPr>
                <w:noProof/>
                <w:webHidden/>
              </w:rPr>
              <w:tab/>
            </w:r>
            <w:r w:rsidR="000E6DA5">
              <w:rPr>
                <w:noProof/>
                <w:webHidden/>
              </w:rPr>
              <w:fldChar w:fldCharType="begin"/>
            </w:r>
            <w:r w:rsidR="000E6DA5">
              <w:rPr>
                <w:noProof/>
                <w:webHidden/>
              </w:rPr>
              <w:instrText xml:space="preserve"> PAGEREF _Toc446063956 \h </w:instrText>
            </w:r>
            <w:r w:rsidR="000E6DA5">
              <w:rPr>
                <w:noProof/>
                <w:webHidden/>
              </w:rPr>
            </w:r>
            <w:r w:rsidR="000E6DA5">
              <w:rPr>
                <w:noProof/>
                <w:webHidden/>
              </w:rPr>
              <w:fldChar w:fldCharType="separate"/>
            </w:r>
            <w:r w:rsidR="000E6DA5">
              <w:rPr>
                <w:noProof/>
                <w:webHidden/>
              </w:rPr>
              <w:t>17</w:t>
            </w:r>
            <w:r w:rsidR="000E6DA5">
              <w:rPr>
                <w:noProof/>
                <w:webHidden/>
              </w:rPr>
              <w:fldChar w:fldCharType="end"/>
            </w:r>
          </w:hyperlink>
        </w:p>
        <w:p w:rsidR="000E6DA5" w:rsidRDefault="004B22AF">
          <w:pPr>
            <w:pStyle w:val="TOC3"/>
            <w:tabs>
              <w:tab w:val="right" w:leader="dot" w:pos="9350"/>
            </w:tabs>
            <w:rPr>
              <w:rFonts w:asciiTheme="minorHAnsi" w:eastAsiaTheme="minorEastAsia" w:hAnsiTheme="minorHAnsi" w:cstheme="minorBidi"/>
              <w:noProof/>
              <w:sz w:val="22"/>
              <w:szCs w:val="22"/>
            </w:rPr>
          </w:pPr>
          <w:hyperlink w:anchor="_Toc446063957" w:history="1">
            <w:r w:rsidR="000E6DA5" w:rsidRPr="006E3422">
              <w:rPr>
                <w:rStyle w:val="Hyperlink"/>
                <w:noProof/>
              </w:rPr>
              <w:t>Centers and Grade Level</w:t>
            </w:r>
            <w:r w:rsidR="000E6DA5">
              <w:rPr>
                <w:noProof/>
                <w:webHidden/>
              </w:rPr>
              <w:tab/>
            </w:r>
            <w:r w:rsidR="000E6DA5">
              <w:rPr>
                <w:noProof/>
                <w:webHidden/>
              </w:rPr>
              <w:fldChar w:fldCharType="begin"/>
            </w:r>
            <w:r w:rsidR="000E6DA5">
              <w:rPr>
                <w:noProof/>
                <w:webHidden/>
              </w:rPr>
              <w:instrText xml:space="preserve"> PAGEREF _Toc446063957 \h </w:instrText>
            </w:r>
            <w:r w:rsidR="000E6DA5">
              <w:rPr>
                <w:noProof/>
                <w:webHidden/>
              </w:rPr>
            </w:r>
            <w:r w:rsidR="000E6DA5">
              <w:rPr>
                <w:noProof/>
                <w:webHidden/>
              </w:rPr>
              <w:fldChar w:fldCharType="separate"/>
            </w:r>
            <w:r w:rsidR="000E6DA5">
              <w:rPr>
                <w:noProof/>
                <w:webHidden/>
              </w:rPr>
              <w:t>18</w:t>
            </w:r>
            <w:r w:rsidR="000E6DA5">
              <w:rPr>
                <w:noProof/>
                <w:webHidden/>
              </w:rPr>
              <w:fldChar w:fldCharType="end"/>
            </w:r>
          </w:hyperlink>
        </w:p>
        <w:p w:rsidR="000E6DA5" w:rsidRDefault="004B22AF">
          <w:pPr>
            <w:pStyle w:val="TOC1"/>
            <w:tabs>
              <w:tab w:val="right" w:leader="dot" w:pos="9350"/>
            </w:tabs>
            <w:rPr>
              <w:rFonts w:asciiTheme="minorHAnsi" w:eastAsiaTheme="minorEastAsia" w:hAnsiTheme="minorHAnsi" w:cstheme="minorBidi"/>
              <w:noProof/>
              <w:sz w:val="22"/>
              <w:szCs w:val="22"/>
            </w:rPr>
          </w:pPr>
          <w:hyperlink w:anchor="_Toc446063958" w:history="1">
            <w:r w:rsidR="000E6DA5" w:rsidRPr="006E3422">
              <w:rPr>
                <w:rStyle w:val="Hyperlink"/>
                <w:noProof/>
              </w:rPr>
              <w:t>Section 2: Performance on the GPRA Indicators</w:t>
            </w:r>
            <w:r w:rsidR="000E6DA5">
              <w:rPr>
                <w:noProof/>
                <w:webHidden/>
              </w:rPr>
              <w:tab/>
            </w:r>
            <w:r w:rsidR="000E6DA5">
              <w:rPr>
                <w:noProof/>
                <w:webHidden/>
              </w:rPr>
              <w:fldChar w:fldCharType="begin"/>
            </w:r>
            <w:r w:rsidR="000E6DA5">
              <w:rPr>
                <w:noProof/>
                <w:webHidden/>
              </w:rPr>
              <w:instrText xml:space="preserve"> PAGEREF _Toc446063958 \h </w:instrText>
            </w:r>
            <w:r w:rsidR="000E6DA5">
              <w:rPr>
                <w:noProof/>
                <w:webHidden/>
              </w:rPr>
            </w:r>
            <w:r w:rsidR="000E6DA5">
              <w:rPr>
                <w:noProof/>
                <w:webHidden/>
              </w:rPr>
              <w:fldChar w:fldCharType="separate"/>
            </w:r>
            <w:r w:rsidR="000E6DA5">
              <w:rPr>
                <w:noProof/>
                <w:webHidden/>
              </w:rPr>
              <w:t>20</w:t>
            </w:r>
            <w:r w:rsidR="000E6DA5">
              <w:rPr>
                <w:noProof/>
                <w:webHidden/>
              </w:rPr>
              <w:fldChar w:fldCharType="end"/>
            </w:r>
          </w:hyperlink>
        </w:p>
        <w:p w:rsidR="000E6DA5" w:rsidRDefault="004B22AF">
          <w:pPr>
            <w:pStyle w:val="TOC2"/>
            <w:tabs>
              <w:tab w:val="right" w:leader="dot" w:pos="9350"/>
            </w:tabs>
            <w:rPr>
              <w:rFonts w:asciiTheme="minorHAnsi" w:eastAsiaTheme="minorEastAsia" w:hAnsiTheme="minorHAnsi" w:cstheme="minorBidi"/>
              <w:noProof/>
              <w:sz w:val="22"/>
              <w:szCs w:val="22"/>
            </w:rPr>
          </w:pPr>
          <w:hyperlink w:anchor="_Toc446063959" w:history="1">
            <w:r w:rsidR="000E6DA5" w:rsidRPr="006E3422">
              <w:rPr>
                <w:rStyle w:val="Hyperlink"/>
                <w:noProof/>
              </w:rPr>
              <w:t>GPRA Indicator Results for 2012-13</w:t>
            </w:r>
            <w:r w:rsidR="000E6DA5">
              <w:rPr>
                <w:noProof/>
                <w:webHidden/>
              </w:rPr>
              <w:tab/>
            </w:r>
            <w:r w:rsidR="000E6DA5">
              <w:rPr>
                <w:noProof/>
                <w:webHidden/>
              </w:rPr>
              <w:fldChar w:fldCharType="begin"/>
            </w:r>
            <w:r w:rsidR="000E6DA5">
              <w:rPr>
                <w:noProof/>
                <w:webHidden/>
              </w:rPr>
              <w:instrText xml:space="preserve"> PAGEREF _Toc446063959 \h </w:instrText>
            </w:r>
            <w:r w:rsidR="000E6DA5">
              <w:rPr>
                <w:noProof/>
                <w:webHidden/>
              </w:rPr>
            </w:r>
            <w:r w:rsidR="000E6DA5">
              <w:rPr>
                <w:noProof/>
                <w:webHidden/>
              </w:rPr>
              <w:fldChar w:fldCharType="separate"/>
            </w:r>
            <w:r w:rsidR="000E6DA5">
              <w:rPr>
                <w:noProof/>
                <w:webHidden/>
              </w:rPr>
              <w:t>22</w:t>
            </w:r>
            <w:r w:rsidR="000E6DA5">
              <w:rPr>
                <w:noProof/>
                <w:webHidden/>
              </w:rPr>
              <w:fldChar w:fldCharType="end"/>
            </w:r>
          </w:hyperlink>
        </w:p>
        <w:p w:rsidR="000E6DA5" w:rsidRDefault="004B22AF">
          <w:pPr>
            <w:pStyle w:val="TOC2"/>
            <w:tabs>
              <w:tab w:val="right" w:leader="dot" w:pos="9350"/>
            </w:tabs>
            <w:rPr>
              <w:rFonts w:asciiTheme="minorHAnsi" w:eastAsiaTheme="minorEastAsia" w:hAnsiTheme="minorHAnsi" w:cstheme="minorBidi"/>
              <w:noProof/>
              <w:sz w:val="22"/>
              <w:szCs w:val="22"/>
            </w:rPr>
          </w:pPr>
          <w:hyperlink w:anchor="_Toc446063960" w:history="1">
            <w:r w:rsidR="000E6DA5" w:rsidRPr="006E3422">
              <w:rPr>
                <w:rStyle w:val="Hyperlink"/>
                <w:noProof/>
              </w:rPr>
              <w:t>Trends in GPRA Indicator Performance</w:t>
            </w:r>
            <w:r w:rsidR="000E6DA5">
              <w:rPr>
                <w:noProof/>
                <w:webHidden/>
              </w:rPr>
              <w:tab/>
            </w:r>
            <w:r w:rsidR="000E6DA5">
              <w:rPr>
                <w:noProof/>
                <w:webHidden/>
              </w:rPr>
              <w:fldChar w:fldCharType="begin"/>
            </w:r>
            <w:r w:rsidR="000E6DA5">
              <w:rPr>
                <w:noProof/>
                <w:webHidden/>
              </w:rPr>
              <w:instrText xml:space="preserve"> PAGEREF _Toc446063960 \h </w:instrText>
            </w:r>
            <w:r w:rsidR="000E6DA5">
              <w:rPr>
                <w:noProof/>
                <w:webHidden/>
              </w:rPr>
            </w:r>
            <w:r w:rsidR="000E6DA5">
              <w:rPr>
                <w:noProof/>
                <w:webHidden/>
              </w:rPr>
              <w:fldChar w:fldCharType="separate"/>
            </w:r>
            <w:r w:rsidR="000E6DA5">
              <w:rPr>
                <w:noProof/>
                <w:webHidden/>
              </w:rPr>
              <w:t>23</w:t>
            </w:r>
            <w:r w:rsidR="000E6DA5">
              <w:rPr>
                <w:noProof/>
                <w:webHidden/>
              </w:rPr>
              <w:fldChar w:fldCharType="end"/>
            </w:r>
          </w:hyperlink>
        </w:p>
        <w:p w:rsidR="000E6DA5" w:rsidRDefault="004B22AF">
          <w:pPr>
            <w:pStyle w:val="TOC1"/>
            <w:tabs>
              <w:tab w:val="right" w:leader="dot" w:pos="9350"/>
            </w:tabs>
            <w:rPr>
              <w:rFonts w:asciiTheme="minorHAnsi" w:eastAsiaTheme="minorEastAsia" w:hAnsiTheme="minorHAnsi" w:cstheme="minorBidi"/>
              <w:noProof/>
              <w:sz w:val="22"/>
              <w:szCs w:val="22"/>
            </w:rPr>
          </w:pPr>
          <w:hyperlink w:anchor="_Toc446063961" w:history="1">
            <w:r w:rsidR="000E6DA5" w:rsidRPr="006E3422">
              <w:rPr>
                <w:rStyle w:val="Hyperlink"/>
                <w:noProof/>
              </w:rPr>
              <w:t>Summary and Conclusions</w:t>
            </w:r>
            <w:r w:rsidR="000E6DA5">
              <w:rPr>
                <w:noProof/>
                <w:webHidden/>
              </w:rPr>
              <w:tab/>
            </w:r>
            <w:r w:rsidR="000E6DA5">
              <w:rPr>
                <w:noProof/>
                <w:webHidden/>
              </w:rPr>
              <w:fldChar w:fldCharType="begin"/>
            </w:r>
            <w:r w:rsidR="000E6DA5">
              <w:rPr>
                <w:noProof/>
                <w:webHidden/>
              </w:rPr>
              <w:instrText xml:space="preserve"> PAGEREF _Toc446063961 \h </w:instrText>
            </w:r>
            <w:r w:rsidR="000E6DA5">
              <w:rPr>
                <w:noProof/>
                <w:webHidden/>
              </w:rPr>
            </w:r>
            <w:r w:rsidR="000E6DA5">
              <w:rPr>
                <w:noProof/>
                <w:webHidden/>
              </w:rPr>
              <w:fldChar w:fldCharType="separate"/>
            </w:r>
            <w:r w:rsidR="000E6DA5">
              <w:rPr>
                <w:noProof/>
                <w:webHidden/>
              </w:rPr>
              <w:t>26</w:t>
            </w:r>
            <w:r w:rsidR="000E6DA5">
              <w:rPr>
                <w:noProof/>
                <w:webHidden/>
              </w:rPr>
              <w:fldChar w:fldCharType="end"/>
            </w:r>
          </w:hyperlink>
        </w:p>
        <w:p w:rsidR="000E6DA5" w:rsidRDefault="004B22AF">
          <w:pPr>
            <w:pStyle w:val="TOC1"/>
            <w:tabs>
              <w:tab w:val="right" w:leader="dot" w:pos="9350"/>
            </w:tabs>
            <w:rPr>
              <w:rFonts w:asciiTheme="minorHAnsi" w:eastAsiaTheme="minorEastAsia" w:hAnsiTheme="minorHAnsi" w:cstheme="minorBidi"/>
              <w:noProof/>
              <w:sz w:val="22"/>
              <w:szCs w:val="22"/>
            </w:rPr>
          </w:pPr>
          <w:hyperlink w:anchor="_Toc446063962" w:history="1">
            <w:r w:rsidR="000E6DA5" w:rsidRPr="006E3422">
              <w:rPr>
                <w:rStyle w:val="Hyperlink"/>
                <w:noProof/>
              </w:rPr>
              <w:t>References</w:t>
            </w:r>
            <w:r w:rsidR="000E6DA5">
              <w:rPr>
                <w:noProof/>
                <w:webHidden/>
              </w:rPr>
              <w:tab/>
            </w:r>
            <w:r w:rsidR="000E6DA5">
              <w:rPr>
                <w:noProof/>
                <w:webHidden/>
              </w:rPr>
              <w:fldChar w:fldCharType="begin"/>
            </w:r>
            <w:r w:rsidR="000E6DA5">
              <w:rPr>
                <w:noProof/>
                <w:webHidden/>
              </w:rPr>
              <w:instrText xml:space="preserve"> PAGEREF _Toc446063962 \h </w:instrText>
            </w:r>
            <w:r w:rsidR="000E6DA5">
              <w:rPr>
                <w:noProof/>
                <w:webHidden/>
              </w:rPr>
            </w:r>
            <w:r w:rsidR="000E6DA5">
              <w:rPr>
                <w:noProof/>
                <w:webHidden/>
              </w:rPr>
              <w:fldChar w:fldCharType="separate"/>
            </w:r>
            <w:r w:rsidR="000E6DA5">
              <w:rPr>
                <w:noProof/>
                <w:webHidden/>
              </w:rPr>
              <w:t>27</w:t>
            </w:r>
            <w:r w:rsidR="000E6DA5">
              <w:rPr>
                <w:noProof/>
                <w:webHidden/>
              </w:rPr>
              <w:fldChar w:fldCharType="end"/>
            </w:r>
          </w:hyperlink>
        </w:p>
        <w:p w:rsidR="000E6DA5" w:rsidRDefault="004B22AF">
          <w:pPr>
            <w:pStyle w:val="TOC1"/>
            <w:tabs>
              <w:tab w:val="right" w:leader="dot" w:pos="9350"/>
            </w:tabs>
            <w:rPr>
              <w:rFonts w:asciiTheme="minorHAnsi" w:eastAsiaTheme="minorEastAsia" w:hAnsiTheme="minorHAnsi" w:cstheme="minorBidi"/>
              <w:noProof/>
              <w:sz w:val="22"/>
              <w:szCs w:val="22"/>
            </w:rPr>
          </w:pPr>
          <w:hyperlink w:anchor="_Toc446063963" w:history="1">
            <w:r w:rsidR="000E6DA5" w:rsidRPr="006E3422">
              <w:rPr>
                <w:rStyle w:val="Hyperlink"/>
                <w:noProof/>
              </w:rPr>
              <w:t>Appendix  State Discretion in APR Reporting and Data Completeness</w:t>
            </w:r>
            <w:r w:rsidR="000E6DA5">
              <w:rPr>
                <w:noProof/>
                <w:webHidden/>
              </w:rPr>
              <w:tab/>
            </w:r>
            <w:r w:rsidR="000E6DA5">
              <w:rPr>
                <w:noProof/>
                <w:webHidden/>
              </w:rPr>
              <w:fldChar w:fldCharType="begin"/>
            </w:r>
            <w:r w:rsidR="000E6DA5">
              <w:rPr>
                <w:noProof/>
                <w:webHidden/>
              </w:rPr>
              <w:instrText xml:space="preserve"> PAGEREF _Toc446063963 \h </w:instrText>
            </w:r>
            <w:r w:rsidR="000E6DA5">
              <w:rPr>
                <w:noProof/>
                <w:webHidden/>
              </w:rPr>
            </w:r>
            <w:r w:rsidR="000E6DA5">
              <w:rPr>
                <w:noProof/>
                <w:webHidden/>
              </w:rPr>
              <w:fldChar w:fldCharType="separate"/>
            </w:r>
            <w:r w:rsidR="000E6DA5">
              <w:rPr>
                <w:noProof/>
                <w:webHidden/>
              </w:rPr>
              <w:t>28</w:t>
            </w:r>
            <w:r w:rsidR="000E6DA5">
              <w:rPr>
                <w:noProof/>
                <w:webHidden/>
              </w:rPr>
              <w:fldChar w:fldCharType="end"/>
            </w:r>
          </w:hyperlink>
        </w:p>
        <w:p w:rsidR="000E6DA5" w:rsidRDefault="000E6DA5">
          <w:r>
            <w:rPr>
              <w:b/>
              <w:bCs/>
              <w:noProof/>
            </w:rPr>
            <w:fldChar w:fldCharType="end"/>
          </w:r>
        </w:p>
      </w:sdtContent>
    </w:sdt>
    <w:p w:rsidR="00D5396A" w:rsidRPr="00D07AC9" w:rsidRDefault="00D5396A" w:rsidP="00CB492B">
      <w:pPr>
        <w:tabs>
          <w:tab w:val="right" w:leader="dot" w:pos="9360"/>
        </w:tabs>
        <w:rPr>
          <w:highlight w:val="yellow"/>
        </w:rPr>
      </w:pPr>
    </w:p>
    <w:p w:rsidR="00CB492B" w:rsidRPr="00D07AC9" w:rsidRDefault="00CB492B">
      <w:pPr>
        <w:tabs>
          <w:tab w:val="right" w:leader="dot" w:pos="9360"/>
        </w:tabs>
        <w:spacing w:before="120"/>
        <w:ind w:left="360"/>
        <w:rPr>
          <w:highlight w:val="yellow"/>
        </w:rPr>
        <w:sectPr w:rsidR="00CB492B" w:rsidRPr="00D07AC9" w:rsidSect="00AE38E5">
          <w:pgSz w:w="12240" w:h="15840" w:code="1"/>
          <w:pgMar w:top="1440" w:right="1440" w:bottom="1440" w:left="1440" w:header="720" w:footer="720" w:gutter="0"/>
          <w:pgNumType w:start="1"/>
          <w:cols w:space="720"/>
          <w:titlePg/>
          <w:docGrid w:linePitch="360"/>
        </w:sectPr>
      </w:pPr>
    </w:p>
    <w:p w:rsidR="00E05D29" w:rsidRPr="00EC5980" w:rsidRDefault="00E05D29" w:rsidP="00A50F56">
      <w:pPr>
        <w:pStyle w:val="Heading1"/>
      </w:pPr>
      <w:bookmarkStart w:id="3" w:name="_Toc446063945"/>
      <w:bookmarkStart w:id="4" w:name="_Toc248906982"/>
      <w:r w:rsidRPr="00EC5980">
        <w:lastRenderedPageBreak/>
        <w:t>Executive Summary</w:t>
      </w:r>
      <w:bookmarkEnd w:id="3"/>
    </w:p>
    <w:p w:rsidR="00E05D29" w:rsidRPr="00EC5980" w:rsidRDefault="00E05D29" w:rsidP="00E05D29"/>
    <w:p w:rsidR="002F3156" w:rsidRPr="00EC5980" w:rsidRDefault="002F3156" w:rsidP="002F3156">
      <w:r w:rsidRPr="00EC5980">
        <w:t xml:space="preserve">For approximately </w:t>
      </w:r>
      <w:r w:rsidR="00EC5980" w:rsidRPr="00EC5980">
        <w:t>thirteen</w:t>
      </w:r>
      <w:r w:rsidRPr="00EC5980">
        <w:t xml:space="preserve"> years, the 21st Century Community Learning Centers (21st CCLC) program, as reauthorized by Title IV, Part B, of the No Child Left Behind (NCLB) Act of 2001, has provided students in high-poverty communities across the nation the opportunity to participate in academic enrichment and youth development programs designed to enhance their well-being. In crafting activities and programs to serve participating students and adult family members, centers funded by the 21st CCLC program have implemented a wide spectrum of program delivery, staffing, and operational models to help students improve academically as well as socially. </w:t>
      </w:r>
    </w:p>
    <w:p w:rsidR="002F3156" w:rsidRPr="00EC5980" w:rsidRDefault="002F3156" w:rsidP="002F3156"/>
    <w:p w:rsidR="002F3156" w:rsidRPr="00EC5980" w:rsidRDefault="002F3156" w:rsidP="002F3156">
      <w:pPr>
        <w:pStyle w:val="Pa9"/>
        <w:rPr>
          <w:bCs/>
        </w:rPr>
      </w:pPr>
      <w:r w:rsidRPr="00EC5980">
        <w:t>In this report, data collected through the 21st CCLC Profile and Performance Information Collection System (PPICS) have been synthesized to further inform an improved understanding of the intersection of program attributes and student achievement outcomes for children who participate in 21st CCLC programs. An Annual Performance Report (APR) is completed by grantees through PPICS once a year to summarize the operational elements of their program, the student population served, and the extent to which students improved in academic-rel</w:t>
      </w:r>
      <w:r w:rsidR="00D31F86" w:rsidRPr="00EC5980">
        <w:t xml:space="preserve">ated behaviors and achievement. </w:t>
      </w:r>
      <w:r w:rsidR="00F66121">
        <w:t>T</w:t>
      </w:r>
      <w:r w:rsidRPr="00EC5980">
        <w:t xml:space="preserve">he core purpose of the APR is to collect information on the </w:t>
      </w:r>
      <w:r w:rsidRPr="00EC5980">
        <w:rPr>
          <w:bCs/>
        </w:rPr>
        <w:t>Government Performance and Results Act (GPRA) performance indicators associated with the 21</w:t>
      </w:r>
      <w:r w:rsidRPr="00EC5980">
        <w:t>st</w:t>
      </w:r>
      <w:r w:rsidR="00D31F86" w:rsidRPr="00EC5980">
        <w:rPr>
          <w:bCs/>
        </w:rPr>
        <w:t xml:space="preserve"> CCLC program. </w:t>
      </w:r>
      <w:r w:rsidRPr="00EC5980">
        <w:rPr>
          <w:bCs/>
        </w:rPr>
        <w:t>These metrics represent the primary mechanism by which the federal government determines the success and progress of the 21</w:t>
      </w:r>
      <w:r w:rsidRPr="00EC5980">
        <w:t>st</w:t>
      </w:r>
      <w:r w:rsidRPr="00EC5980">
        <w:rPr>
          <w:bCs/>
        </w:rPr>
        <w:t xml:space="preserve"> CCLC program against clearly-defined, statutorily-based requirements.</w:t>
      </w:r>
    </w:p>
    <w:p w:rsidR="002F3156" w:rsidRPr="00D07AC9" w:rsidRDefault="002F3156" w:rsidP="002F3156">
      <w:pPr>
        <w:rPr>
          <w:highlight w:val="yellow"/>
        </w:rPr>
      </w:pPr>
    </w:p>
    <w:p w:rsidR="0036101E" w:rsidRPr="003154C3" w:rsidRDefault="0036101E" w:rsidP="0036101E">
      <w:r w:rsidRPr="003154C3">
        <w:t>Key findings of this report include:</w:t>
      </w:r>
    </w:p>
    <w:p w:rsidR="0036101E" w:rsidRPr="003154C3" w:rsidRDefault="0036101E" w:rsidP="0036101E"/>
    <w:p w:rsidR="0036101E" w:rsidRPr="003154C3" w:rsidRDefault="0036101E" w:rsidP="0036101E">
      <w:pPr>
        <w:pStyle w:val="ListParagraph"/>
        <w:numPr>
          <w:ilvl w:val="0"/>
          <w:numId w:val="37"/>
        </w:numPr>
      </w:pPr>
      <w:r w:rsidRPr="003154C3">
        <w:t>A total of 4,077 grantees representing 9,989 centers reported annual performance report data for 2012-13. These centers served a total of 1,732,567 students, with 875,226 of these students attending 30 days or more days in programs.</w:t>
      </w:r>
    </w:p>
    <w:p w:rsidR="0036101E" w:rsidRPr="003154C3" w:rsidRDefault="0036101E" w:rsidP="0036101E">
      <w:pPr>
        <w:ind w:left="360"/>
      </w:pPr>
    </w:p>
    <w:p w:rsidR="0036101E" w:rsidRPr="003154C3" w:rsidRDefault="0036101E" w:rsidP="0036101E">
      <w:pPr>
        <w:pStyle w:val="ListParagraph"/>
        <w:numPr>
          <w:ilvl w:val="0"/>
          <w:numId w:val="31"/>
        </w:numPr>
      </w:pPr>
      <w:r w:rsidRPr="003154C3">
        <w:t xml:space="preserve">Fifty-nine percent to 65 percent of centers from 2007-08 to 2012-13 served elementary students in some capacity,19 percent to 21 percent of centers exclusively served middle school students, and </w:t>
      </w:r>
      <w:r w:rsidR="003449E2">
        <w:t>six</w:t>
      </w:r>
      <w:r w:rsidRPr="003154C3">
        <w:t xml:space="preserve"> percent to 13 percent exclusively served high school students. The most recent</w:t>
      </w:r>
      <w:r w:rsidR="003449E2">
        <w:t>ly reported</w:t>
      </w:r>
      <w:r w:rsidRPr="003154C3">
        <w:t xml:space="preserve"> three years represent the highest percentage of high school centers being served.</w:t>
      </w:r>
    </w:p>
    <w:p w:rsidR="0036101E" w:rsidRPr="00D07AC9" w:rsidRDefault="0036101E" w:rsidP="0036101E">
      <w:pPr>
        <w:rPr>
          <w:highlight w:val="yellow"/>
        </w:rPr>
      </w:pPr>
    </w:p>
    <w:p w:rsidR="0036101E" w:rsidRPr="003154C3" w:rsidRDefault="0036101E" w:rsidP="0036101E">
      <w:pPr>
        <w:pStyle w:val="ListParagraph"/>
        <w:numPr>
          <w:ilvl w:val="0"/>
          <w:numId w:val="32"/>
        </w:numPr>
      </w:pPr>
      <w:r w:rsidRPr="003154C3">
        <w:t xml:space="preserve">A total of 293,059 adult family members were provided with services in 2012-13. </w:t>
      </w:r>
      <w:r>
        <w:t xml:space="preserve">Over the </w:t>
      </w:r>
      <w:r w:rsidRPr="003154C3">
        <w:t>last eight years, 2012-13 and 2011-12 represent the highest number of adult family members served. Specifically, 297,723 adult family members were served in 2011-12, 274,364 in 2010-11, 253,283 in 2009-10, 213,552 in 2008-09, 223,042 in 2007-08, and 210,857 in 2006-07.</w:t>
      </w:r>
    </w:p>
    <w:p w:rsidR="0036101E" w:rsidRPr="003154C3" w:rsidRDefault="0036101E" w:rsidP="0036101E">
      <w:pPr>
        <w:ind w:left="360"/>
      </w:pPr>
    </w:p>
    <w:p w:rsidR="0036101E" w:rsidRPr="003154C3" w:rsidRDefault="0036101E" w:rsidP="0036101E">
      <w:pPr>
        <w:pStyle w:val="ListParagraph"/>
        <w:numPr>
          <w:ilvl w:val="0"/>
          <w:numId w:val="37"/>
        </w:numPr>
      </w:pPr>
      <w:r w:rsidRPr="003154C3">
        <w:t xml:space="preserve">School Districts (SD) were </w:t>
      </w:r>
      <w:r w:rsidR="003449E2">
        <w:t>States’</w:t>
      </w:r>
      <w:r w:rsidR="003449E2" w:rsidRPr="003154C3">
        <w:t xml:space="preserve"> </w:t>
      </w:r>
      <w:r w:rsidRPr="003154C3">
        <w:t xml:space="preserve">largest </w:t>
      </w:r>
      <w:r w:rsidR="003449E2">
        <w:t>sub</w:t>
      </w:r>
      <w:r w:rsidRPr="003154C3">
        <w:t xml:space="preserve">grantee organization category, accounting for 57 percent of all </w:t>
      </w:r>
      <w:r w:rsidR="003449E2">
        <w:t>sub</w:t>
      </w:r>
      <w:r w:rsidRPr="003154C3">
        <w:t xml:space="preserve">grantees. Community Based Organizations (CBO) </w:t>
      </w:r>
      <w:proofErr w:type="gramStart"/>
      <w:r w:rsidRPr="003154C3">
        <w:t>were</w:t>
      </w:r>
      <w:proofErr w:type="gramEnd"/>
      <w:r w:rsidRPr="003154C3">
        <w:t xml:space="preserve"> the second largest </w:t>
      </w:r>
      <w:r w:rsidR="003449E2">
        <w:t>sub</w:t>
      </w:r>
      <w:r w:rsidRPr="003154C3">
        <w:t xml:space="preserve">grantee organization group accounting for 18 percent of </w:t>
      </w:r>
      <w:r w:rsidR="003449E2">
        <w:t>sub</w:t>
      </w:r>
      <w:r w:rsidRPr="003154C3">
        <w:t>grantees. Taken together, CBOs and Nationally Affiliated Nonprofit Agencies (NPAs) accounted for over 23 percent of all grantees.</w:t>
      </w:r>
    </w:p>
    <w:p w:rsidR="0036101E" w:rsidRPr="003154C3" w:rsidRDefault="0036101E" w:rsidP="0036101E">
      <w:pPr>
        <w:pStyle w:val="ListParagraph"/>
      </w:pPr>
    </w:p>
    <w:p w:rsidR="0036101E" w:rsidRPr="003154C3" w:rsidRDefault="0036101E" w:rsidP="0036101E">
      <w:pPr>
        <w:pStyle w:val="ListParagraph"/>
        <w:numPr>
          <w:ilvl w:val="0"/>
          <w:numId w:val="37"/>
        </w:numPr>
      </w:pPr>
      <w:r w:rsidRPr="003154C3">
        <w:t xml:space="preserve">Approximately 83 percent of all centers are in </w:t>
      </w:r>
      <w:r w:rsidR="005F541C">
        <w:t>SDs, and nearly seven</w:t>
      </w:r>
      <w:r w:rsidRPr="003154C3">
        <w:t xml:space="preserve"> percent are in Community Based Organizations (CBOs) or Nationally Affiliated Non-Profit Agencies (NPAs).</w:t>
      </w:r>
    </w:p>
    <w:p w:rsidR="0036101E" w:rsidRPr="000F36C5" w:rsidRDefault="0036101E" w:rsidP="0036101E"/>
    <w:p w:rsidR="0036101E" w:rsidRPr="000F36C5" w:rsidRDefault="003449E2" w:rsidP="0036101E">
      <w:pPr>
        <w:pStyle w:val="ListParagraph"/>
        <w:numPr>
          <w:ilvl w:val="0"/>
          <w:numId w:val="37"/>
        </w:numPr>
      </w:pPr>
      <w:r>
        <w:t>Centers reported a</w:t>
      </w:r>
      <w:r w:rsidR="0036101E" w:rsidRPr="000F36C5">
        <w:t xml:space="preserve"> total of 163,216 staff. Of these, 128,272 (79%) were identified as paid staff and 34,944 (21%) were volunteers.</w:t>
      </w:r>
    </w:p>
    <w:p w:rsidR="0036101E" w:rsidRPr="000F36C5" w:rsidRDefault="0036101E" w:rsidP="0036101E"/>
    <w:p w:rsidR="0036101E" w:rsidRPr="000F36C5" w:rsidRDefault="0036101E" w:rsidP="0036101E">
      <w:pPr>
        <w:pStyle w:val="ListParagraph"/>
        <w:numPr>
          <w:ilvl w:val="0"/>
          <w:numId w:val="37"/>
        </w:numPr>
      </w:pPr>
      <w:r w:rsidRPr="000F36C5">
        <w:t>School-day teachers account for the largest percentage of paid staff at 44 percent. Non-teaching school staff account for the second largest at approximately 13 percent. For volunteer staff, college students account for the largest percentage at 27 percent with community members second at 18 percent. Similar trends were seen in other years.</w:t>
      </w:r>
    </w:p>
    <w:p w:rsidR="0036101E" w:rsidRPr="000F36C5" w:rsidRDefault="0036101E" w:rsidP="0036101E"/>
    <w:p w:rsidR="0036101E" w:rsidRPr="000F36C5" w:rsidRDefault="0036101E" w:rsidP="0036101E">
      <w:pPr>
        <w:pStyle w:val="ListParagraph"/>
        <w:numPr>
          <w:ilvl w:val="0"/>
          <w:numId w:val="37"/>
        </w:numPr>
      </w:pPr>
      <w:r w:rsidRPr="000F36C5">
        <w:t xml:space="preserve">Of the 4,908 centers reporting individual—as opposed to aggregated—activity data, nearly a fifth of centers were classified as falling within either the </w:t>
      </w:r>
      <w:r w:rsidRPr="000F36C5">
        <w:rPr>
          <w:i/>
        </w:rPr>
        <w:t xml:space="preserve">Mostly Homework Help </w:t>
      </w:r>
      <w:r w:rsidRPr="000F36C5">
        <w:t xml:space="preserve">(13 percent) or </w:t>
      </w:r>
      <w:r w:rsidRPr="000F36C5">
        <w:rPr>
          <w:i/>
        </w:rPr>
        <w:t xml:space="preserve">Mostly Tutoring </w:t>
      </w:r>
      <w:r w:rsidR="005F541C">
        <w:t>clusters (eight</w:t>
      </w:r>
      <w:r w:rsidRPr="000F36C5">
        <w:t xml:space="preserve"> percent); 23 percent were classified as </w:t>
      </w:r>
      <w:r w:rsidRPr="000F36C5">
        <w:rPr>
          <w:i/>
        </w:rPr>
        <w:t xml:space="preserve">Mostly Recreation, </w:t>
      </w:r>
      <w:r w:rsidRPr="000F36C5">
        <w:t xml:space="preserve">25 percent were classified as </w:t>
      </w:r>
      <w:r w:rsidRPr="000F36C5">
        <w:rPr>
          <w:i/>
        </w:rPr>
        <w:t>Mostly Enrichment</w:t>
      </w:r>
      <w:r w:rsidRPr="000F36C5">
        <w:t>, and</w:t>
      </w:r>
      <w:r w:rsidRPr="000F36C5">
        <w:rPr>
          <w:i/>
        </w:rPr>
        <w:t xml:space="preserve"> </w:t>
      </w:r>
      <w:r w:rsidRPr="000F36C5">
        <w:t xml:space="preserve">approximately 31 percent were classified as </w:t>
      </w:r>
      <w:r w:rsidRPr="000F36C5">
        <w:rPr>
          <w:i/>
        </w:rPr>
        <w:t>Variety</w:t>
      </w:r>
      <w:r w:rsidRPr="000F36C5">
        <w:t>.</w:t>
      </w:r>
    </w:p>
    <w:p w:rsidR="0036101E" w:rsidRPr="00D07AC9" w:rsidRDefault="0036101E" w:rsidP="0036101E">
      <w:pPr>
        <w:rPr>
          <w:highlight w:val="yellow"/>
        </w:rPr>
      </w:pPr>
    </w:p>
    <w:p w:rsidR="0036101E" w:rsidRPr="008137D9" w:rsidRDefault="0036101E" w:rsidP="0036101E">
      <w:pPr>
        <w:pStyle w:val="ListParagraph"/>
        <w:numPr>
          <w:ilvl w:val="0"/>
          <w:numId w:val="36"/>
        </w:numPr>
      </w:pPr>
      <w:r w:rsidRPr="008137D9">
        <w:t xml:space="preserve">States have some flexibility in reporting GPRA-related data. For 2012-13, </w:t>
      </w:r>
      <w:r w:rsidR="008137D9" w:rsidRPr="008137D9">
        <w:t>46</w:t>
      </w:r>
      <w:r w:rsidRPr="008137D9">
        <w:t xml:space="preserve"> percent of states provided grades data, </w:t>
      </w:r>
      <w:r w:rsidR="008137D9" w:rsidRPr="008137D9">
        <w:t xml:space="preserve">50 </w:t>
      </w:r>
      <w:r w:rsidRPr="008137D9">
        <w:t>percent pr</w:t>
      </w:r>
      <w:r w:rsidR="008137D9" w:rsidRPr="008137D9">
        <w:t>ovided state assessment data, 81</w:t>
      </w:r>
      <w:r w:rsidRPr="008137D9">
        <w:t xml:space="preserve"> percent provided teacher survey data, and 100 percent provided activity data.</w:t>
      </w:r>
    </w:p>
    <w:p w:rsidR="0036101E" w:rsidRPr="008137D9" w:rsidRDefault="0036101E" w:rsidP="0036101E">
      <w:pPr>
        <w:pStyle w:val="ListParagraph"/>
      </w:pPr>
    </w:p>
    <w:p w:rsidR="000D4CAA" w:rsidRDefault="0036101E" w:rsidP="000D4CAA">
      <w:pPr>
        <w:pStyle w:val="ListParagraph"/>
        <w:numPr>
          <w:ilvl w:val="0"/>
          <w:numId w:val="36"/>
        </w:numPr>
        <w:rPr>
          <w:rStyle w:val="ed-reports-ppp-measuredesc1"/>
          <w:rFonts w:ascii="Times New Roman" w:hAnsi="Times New Roman" w:cs="Times New Roman"/>
          <w:sz w:val="24"/>
          <w:szCs w:val="24"/>
        </w:rPr>
      </w:pPr>
      <w:r w:rsidRPr="000F36C5">
        <w:t>Nearly all of the performance targets for the 2012-13 reporting period were not reached. For the range of indicators related to regular attendee improvement in student achievement and behaviors, the indicator showing improvement included t</w:t>
      </w:r>
      <w:r w:rsidRPr="000F36C5">
        <w:rPr>
          <w:rStyle w:val="ed-reports-ppp-measuredesc1"/>
          <w:rFonts w:ascii="Times New Roman" w:hAnsi="Times New Roman" w:cs="Times New Roman"/>
          <w:sz w:val="24"/>
          <w:szCs w:val="24"/>
        </w:rPr>
        <w:t xml:space="preserve">he percentage of middle and high school 21st </w:t>
      </w:r>
      <w:r w:rsidR="003449E2">
        <w:rPr>
          <w:rStyle w:val="ed-reports-ppp-measuredesc1"/>
          <w:rFonts w:ascii="Times New Roman" w:hAnsi="Times New Roman" w:cs="Times New Roman"/>
          <w:sz w:val="24"/>
          <w:szCs w:val="24"/>
        </w:rPr>
        <w:t>CCLC</w:t>
      </w:r>
      <w:r w:rsidR="003449E2" w:rsidRPr="000F36C5">
        <w:rPr>
          <w:rStyle w:val="ed-reports-ppp-measuredesc1"/>
          <w:rFonts w:ascii="Times New Roman" w:hAnsi="Times New Roman" w:cs="Times New Roman"/>
          <w:sz w:val="24"/>
          <w:szCs w:val="24"/>
        </w:rPr>
        <w:t xml:space="preserve"> </w:t>
      </w:r>
      <w:r w:rsidRPr="000F36C5">
        <w:rPr>
          <w:rStyle w:val="ed-reports-ppp-measuredesc1"/>
          <w:rFonts w:ascii="Times New Roman" w:hAnsi="Times New Roman" w:cs="Times New Roman"/>
          <w:sz w:val="24"/>
          <w:szCs w:val="24"/>
        </w:rPr>
        <w:t>regular program participants who improve from not proficient to proficient or above in mathematics on state assessments.</w:t>
      </w:r>
    </w:p>
    <w:p w:rsidR="000D4CAA" w:rsidRDefault="000D4CAA" w:rsidP="000D4CAA">
      <w:pPr>
        <w:pStyle w:val="ListParagraph"/>
      </w:pPr>
    </w:p>
    <w:p w:rsidR="00586183" w:rsidRPr="004A3231" w:rsidRDefault="00586183" w:rsidP="000D4CAA">
      <w:pPr>
        <w:pStyle w:val="ListParagraph"/>
        <w:numPr>
          <w:ilvl w:val="0"/>
          <w:numId w:val="36"/>
        </w:numPr>
      </w:pPr>
      <w:r w:rsidRPr="004A3231">
        <w:t>Grade improvement rates for 2012-13 for both math and reading were on the whole lower than previous years’ improvement rates. It is not immediately clear why this is the case. It should be noted that across the same time frame, an increasingly higher proportion of students were reported as maintaining the highest grade possible.</w:t>
      </w:r>
    </w:p>
    <w:p w:rsidR="00586183" w:rsidRPr="00D07AC9" w:rsidRDefault="00586183" w:rsidP="00586183">
      <w:pPr>
        <w:rPr>
          <w:highlight w:val="yellow"/>
        </w:rPr>
      </w:pPr>
    </w:p>
    <w:p w:rsidR="00CB3A5A" w:rsidRPr="00D07AC9" w:rsidRDefault="00CB3A5A">
      <w:pPr>
        <w:rPr>
          <w:b/>
          <w:sz w:val="28"/>
          <w:szCs w:val="28"/>
          <w:highlight w:val="yellow"/>
        </w:rPr>
      </w:pPr>
      <w:bookmarkStart w:id="5" w:name="_Toc248906996"/>
      <w:bookmarkEnd w:id="4"/>
      <w:r w:rsidRPr="00D07AC9">
        <w:rPr>
          <w:b/>
          <w:sz w:val="28"/>
          <w:szCs w:val="28"/>
          <w:highlight w:val="yellow"/>
        </w:rPr>
        <w:br w:type="page"/>
      </w:r>
    </w:p>
    <w:p w:rsidR="00221126" w:rsidRPr="00C1785C" w:rsidRDefault="00221126" w:rsidP="00A50F56">
      <w:pPr>
        <w:pStyle w:val="Heading1"/>
      </w:pPr>
      <w:bookmarkStart w:id="6" w:name="_Toc446063946"/>
      <w:r w:rsidRPr="00C1785C">
        <w:lastRenderedPageBreak/>
        <w:t>Introduction</w:t>
      </w:r>
      <w:bookmarkEnd w:id="5"/>
      <w:bookmarkEnd w:id="6"/>
    </w:p>
    <w:p w:rsidR="00221126" w:rsidRPr="00C1785C" w:rsidRDefault="00221126" w:rsidP="00221126"/>
    <w:p w:rsidR="000D4CAA" w:rsidRDefault="00221126" w:rsidP="00221126">
      <w:r w:rsidRPr="00C1785C">
        <w:t xml:space="preserve">For approximately </w:t>
      </w:r>
      <w:r w:rsidR="000D3D2E" w:rsidRPr="00C1785C">
        <w:t>t</w:t>
      </w:r>
      <w:r w:rsidR="00C1785C" w:rsidRPr="00C1785C">
        <w:t>hirteen</w:t>
      </w:r>
      <w:r w:rsidR="00FF32A1" w:rsidRPr="00C1785C">
        <w:t xml:space="preserve"> </w:t>
      </w:r>
      <w:r w:rsidRPr="00C1785C">
        <w:t xml:space="preserve">years, the 21st Century Community Learning Centers (21st CCLC) program, as reauthorized by Title IV, Part B, of the No Child Left Behind (NCLB) Act of 2001, has provided students in high-poverty communities across the nation the opportunity to participate in academic enrichment and youth development programs designed to enhance their well-being. In crafting activities and programs to serve participating students </w:t>
      </w:r>
      <w:r w:rsidR="003959CA" w:rsidRPr="00C1785C">
        <w:t xml:space="preserve">and adult family members, the 21st </w:t>
      </w:r>
      <w:r w:rsidRPr="00C1785C">
        <w:t>CCLCs have implemented a wide spectrum of program delivery, staffing, and operational models to help students improve academically as well as socially.</w:t>
      </w:r>
    </w:p>
    <w:p w:rsidR="00221126" w:rsidRPr="00C1785C" w:rsidRDefault="000D4CAA" w:rsidP="00221126">
      <w:r w:rsidRPr="00C1785C">
        <w:t xml:space="preserve"> </w:t>
      </w:r>
    </w:p>
    <w:p w:rsidR="00221126" w:rsidRPr="00C1785C" w:rsidRDefault="00221126" w:rsidP="00221126">
      <w:pPr>
        <w:pStyle w:val="Pa9"/>
        <w:rPr>
          <w:bCs/>
        </w:rPr>
      </w:pPr>
      <w:r w:rsidRPr="00C1785C">
        <w:t>In this report, data collected through the 21st CCLC Profile and Performance Information Collection System (PPICS) have been synthesized to further inform an improved understanding of the intersection of program attributes and student achievement outcomes fo</w:t>
      </w:r>
      <w:r w:rsidR="003959CA" w:rsidRPr="00C1785C">
        <w:t xml:space="preserve">r children who participate in 21st CCLC programs. </w:t>
      </w:r>
      <w:r w:rsidR="00314903">
        <w:t>The core purpose</w:t>
      </w:r>
      <w:r w:rsidRPr="00C1785C">
        <w:t xml:space="preserve"> of the APR is to collect information on the </w:t>
      </w:r>
      <w:r w:rsidRPr="00C1785C">
        <w:rPr>
          <w:bCs/>
        </w:rPr>
        <w:t>Government Performance and Results Act (GPRA) performance indicators associated with the 21</w:t>
      </w:r>
      <w:r w:rsidRPr="00C1785C">
        <w:t>st</w:t>
      </w:r>
      <w:r w:rsidRPr="00C1785C">
        <w:rPr>
          <w:bCs/>
        </w:rPr>
        <w:t xml:space="preserve"> CCLC program. These </w:t>
      </w:r>
      <w:proofErr w:type="gramStart"/>
      <w:r w:rsidRPr="00C1785C">
        <w:rPr>
          <w:bCs/>
        </w:rPr>
        <w:t>metrics,</w:t>
      </w:r>
      <w:proofErr w:type="gramEnd"/>
      <w:r w:rsidRPr="00C1785C">
        <w:rPr>
          <w:bCs/>
        </w:rPr>
        <w:t xml:space="preserve"> represent the primary mechanism by which the federal government determines the success and progress of the 21</w:t>
      </w:r>
      <w:r w:rsidRPr="00C1785C">
        <w:t>st</w:t>
      </w:r>
      <w:r w:rsidRPr="00C1785C">
        <w:rPr>
          <w:bCs/>
        </w:rPr>
        <w:t xml:space="preserve"> CCLC program against </w:t>
      </w:r>
      <w:r w:rsidR="00314903">
        <w:rPr>
          <w:bCs/>
        </w:rPr>
        <w:t>statutor</w:t>
      </w:r>
      <w:r w:rsidRPr="00C1785C">
        <w:rPr>
          <w:bCs/>
        </w:rPr>
        <w:t>y requirements.</w:t>
      </w:r>
    </w:p>
    <w:p w:rsidR="00221126" w:rsidRPr="00C1785C" w:rsidRDefault="00221126" w:rsidP="00221126"/>
    <w:p w:rsidR="008741E7" w:rsidRPr="00D07AC9" w:rsidRDefault="00221126">
      <w:pPr>
        <w:rPr>
          <w:b/>
          <w:sz w:val="32"/>
          <w:szCs w:val="32"/>
          <w:highlight w:val="yellow"/>
        </w:rPr>
      </w:pPr>
      <w:r w:rsidRPr="00C1785C">
        <w:t>In Section 1 of this report, descriptive information is provided on the domain of centers active during the 20</w:t>
      </w:r>
      <w:r w:rsidR="00352BCE" w:rsidRPr="00C1785C">
        <w:t>1</w:t>
      </w:r>
      <w:r w:rsidR="00C1785C" w:rsidRPr="00C1785C">
        <w:t>2</w:t>
      </w:r>
      <w:r w:rsidR="00723B47" w:rsidRPr="00C1785C">
        <w:t>-</w:t>
      </w:r>
      <w:r w:rsidR="00FF32A1" w:rsidRPr="00C1785C">
        <w:t>1</w:t>
      </w:r>
      <w:r w:rsidR="00C1785C" w:rsidRPr="00C1785C">
        <w:t>3</w:t>
      </w:r>
      <w:r w:rsidRPr="00C1785C">
        <w:t xml:space="preserve"> reporting period, including </w:t>
      </w:r>
      <w:r w:rsidR="00F66121">
        <w:t xml:space="preserve">activities, </w:t>
      </w:r>
      <w:proofErr w:type="spellStart"/>
      <w:r w:rsidR="00F66121">
        <w:t>staffingand</w:t>
      </w:r>
      <w:proofErr w:type="spellEnd"/>
      <w:r w:rsidR="00F66121">
        <w:t xml:space="preserve"> </w:t>
      </w:r>
      <w:r w:rsidRPr="00C1785C">
        <w:t>grade levels served</w:t>
      </w:r>
      <w:r w:rsidR="00F66121">
        <w:t xml:space="preserve">. </w:t>
      </w:r>
      <w:r w:rsidRPr="00C1785C">
        <w:t>In Section 2, information on 21st CCLC program performance during the 20</w:t>
      </w:r>
      <w:r w:rsidR="00352BCE" w:rsidRPr="00C1785C">
        <w:t>1</w:t>
      </w:r>
      <w:r w:rsidR="00C1785C" w:rsidRPr="00C1785C">
        <w:t>2</w:t>
      </w:r>
      <w:r w:rsidR="00723B47" w:rsidRPr="00C1785C">
        <w:t>-</w:t>
      </w:r>
      <w:r w:rsidR="00FF32A1" w:rsidRPr="00C1785C">
        <w:t>1</w:t>
      </w:r>
      <w:r w:rsidR="00C1785C" w:rsidRPr="00C1785C">
        <w:t>3</w:t>
      </w:r>
      <w:r w:rsidRPr="00C1785C">
        <w:t xml:space="preserve"> reporting period relative to the GPRA indicators. </w:t>
      </w:r>
      <w:bookmarkStart w:id="7" w:name="_Toc248906997"/>
      <w:r w:rsidR="008741E7" w:rsidRPr="00D07AC9">
        <w:rPr>
          <w:highlight w:val="yellow"/>
        </w:rPr>
        <w:br w:type="page"/>
      </w:r>
    </w:p>
    <w:p w:rsidR="00990BF6" w:rsidRPr="000B247A" w:rsidRDefault="00990BF6" w:rsidP="00A50F56">
      <w:pPr>
        <w:pStyle w:val="Heading1"/>
      </w:pPr>
      <w:bookmarkStart w:id="8" w:name="_Toc446063947"/>
      <w:r w:rsidRPr="000B247A">
        <w:lastRenderedPageBreak/>
        <w:t>Section 1</w:t>
      </w:r>
      <w:r w:rsidR="00A92D15" w:rsidRPr="000B247A">
        <w:t>:</w:t>
      </w:r>
      <w:r w:rsidRPr="000B247A">
        <w:t xml:space="preserve"> Grantee and Center Characteristics</w:t>
      </w:r>
      <w:bookmarkEnd w:id="7"/>
      <w:bookmarkEnd w:id="8"/>
    </w:p>
    <w:p w:rsidR="00990BF6" w:rsidRPr="000B247A" w:rsidRDefault="00990BF6">
      <w:pPr>
        <w:rPr>
          <w:b/>
        </w:rPr>
      </w:pPr>
    </w:p>
    <w:p w:rsidR="00B11843" w:rsidRPr="00A50F56" w:rsidRDefault="00B11843" w:rsidP="00A50F56">
      <w:pPr>
        <w:pStyle w:val="Heading2"/>
      </w:pPr>
      <w:bookmarkStart w:id="9" w:name="_Toc248906998"/>
      <w:bookmarkStart w:id="10" w:name="_Toc446063948"/>
      <w:r w:rsidRPr="00A50F56">
        <w:t>Grantee Type</w:t>
      </w:r>
      <w:bookmarkEnd w:id="9"/>
      <w:bookmarkEnd w:id="10"/>
    </w:p>
    <w:p w:rsidR="00434934" w:rsidRPr="000B247A" w:rsidRDefault="00434934" w:rsidP="009E6250"/>
    <w:p w:rsidR="00717EE5" w:rsidRDefault="009E6250" w:rsidP="000D4CAA">
      <w:r w:rsidRPr="000B247A">
        <w:t xml:space="preserve">One of the hallmarks of the 21st CCLC program is that </w:t>
      </w:r>
      <w:r w:rsidR="00A3567C">
        <w:t>many</w:t>
      </w:r>
      <w:r w:rsidRPr="000B247A">
        <w:t xml:space="preserve"> types of entities are eligible to apply for </w:t>
      </w:r>
      <w:r w:rsidR="00F512E6" w:rsidRPr="000B247A">
        <w:t>S</w:t>
      </w:r>
      <w:r w:rsidRPr="000B247A">
        <w:t>tate-administered 21st CCLC grants, including, but not limited to, school districts, charter schools, private schools, community-based organizations, n</w:t>
      </w:r>
      <w:r w:rsidR="00C07F9C" w:rsidRPr="000B247A">
        <w:t>a</w:t>
      </w:r>
      <w:r w:rsidRPr="000B247A">
        <w:t>tionally affiliated nonprofit organizations (e.g., Boys and Girls Clubs, YMCAs, etc.), faith-based organizat</w:t>
      </w:r>
      <w:r w:rsidR="00215A46" w:rsidRPr="000B247A">
        <w:t xml:space="preserve">ions, and for-profit entities. </w:t>
      </w:r>
      <w:r w:rsidRPr="000B247A">
        <w:t xml:space="preserve">These applicants are referred to in this report as </w:t>
      </w:r>
      <w:r w:rsidRPr="000B247A">
        <w:rPr>
          <w:i/>
        </w:rPr>
        <w:t>grantees</w:t>
      </w:r>
      <w:r w:rsidRPr="000B247A">
        <w:t>.</w:t>
      </w:r>
    </w:p>
    <w:p w:rsidR="000D4CAA" w:rsidRPr="000B247A" w:rsidRDefault="000D4CAA" w:rsidP="000D4CAA"/>
    <w:p w:rsidR="000B630C" w:rsidRPr="000B247A" w:rsidRDefault="00A002CB" w:rsidP="000B630C">
      <w:r w:rsidRPr="000B247A">
        <w:t>As shown in</w:t>
      </w:r>
      <w:r w:rsidR="008A367B" w:rsidRPr="000B247A">
        <w:t xml:space="preserve"> Table 1</w:t>
      </w:r>
      <w:r w:rsidR="00A35C8B" w:rsidRPr="000B247A">
        <w:t>, School D</w:t>
      </w:r>
      <w:r w:rsidRPr="000B247A">
        <w:t>istricts</w:t>
      </w:r>
      <w:r w:rsidR="00A35C8B" w:rsidRPr="000B247A">
        <w:t xml:space="preserve"> (SD)</w:t>
      </w:r>
      <w:r w:rsidRPr="000B247A">
        <w:t xml:space="preserve"> </w:t>
      </w:r>
      <w:proofErr w:type="gramStart"/>
      <w:r w:rsidRPr="000B247A">
        <w:t>were</w:t>
      </w:r>
      <w:proofErr w:type="gramEnd"/>
      <w:r w:rsidRPr="000B247A">
        <w:t xml:space="preserve"> the largest </w:t>
      </w:r>
      <w:r w:rsidR="000B0727" w:rsidRPr="000B247A">
        <w:t>grantee organization category</w:t>
      </w:r>
      <w:r w:rsidR="00323641" w:rsidRPr="000B247A">
        <w:t xml:space="preserve"> every year from 200</w:t>
      </w:r>
      <w:r w:rsidR="002A202B" w:rsidRPr="000B247A">
        <w:t>7</w:t>
      </w:r>
      <w:r w:rsidR="000B0727" w:rsidRPr="000B247A">
        <w:t>-0</w:t>
      </w:r>
      <w:r w:rsidR="002A202B" w:rsidRPr="000B247A">
        <w:t>8</w:t>
      </w:r>
      <w:r w:rsidR="00323641" w:rsidRPr="000B247A">
        <w:t xml:space="preserve"> to 20</w:t>
      </w:r>
      <w:r w:rsidR="00215A46" w:rsidRPr="000B247A">
        <w:t>1</w:t>
      </w:r>
      <w:r w:rsidR="002A202B" w:rsidRPr="000B247A">
        <w:t>2</w:t>
      </w:r>
      <w:r w:rsidR="000B0727" w:rsidRPr="000B247A">
        <w:t>-</w:t>
      </w:r>
      <w:r w:rsidR="00A804E4" w:rsidRPr="000B247A">
        <w:t>1</w:t>
      </w:r>
      <w:r w:rsidR="002A202B" w:rsidRPr="000B247A">
        <w:t>3</w:t>
      </w:r>
      <w:r w:rsidR="000B630C" w:rsidRPr="000B247A">
        <w:t xml:space="preserve">, accounting for </w:t>
      </w:r>
      <w:r w:rsidR="002A202B" w:rsidRPr="000B247A">
        <w:t>57</w:t>
      </w:r>
      <w:r w:rsidR="00A804E4" w:rsidRPr="000B247A">
        <w:t xml:space="preserve"> </w:t>
      </w:r>
      <w:r w:rsidR="000B630C" w:rsidRPr="000B247A">
        <w:t>percent</w:t>
      </w:r>
      <w:r w:rsidR="007B460B" w:rsidRPr="000B247A">
        <w:t xml:space="preserve"> or more of</w:t>
      </w:r>
      <w:r w:rsidR="00323641" w:rsidRPr="000B247A">
        <w:t xml:space="preserve"> all </w:t>
      </w:r>
      <w:r w:rsidR="00A35C8B" w:rsidRPr="000B247A">
        <w:t>grantees each year. Community Based O</w:t>
      </w:r>
      <w:r w:rsidR="00323641" w:rsidRPr="000B247A">
        <w:t>rganizations</w:t>
      </w:r>
      <w:r w:rsidR="00A35C8B" w:rsidRPr="000B247A">
        <w:t xml:space="preserve"> (CBO)</w:t>
      </w:r>
      <w:r w:rsidR="00323641" w:rsidRPr="000B247A">
        <w:t xml:space="preserve"> </w:t>
      </w:r>
      <w:proofErr w:type="gramStart"/>
      <w:r w:rsidR="00323641" w:rsidRPr="000B247A">
        <w:t>were</w:t>
      </w:r>
      <w:proofErr w:type="gramEnd"/>
      <w:r w:rsidR="00323641" w:rsidRPr="000B247A">
        <w:t xml:space="preserve"> the second largest grantee organization gr</w:t>
      </w:r>
      <w:r w:rsidR="000B630C" w:rsidRPr="000B247A">
        <w:t xml:space="preserve">oup accounting for more than </w:t>
      </w:r>
      <w:r w:rsidR="002D791B">
        <w:t>15</w:t>
      </w:r>
      <w:r w:rsidR="000B630C" w:rsidRPr="000B247A">
        <w:t xml:space="preserve"> percent</w:t>
      </w:r>
      <w:r w:rsidR="00323641" w:rsidRPr="000B247A">
        <w:t xml:space="preserve"> </w:t>
      </w:r>
      <w:r w:rsidR="00A35C8B" w:rsidRPr="000B247A">
        <w:t xml:space="preserve">of grantees </w:t>
      </w:r>
      <w:r w:rsidR="00323641" w:rsidRPr="000B247A">
        <w:t>each year.</w:t>
      </w:r>
      <w:r w:rsidR="000B630C" w:rsidRPr="000B247A">
        <w:t xml:space="preserve"> It shoul</w:t>
      </w:r>
      <w:r w:rsidR="00723B47" w:rsidRPr="000B247A">
        <w:t xml:space="preserve">d also be noted that Nationally </w:t>
      </w:r>
      <w:r w:rsidR="000B630C" w:rsidRPr="000B247A">
        <w:t xml:space="preserve">Affiliated Non-Profit Agencies (NPAs) like Boys and Girls Clubs and YMCAs/YWCAs accounted for </w:t>
      </w:r>
      <w:r w:rsidR="002D791B">
        <w:t>nearly 5</w:t>
      </w:r>
      <w:r w:rsidR="000B630C" w:rsidRPr="000B247A">
        <w:t xml:space="preserve"> percent of grantees each year. Taken together, CBO</w:t>
      </w:r>
      <w:r w:rsidR="002A202B" w:rsidRPr="000B247A">
        <w:t>s and NPAs accounted for 2</w:t>
      </w:r>
      <w:r w:rsidR="002D791B">
        <w:t>0 to 25</w:t>
      </w:r>
      <w:r w:rsidR="000B630C" w:rsidRPr="000B247A">
        <w:t xml:space="preserve"> percent of all grantees each year. </w:t>
      </w:r>
    </w:p>
    <w:p w:rsidR="00A002CB" w:rsidRPr="00D07AC9" w:rsidRDefault="00A002CB" w:rsidP="009E6250">
      <w:pPr>
        <w:rPr>
          <w:highlight w:val="yellow"/>
        </w:rPr>
      </w:pPr>
    </w:p>
    <w:p w:rsidR="000B630C" w:rsidRDefault="00A002CB" w:rsidP="000B630C">
      <w:pPr>
        <w:pStyle w:val="Caption"/>
        <w:spacing w:after="120"/>
      </w:pPr>
      <w:bookmarkStart w:id="11" w:name="_Ref248831849"/>
      <w:proofErr w:type="gramStart"/>
      <w:r w:rsidRPr="002A202B">
        <w:t>Table</w:t>
      </w:r>
      <w:bookmarkEnd w:id="11"/>
      <w:r w:rsidR="008741E7" w:rsidRPr="002A202B">
        <w:t xml:space="preserve"> 1</w:t>
      </w:r>
      <w:r w:rsidR="004C667D" w:rsidRPr="002A202B">
        <w:t>.</w:t>
      </w:r>
      <w:proofErr w:type="gramEnd"/>
      <w:r w:rsidRPr="002A202B">
        <w:t xml:space="preserve"> Grantees by Organization Type</w:t>
      </w:r>
    </w:p>
    <w:tbl>
      <w:tblPr>
        <w:tblW w:w="11771" w:type="dxa"/>
        <w:tblInd w:w="-1133" w:type="dxa"/>
        <w:tblLayout w:type="fixed"/>
        <w:tblLook w:val="04A0" w:firstRow="1" w:lastRow="0" w:firstColumn="1" w:lastColumn="0" w:noHBand="0" w:noVBand="1"/>
      </w:tblPr>
      <w:tblGrid>
        <w:gridCol w:w="1106"/>
        <w:gridCol w:w="810"/>
        <w:gridCol w:w="810"/>
        <w:gridCol w:w="870"/>
        <w:gridCol w:w="750"/>
        <w:gridCol w:w="720"/>
        <w:gridCol w:w="720"/>
        <w:gridCol w:w="990"/>
        <w:gridCol w:w="990"/>
        <w:gridCol w:w="990"/>
        <w:gridCol w:w="990"/>
        <w:gridCol w:w="990"/>
        <w:gridCol w:w="1035"/>
      </w:tblGrid>
      <w:tr w:rsidR="0081663D" w:rsidTr="0081663D">
        <w:trPr>
          <w:trHeight w:val="549"/>
        </w:trPr>
        <w:tc>
          <w:tcPr>
            <w:tcW w:w="1106" w:type="dxa"/>
            <w:tcBorders>
              <w:top w:val="nil"/>
              <w:left w:val="single" w:sz="8" w:space="0" w:color="auto"/>
              <w:bottom w:val="single" w:sz="8" w:space="0" w:color="auto"/>
              <w:right w:val="single" w:sz="8" w:space="0" w:color="auto"/>
            </w:tcBorders>
            <w:shd w:val="clear" w:color="000000" w:fill="595959"/>
            <w:noWrap/>
            <w:vAlign w:val="center"/>
            <w:hideMark/>
          </w:tcPr>
          <w:p w:rsidR="00447439" w:rsidRPr="002A202B" w:rsidRDefault="00447439" w:rsidP="0047420F">
            <w:pPr>
              <w:jc w:val="center"/>
              <w:rPr>
                <w:rFonts w:asciiTheme="minorHAnsi" w:hAnsiTheme="minorHAnsi" w:cs="Arial"/>
                <w:b/>
                <w:color w:val="FFFFFF" w:themeColor="background1"/>
                <w:sz w:val="20"/>
                <w:szCs w:val="20"/>
              </w:rPr>
            </w:pPr>
            <w:r w:rsidRPr="002A202B">
              <w:rPr>
                <w:rFonts w:asciiTheme="minorHAnsi" w:hAnsiTheme="minorHAnsi" w:cs="Arial"/>
                <w:b/>
                <w:bCs/>
                <w:color w:val="FFFFFF" w:themeColor="background1"/>
                <w:sz w:val="20"/>
                <w:szCs w:val="20"/>
              </w:rPr>
              <w:t>Grantee Type</w:t>
            </w:r>
            <w:r w:rsidRPr="002A202B">
              <w:rPr>
                <w:rStyle w:val="FootnoteReference"/>
                <w:rFonts w:asciiTheme="minorHAnsi" w:hAnsiTheme="minorHAnsi" w:cs="Arial"/>
                <w:b/>
                <w:bCs/>
                <w:color w:val="FFFFFF" w:themeColor="background1"/>
                <w:sz w:val="20"/>
                <w:szCs w:val="20"/>
              </w:rPr>
              <w:footnoteReference w:id="1"/>
            </w:r>
          </w:p>
        </w:tc>
        <w:tc>
          <w:tcPr>
            <w:tcW w:w="810" w:type="dxa"/>
            <w:tcBorders>
              <w:top w:val="single" w:sz="4" w:space="0" w:color="auto"/>
              <w:left w:val="nil"/>
              <w:bottom w:val="single" w:sz="8" w:space="0" w:color="auto"/>
              <w:right w:val="single" w:sz="8" w:space="0" w:color="auto"/>
            </w:tcBorders>
            <w:shd w:val="clear" w:color="000000" w:fill="BFBFBF"/>
            <w:vAlign w:val="center"/>
            <w:hideMark/>
          </w:tcPr>
          <w:p w:rsidR="00447439" w:rsidRDefault="00447439">
            <w:pPr>
              <w:jc w:val="center"/>
              <w:rPr>
                <w:rFonts w:ascii="Calibri" w:hAnsi="Calibri"/>
                <w:b/>
                <w:bCs/>
                <w:color w:val="000000"/>
                <w:sz w:val="20"/>
                <w:szCs w:val="20"/>
              </w:rPr>
            </w:pPr>
            <w:r>
              <w:rPr>
                <w:rFonts w:ascii="Calibri" w:hAnsi="Calibri"/>
                <w:b/>
                <w:bCs/>
                <w:color w:val="000000"/>
                <w:sz w:val="20"/>
                <w:szCs w:val="20"/>
              </w:rPr>
              <w:t>No. in 2007-08</w:t>
            </w:r>
          </w:p>
        </w:tc>
        <w:tc>
          <w:tcPr>
            <w:tcW w:w="810" w:type="dxa"/>
            <w:tcBorders>
              <w:top w:val="single" w:sz="4" w:space="0" w:color="auto"/>
              <w:left w:val="nil"/>
              <w:bottom w:val="single" w:sz="8" w:space="0" w:color="auto"/>
              <w:right w:val="single" w:sz="8" w:space="0" w:color="auto"/>
            </w:tcBorders>
            <w:shd w:val="clear" w:color="000000" w:fill="BFBFBF"/>
            <w:vAlign w:val="center"/>
            <w:hideMark/>
          </w:tcPr>
          <w:p w:rsidR="00447439" w:rsidRDefault="00447439">
            <w:pPr>
              <w:jc w:val="center"/>
              <w:rPr>
                <w:rFonts w:ascii="Calibri" w:hAnsi="Calibri"/>
                <w:b/>
                <w:bCs/>
                <w:color w:val="000000"/>
                <w:sz w:val="20"/>
                <w:szCs w:val="20"/>
              </w:rPr>
            </w:pPr>
            <w:r>
              <w:rPr>
                <w:rFonts w:ascii="Calibri" w:hAnsi="Calibri"/>
                <w:b/>
                <w:bCs/>
                <w:color w:val="000000"/>
                <w:sz w:val="20"/>
                <w:szCs w:val="20"/>
              </w:rPr>
              <w:t>No. in 2008-09</w:t>
            </w:r>
          </w:p>
        </w:tc>
        <w:tc>
          <w:tcPr>
            <w:tcW w:w="870" w:type="dxa"/>
            <w:tcBorders>
              <w:top w:val="single" w:sz="4" w:space="0" w:color="auto"/>
              <w:left w:val="nil"/>
              <w:bottom w:val="single" w:sz="8" w:space="0" w:color="auto"/>
              <w:right w:val="single" w:sz="8" w:space="0" w:color="auto"/>
            </w:tcBorders>
            <w:shd w:val="clear" w:color="000000" w:fill="BFBFBF"/>
            <w:vAlign w:val="center"/>
            <w:hideMark/>
          </w:tcPr>
          <w:p w:rsidR="00447439" w:rsidRDefault="00447439">
            <w:pPr>
              <w:jc w:val="center"/>
              <w:rPr>
                <w:rFonts w:ascii="Calibri" w:hAnsi="Calibri"/>
                <w:b/>
                <w:bCs/>
                <w:color w:val="000000"/>
                <w:sz w:val="20"/>
                <w:szCs w:val="20"/>
              </w:rPr>
            </w:pPr>
            <w:r>
              <w:rPr>
                <w:rFonts w:ascii="Calibri" w:hAnsi="Calibri"/>
                <w:b/>
                <w:bCs/>
                <w:color w:val="000000"/>
                <w:sz w:val="20"/>
                <w:szCs w:val="20"/>
              </w:rPr>
              <w:t>No. in 2009-10</w:t>
            </w:r>
          </w:p>
        </w:tc>
        <w:tc>
          <w:tcPr>
            <w:tcW w:w="750" w:type="dxa"/>
            <w:tcBorders>
              <w:top w:val="single" w:sz="4" w:space="0" w:color="auto"/>
              <w:left w:val="nil"/>
              <w:bottom w:val="single" w:sz="8" w:space="0" w:color="auto"/>
              <w:right w:val="single" w:sz="8" w:space="0" w:color="auto"/>
            </w:tcBorders>
            <w:shd w:val="clear" w:color="000000" w:fill="BFBFBF"/>
            <w:vAlign w:val="center"/>
            <w:hideMark/>
          </w:tcPr>
          <w:p w:rsidR="00447439" w:rsidRDefault="00447439">
            <w:pPr>
              <w:jc w:val="center"/>
              <w:rPr>
                <w:rFonts w:ascii="Calibri" w:hAnsi="Calibri"/>
                <w:b/>
                <w:bCs/>
                <w:color w:val="000000"/>
                <w:sz w:val="20"/>
                <w:szCs w:val="20"/>
              </w:rPr>
            </w:pPr>
            <w:r>
              <w:rPr>
                <w:rFonts w:ascii="Calibri" w:hAnsi="Calibri"/>
                <w:b/>
                <w:bCs/>
                <w:color w:val="000000"/>
                <w:sz w:val="20"/>
                <w:szCs w:val="20"/>
              </w:rPr>
              <w:t>No. in 2010-11</w:t>
            </w:r>
          </w:p>
        </w:tc>
        <w:tc>
          <w:tcPr>
            <w:tcW w:w="720" w:type="dxa"/>
            <w:tcBorders>
              <w:top w:val="single" w:sz="4" w:space="0" w:color="auto"/>
              <w:left w:val="nil"/>
              <w:bottom w:val="single" w:sz="8" w:space="0" w:color="auto"/>
              <w:right w:val="single" w:sz="8" w:space="0" w:color="auto"/>
            </w:tcBorders>
            <w:shd w:val="clear" w:color="000000" w:fill="BFBFBF"/>
            <w:vAlign w:val="center"/>
            <w:hideMark/>
          </w:tcPr>
          <w:p w:rsidR="00447439" w:rsidRDefault="00447439">
            <w:pPr>
              <w:jc w:val="center"/>
              <w:rPr>
                <w:rFonts w:ascii="Calibri" w:hAnsi="Calibri"/>
                <w:b/>
                <w:bCs/>
                <w:color w:val="000000"/>
                <w:sz w:val="20"/>
                <w:szCs w:val="20"/>
              </w:rPr>
            </w:pPr>
            <w:r>
              <w:rPr>
                <w:rFonts w:ascii="Calibri" w:hAnsi="Calibri"/>
                <w:b/>
                <w:bCs/>
                <w:color w:val="000000"/>
                <w:sz w:val="20"/>
                <w:szCs w:val="20"/>
              </w:rPr>
              <w:t>No. in 2011-12</w:t>
            </w:r>
          </w:p>
        </w:tc>
        <w:tc>
          <w:tcPr>
            <w:tcW w:w="720" w:type="dxa"/>
            <w:tcBorders>
              <w:top w:val="single" w:sz="4" w:space="0" w:color="auto"/>
              <w:left w:val="nil"/>
              <w:bottom w:val="single" w:sz="8" w:space="0" w:color="auto"/>
              <w:right w:val="nil"/>
            </w:tcBorders>
            <w:shd w:val="clear" w:color="000000" w:fill="BFBFBF"/>
            <w:vAlign w:val="center"/>
            <w:hideMark/>
          </w:tcPr>
          <w:p w:rsidR="00447439" w:rsidRDefault="00447439">
            <w:pPr>
              <w:jc w:val="center"/>
              <w:rPr>
                <w:rFonts w:ascii="Calibri" w:hAnsi="Calibri"/>
                <w:b/>
                <w:bCs/>
                <w:color w:val="000000"/>
                <w:sz w:val="20"/>
                <w:szCs w:val="20"/>
              </w:rPr>
            </w:pPr>
            <w:r>
              <w:rPr>
                <w:rFonts w:ascii="Calibri" w:hAnsi="Calibri"/>
                <w:b/>
                <w:bCs/>
                <w:color w:val="000000"/>
                <w:sz w:val="20"/>
                <w:szCs w:val="20"/>
              </w:rPr>
              <w:t>No. in 2012-13</w:t>
            </w:r>
          </w:p>
        </w:tc>
        <w:tc>
          <w:tcPr>
            <w:tcW w:w="990" w:type="dxa"/>
            <w:tcBorders>
              <w:top w:val="single" w:sz="4" w:space="0" w:color="auto"/>
              <w:left w:val="single" w:sz="12" w:space="0" w:color="auto"/>
              <w:bottom w:val="single" w:sz="8" w:space="0" w:color="auto"/>
              <w:right w:val="single" w:sz="8" w:space="0" w:color="auto"/>
            </w:tcBorders>
            <w:shd w:val="clear" w:color="000000" w:fill="BFBFBF"/>
            <w:vAlign w:val="center"/>
            <w:hideMark/>
          </w:tcPr>
          <w:p w:rsidR="00447439" w:rsidRDefault="00447439">
            <w:pPr>
              <w:jc w:val="center"/>
              <w:rPr>
                <w:rFonts w:ascii="Calibri" w:hAnsi="Calibri"/>
                <w:b/>
                <w:bCs/>
                <w:color w:val="000000"/>
                <w:sz w:val="20"/>
                <w:szCs w:val="20"/>
              </w:rPr>
            </w:pPr>
            <w:r>
              <w:rPr>
                <w:rFonts w:ascii="Calibri" w:hAnsi="Calibri"/>
                <w:b/>
                <w:bCs/>
                <w:color w:val="000000"/>
                <w:sz w:val="20"/>
                <w:szCs w:val="20"/>
              </w:rPr>
              <w:t>Percent in 2007-08</w:t>
            </w:r>
          </w:p>
        </w:tc>
        <w:tc>
          <w:tcPr>
            <w:tcW w:w="990" w:type="dxa"/>
            <w:tcBorders>
              <w:top w:val="single" w:sz="4" w:space="0" w:color="auto"/>
              <w:left w:val="nil"/>
              <w:bottom w:val="single" w:sz="8" w:space="0" w:color="auto"/>
              <w:right w:val="single" w:sz="8" w:space="0" w:color="auto"/>
            </w:tcBorders>
            <w:shd w:val="clear" w:color="000000" w:fill="BFBFBF"/>
            <w:vAlign w:val="center"/>
            <w:hideMark/>
          </w:tcPr>
          <w:p w:rsidR="00447439" w:rsidRDefault="00447439">
            <w:pPr>
              <w:jc w:val="center"/>
              <w:rPr>
                <w:rFonts w:ascii="Calibri" w:hAnsi="Calibri"/>
                <w:b/>
                <w:bCs/>
                <w:color w:val="000000"/>
                <w:sz w:val="20"/>
                <w:szCs w:val="20"/>
              </w:rPr>
            </w:pPr>
            <w:r>
              <w:rPr>
                <w:rFonts w:ascii="Calibri" w:hAnsi="Calibri"/>
                <w:b/>
                <w:bCs/>
                <w:color w:val="000000"/>
                <w:sz w:val="20"/>
                <w:szCs w:val="20"/>
              </w:rPr>
              <w:t>Percent in 2008-09</w:t>
            </w:r>
          </w:p>
        </w:tc>
        <w:tc>
          <w:tcPr>
            <w:tcW w:w="990" w:type="dxa"/>
            <w:tcBorders>
              <w:top w:val="single" w:sz="4" w:space="0" w:color="auto"/>
              <w:left w:val="nil"/>
              <w:bottom w:val="single" w:sz="8" w:space="0" w:color="auto"/>
              <w:right w:val="single" w:sz="8" w:space="0" w:color="auto"/>
            </w:tcBorders>
            <w:shd w:val="clear" w:color="000000" w:fill="BFBFBF"/>
            <w:vAlign w:val="center"/>
            <w:hideMark/>
          </w:tcPr>
          <w:p w:rsidR="00447439" w:rsidRDefault="00447439">
            <w:pPr>
              <w:jc w:val="center"/>
              <w:rPr>
                <w:rFonts w:ascii="Calibri" w:hAnsi="Calibri"/>
                <w:b/>
                <w:bCs/>
                <w:color w:val="000000"/>
                <w:sz w:val="20"/>
                <w:szCs w:val="20"/>
              </w:rPr>
            </w:pPr>
            <w:r>
              <w:rPr>
                <w:rFonts w:ascii="Calibri" w:hAnsi="Calibri"/>
                <w:b/>
                <w:bCs/>
                <w:color w:val="000000"/>
                <w:sz w:val="20"/>
                <w:szCs w:val="20"/>
              </w:rPr>
              <w:t>Percent in 2009-10</w:t>
            </w:r>
          </w:p>
        </w:tc>
        <w:tc>
          <w:tcPr>
            <w:tcW w:w="990" w:type="dxa"/>
            <w:tcBorders>
              <w:top w:val="single" w:sz="4" w:space="0" w:color="auto"/>
              <w:left w:val="nil"/>
              <w:bottom w:val="single" w:sz="8" w:space="0" w:color="auto"/>
              <w:right w:val="single" w:sz="8" w:space="0" w:color="auto"/>
            </w:tcBorders>
            <w:shd w:val="clear" w:color="000000" w:fill="BFBFBF"/>
            <w:vAlign w:val="center"/>
            <w:hideMark/>
          </w:tcPr>
          <w:p w:rsidR="00447439" w:rsidRDefault="00447439">
            <w:pPr>
              <w:jc w:val="center"/>
              <w:rPr>
                <w:rFonts w:ascii="Calibri" w:hAnsi="Calibri"/>
                <w:b/>
                <w:bCs/>
                <w:color w:val="000000"/>
                <w:sz w:val="20"/>
                <w:szCs w:val="20"/>
              </w:rPr>
            </w:pPr>
            <w:r>
              <w:rPr>
                <w:rFonts w:ascii="Calibri" w:hAnsi="Calibri"/>
                <w:b/>
                <w:bCs/>
                <w:color w:val="000000"/>
                <w:sz w:val="20"/>
                <w:szCs w:val="20"/>
              </w:rPr>
              <w:t>Percent in 2010-11</w:t>
            </w:r>
          </w:p>
        </w:tc>
        <w:tc>
          <w:tcPr>
            <w:tcW w:w="990" w:type="dxa"/>
            <w:tcBorders>
              <w:top w:val="single" w:sz="4" w:space="0" w:color="auto"/>
              <w:left w:val="nil"/>
              <w:bottom w:val="single" w:sz="8" w:space="0" w:color="auto"/>
              <w:right w:val="single" w:sz="8" w:space="0" w:color="auto"/>
            </w:tcBorders>
            <w:shd w:val="clear" w:color="000000" w:fill="BFBFBF"/>
            <w:vAlign w:val="center"/>
            <w:hideMark/>
          </w:tcPr>
          <w:p w:rsidR="00447439" w:rsidRDefault="00447439">
            <w:pPr>
              <w:jc w:val="center"/>
              <w:rPr>
                <w:rFonts w:ascii="Calibri" w:hAnsi="Calibri"/>
                <w:b/>
                <w:bCs/>
                <w:color w:val="000000"/>
                <w:sz w:val="20"/>
                <w:szCs w:val="20"/>
              </w:rPr>
            </w:pPr>
            <w:r>
              <w:rPr>
                <w:rFonts w:ascii="Calibri" w:hAnsi="Calibri"/>
                <w:b/>
                <w:bCs/>
                <w:color w:val="000000"/>
                <w:sz w:val="20"/>
                <w:szCs w:val="20"/>
              </w:rPr>
              <w:t>Percent in 2011-12</w:t>
            </w:r>
          </w:p>
        </w:tc>
        <w:tc>
          <w:tcPr>
            <w:tcW w:w="1035" w:type="dxa"/>
            <w:tcBorders>
              <w:top w:val="single" w:sz="4" w:space="0" w:color="auto"/>
              <w:left w:val="nil"/>
              <w:bottom w:val="single" w:sz="8" w:space="0" w:color="auto"/>
              <w:right w:val="single" w:sz="8" w:space="0" w:color="auto"/>
            </w:tcBorders>
            <w:shd w:val="clear" w:color="000000" w:fill="BFBFBF"/>
            <w:vAlign w:val="center"/>
            <w:hideMark/>
          </w:tcPr>
          <w:p w:rsidR="00447439" w:rsidRDefault="00447439">
            <w:pPr>
              <w:jc w:val="center"/>
              <w:rPr>
                <w:rFonts w:ascii="Calibri" w:hAnsi="Calibri"/>
                <w:b/>
                <w:bCs/>
                <w:color w:val="000000"/>
                <w:sz w:val="20"/>
                <w:szCs w:val="20"/>
              </w:rPr>
            </w:pPr>
            <w:r>
              <w:rPr>
                <w:rFonts w:ascii="Calibri" w:hAnsi="Calibri"/>
                <w:b/>
                <w:bCs/>
                <w:color w:val="000000"/>
                <w:sz w:val="20"/>
                <w:szCs w:val="20"/>
              </w:rPr>
              <w:t>Percent in 2012-13</w:t>
            </w:r>
          </w:p>
        </w:tc>
      </w:tr>
      <w:tr w:rsidR="0081663D" w:rsidTr="0081663D">
        <w:trPr>
          <w:trHeight w:val="329"/>
        </w:trPr>
        <w:tc>
          <w:tcPr>
            <w:tcW w:w="1106" w:type="dxa"/>
            <w:tcBorders>
              <w:top w:val="nil"/>
              <w:left w:val="single" w:sz="8" w:space="0" w:color="auto"/>
              <w:bottom w:val="single" w:sz="8" w:space="0" w:color="auto"/>
              <w:right w:val="single" w:sz="8" w:space="0" w:color="auto"/>
            </w:tcBorders>
            <w:shd w:val="clear" w:color="auto" w:fill="auto"/>
            <w:noWrap/>
            <w:vAlign w:val="bottom"/>
            <w:hideMark/>
          </w:tcPr>
          <w:p w:rsidR="00447439" w:rsidRPr="002A202B" w:rsidRDefault="00447439" w:rsidP="0047420F">
            <w:pPr>
              <w:rPr>
                <w:rFonts w:asciiTheme="minorHAnsi" w:hAnsiTheme="minorHAnsi" w:cs="Arial"/>
                <w:b/>
                <w:bCs/>
                <w:sz w:val="20"/>
                <w:szCs w:val="20"/>
              </w:rPr>
            </w:pPr>
          </w:p>
        </w:tc>
        <w:tc>
          <w:tcPr>
            <w:tcW w:w="81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1</w:t>
            </w:r>
          </w:p>
        </w:tc>
        <w:tc>
          <w:tcPr>
            <w:tcW w:w="81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5</w:t>
            </w:r>
          </w:p>
        </w:tc>
        <w:tc>
          <w:tcPr>
            <w:tcW w:w="87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4</w:t>
            </w:r>
          </w:p>
        </w:tc>
        <w:tc>
          <w:tcPr>
            <w:tcW w:w="75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60</w:t>
            </w:r>
          </w:p>
        </w:tc>
        <w:tc>
          <w:tcPr>
            <w:tcW w:w="72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s="Calibri"/>
                <w:color w:val="000000"/>
                <w:sz w:val="20"/>
                <w:szCs w:val="20"/>
              </w:rPr>
              <w:t>142</w:t>
            </w:r>
          </w:p>
        </w:tc>
        <w:tc>
          <w:tcPr>
            <w:tcW w:w="72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207</w:t>
            </w:r>
          </w:p>
        </w:tc>
        <w:tc>
          <w:tcPr>
            <w:tcW w:w="99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0.00%</w:t>
            </w:r>
          </w:p>
        </w:tc>
        <w:tc>
          <w:tcPr>
            <w:tcW w:w="99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0.20%</w:t>
            </w:r>
          </w:p>
        </w:tc>
        <w:tc>
          <w:tcPr>
            <w:tcW w:w="99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0.10%</w:t>
            </w:r>
          </w:p>
        </w:tc>
        <w:tc>
          <w:tcPr>
            <w:tcW w:w="99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1.50%</w:t>
            </w:r>
          </w:p>
        </w:tc>
        <w:tc>
          <w:tcPr>
            <w:tcW w:w="99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s="Calibri"/>
                <w:color w:val="000000"/>
                <w:sz w:val="20"/>
                <w:szCs w:val="20"/>
              </w:rPr>
              <w:t>3.40%</w:t>
            </w:r>
          </w:p>
        </w:tc>
        <w:tc>
          <w:tcPr>
            <w:tcW w:w="1035"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s="Calibri"/>
                <w:color w:val="000000"/>
                <w:sz w:val="20"/>
                <w:szCs w:val="20"/>
              </w:rPr>
              <w:t>5.10%</w:t>
            </w:r>
          </w:p>
        </w:tc>
      </w:tr>
      <w:tr w:rsidR="0081663D" w:rsidTr="0081663D">
        <w:trPr>
          <w:trHeight w:val="329"/>
        </w:trPr>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447439" w:rsidRDefault="00447439">
            <w:pPr>
              <w:rPr>
                <w:rFonts w:ascii="Calibri" w:hAnsi="Calibri"/>
                <w:color w:val="000000"/>
                <w:sz w:val="20"/>
                <w:szCs w:val="20"/>
              </w:rPr>
            </w:pPr>
            <w:r>
              <w:rPr>
                <w:rFonts w:ascii="Calibri" w:hAnsi="Calibri"/>
                <w:color w:val="000000"/>
                <w:sz w:val="20"/>
                <w:szCs w:val="20"/>
              </w:rPr>
              <w:t>CBO</w:t>
            </w:r>
          </w:p>
        </w:tc>
        <w:tc>
          <w:tcPr>
            <w:tcW w:w="81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496</w:t>
            </w:r>
          </w:p>
        </w:tc>
        <w:tc>
          <w:tcPr>
            <w:tcW w:w="81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545</w:t>
            </w:r>
          </w:p>
        </w:tc>
        <w:tc>
          <w:tcPr>
            <w:tcW w:w="87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687</w:t>
            </w:r>
          </w:p>
        </w:tc>
        <w:tc>
          <w:tcPr>
            <w:tcW w:w="75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802</w:t>
            </w:r>
          </w:p>
        </w:tc>
        <w:tc>
          <w:tcPr>
            <w:tcW w:w="72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s="Calibri"/>
                <w:color w:val="000000"/>
                <w:sz w:val="20"/>
                <w:szCs w:val="20"/>
              </w:rPr>
              <w:t>774</w:t>
            </w:r>
          </w:p>
        </w:tc>
        <w:tc>
          <w:tcPr>
            <w:tcW w:w="72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750</w:t>
            </w:r>
          </w:p>
        </w:tc>
        <w:tc>
          <w:tcPr>
            <w:tcW w:w="99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15.30%</w:t>
            </w:r>
          </w:p>
        </w:tc>
        <w:tc>
          <w:tcPr>
            <w:tcW w:w="99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16.50%</w:t>
            </w:r>
          </w:p>
        </w:tc>
        <w:tc>
          <w:tcPr>
            <w:tcW w:w="99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19.00%</w:t>
            </w:r>
          </w:p>
        </w:tc>
        <w:tc>
          <w:tcPr>
            <w:tcW w:w="99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19.60%</w:t>
            </w:r>
          </w:p>
        </w:tc>
        <w:tc>
          <w:tcPr>
            <w:tcW w:w="99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s="Calibri"/>
                <w:color w:val="000000"/>
                <w:sz w:val="20"/>
                <w:szCs w:val="20"/>
              </w:rPr>
              <w:t>18.60%</w:t>
            </w:r>
          </w:p>
        </w:tc>
        <w:tc>
          <w:tcPr>
            <w:tcW w:w="1035"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s="Calibri"/>
                <w:color w:val="000000"/>
                <w:sz w:val="20"/>
                <w:szCs w:val="20"/>
              </w:rPr>
              <w:t>18.40%</w:t>
            </w:r>
          </w:p>
        </w:tc>
      </w:tr>
      <w:tr w:rsidR="0081663D" w:rsidTr="0081663D">
        <w:trPr>
          <w:trHeight w:val="329"/>
        </w:trPr>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447439" w:rsidRDefault="00447439">
            <w:pPr>
              <w:rPr>
                <w:rFonts w:ascii="Calibri" w:hAnsi="Calibri"/>
                <w:color w:val="000000"/>
                <w:sz w:val="20"/>
                <w:szCs w:val="20"/>
              </w:rPr>
            </w:pPr>
            <w:r>
              <w:rPr>
                <w:rFonts w:ascii="Calibri" w:hAnsi="Calibri"/>
                <w:color w:val="000000"/>
                <w:sz w:val="20"/>
                <w:szCs w:val="20"/>
              </w:rPr>
              <w:t>COU</w:t>
            </w:r>
          </w:p>
        </w:tc>
        <w:tc>
          <w:tcPr>
            <w:tcW w:w="81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50</w:t>
            </w:r>
          </w:p>
        </w:tc>
        <w:tc>
          <w:tcPr>
            <w:tcW w:w="81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55</w:t>
            </w:r>
          </w:p>
        </w:tc>
        <w:tc>
          <w:tcPr>
            <w:tcW w:w="87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60</w:t>
            </w:r>
          </w:p>
        </w:tc>
        <w:tc>
          <w:tcPr>
            <w:tcW w:w="75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71</w:t>
            </w:r>
          </w:p>
        </w:tc>
        <w:tc>
          <w:tcPr>
            <w:tcW w:w="72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s="Calibri"/>
                <w:color w:val="000000"/>
                <w:sz w:val="20"/>
                <w:szCs w:val="20"/>
              </w:rPr>
              <w:t>67</w:t>
            </w:r>
          </w:p>
        </w:tc>
        <w:tc>
          <w:tcPr>
            <w:tcW w:w="72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71</w:t>
            </w:r>
          </w:p>
        </w:tc>
        <w:tc>
          <w:tcPr>
            <w:tcW w:w="99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1.50%</w:t>
            </w:r>
          </w:p>
        </w:tc>
        <w:tc>
          <w:tcPr>
            <w:tcW w:w="99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1.70%</w:t>
            </w:r>
          </w:p>
        </w:tc>
        <w:tc>
          <w:tcPr>
            <w:tcW w:w="99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1.70%</w:t>
            </w:r>
          </w:p>
        </w:tc>
        <w:tc>
          <w:tcPr>
            <w:tcW w:w="99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1.70%</w:t>
            </w:r>
          </w:p>
        </w:tc>
        <w:tc>
          <w:tcPr>
            <w:tcW w:w="99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s="Calibri"/>
                <w:color w:val="000000"/>
                <w:sz w:val="20"/>
                <w:szCs w:val="20"/>
              </w:rPr>
              <w:t>1.60%</w:t>
            </w:r>
          </w:p>
        </w:tc>
        <w:tc>
          <w:tcPr>
            <w:tcW w:w="1035"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s="Calibri"/>
                <w:color w:val="000000"/>
                <w:sz w:val="20"/>
                <w:szCs w:val="20"/>
              </w:rPr>
              <w:t>1.70%</w:t>
            </w:r>
          </w:p>
        </w:tc>
      </w:tr>
      <w:tr w:rsidR="0081663D" w:rsidTr="0081663D">
        <w:trPr>
          <w:trHeight w:val="329"/>
        </w:trPr>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447439" w:rsidRDefault="00447439">
            <w:pPr>
              <w:rPr>
                <w:rFonts w:ascii="Calibri" w:hAnsi="Calibri"/>
                <w:color w:val="000000"/>
                <w:sz w:val="20"/>
                <w:szCs w:val="20"/>
              </w:rPr>
            </w:pPr>
            <w:r>
              <w:rPr>
                <w:rFonts w:ascii="Calibri" w:hAnsi="Calibri"/>
                <w:color w:val="000000"/>
                <w:sz w:val="20"/>
                <w:szCs w:val="20"/>
              </w:rPr>
              <w:t>CS</w:t>
            </w:r>
          </w:p>
        </w:tc>
        <w:tc>
          <w:tcPr>
            <w:tcW w:w="81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81</w:t>
            </w:r>
          </w:p>
        </w:tc>
        <w:tc>
          <w:tcPr>
            <w:tcW w:w="81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85</w:t>
            </w:r>
          </w:p>
        </w:tc>
        <w:tc>
          <w:tcPr>
            <w:tcW w:w="87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102</w:t>
            </w:r>
          </w:p>
        </w:tc>
        <w:tc>
          <w:tcPr>
            <w:tcW w:w="75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113</w:t>
            </w:r>
          </w:p>
        </w:tc>
        <w:tc>
          <w:tcPr>
            <w:tcW w:w="72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s="Calibri"/>
                <w:color w:val="000000"/>
                <w:sz w:val="20"/>
                <w:szCs w:val="20"/>
              </w:rPr>
              <w:t>104</w:t>
            </w:r>
          </w:p>
        </w:tc>
        <w:tc>
          <w:tcPr>
            <w:tcW w:w="72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115</w:t>
            </w:r>
          </w:p>
        </w:tc>
        <w:tc>
          <w:tcPr>
            <w:tcW w:w="99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2.50%</w:t>
            </w:r>
          </w:p>
        </w:tc>
        <w:tc>
          <w:tcPr>
            <w:tcW w:w="99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2.60%</w:t>
            </w:r>
          </w:p>
        </w:tc>
        <w:tc>
          <w:tcPr>
            <w:tcW w:w="99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2.80%</w:t>
            </w:r>
          </w:p>
        </w:tc>
        <w:tc>
          <w:tcPr>
            <w:tcW w:w="99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2.80%</w:t>
            </w:r>
          </w:p>
        </w:tc>
        <w:tc>
          <w:tcPr>
            <w:tcW w:w="99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s="Calibri"/>
                <w:color w:val="000000"/>
                <w:sz w:val="20"/>
                <w:szCs w:val="20"/>
              </w:rPr>
              <w:t>2.50%</w:t>
            </w:r>
          </w:p>
        </w:tc>
        <w:tc>
          <w:tcPr>
            <w:tcW w:w="1035"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s="Calibri"/>
                <w:color w:val="000000"/>
                <w:sz w:val="20"/>
                <w:szCs w:val="20"/>
              </w:rPr>
              <w:t>2.80%</w:t>
            </w:r>
          </w:p>
        </w:tc>
      </w:tr>
      <w:tr w:rsidR="0081663D" w:rsidTr="0081663D">
        <w:trPr>
          <w:trHeight w:val="329"/>
        </w:trPr>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447439" w:rsidRDefault="00447439">
            <w:pPr>
              <w:rPr>
                <w:rFonts w:ascii="Calibri" w:hAnsi="Calibri"/>
                <w:color w:val="000000"/>
                <w:sz w:val="20"/>
                <w:szCs w:val="20"/>
              </w:rPr>
            </w:pPr>
            <w:r>
              <w:rPr>
                <w:rFonts w:ascii="Calibri" w:hAnsi="Calibri"/>
                <w:color w:val="000000"/>
                <w:sz w:val="20"/>
                <w:szCs w:val="20"/>
              </w:rPr>
              <w:t>FBO</w:t>
            </w:r>
          </w:p>
        </w:tc>
        <w:tc>
          <w:tcPr>
            <w:tcW w:w="81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60</w:t>
            </w:r>
          </w:p>
        </w:tc>
        <w:tc>
          <w:tcPr>
            <w:tcW w:w="81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66</w:t>
            </w:r>
          </w:p>
        </w:tc>
        <w:tc>
          <w:tcPr>
            <w:tcW w:w="87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71</w:t>
            </w:r>
          </w:p>
        </w:tc>
        <w:tc>
          <w:tcPr>
            <w:tcW w:w="75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111</w:t>
            </w:r>
          </w:p>
        </w:tc>
        <w:tc>
          <w:tcPr>
            <w:tcW w:w="72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s="Calibri"/>
                <w:color w:val="000000"/>
                <w:sz w:val="20"/>
                <w:szCs w:val="20"/>
              </w:rPr>
              <w:t>97</w:t>
            </w:r>
          </w:p>
        </w:tc>
        <w:tc>
          <w:tcPr>
            <w:tcW w:w="72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71</w:t>
            </w:r>
          </w:p>
        </w:tc>
        <w:tc>
          <w:tcPr>
            <w:tcW w:w="99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1.90%</w:t>
            </w:r>
          </w:p>
        </w:tc>
        <w:tc>
          <w:tcPr>
            <w:tcW w:w="99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2.00%</w:t>
            </w:r>
          </w:p>
        </w:tc>
        <w:tc>
          <w:tcPr>
            <w:tcW w:w="99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2.00%</w:t>
            </w:r>
          </w:p>
        </w:tc>
        <w:tc>
          <w:tcPr>
            <w:tcW w:w="99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2.70%</w:t>
            </w:r>
          </w:p>
        </w:tc>
        <w:tc>
          <w:tcPr>
            <w:tcW w:w="99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s="Calibri"/>
                <w:color w:val="000000"/>
                <w:sz w:val="20"/>
                <w:szCs w:val="20"/>
              </w:rPr>
              <w:t>2.30%</w:t>
            </w:r>
          </w:p>
        </w:tc>
        <w:tc>
          <w:tcPr>
            <w:tcW w:w="1035"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s="Calibri"/>
                <w:color w:val="000000"/>
                <w:sz w:val="20"/>
                <w:szCs w:val="20"/>
              </w:rPr>
              <w:t>1.70%</w:t>
            </w:r>
          </w:p>
        </w:tc>
      </w:tr>
      <w:tr w:rsidR="0081663D" w:rsidTr="0081663D">
        <w:trPr>
          <w:trHeight w:val="329"/>
        </w:trPr>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447439" w:rsidRDefault="00447439">
            <w:pPr>
              <w:rPr>
                <w:rFonts w:ascii="Calibri" w:hAnsi="Calibri"/>
                <w:color w:val="000000"/>
                <w:sz w:val="20"/>
                <w:szCs w:val="20"/>
              </w:rPr>
            </w:pPr>
            <w:r>
              <w:rPr>
                <w:rFonts w:ascii="Calibri" w:hAnsi="Calibri"/>
                <w:color w:val="000000"/>
                <w:sz w:val="20"/>
                <w:szCs w:val="20"/>
              </w:rPr>
              <w:t>FPC</w:t>
            </w:r>
          </w:p>
        </w:tc>
        <w:tc>
          <w:tcPr>
            <w:tcW w:w="81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13</w:t>
            </w:r>
          </w:p>
        </w:tc>
        <w:tc>
          <w:tcPr>
            <w:tcW w:w="81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21</w:t>
            </w:r>
          </w:p>
        </w:tc>
        <w:tc>
          <w:tcPr>
            <w:tcW w:w="87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36</w:t>
            </w:r>
          </w:p>
        </w:tc>
        <w:tc>
          <w:tcPr>
            <w:tcW w:w="75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56</w:t>
            </w:r>
          </w:p>
        </w:tc>
        <w:tc>
          <w:tcPr>
            <w:tcW w:w="72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s="Calibri"/>
                <w:color w:val="000000"/>
                <w:sz w:val="20"/>
                <w:szCs w:val="20"/>
              </w:rPr>
              <w:t>56</w:t>
            </w:r>
          </w:p>
        </w:tc>
        <w:tc>
          <w:tcPr>
            <w:tcW w:w="72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59</w:t>
            </w:r>
          </w:p>
        </w:tc>
        <w:tc>
          <w:tcPr>
            <w:tcW w:w="99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0.40%</w:t>
            </w:r>
          </w:p>
        </w:tc>
        <w:tc>
          <w:tcPr>
            <w:tcW w:w="99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0.60%</w:t>
            </w:r>
          </w:p>
        </w:tc>
        <w:tc>
          <w:tcPr>
            <w:tcW w:w="99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1.00%</w:t>
            </w:r>
          </w:p>
        </w:tc>
        <w:tc>
          <w:tcPr>
            <w:tcW w:w="99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1.40%</w:t>
            </w:r>
          </w:p>
        </w:tc>
        <w:tc>
          <w:tcPr>
            <w:tcW w:w="99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s="Calibri"/>
                <w:color w:val="000000"/>
                <w:sz w:val="20"/>
                <w:szCs w:val="20"/>
              </w:rPr>
              <w:t>1.30%</w:t>
            </w:r>
          </w:p>
        </w:tc>
        <w:tc>
          <w:tcPr>
            <w:tcW w:w="1035"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s="Calibri"/>
                <w:color w:val="000000"/>
                <w:sz w:val="20"/>
                <w:szCs w:val="20"/>
              </w:rPr>
              <w:t>1.40%</w:t>
            </w:r>
          </w:p>
        </w:tc>
      </w:tr>
      <w:tr w:rsidR="0081663D" w:rsidTr="0081663D">
        <w:trPr>
          <w:trHeight w:val="329"/>
        </w:trPr>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447439" w:rsidRDefault="00447439">
            <w:pPr>
              <w:rPr>
                <w:rFonts w:ascii="Calibri" w:hAnsi="Calibri"/>
                <w:color w:val="000000"/>
                <w:sz w:val="20"/>
                <w:szCs w:val="20"/>
              </w:rPr>
            </w:pPr>
            <w:r>
              <w:rPr>
                <w:rFonts w:ascii="Calibri" w:hAnsi="Calibri"/>
                <w:color w:val="000000"/>
                <w:sz w:val="20"/>
                <w:szCs w:val="20"/>
              </w:rPr>
              <w:t>NPA</w:t>
            </w:r>
          </w:p>
        </w:tc>
        <w:tc>
          <w:tcPr>
            <w:tcW w:w="81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151</w:t>
            </w:r>
          </w:p>
        </w:tc>
        <w:tc>
          <w:tcPr>
            <w:tcW w:w="81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163</w:t>
            </w:r>
          </w:p>
        </w:tc>
        <w:tc>
          <w:tcPr>
            <w:tcW w:w="87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173</w:t>
            </w:r>
          </w:p>
        </w:tc>
        <w:tc>
          <w:tcPr>
            <w:tcW w:w="75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213</w:t>
            </w:r>
          </w:p>
        </w:tc>
        <w:tc>
          <w:tcPr>
            <w:tcW w:w="72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s="Calibri"/>
                <w:color w:val="000000"/>
                <w:sz w:val="20"/>
                <w:szCs w:val="20"/>
              </w:rPr>
              <w:t>223</w:t>
            </w:r>
          </w:p>
        </w:tc>
        <w:tc>
          <w:tcPr>
            <w:tcW w:w="72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221</w:t>
            </w:r>
          </w:p>
        </w:tc>
        <w:tc>
          <w:tcPr>
            <w:tcW w:w="99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4.70%</w:t>
            </w:r>
          </w:p>
        </w:tc>
        <w:tc>
          <w:tcPr>
            <w:tcW w:w="99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4.90%</w:t>
            </w:r>
          </w:p>
        </w:tc>
        <w:tc>
          <w:tcPr>
            <w:tcW w:w="99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4.80%</w:t>
            </w:r>
          </w:p>
        </w:tc>
        <w:tc>
          <w:tcPr>
            <w:tcW w:w="99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5.20%</w:t>
            </w:r>
          </w:p>
        </w:tc>
        <w:tc>
          <w:tcPr>
            <w:tcW w:w="99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s="Calibri"/>
                <w:color w:val="000000"/>
                <w:sz w:val="20"/>
                <w:szCs w:val="20"/>
              </w:rPr>
              <w:t>5.40%</w:t>
            </w:r>
          </w:p>
        </w:tc>
        <w:tc>
          <w:tcPr>
            <w:tcW w:w="1035"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s="Calibri"/>
                <w:color w:val="000000"/>
                <w:sz w:val="20"/>
                <w:szCs w:val="20"/>
              </w:rPr>
              <w:t>5.40%</w:t>
            </w:r>
          </w:p>
        </w:tc>
      </w:tr>
      <w:tr w:rsidR="0081663D" w:rsidTr="0081663D">
        <w:trPr>
          <w:trHeight w:val="329"/>
        </w:trPr>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447439" w:rsidRDefault="00447439">
            <w:pPr>
              <w:rPr>
                <w:rFonts w:ascii="Calibri" w:hAnsi="Calibri"/>
                <w:color w:val="000000"/>
                <w:sz w:val="20"/>
                <w:szCs w:val="20"/>
              </w:rPr>
            </w:pPr>
            <w:r>
              <w:rPr>
                <w:rFonts w:ascii="Calibri" w:hAnsi="Calibri"/>
                <w:color w:val="000000"/>
                <w:sz w:val="20"/>
                <w:szCs w:val="20"/>
              </w:rPr>
              <w:t>Other</w:t>
            </w:r>
          </w:p>
        </w:tc>
        <w:tc>
          <w:tcPr>
            <w:tcW w:w="81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234</w:t>
            </w:r>
          </w:p>
        </w:tc>
        <w:tc>
          <w:tcPr>
            <w:tcW w:w="81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242</w:t>
            </w:r>
          </w:p>
        </w:tc>
        <w:tc>
          <w:tcPr>
            <w:tcW w:w="87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267</w:t>
            </w:r>
          </w:p>
        </w:tc>
        <w:tc>
          <w:tcPr>
            <w:tcW w:w="75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286</w:t>
            </w:r>
          </w:p>
        </w:tc>
        <w:tc>
          <w:tcPr>
            <w:tcW w:w="72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s="Calibri"/>
                <w:color w:val="000000"/>
                <w:sz w:val="20"/>
                <w:szCs w:val="20"/>
              </w:rPr>
              <w:t>295</w:t>
            </w:r>
          </w:p>
        </w:tc>
        <w:tc>
          <w:tcPr>
            <w:tcW w:w="72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284</w:t>
            </w:r>
          </w:p>
        </w:tc>
        <w:tc>
          <w:tcPr>
            <w:tcW w:w="99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7.20%</w:t>
            </w:r>
          </w:p>
        </w:tc>
        <w:tc>
          <w:tcPr>
            <w:tcW w:w="99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7.30%</w:t>
            </w:r>
          </w:p>
        </w:tc>
        <w:tc>
          <w:tcPr>
            <w:tcW w:w="99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7.40%</w:t>
            </w:r>
          </w:p>
        </w:tc>
        <w:tc>
          <w:tcPr>
            <w:tcW w:w="99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7.00%</w:t>
            </w:r>
          </w:p>
        </w:tc>
        <w:tc>
          <w:tcPr>
            <w:tcW w:w="99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s="Calibri"/>
                <w:color w:val="000000"/>
                <w:sz w:val="20"/>
                <w:szCs w:val="20"/>
              </w:rPr>
              <w:t>7.10%</w:t>
            </w:r>
          </w:p>
        </w:tc>
        <w:tc>
          <w:tcPr>
            <w:tcW w:w="1035"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s="Calibri"/>
                <w:color w:val="000000"/>
                <w:sz w:val="20"/>
                <w:szCs w:val="20"/>
              </w:rPr>
              <w:t>7.00%</w:t>
            </w:r>
          </w:p>
        </w:tc>
      </w:tr>
      <w:tr w:rsidR="0081663D" w:rsidTr="0081663D">
        <w:trPr>
          <w:trHeight w:val="329"/>
        </w:trPr>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447439" w:rsidRDefault="00447439">
            <w:pPr>
              <w:rPr>
                <w:rFonts w:ascii="Calibri" w:hAnsi="Calibri"/>
                <w:color w:val="000000"/>
                <w:sz w:val="20"/>
                <w:szCs w:val="20"/>
              </w:rPr>
            </w:pPr>
            <w:r>
              <w:rPr>
                <w:rFonts w:ascii="Calibri" w:hAnsi="Calibri"/>
                <w:color w:val="000000"/>
                <w:sz w:val="20"/>
                <w:szCs w:val="20"/>
              </w:rPr>
              <w:t>SD</w:t>
            </w:r>
          </w:p>
        </w:tc>
        <w:tc>
          <w:tcPr>
            <w:tcW w:w="81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2,150</w:t>
            </w:r>
          </w:p>
        </w:tc>
        <w:tc>
          <w:tcPr>
            <w:tcW w:w="81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2,122</w:t>
            </w:r>
          </w:p>
        </w:tc>
        <w:tc>
          <w:tcPr>
            <w:tcW w:w="87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2,213</w:t>
            </w:r>
          </w:p>
        </w:tc>
        <w:tc>
          <w:tcPr>
            <w:tcW w:w="75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2,388</w:t>
            </w:r>
          </w:p>
        </w:tc>
        <w:tc>
          <w:tcPr>
            <w:tcW w:w="72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s="Calibri"/>
                <w:color w:val="000000"/>
                <w:sz w:val="20"/>
                <w:szCs w:val="20"/>
              </w:rPr>
              <w:t>2,408</w:t>
            </w:r>
          </w:p>
        </w:tc>
        <w:tc>
          <w:tcPr>
            <w:tcW w:w="72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2,338</w:t>
            </w:r>
          </w:p>
        </w:tc>
        <w:tc>
          <w:tcPr>
            <w:tcW w:w="99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66.40%</w:t>
            </w:r>
          </w:p>
        </w:tc>
        <w:tc>
          <w:tcPr>
            <w:tcW w:w="99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64.20%</w:t>
            </w:r>
          </w:p>
        </w:tc>
        <w:tc>
          <w:tcPr>
            <w:tcW w:w="99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61.30%</w:t>
            </w:r>
          </w:p>
        </w:tc>
        <w:tc>
          <w:tcPr>
            <w:tcW w:w="99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58.20%</w:t>
            </w:r>
          </w:p>
        </w:tc>
        <w:tc>
          <w:tcPr>
            <w:tcW w:w="99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s="Calibri"/>
                <w:color w:val="000000"/>
                <w:sz w:val="20"/>
                <w:szCs w:val="20"/>
              </w:rPr>
              <w:t>58.00%</w:t>
            </w:r>
          </w:p>
        </w:tc>
        <w:tc>
          <w:tcPr>
            <w:tcW w:w="1035"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s="Calibri"/>
                <w:color w:val="000000"/>
                <w:sz w:val="20"/>
                <w:szCs w:val="20"/>
              </w:rPr>
              <w:t>57.30%</w:t>
            </w:r>
          </w:p>
        </w:tc>
      </w:tr>
      <w:tr w:rsidR="0081663D" w:rsidTr="0081663D">
        <w:trPr>
          <w:trHeight w:val="329"/>
        </w:trPr>
        <w:tc>
          <w:tcPr>
            <w:tcW w:w="1106" w:type="dxa"/>
            <w:tcBorders>
              <w:top w:val="nil"/>
              <w:left w:val="single" w:sz="8" w:space="0" w:color="auto"/>
              <w:bottom w:val="single" w:sz="8" w:space="0" w:color="auto"/>
              <w:right w:val="single" w:sz="8" w:space="0" w:color="auto"/>
            </w:tcBorders>
            <w:shd w:val="clear" w:color="auto" w:fill="auto"/>
            <w:noWrap/>
            <w:vAlign w:val="center"/>
            <w:hideMark/>
          </w:tcPr>
          <w:p w:rsidR="00447439" w:rsidRDefault="00447439">
            <w:pPr>
              <w:rPr>
                <w:rFonts w:ascii="Calibri" w:hAnsi="Calibri"/>
                <w:b/>
                <w:bCs/>
                <w:color w:val="000000"/>
                <w:sz w:val="20"/>
                <w:szCs w:val="20"/>
              </w:rPr>
            </w:pPr>
            <w:r>
              <w:rPr>
                <w:rFonts w:ascii="Calibri" w:hAnsi="Calibri"/>
                <w:b/>
                <w:bCs/>
                <w:color w:val="000000"/>
                <w:sz w:val="20"/>
                <w:szCs w:val="20"/>
              </w:rPr>
              <w:t>Total</w:t>
            </w:r>
          </w:p>
        </w:tc>
        <w:tc>
          <w:tcPr>
            <w:tcW w:w="81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3,236</w:t>
            </w:r>
          </w:p>
        </w:tc>
        <w:tc>
          <w:tcPr>
            <w:tcW w:w="81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3,304</w:t>
            </w:r>
          </w:p>
        </w:tc>
        <w:tc>
          <w:tcPr>
            <w:tcW w:w="87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3,613</w:t>
            </w:r>
          </w:p>
        </w:tc>
        <w:tc>
          <w:tcPr>
            <w:tcW w:w="75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4,100</w:t>
            </w:r>
          </w:p>
        </w:tc>
        <w:tc>
          <w:tcPr>
            <w:tcW w:w="72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s="Calibri"/>
                <w:color w:val="000000"/>
                <w:sz w:val="20"/>
                <w:szCs w:val="20"/>
              </w:rPr>
              <w:t>4,154</w:t>
            </w:r>
          </w:p>
        </w:tc>
        <w:tc>
          <w:tcPr>
            <w:tcW w:w="72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4,077</w:t>
            </w:r>
          </w:p>
        </w:tc>
        <w:tc>
          <w:tcPr>
            <w:tcW w:w="99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100.00%</w:t>
            </w:r>
          </w:p>
        </w:tc>
        <w:tc>
          <w:tcPr>
            <w:tcW w:w="990" w:type="dxa"/>
            <w:tcBorders>
              <w:top w:val="nil"/>
              <w:left w:val="nil"/>
              <w:bottom w:val="single" w:sz="8" w:space="0" w:color="auto"/>
              <w:right w:val="single" w:sz="8" w:space="0" w:color="auto"/>
            </w:tcBorders>
            <w:shd w:val="clear" w:color="auto" w:fill="auto"/>
            <w:noWrap/>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100.00%</w:t>
            </w:r>
          </w:p>
        </w:tc>
        <w:tc>
          <w:tcPr>
            <w:tcW w:w="99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100.00%</w:t>
            </w:r>
          </w:p>
        </w:tc>
        <w:tc>
          <w:tcPr>
            <w:tcW w:w="99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olor w:val="000000"/>
                <w:sz w:val="20"/>
                <w:szCs w:val="20"/>
              </w:rPr>
              <w:t>100.00%</w:t>
            </w:r>
          </w:p>
        </w:tc>
        <w:tc>
          <w:tcPr>
            <w:tcW w:w="990"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s="Calibri"/>
                <w:color w:val="000000"/>
                <w:sz w:val="20"/>
                <w:szCs w:val="20"/>
              </w:rPr>
              <w:t>100.00%</w:t>
            </w:r>
          </w:p>
        </w:tc>
        <w:tc>
          <w:tcPr>
            <w:tcW w:w="1035" w:type="dxa"/>
            <w:tcBorders>
              <w:top w:val="nil"/>
              <w:left w:val="nil"/>
              <w:bottom w:val="single" w:sz="8" w:space="0" w:color="auto"/>
              <w:right w:val="single" w:sz="8" w:space="0" w:color="auto"/>
            </w:tcBorders>
            <w:shd w:val="clear" w:color="auto" w:fill="auto"/>
            <w:vAlign w:val="center"/>
            <w:hideMark/>
          </w:tcPr>
          <w:p w:rsidR="00447439" w:rsidRDefault="00447439">
            <w:pPr>
              <w:jc w:val="center"/>
              <w:rPr>
                <w:rFonts w:ascii="Calibri" w:hAnsi="Calibri"/>
                <w:color w:val="000000"/>
                <w:sz w:val="20"/>
                <w:szCs w:val="20"/>
              </w:rPr>
            </w:pPr>
            <w:r>
              <w:rPr>
                <w:rFonts w:ascii="Calibri" w:hAnsi="Calibri" w:cs="Calibri"/>
                <w:color w:val="000000"/>
                <w:sz w:val="20"/>
                <w:szCs w:val="20"/>
              </w:rPr>
              <w:t>100.00%</w:t>
            </w:r>
          </w:p>
        </w:tc>
      </w:tr>
    </w:tbl>
    <w:p w:rsidR="003442AF" w:rsidRPr="00D07AC9" w:rsidRDefault="003442AF" w:rsidP="009E6250">
      <w:pPr>
        <w:rPr>
          <w:highlight w:val="yellow"/>
        </w:rPr>
      </w:pPr>
    </w:p>
    <w:p w:rsidR="00B11843" w:rsidRPr="00AD0742" w:rsidRDefault="00AF7B27" w:rsidP="00A50F56">
      <w:pPr>
        <w:pStyle w:val="Heading2"/>
      </w:pPr>
      <w:r w:rsidRPr="00D07AC9">
        <w:rPr>
          <w:highlight w:val="yellow"/>
        </w:rPr>
        <w:br w:type="page"/>
      </w:r>
      <w:bookmarkStart w:id="12" w:name="_Toc248906999"/>
      <w:bookmarkStart w:id="13" w:name="_Toc446063949"/>
      <w:r w:rsidR="00B11843" w:rsidRPr="00AD0742">
        <w:lastRenderedPageBreak/>
        <w:t>Center Type</w:t>
      </w:r>
      <w:bookmarkEnd w:id="12"/>
      <w:bookmarkEnd w:id="13"/>
    </w:p>
    <w:p w:rsidR="00373D68" w:rsidRPr="00AD0742" w:rsidRDefault="00373D68" w:rsidP="009E6250"/>
    <w:p w:rsidR="00563342" w:rsidRPr="00AD0742" w:rsidRDefault="009E7320" w:rsidP="009E6250">
      <w:r w:rsidRPr="00AD0742">
        <w:t xml:space="preserve">While grantees are the organizations that </w:t>
      </w:r>
      <w:r w:rsidR="00460859" w:rsidRPr="00AD0742">
        <w:t>apply for and receive</w:t>
      </w:r>
      <w:r w:rsidRPr="00AD0742">
        <w:t xml:space="preserve"> funds, each grantee in turn may operate several </w:t>
      </w:r>
      <w:r w:rsidRPr="00AD0742">
        <w:rPr>
          <w:i/>
        </w:rPr>
        <w:t>centers</w:t>
      </w:r>
      <w:r w:rsidRPr="00AD0742">
        <w:t>, which are the physical places where student activities actually occur.</w:t>
      </w:r>
      <w:r w:rsidR="00296C6B" w:rsidRPr="00AD0742">
        <w:t xml:space="preserve">  </w:t>
      </w:r>
      <w:r w:rsidR="00563342" w:rsidRPr="00AD0742">
        <w:t>Center types include school districts, charter schools, private schools, community-based organizations, nationally affiliated nonprofit organizations (e.g., Boys and Girls Clubs, YMCAs, etc.), faith-based organizat</w:t>
      </w:r>
      <w:r w:rsidR="000B630C" w:rsidRPr="00AD0742">
        <w:t xml:space="preserve">ions, and for-profit entities. </w:t>
      </w:r>
      <w:r w:rsidR="00563342" w:rsidRPr="00AD0742">
        <w:t>As</w:t>
      </w:r>
      <w:r w:rsidR="00A54D57" w:rsidRPr="00AD0742">
        <w:t xml:space="preserve"> shown in </w:t>
      </w:r>
      <w:r w:rsidR="00174B5B" w:rsidRPr="00AD0742">
        <w:fldChar w:fldCharType="begin"/>
      </w:r>
      <w:r w:rsidR="00174B5B" w:rsidRPr="00AD0742">
        <w:instrText xml:space="preserve"> REF _Ref248832346 \h  \* MERGEFORMAT </w:instrText>
      </w:r>
      <w:r w:rsidR="00174B5B" w:rsidRPr="00AD0742">
        <w:fldChar w:fldCharType="separate"/>
      </w:r>
      <w:r w:rsidR="00A50F56" w:rsidRPr="004D1BD9">
        <w:t>Table 2</w:t>
      </w:r>
      <w:r w:rsidR="00174B5B" w:rsidRPr="00AD0742">
        <w:fldChar w:fldCharType="end"/>
      </w:r>
      <w:r w:rsidR="00563342" w:rsidRPr="00AD0742">
        <w:t xml:space="preserve">, </w:t>
      </w:r>
      <w:r w:rsidR="000B630C" w:rsidRPr="00AD0742">
        <w:t xml:space="preserve">approximately </w:t>
      </w:r>
      <w:r w:rsidR="005D6305" w:rsidRPr="00AD0742">
        <w:t>8</w:t>
      </w:r>
      <w:r w:rsidR="004D1BD9" w:rsidRPr="00AD0742">
        <w:t>3</w:t>
      </w:r>
      <w:r w:rsidR="000B630C" w:rsidRPr="00AD0742">
        <w:t xml:space="preserve"> percent</w:t>
      </w:r>
      <w:r w:rsidR="009B4672" w:rsidRPr="00AD0742">
        <w:t xml:space="preserve"> of centers were housed in </w:t>
      </w:r>
      <w:r w:rsidR="005D6305" w:rsidRPr="00AD0742">
        <w:t>s</w:t>
      </w:r>
      <w:r w:rsidR="004D1BD9" w:rsidRPr="00AD0742">
        <w:t>chool district buildings in 2012</w:t>
      </w:r>
      <w:r w:rsidR="00455F04" w:rsidRPr="00AD0742">
        <w:t>-</w:t>
      </w:r>
      <w:r w:rsidR="00653E6C" w:rsidRPr="00AD0742">
        <w:t>1</w:t>
      </w:r>
      <w:r w:rsidR="004D1BD9" w:rsidRPr="00AD0742">
        <w:t>3</w:t>
      </w:r>
      <w:r w:rsidR="000B630C" w:rsidRPr="00AD0742">
        <w:t xml:space="preserve">. </w:t>
      </w:r>
      <w:r w:rsidR="004D1BD9" w:rsidRPr="00AD0742">
        <w:t>Community-based organization</w:t>
      </w:r>
      <w:r w:rsidR="00851385">
        <w:t>s</w:t>
      </w:r>
      <w:r w:rsidR="004D1BD9" w:rsidRPr="00AD0742">
        <w:t xml:space="preserve"> and unknown both accounted for nearly </w:t>
      </w:r>
      <w:r w:rsidR="00E938F4">
        <w:t>five</w:t>
      </w:r>
      <w:r w:rsidR="000B630C" w:rsidRPr="00AD0742">
        <w:t xml:space="preserve"> percent</w:t>
      </w:r>
      <w:r w:rsidR="009B4672" w:rsidRPr="00AD0742">
        <w:t xml:space="preserve"> of centers</w:t>
      </w:r>
      <w:r w:rsidR="004D1BD9" w:rsidRPr="00AD0742">
        <w:t xml:space="preserve">, making these the second </w:t>
      </w:r>
      <w:r w:rsidR="00E938F4">
        <w:t xml:space="preserve">most used center location type </w:t>
      </w:r>
      <w:r w:rsidR="004D1BD9" w:rsidRPr="00AD0742">
        <w:t>i</w:t>
      </w:r>
      <w:r w:rsidR="009B4672" w:rsidRPr="00AD0742">
        <w:t>n 20</w:t>
      </w:r>
      <w:r w:rsidR="005D6305" w:rsidRPr="00AD0742">
        <w:t>1</w:t>
      </w:r>
      <w:r w:rsidR="004D1BD9" w:rsidRPr="00AD0742">
        <w:t>2</w:t>
      </w:r>
      <w:r w:rsidR="00D473A8" w:rsidRPr="00AD0742">
        <w:t>-</w:t>
      </w:r>
      <w:r w:rsidR="00653E6C" w:rsidRPr="00AD0742">
        <w:t>1</w:t>
      </w:r>
      <w:r w:rsidR="004D1BD9" w:rsidRPr="00AD0742">
        <w:t>3. A</w:t>
      </w:r>
      <w:r w:rsidR="009B4672" w:rsidRPr="00AD0742">
        <w:t>ll othe</w:t>
      </w:r>
      <w:r w:rsidR="000D5D26" w:rsidRPr="00AD0742">
        <w:t xml:space="preserve">r categories </w:t>
      </w:r>
      <w:r w:rsidR="00E938F4">
        <w:t xml:space="preserve">of location </w:t>
      </w:r>
      <w:r w:rsidR="000D5D26" w:rsidRPr="00AD0742">
        <w:t xml:space="preserve">are </w:t>
      </w:r>
      <w:r w:rsidR="00F90480" w:rsidRPr="00AD0742">
        <w:t>less</w:t>
      </w:r>
      <w:r w:rsidR="004D1BD9" w:rsidRPr="00AD0742">
        <w:t xml:space="preserve"> than </w:t>
      </w:r>
      <w:r w:rsidR="00E938F4">
        <w:t>three</w:t>
      </w:r>
      <w:r w:rsidR="004D1BD9" w:rsidRPr="00AD0742">
        <w:t xml:space="preserve"> percent</w:t>
      </w:r>
      <w:r w:rsidR="00F90480" w:rsidRPr="00AD0742">
        <w:t>.</w:t>
      </w:r>
      <w:r w:rsidR="000B630C" w:rsidRPr="00AD0742">
        <w:t xml:space="preserve"> </w:t>
      </w:r>
      <w:r w:rsidR="009B4672" w:rsidRPr="00AD0742">
        <w:t>This general trend held true</w:t>
      </w:r>
      <w:r w:rsidR="004D1BD9" w:rsidRPr="00AD0742">
        <w:t xml:space="preserve"> </w:t>
      </w:r>
      <w:r w:rsidR="00E938F4">
        <w:t xml:space="preserve">in </w:t>
      </w:r>
      <w:r w:rsidR="004D1BD9" w:rsidRPr="00AD0742">
        <w:t>previous years as well, with the exception of more centers being classified</w:t>
      </w:r>
      <w:r w:rsidR="00AD0742" w:rsidRPr="00AD0742">
        <w:t xml:space="preserve"> as unknown.</w:t>
      </w:r>
    </w:p>
    <w:p w:rsidR="008A5E24" w:rsidRPr="00D07AC9" w:rsidRDefault="008A5E24" w:rsidP="009E6250">
      <w:pPr>
        <w:rPr>
          <w:highlight w:val="yellow"/>
        </w:rPr>
      </w:pPr>
    </w:p>
    <w:p w:rsidR="00563342" w:rsidRDefault="00A54D57" w:rsidP="000B630C">
      <w:pPr>
        <w:pStyle w:val="Caption"/>
        <w:spacing w:after="120"/>
      </w:pPr>
      <w:bookmarkStart w:id="14" w:name="_Ref248832346"/>
      <w:proofErr w:type="gramStart"/>
      <w:r w:rsidRPr="004D1BD9">
        <w:t>Table</w:t>
      </w:r>
      <w:r w:rsidR="00BA4F75" w:rsidRPr="004D1BD9">
        <w:t xml:space="preserve"> 2</w:t>
      </w:r>
      <w:bookmarkEnd w:id="14"/>
      <w:r w:rsidR="004C667D" w:rsidRPr="004D1BD9">
        <w:t>.</w:t>
      </w:r>
      <w:proofErr w:type="gramEnd"/>
      <w:r w:rsidR="00563342" w:rsidRPr="004D1BD9">
        <w:t xml:space="preserve"> Center</w:t>
      </w:r>
      <w:r w:rsidR="00C57A15" w:rsidRPr="004D1BD9">
        <w:t>s by Type</w:t>
      </w:r>
    </w:p>
    <w:tbl>
      <w:tblPr>
        <w:tblW w:w="11269" w:type="dxa"/>
        <w:tblInd w:w="-945" w:type="dxa"/>
        <w:tblLook w:val="04A0" w:firstRow="1" w:lastRow="0" w:firstColumn="1" w:lastColumn="0" w:noHBand="0" w:noVBand="1"/>
      </w:tblPr>
      <w:tblGrid>
        <w:gridCol w:w="1253"/>
        <w:gridCol w:w="742"/>
        <w:gridCol w:w="742"/>
        <w:gridCol w:w="742"/>
        <w:gridCol w:w="773"/>
        <w:gridCol w:w="773"/>
        <w:gridCol w:w="742"/>
        <w:gridCol w:w="917"/>
        <w:gridCol w:w="917"/>
        <w:gridCol w:w="917"/>
        <w:gridCol w:w="917"/>
        <w:gridCol w:w="917"/>
        <w:gridCol w:w="917"/>
      </w:tblGrid>
      <w:tr w:rsidR="000D596D" w:rsidTr="000D596D">
        <w:trPr>
          <w:trHeight w:val="498"/>
        </w:trPr>
        <w:tc>
          <w:tcPr>
            <w:tcW w:w="1253" w:type="dxa"/>
            <w:tcBorders>
              <w:top w:val="single" w:sz="8" w:space="0" w:color="auto"/>
              <w:left w:val="single" w:sz="8" w:space="0" w:color="auto"/>
              <w:bottom w:val="single" w:sz="8" w:space="0" w:color="auto"/>
              <w:right w:val="single" w:sz="8" w:space="0" w:color="auto"/>
            </w:tcBorders>
            <w:shd w:val="clear" w:color="000000" w:fill="595959"/>
            <w:noWrap/>
            <w:vAlign w:val="center"/>
            <w:hideMark/>
          </w:tcPr>
          <w:p w:rsidR="000D596D" w:rsidRDefault="000D596D">
            <w:pPr>
              <w:jc w:val="center"/>
              <w:rPr>
                <w:rFonts w:ascii="Calibri" w:hAnsi="Calibri"/>
                <w:color w:val="0000FF"/>
                <w:sz w:val="22"/>
                <w:szCs w:val="22"/>
                <w:u w:val="single"/>
              </w:rPr>
            </w:pPr>
            <w:r w:rsidRPr="004D1BD9">
              <w:rPr>
                <w:rFonts w:ascii="Calibri" w:hAnsi="Calibri" w:cs="Arial"/>
                <w:b/>
                <w:bCs/>
                <w:color w:val="FFFFFF" w:themeColor="background1"/>
                <w:sz w:val="20"/>
                <w:szCs w:val="20"/>
              </w:rPr>
              <w:t>Center Type</w:t>
            </w:r>
            <w:r w:rsidRPr="004D1BD9">
              <w:rPr>
                <w:rStyle w:val="FootnoteReference"/>
                <w:rFonts w:ascii="Calibri" w:hAnsi="Calibri" w:cs="Arial"/>
                <w:b/>
                <w:bCs/>
                <w:color w:val="FFFFFF" w:themeColor="background1"/>
                <w:sz w:val="20"/>
                <w:szCs w:val="20"/>
              </w:rPr>
              <w:footnoteReference w:id="2"/>
            </w:r>
          </w:p>
        </w:tc>
        <w:tc>
          <w:tcPr>
            <w:tcW w:w="742" w:type="dxa"/>
            <w:tcBorders>
              <w:top w:val="single" w:sz="4" w:space="0" w:color="auto"/>
              <w:left w:val="nil"/>
              <w:bottom w:val="single" w:sz="8" w:space="0" w:color="auto"/>
              <w:right w:val="single" w:sz="8" w:space="0" w:color="auto"/>
            </w:tcBorders>
            <w:shd w:val="clear" w:color="000000" w:fill="BFBFBF"/>
            <w:vAlign w:val="center"/>
            <w:hideMark/>
          </w:tcPr>
          <w:p w:rsidR="000D596D" w:rsidRDefault="000D596D">
            <w:pPr>
              <w:jc w:val="center"/>
              <w:rPr>
                <w:rFonts w:ascii="Calibri" w:hAnsi="Calibri"/>
                <w:b/>
                <w:bCs/>
                <w:color w:val="000000"/>
                <w:sz w:val="20"/>
                <w:szCs w:val="20"/>
              </w:rPr>
            </w:pPr>
            <w:r>
              <w:rPr>
                <w:rFonts w:ascii="Calibri" w:hAnsi="Calibri"/>
                <w:b/>
                <w:bCs/>
                <w:color w:val="000000"/>
                <w:sz w:val="20"/>
                <w:szCs w:val="20"/>
              </w:rPr>
              <w:t>No. in 2007-08</w:t>
            </w:r>
          </w:p>
        </w:tc>
        <w:tc>
          <w:tcPr>
            <w:tcW w:w="742" w:type="dxa"/>
            <w:tcBorders>
              <w:top w:val="single" w:sz="4" w:space="0" w:color="auto"/>
              <w:left w:val="nil"/>
              <w:bottom w:val="single" w:sz="8" w:space="0" w:color="auto"/>
              <w:right w:val="single" w:sz="8" w:space="0" w:color="auto"/>
            </w:tcBorders>
            <w:shd w:val="clear" w:color="000000" w:fill="BFBFBF"/>
            <w:vAlign w:val="center"/>
            <w:hideMark/>
          </w:tcPr>
          <w:p w:rsidR="000D596D" w:rsidRDefault="000D596D">
            <w:pPr>
              <w:jc w:val="center"/>
              <w:rPr>
                <w:rFonts w:ascii="Calibri" w:hAnsi="Calibri"/>
                <w:b/>
                <w:bCs/>
                <w:color w:val="000000"/>
                <w:sz w:val="20"/>
                <w:szCs w:val="20"/>
              </w:rPr>
            </w:pPr>
            <w:r>
              <w:rPr>
                <w:rFonts w:ascii="Calibri" w:hAnsi="Calibri"/>
                <w:b/>
                <w:bCs/>
                <w:color w:val="000000"/>
                <w:sz w:val="20"/>
                <w:szCs w:val="20"/>
              </w:rPr>
              <w:t>No. in 2008-09</w:t>
            </w:r>
          </w:p>
        </w:tc>
        <w:tc>
          <w:tcPr>
            <w:tcW w:w="742" w:type="dxa"/>
            <w:tcBorders>
              <w:top w:val="single" w:sz="4" w:space="0" w:color="auto"/>
              <w:left w:val="nil"/>
              <w:bottom w:val="single" w:sz="8" w:space="0" w:color="auto"/>
              <w:right w:val="single" w:sz="8" w:space="0" w:color="auto"/>
            </w:tcBorders>
            <w:shd w:val="clear" w:color="000000" w:fill="BFBFBF"/>
            <w:vAlign w:val="center"/>
            <w:hideMark/>
          </w:tcPr>
          <w:p w:rsidR="000D596D" w:rsidRDefault="000D596D">
            <w:pPr>
              <w:jc w:val="center"/>
              <w:rPr>
                <w:rFonts w:ascii="Calibri" w:hAnsi="Calibri"/>
                <w:b/>
                <w:bCs/>
                <w:color w:val="000000"/>
                <w:sz w:val="20"/>
                <w:szCs w:val="20"/>
              </w:rPr>
            </w:pPr>
            <w:r>
              <w:rPr>
                <w:rFonts w:ascii="Calibri" w:hAnsi="Calibri"/>
                <w:b/>
                <w:bCs/>
                <w:color w:val="000000"/>
                <w:sz w:val="20"/>
                <w:szCs w:val="20"/>
              </w:rPr>
              <w:t>No. in 2009-10</w:t>
            </w:r>
          </w:p>
        </w:tc>
        <w:tc>
          <w:tcPr>
            <w:tcW w:w="773" w:type="dxa"/>
            <w:tcBorders>
              <w:top w:val="single" w:sz="4" w:space="0" w:color="auto"/>
              <w:left w:val="nil"/>
              <w:bottom w:val="single" w:sz="8" w:space="0" w:color="auto"/>
              <w:right w:val="single" w:sz="8" w:space="0" w:color="auto"/>
            </w:tcBorders>
            <w:shd w:val="clear" w:color="000000" w:fill="BFBFBF"/>
            <w:vAlign w:val="center"/>
            <w:hideMark/>
          </w:tcPr>
          <w:p w:rsidR="000D596D" w:rsidRDefault="000D596D">
            <w:pPr>
              <w:jc w:val="center"/>
              <w:rPr>
                <w:rFonts w:ascii="Calibri" w:hAnsi="Calibri"/>
                <w:b/>
                <w:bCs/>
                <w:color w:val="000000"/>
                <w:sz w:val="20"/>
                <w:szCs w:val="20"/>
              </w:rPr>
            </w:pPr>
            <w:r>
              <w:rPr>
                <w:rFonts w:ascii="Calibri" w:hAnsi="Calibri"/>
                <w:b/>
                <w:bCs/>
                <w:color w:val="000000"/>
                <w:sz w:val="20"/>
                <w:szCs w:val="20"/>
              </w:rPr>
              <w:t>No. in 2010-11</w:t>
            </w:r>
          </w:p>
        </w:tc>
        <w:tc>
          <w:tcPr>
            <w:tcW w:w="773" w:type="dxa"/>
            <w:tcBorders>
              <w:top w:val="single" w:sz="4" w:space="0" w:color="auto"/>
              <w:left w:val="nil"/>
              <w:bottom w:val="single" w:sz="8" w:space="0" w:color="auto"/>
              <w:right w:val="single" w:sz="8" w:space="0" w:color="auto"/>
            </w:tcBorders>
            <w:shd w:val="clear" w:color="000000" w:fill="BFBFBF"/>
            <w:vAlign w:val="center"/>
            <w:hideMark/>
          </w:tcPr>
          <w:p w:rsidR="000D596D" w:rsidRDefault="000D596D">
            <w:pPr>
              <w:jc w:val="center"/>
              <w:rPr>
                <w:rFonts w:ascii="Calibri" w:hAnsi="Calibri"/>
                <w:b/>
                <w:bCs/>
                <w:color w:val="000000"/>
                <w:sz w:val="20"/>
                <w:szCs w:val="20"/>
              </w:rPr>
            </w:pPr>
            <w:r>
              <w:rPr>
                <w:rFonts w:ascii="Calibri" w:hAnsi="Calibri"/>
                <w:b/>
                <w:bCs/>
                <w:color w:val="000000"/>
                <w:sz w:val="20"/>
                <w:szCs w:val="20"/>
              </w:rPr>
              <w:t>No. in 2011-12</w:t>
            </w:r>
          </w:p>
        </w:tc>
        <w:tc>
          <w:tcPr>
            <w:tcW w:w="742" w:type="dxa"/>
            <w:tcBorders>
              <w:top w:val="single" w:sz="4" w:space="0" w:color="auto"/>
              <w:left w:val="nil"/>
              <w:bottom w:val="single" w:sz="8" w:space="0" w:color="auto"/>
              <w:right w:val="nil"/>
            </w:tcBorders>
            <w:shd w:val="clear" w:color="000000" w:fill="BFBFBF"/>
            <w:vAlign w:val="center"/>
            <w:hideMark/>
          </w:tcPr>
          <w:p w:rsidR="000D596D" w:rsidRDefault="000D596D">
            <w:pPr>
              <w:jc w:val="center"/>
              <w:rPr>
                <w:rFonts w:ascii="Calibri" w:hAnsi="Calibri"/>
                <w:b/>
                <w:bCs/>
                <w:color w:val="000000"/>
                <w:sz w:val="20"/>
                <w:szCs w:val="20"/>
              </w:rPr>
            </w:pPr>
            <w:r>
              <w:rPr>
                <w:rFonts w:ascii="Calibri" w:hAnsi="Calibri"/>
                <w:b/>
                <w:bCs/>
                <w:color w:val="000000"/>
                <w:sz w:val="20"/>
                <w:szCs w:val="20"/>
              </w:rPr>
              <w:t>No. in 2012-13</w:t>
            </w:r>
          </w:p>
        </w:tc>
        <w:tc>
          <w:tcPr>
            <w:tcW w:w="917" w:type="dxa"/>
            <w:tcBorders>
              <w:top w:val="single" w:sz="4" w:space="0" w:color="auto"/>
              <w:left w:val="single" w:sz="12" w:space="0" w:color="auto"/>
              <w:bottom w:val="single" w:sz="8" w:space="0" w:color="auto"/>
              <w:right w:val="single" w:sz="8" w:space="0" w:color="auto"/>
            </w:tcBorders>
            <w:shd w:val="clear" w:color="000000" w:fill="BFBFBF"/>
            <w:vAlign w:val="center"/>
            <w:hideMark/>
          </w:tcPr>
          <w:p w:rsidR="000D596D" w:rsidRDefault="000D596D">
            <w:pPr>
              <w:jc w:val="center"/>
              <w:rPr>
                <w:rFonts w:ascii="Calibri" w:hAnsi="Calibri"/>
                <w:b/>
                <w:bCs/>
                <w:color w:val="000000"/>
                <w:sz w:val="20"/>
                <w:szCs w:val="20"/>
              </w:rPr>
            </w:pPr>
            <w:r>
              <w:rPr>
                <w:rFonts w:ascii="Calibri" w:hAnsi="Calibri"/>
                <w:b/>
                <w:bCs/>
                <w:color w:val="000000"/>
                <w:sz w:val="20"/>
                <w:szCs w:val="20"/>
              </w:rPr>
              <w:t>Percent in 2007-08</w:t>
            </w:r>
          </w:p>
        </w:tc>
        <w:tc>
          <w:tcPr>
            <w:tcW w:w="917" w:type="dxa"/>
            <w:tcBorders>
              <w:top w:val="single" w:sz="4" w:space="0" w:color="auto"/>
              <w:left w:val="nil"/>
              <w:bottom w:val="single" w:sz="8" w:space="0" w:color="auto"/>
              <w:right w:val="single" w:sz="8" w:space="0" w:color="auto"/>
            </w:tcBorders>
            <w:shd w:val="clear" w:color="000000" w:fill="BFBFBF"/>
            <w:vAlign w:val="center"/>
            <w:hideMark/>
          </w:tcPr>
          <w:p w:rsidR="000D596D" w:rsidRDefault="000D596D">
            <w:pPr>
              <w:jc w:val="center"/>
              <w:rPr>
                <w:rFonts w:ascii="Calibri" w:hAnsi="Calibri"/>
                <w:b/>
                <w:bCs/>
                <w:color w:val="000000"/>
                <w:sz w:val="20"/>
                <w:szCs w:val="20"/>
              </w:rPr>
            </w:pPr>
            <w:r>
              <w:rPr>
                <w:rFonts w:ascii="Calibri" w:hAnsi="Calibri"/>
                <w:b/>
                <w:bCs/>
                <w:color w:val="000000"/>
                <w:sz w:val="20"/>
                <w:szCs w:val="20"/>
              </w:rPr>
              <w:t>Percent in 2008-09</w:t>
            </w:r>
          </w:p>
        </w:tc>
        <w:tc>
          <w:tcPr>
            <w:tcW w:w="917" w:type="dxa"/>
            <w:tcBorders>
              <w:top w:val="single" w:sz="4" w:space="0" w:color="auto"/>
              <w:left w:val="nil"/>
              <w:bottom w:val="single" w:sz="8" w:space="0" w:color="auto"/>
              <w:right w:val="single" w:sz="8" w:space="0" w:color="auto"/>
            </w:tcBorders>
            <w:shd w:val="clear" w:color="000000" w:fill="BFBFBF"/>
            <w:vAlign w:val="center"/>
            <w:hideMark/>
          </w:tcPr>
          <w:p w:rsidR="000D596D" w:rsidRDefault="000D596D">
            <w:pPr>
              <w:jc w:val="center"/>
              <w:rPr>
                <w:rFonts w:ascii="Calibri" w:hAnsi="Calibri"/>
                <w:b/>
                <w:bCs/>
                <w:color w:val="000000"/>
                <w:sz w:val="20"/>
                <w:szCs w:val="20"/>
              </w:rPr>
            </w:pPr>
            <w:r>
              <w:rPr>
                <w:rFonts w:ascii="Calibri" w:hAnsi="Calibri"/>
                <w:b/>
                <w:bCs/>
                <w:color w:val="000000"/>
                <w:sz w:val="20"/>
                <w:szCs w:val="20"/>
              </w:rPr>
              <w:t>Percent in 2009-10</w:t>
            </w:r>
          </w:p>
        </w:tc>
        <w:tc>
          <w:tcPr>
            <w:tcW w:w="917" w:type="dxa"/>
            <w:tcBorders>
              <w:top w:val="single" w:sz="4" w:space="0" w:color="auto"/>
              <w:left w:val="nil"/>
              <w:bottom w:val="single" w:sz="8" w:space="0" w:color="auto"/>
              <w:right w:val="single" w:sz="8" w:space="0" w:color="auto"/>
            </w:tcBorders>
            <w:shd w:val="clear" w:color="000000" w:fill="BFBFBF"/>
            <w:vAlign w:val="center"/>
            <w:hideMark/>
          </w:tcPr>
          <w:p w:rsidR="000D596D" w:rsidRDefault="000D596D">
            <w:pPr>
              <w:jc w:val="center"/>
              <w:rPr>
                <w:rFonts w:ascii="Calibri" w:hAnsi="Calibri"/>
                <w:b/>
                <w:bCs/>
                <w:color w:val="000000"/>
                <w:sz w:val="20"/>
                <w:szCs w:val="20"/>
              </w:rPr>
            </w:pPr>
            <w:r>
              <w:rPr>
                <w:rFonts w:ascii="Calibri" w:hAnsi="Calibri"/>
                <w:b/>
                <w:bCs/>
                <w:color w:val="000000"/>
                <w:sz w:val="20"/>
                <w:szCs w:val="20"/>
              </w:rPr>
              <w:t>Percent in 2010-11</w:t>
            </w:r>
          </w:p>
        </w:tc>
        <w:tc>
          <w:tcPr>
            <w:tcW w:w="917" w:type="dxa"/>
            <w:tcBorders>
              <w:top w:val="single" w:sz="4" w:space="0" w:color="auto"/>
              <w:left w:val="nil"/>
              <w:bottom w:val="single" w:sz="8" w:space="0" w:color="auto"/>
              <w:right w:val="single" w:sz="8" w:space="0" w:color="auto"/>
            </w:tcBorders>
            <w:shd w:val="clear" w:color="000000" w:fill="BFBFBF"/>
            <w:vAlign w:val="center"/>
            <w:hideMark/>
          </w:tcPr>
          <w:p w:rsidR="000D596D" w:rsidRDefault="000D596D">
            <w:pPr>
              <w:jc w:val="center"/>
              <w:rPr>
                <w:rFonts w:ascii="Calibri" w:hAnsi="Calibri"/>
                <w:b/>
                <w:bCs/>
                <w:color w:val="000000"/>
                <w:sz w:val="20"/>
                <w:szCs w:val="20"/>
              </w:rPr>
            </w:pPr>
            <w:r>
              <w:rPr>
                <w:rFonts w:ascii="Calibri" w:hAnsi="Calibri"/>
                <w:b/>
                <w:bCs/>
                <w:color w:val="000000"/>
                <w:sz w:val="20"/>
                <w:szCs w:val="20"/>
              </w:rPr>
              <w:t>Percent in 2011-12</w:t>
            </w:r>
          </w:p>
        </w:tc>
        <w:tc>
          <w:tcPr>
            <w:tcW w:w="917" w:type="dxa"/>
            <w:tcBorders>
              <w:top w:val="single" w:sz="4" w:space="0" w:color="auto"/>
              <w:left w:val="nil"/>
              <w:bottom w:val="single" w:sz="8" w:space="0" w:color="auto"/>
              <w:right w:val="single" w:sz="8" w:space="0" w:color="auto"/>
            </w:tcBorders>
            <w:shd w:val="clear" w:color="000000" w:fill="BFBFBF"/>
            <w:vAlign w:val="center"/>
            <w:hideMark/>
          </w:tcPr>
          <w:p w:rsidR="000D596D" w:rsidRDefault="000D596D">
            <w:pPr>
              <w:jc w:val="center"/>
              <w:rPr>
                <w:rFonts w:ascii="Calibri" w:hAnsi="Calibri"/>
                <w:b/>
                <w:bCs/>
                <w:color w:val="000000"/>
                <w:sz w:val="20"/>
                <w:szCs w:val="20"/>
              </w:rPr>
            </w:pPr>
            <w:r>
              <w:rPr>
                <w:rFonts w:ascii="Calibri" w:hAnsi="Calibri"/>
                <w:b/>
                <w:bCs/>
                <w:color w:val="000000"/>
                <w:sz w:val="20"/>
                <w:szCs w:val="20"/>
              </w:rPr>
              <w:t>Percent in 2012-13</w:t>
            </w:r>
          </w:p>
        </w:tc>
      </w:tr>
      <w:tr w:rsidR="000D596D" w:rsidTr="000D596D">
        <w:trPr>
          <w:trHeight w:val="299"/>
        </w:trPr>
        <w:tc>
          <w:tcPr>
            <w:tcW w:w="1253" w:type="dxa"/>
            <w:tcBorders>
              <w:top w:val="nil"/>
              <w:left w:val="single" w:sz="8" w:space="0" w:color="auto"/>
              <w:bottom w:val="single" w:sz="8" w:space="0" w:color="auto"/>
              <w:right w:val="single" w:sz="8" w:space="0" w:color="auto"/>
            </w:tcBorders>
            <w:shd w:val="clear" w:color="auto" w:fill="auto"/>
            <w:noWrap/>
            <w:vAlign w:val="center"/>
            <w:hideMark/>
          </w:tcPr>
          <w:p w:rsidR="000D596D" w:rsidRDefault="000D596D">
            <w:pPr>
              <w:rPr>
                <w:rFonts w:ascii="Calibri" w:hAnsi="Calibri"/>
                <w:color w:val="000000"/>
                <w:sz w:val="20"/>
                <w:szCs w:val="20"/>
              </w:rPr>
            </w:pPr>
            <w:r>
              <w:rPr>
                <w:rFonts w:ascii="Calibri" w:hAnsi="Calibri"/>
                <w:color w:val="000000"/>
                <w:sz w:val="20"/>
                <w:szCs w:val="20"/>
              </w:rPr>
              <w:t>Unknown</w:t>
            </w:r>
          </w:p>
        </w:tc>
        <w:tc>
          <w:tcPr>
            <w:tcW w:w="742"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5</w:t>
            </w:r>
          </w:p>
        </w:tc>
        <w:tc>
          <w:tcPr>
            <w:tcW w:w="742"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14</w:t>
            </w:r>
          </w:p>
        </w:tc>
        <w:tc>
          <w:tcPr>
            <w:tcW w:w="742"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77</w:t>
            </w:r>
          </w:p>
        </w:tc>
        <w:tc>
          <w:tcPr>
            <w:tcW w:w="773"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154</w:t>
            </w:r>
          </w:p>
        </w:tc>
        <w:tc>
          <w:tcPr>
            <w:tcW w:w="773"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s="Calibri"/>
                <w:color w:val="000000"/>
                <w:sz w:val="20"/>
                <w:szCs w:val="20"/>
              </w:rPr>
              <w:t>310</w:t>
            </w:r>
          </w:p>
        </w:tc>
        <w:tc>
          <w:tcPr>
            <w:tcW w:w="742" w:type="dxa"/>
            <w:tcBorders>
              <w:top w:val="nil"/>
              <w:left w:val="nil"/>
              <w:bottom w:val="single" w:sz="8" w:space="0" w:color="auto"/>
              <w:right w:val="nil"/>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476</w:t>
            </w:r>
          </w:p>
        </w:tc>
        <w:tc>
          <w:tcPr>
            <w:tcW w:w="917" w:type="dxa"/>
            <w:tcBorders>
              <w:top w:val="nil"/>
              <w:left w:val="single" w:sz="12" w:space="0" w:color="auto"/>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0.10%</w:t>
            </w:r>
          </w:p>
        </w:tc>
        <w:tc>
          <w:tcPr>
            <w:tcW w:w="917"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0.20%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0.80%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1.50%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s="Calibri"/>
                <w:color w:val="000000"/>
                <w:sz w:val="20"/>
                <w:szCs w:val="20"/>
              </w:rPr>
              <w:t>3.00%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4.80%</w:t>
            </w:r>
          </w:p>
        </w:tc>
      </w:tr>
      <w:tr w:rsidR="000D596D" w:rsidTr="000D596D">
        <w:trPr>
          <w:trHeight w:val="299"/>
        </w:trPr>
        <w:tc>
          <w:tcPr>
            <w:tcW w:w="1253" w:type="dxa"/>
            <w:tcBorders>
              <w:top w:val="nil"/>
              <w:left w:val="single" w:sz="8" w:space="0" w:color="auto"/>
              <w:bottom w:val="single" w:sz="8" w:space="0" w:color="auto"/>
              <w:right w:val="single" w:sz="8" w:space="0" w:color="auto"/>
            </w:tcBorders>
            <w:shd w:val="clear" w:color="auto" w:fill="auto"/>
            <w:noWrap/>
            <w:vAlign w:val="center"/>
            <w:hideMark/>
          </w:tcPr>
          <w:p w:rsidR="000D596D" w:rsidRDefault="000D596D">
            <w:pPr>
              <w:rPr>
                <w:rFonts w:ascii="Calibri" w:hAnsi="Calibri"/>
                <w:color w:val="000000"/>
                <w:sz w:val="20"/>
                <w:szCs w:val="20"/>
              </w:rPr>
            </w:pPr>
            <w:r>
              <w:rPr>
                <w:rFonts w:ascii="Calibri" w:hAnsi="Calibri"/>
                <w:color w:val="000000"/>
                <w:sz w:val="20"/>
                <w:szCs w:val="20"/>
              </w:rPr>
              <w:t>CBO</w:t>
            </w:r>
          </w:p>
        </w:tc>
        <w:tc>
          <w:tcPr>
            <w:tcW w:w="742"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381</w:t>
            </w:r>
          </w:p>
        </w:tc>
        <w:tc>
          <w:tcPr>
            <w:tcW w:w="742"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389</w:t>
            </w:r>
          </w:p>
        </w:tc>
        <w:tc>
          <w:tcPr>
            <w:tcW w:w="742"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399</w:t>
            </w:r>
          </w:p>
        </w:tc>
        <w:tc>
          <w:tcPr>
            <w:tcW w:w="773"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493</w:t>
            </w:r>
          </w:p>
        </w:tc>
        <w:tc>
          <w:tcPr>
            <w:tcW w:w="773"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s="Calibri"/>
                <w:color w:val="000000"/>
                <w:sz w:val="20"/>
                <w:szCs w:val="20"/>
              </w:rPr>
              <w:t>489</w:t>
            </w:r>
          </w:p>
        </w:tc>
        <w:tc>
          <w:tcPr>
            <w:tcW w:w="742" w:type="dxa"/>
            <w:tcBorders>
              <w:top w:val="nil"/>
              <w:left w:val="nil"/>
              <w:bottom w:val="single" w:sz="8" w:space="0" w:color="auto"/>
              <w:right w:val="nil"/>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460</w:t>
            </w:r>
          </w:p>
        </w:tc>
        <w:tc>
          <w:tcPr>
            <w:tcW w:w="917" w:type="dxa"/>
            <w:tcBorders>
              <w:top w:val="nil"/>
              <w:left w:val="single" w:sz="12" w:space="0" w:color="auto"/>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4.20%</w:t>
            </w:r>
          </w:p>
        </w:tc>
        <w:tc>
          <w:tcPr>
            <w:tcW w:w="917"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4.50%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4.40%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4.80%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s="Calibri"/>
                <w:color w:val="000000"/>
                <w:sz w:val="20"/>
                <w:szCs w:val="20"/>
              </w:rPr>
              <w:t>4.80%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4.60%</w:t>
            </w:r>
          </w:p>
        </w:tc>
      </w:tr>
      <w:tr w:rsidR="000D596D" w:rsidTr="000D596D">
        <w:trPr>
          <w:trHeight w:val="299"/>
        </w:trPr>
        <w:tc>
          <w:tcPr>
            <w:tcW w:w="1253" w:type="dxa"/>
            <w:tcBorders>
              <w:top w:val="nil"/>
              <w:left w:val="single" w:sz="8" w:space="0" w:color="auto"/>
              <w:bottom w:val="single" w:sz="8" w:space="0" w:color="auto"/>
              <w:right w:val="single" w:sz="8" w:space="0" w:color="auto"/>
            </w:tcBorders>
            <w:shd w:val="clear" w:color="auto" w:fill="auto"/>
            <w:noWrap/>
            <w:vAlign w:val="center"/>
            <w:hideMark/>
          </w:tcPr>
          <w:p w:rsidR="000D596D" w:rsidRDefault="000D596D">
            <w:pPr>
              <w:rPr>
                <w:rFonts w:ascii="Calibri" w:hAnsi="Calibri"/>
                <w:color w:val="000000"/>
                <w:sz w:val="20"/>
                <w:szCs w:val="20"/>
              </w:rPr>
            </w:pPr>
            <w:r>
              <w:rPr>
                <w:rFonts w:ascii="Calibri" w:hAnsi="Calibri"/>
                <w:color w:val="000000"/>
                <w:sz w:val="20"/>
                <w:szCs w:val="20"/>
              </w:rPr>
              <w:t>COU</w:t>
            </w:r>
          </w:p>
        </w:tc>
        <w:tc>
          <w:tcPr>
            <w:tcW w:w="742"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27</w:t>
            </w:r>
          </w:p>
        </w:tc>
        <w:tc>
          <w:tcPr>
            <w:tcW w:w="742"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21</w:t>
            </w:r>
          </w:p>
        </w:tc>
        <w:tc>
          <w:tcPr>
            <w:tcW w:w="742"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18</w:t>
            </w:r>
          </w:p>
        </w:tc>
        <w:tc>
          <w:tcPr>
            <w:tcW w:w="773"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25</w:t>
            </w:r>
          </w:p>
        </w:tc>
        <w:tc>
          <w:tcPr>
            <w:tcW w:w="773"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s="Calibri"/>
                <w:color w:val="000000"/>
                <w:sz w:val="20"/>
                <w:szCs w:val="20"/>
              </w:rPr>
              <w:t>21</w:t>
            </w:r>
          </w:p>
        </w:tc>
        <w:tc>
          <w:tcPr>
            <w:tcW w:w="742" w:type="dxa"/>
            <w:tcBorders>
              <w:top w:val="nil"/>
              <w:left w:val="nil"/>
              <w:bottom w:val="single" w:sz="8" w:space="0" w:color="auto"/>
              <w:right w:val="nil"/>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19</w:t>
            </w:r>
          </w:p>
        </w:tc>
        <w:tc>
          <w:tcPr>
            <w:tcW w:w="917" w:type="dxa"/>
            <w:tcBorders>
              <w:top w:val="nil"/>
              <w:left w:val="single" w:sz="12" w:space="0" w:color="auto"/>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0.30%</w:t>
            </w:r>
          </w:p>
        </w:tc>
        <w:tc>
          <w:tcPr>
            <w:tcW w:w="917"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0.20%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0.20%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0.20%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s="Calibri"/>
                <w:color w:val="000000"/>
                <w:sz w:val="20"/>
                <w:szCs w:val="20"/>
              </w:rPr>
              <w:t>0.20%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0.20%</w:t>
            </w:r>
          </w:p>
        </w:tc>
      </w:tr>
      <w:tr w:rsidR="000D596D" w:rsidTr="000D596D">
        <w:trPr>
          <w:trHeight w:val="299"/>
        </w:trPr>
        <w:tc>
          <w:tcPr>
            <w:tcW w:w="1253" w:type="dxa"/>
            <w:tcBorders>
              <w:top w:val="nil"/>
              <w:left w:val="single" w:sz="8" w:space="0" w:color="auto"/>
              <w:bottom w:val="single" w:sz="8" w:space="0" w:color="auto"/>
              <w:right w:val="single" w:sz="8" w:space="0" w:color="auto"/>
            </w:tcBorders>
            <w:shd w:val="clear" w:color="auto" w:fill="auto"/>
            <w:noWrap/>
            <w:vAlign w:val="center"/>
            <w:hideMark/>
          </w:tcPr>
          <w:p w:rsidR="000D596D" w:rsidRDefault="000D596D">
            <w:pPr>
              <w:rPr>
                <w:rFonts w:ascii="Calibri" w:hAnsi="Calibri"/>
                <w:color w:val="000000"/>
                <w:sz w:val="20"/>
                <w:szCs w:val="20"/>
              </w:rPr>
            </w:pPr>
            <w:r>
              <w:rPr>
                <w:rFonts w:ascii="Calibri" w:hAnsi="Calibri"/>
                <w:color w:val="000000"/>
                <w:sz w:val="20"/>
                <w:szCs w:val="20"/>
              </w:rPr>
              <w:t>CS</w:t>
            </w:r>
          </w:p>
        </w:tc>
        <w:tc>
          <w:tcPr>
            <w:tcW w:w="742"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105</w:t>
            </w:r>
          </w:p>
        </w:tc>
        <w:tc>
          <w:tcPr>
            <w:tcW w:w="742"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118</w:t>
            </w:r>
          </w:p>
        </w:tc>
        <w:tc>
          <w:tcPr>
            <w:tcW w:w="742"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151</w:t>
            </w:r>
          </w:p>
        </w:tc>
        <w:tc>
          <w:tcPr>
            <w:tcW w:w="773"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175</w:t>
            </w:r>
          </w:p>
        </w:tc>
        <w:tc>
          <w:tcPr>
            <w:tcW w:w="773"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s="Calibri"/>
                <w:color w:val="000000"/>
                <w:sz w:val="20"/>
                <w:szCs w:val="20"/>
              </w:rPr>
              <w:t>171</w:t>
            </w:r>
          </w:p>
        </w:tc>
        <w:tc>
          <w:tcPr>
            <w:tcW w:w="742" w:type="dxa"/>
            <w:tcBorders>
              <w:top w:val="nil"/>
              <w:left w:val="nil"/>
              <w:bottom w:val="single" w:sz="8" w:space="0" w:color="auto"/>
              <w:right w:val="nil"/>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184</w:t>
            </w:r>
          </w:p>
        </w:tc>
        <w:tc>
          <w:tcPr>
            <w:tcW w:w="917" w:type="dxa"/>
            <w:tcBorders>
              <w:top w:val="nil"/>
              <w:left w:val="single" w:sz="12" w:space="0" w:color="auto"/>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1.20%</w:t>
            </w:r>
          </w:p>
        </w:tc>
        <w:tc>
          <w:tcPr>
            <w:tcW w:w="917"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1.40%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1.70%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1.70%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s="Calibri"/>
                <w:color w:val="000000"/>
                <w:sz w:val="20"/>
                <w:szCs w:val="20"/>
              </w:rPr>
              <w:t>1.70%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1.80%</w:t>
            </w:r>
          </w:p>
        </w:tc>
      </w:tr>
      <w:tr w:rsidR="000D596D" w:rsidTr="000D596D">
        <w:trPr>
          <w:trHeight w:val="299"/>
        </w:trPr>
        <w:tc>
          <w:tcPr>
            <w:tcW w:w="1253" w:type="dxa"/>
            <w:tcBorders>
              <w:top w:val="nil"/>
              <w:left w:val="single" w:sz="8" w:space="0" w:color="auto"/>
              <w:bottom w:val="single" w:sz="8" w:space="0" w:color="auto"/>
              <w:right w:val="single" w:sz="8" w:space="0" w:color="auto"/>
            </w:tcBorders>
            <w:shd w:val="clear" w:color="auto" w:fill="auto"/>
            <w:noWrap/>
            <w:vAlign w:val="center"/>
            <w:hideMark/>
          </w:tcPr>
          <w:p w:rsidR="000D596D" w:rsidRDefault="000D596D">
            <w:pPr>
              <w:rPr>
                <w:rFonts w:ascii="Calibri" w:hAnsi="Calibri"/>
                <w:color w:val="000000"/>
                <w:sz w:val="20"/>
                <w:szCs w:val="20"/>
              </w:rPr>
            </w:pPr>
            <w:r>
              <w:rPr>
                <w:rFonts w:ascii="Calibri" w:hAnsi="Calibri"/>
                <w:color w:val="000000"/>
                <w:sz w:val="20"/>
                <w:szCs w:val="20"/>
              </w:rPr>
              <w:t>FBO</w:t>
            </w:r>
          </w:p>
        </w:tc>
        <w:tc>
          <w:tcPr>
            <w:tcW w:w="742"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125</w:t>
            </w:r>
          </w:p>
        </w:tc>
        <w:tc>
          <w:tcPr>
            <w:tcW w:w="742"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128</w:t>
            </w:r>
          </w:p>
        </w:tc>
        <w:tc>
          <w:tcPr>
            <w:tcW w:w="742"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117</w:t>
            </w:r>
          </w:p>
        </w:tc>
        <w:tc>
          <w:tcPr>
            <w:tcW w:w="773"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171</w:t>
            </w:r>
          </w:p>
        </w:tc>
        <w:tc>
          <w:tcPr>
            <w:tcW w:w="773"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s="Calibri"/>
                <w:color w:val="000000"/>
                <w:sz w:val="20"/>
                <w:szCs w:val="20"/>
              </w:rPr>
              <w:t>148</w:t>
            </w:r>
          </w:p>
        </w:tc>
        <w:tc>
          <w:tcPr>
            <w:tcW w:w="742" w:type="dxa"/>
            <w:tcBorders>
              <w:top w:val="nil"/>
              <w:left w:val="nil"/>
              <w:bottom w:val="single" w:sz="8" w:space="0" w:color="auto"/>
              <w:right w:val="nil"/>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118</w:t>
            </w:r>
          </w:p>
        </w:tc>
        <w:tc>
          <w:tcPr>
            <w:tcW w:w="917" w:type="dxa"/>
            <w:tcBorders>
              <w:top w:val="nil"/>
              <w:left w:val="single" w:sz="12" w:space="0" w:color="auto"/>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1.40%</w:t>
            </w:r>
          </w:p>
        </w:tc>
        <w:tc>
          <w:tcPr>
            <w:tcW w:w="917"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1.50%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1.30%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1.70%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s="Calibri"/>
                <w:color w:val="000000"/>
                <w:sz w:val="20"/>
                <w:szCs w:val="20"/>
              </w:rPr>
              <w:t>1.50%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1.20%</w:t>
            </w:r>
          </w:p>
        </w:tc>
      </w:tr>
      <w:tr w:rsidR="000D596D" w:rsidTr="000D596D">
        <w:trPr>
          <w:trHeight w:val="299"/>
        </w:trPr>
        <w:tc>
          <w:tcPr>
            <w:tcW w:w="1253" w:type="dxa"/>
            <w:tcBorders>
              <w:top w:val="nil"/>
              <w:left w:val="single" w:sz="8" w:space="0" w:color="auto"/>
              <w:bottom w:val="single" w:sz="8" w:space="0" w:color="auto"/>
              <w:right w:val="single" w:sz="8" w:space="0" w:color="auto"/>
            </w:tcBorders>
            <w:shd w:val="clear" w:color="auto" w:fill="auto"/>
            <w:noWrap/>
            <w:vAlign w:val="center"/>
            <w:hideMark/>
          </w:tcPr>
          <w:p w:rsidR="000D596D" w:rsidRDefault="000D596D">
            <w:pPr>
              <w:rPr>
                <w:rFonts w:ascii="Calibri" w:hAnsi="Calibri"/>
                <w:color w:val="000000"/>
                <w:sz w:val="20"/>
                <w:szCs w:val="20"/>
              </w:rPr>
            </w:pPr>
            <w:r>
              <w:rPr>
                <w:rFonts w:ascii="Calibri" w:hAnsi="Calibri"/>
                <w:color w:val="000000"/>
                <w:sz w:val="20"/>
                <w:szCs w:val="20"/>
              </w:rPr>
              <w:t>FPC</w:t>
            </w:r>
          </w:p>
        </w:tc>
        <w:tc>
          <w:tcPr>
            <w:tcW w:w="742"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8</w:t>
            </w:r>
          </w:p>
        </w:tc>
        <w:tc>
          <w:tcPr>
            <w:tcW w:w="742"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6</w:t>
            </w:r>
          </w:p>
        </w:tc>
        <w:tc>
          <w:tcPr>
            <w:tcW w:w="742"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9</w:t>
            </w:r>
          </w:p>
        </w:tc>
        <w:tc>
          <w:tcPr>
            <w:tcW w:w="773"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26</w:t>
            </w:r>
          </w:p>
        </w:tc>
        <w:tc>
          <w:tcPr>
            <w:tcW w:w="773"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s="Calibri"/>
                <w:color w:val="000000"/>
                <w:sz w:val="20"/>
                <w:szCs w:val="20"/>
              </w:rPr>
              <w:t>24</w:t>
            </w:r>
          </w:p>
        </w:tc>
        <w:tc>
          <w:tcPr>
            <w:tcW w:w="742" w:type="dxa"/>
            <w:tcBorders>
              <w:top w:val="nil"/>
              <w:left w:val="nil"/>
              <w:bottom w:val="single" w:sz="8" w:space="0" w:color="auto"/>
              <w:right w:val="nil"/>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17</w:t>
            </w:r>
          </w:p>
        </w:tc>
        <w:tc>
          <w:tcPr>
            <w:tcW w:w="917" w:type="dxa"/>
            <w:tcBorders>
              <w:top w:val="nil"/>
              <w:left w:val="single" w:sz="12" w:space="0" w:color="auto"/>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0.10%</w:t>
            </w:r>
          </w:p>
        </w:tc>
        <w:tc>
          <w:tcPr>
            <w:tcW w:w="917"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0.10%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0.10%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0.30%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s="Calibri"/>
                <w:color w:val="000000"/>
                <w:sz w:val="20"/>
                <w:szCs w:val="20"/>
              </w:rPr>
              <w:t>0.20%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0.20%</w:t>
            </w:r>
          </w:p>
        </w:tc>
      </w:tr>
      <w:tr w:rsidR="000D596D" w:rsidTr="000D596D">
        <w:trPr>
          <w:trHeight w:val="299"/>
        </w:trPr>
        <w:tc>
          <w:tcPr>
            <w:tcW w:w="1253" w:type="dxa"/>
            <w:tcBorders>
              <w:top w:val="nil"/>
              <w:left w:val="single" w:sz="8" w:space="0" w:color="auto"/>
              <w:bottom w:val="single" w:sz="8" w:space="0" w:color="auto"/>
              <w:right w:val="single" w:sz="8" w:space="0" w:color="auto"/>
            </w:tcBorders>
            <w:shd w:val="clear" w:color="auto" w:fill="auto"/>
            <w:noWrap/>
            <w:vAlign w:val="center"/>
            <w:hideMark/>
          </w:tcPr>
          <w:p w:rsidR="000D596D" w:rsidRDefault="000D596D">
            <w:pPr>
              <w:rPr>
                <w:rFonts w:ascii="Calibri" w:hAnsi="Calibri"/>
                <w:color w:val="000000"/>
                <w:sz w:val="20"/>
                <w:szCs w:val="20"/>
              </w:rPr>
            </w:pPr>
            <w:r>
              <w:rPr>
                <w:rFonts w:ascii="Calibri" w:hAnsi="Calibri"/>
                <w:color w:val="000000"/>
                <w:sz w:val="20"/>
                <w:szCs w:val="20"/>
              </w:rPr>
              <w:t>NPA</w:t>
            </w:r>
          </w:p>
        </w:tc>
        <w:tc>
          <w:tcPr>
            <w:tcW w:w="742"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200</w:t>
            </w:r>
          </w:p>
        </w:tc>
        <w:tc>
          <w:tcPr>
            <w:tcW w:w="742"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170</w:t>
            </w:r>
          </w:p>
        </w:tc>
        <w:tc>
          <w:tcPr>
            <w:tcW w:w="742"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200</w:t>
            </w:r>
          </w:p>
        </w:tc>
        <w:tc>
          <w:tcPr>
            <w:tcW w:w="773"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219</w:t>
            </w:r>
          </w:p>
        </w:tc>
        <w:tc>
          <w:tcPr>
            <w:tcW w:w="773"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s="Calibri"/>
                <w:color w:val="000000"/>
                <w:sz w:val="20"/>
                <w:szCs w:val="20"/>
              </w:rPr>
              <w:t>226</w:t>
            </w:r>
          </w:p>
        </w:tc>
        <w:tc>
          <w:tcPr>
            <w:tcW w:w="742" w:type="dxa"/>
            <w:tcBorders>
              <w:top w:val="nil"/>
              <w:left w:val="nil"/>
              <w:bottom w:val="single" w:sz="8" w:space="0" w:color="auto"/>
              <w:right w:val="nil"/>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219</w:t>
            </w:r>
          </w:p>
        </w:tc>
        <w:tc>
          <w:tcPr>
            <w:tcW w:w="917" w:type="dxa"/>
            <w:tcBorders>
              <w:top w:val="nil"/>
              <w:left w:val="single" w:sz="12" w:space="0" w:color="auto"/>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2.20%</w:t>
            </w:r>
          </w:p>
        </w:tc>
        <w:tc>
          <w:tcPr>
            <w:tcW w:w="917"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2.00%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2.20%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2.10%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s="Calibri"/>
                <w:color w:val="000000"/>
                <w:sz w:val="20"/>
                <w:szCs w:val="20"/>
              </w:rPr>
              <w:t>2.20%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2.20%</w:t>
            </w:r>
          </w:p>
        </w:tc>
      </w:tr>
      <w:tr w:rsidR="000D596D" w:rsidTr="000D596D">
        <w:trPr>
          <w:trHeight w:val="299"/>
        </w:trPr>
        <w:tc>
          <w:tcPr>
            <w:tcW w:w="1253" w:type="dxa"/>
            <w:tcBorders>
              <w:top w:val="nil"/>
              <w:left w:val="single" w:sz="8" w:space="0" w:color="auto"/>
              <w:bottom w:val="single" w:sz="8" w:space="0" w:color="auto"/>
              <w:right w:val="single" w:sz="8" w:space="0" w:color="auto"/>
            </w:tcBorders>
            <w:shd w:val="clear" w:color="auto" w:fill="auto"/>
            <w:noWrap/>
            <w:vAlign w:val="center"/>
            <w:hideMark/>
          </w:tcPr>
          <w:p w:rsidR="000D596D" w:rsidRDefault="000D596D">
            <w:pPr>
              <w:rPr>
                <w:rFonts w:ascii="Calibri" w:hAnsi="Calibri"/>
                <w:color w:val="000000"/>
                <w:sz w:val="20"/>
                <w:szCs w:val="20"/>
              </w:rPr>
            </w:pPr>
            <w:r>
              <w:rPr>
                <w:rFonts w:ascii="Calibri" w:hAnsi="Calibri"/>
                <w:color w:val="000000"/>
                <w:sz w:val="20"/>
                <w:szCs w:val="20"/>
              </w:rPr>
              <w:t>Other</w:t>
            </w:r>
          </w:p>
        </w:tc>
        <w:tc>
          <w:tcPr>
            <w:tcW w:w="742"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166</w:t>
            </w:r>
          </w:p>
        </w:tc>
        <w:tc>
          <w:tcPr>
            <w:tcW w:w="742"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174</w:t>
            </w:r>
          </w:p>
        </w:tc>
        <w:tc>
          <w:tcPr>
            <w:tcW w:w="742"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172</w:t>
            </w:r>
          </w:p>
        </w:tc>
        <w:tc>
          <w:tcPr>
            <w:tcW w:w="773"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208</w:t>
            </w:r>
          </w:p>
        </w:tc>
        <w:tc>
          <w:tcPr>
            <w:tcW w:w="773"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s="Calibri"/>
                <w:color w:val="000000"/>
                <w:sz w:val="20"/>
                <w:szCs w:val="20"/>
              </w:rPr>
              <w:t>206</w:t>
            </w:r>
          </w:p>
        </w:tc>
        <w:tc>
          <w:tcPr>
            <w:tcW w:w="742" w:type="dxa"/>
            <w:tcBorders>
              <w:top w:val="nil"/>
              <w:left w:val="nil"/>
              <w:bottom w:val="single" w:sz="8" w:space="0" w:color="auto"/>
              <w:right w:val="nil"/>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190</w:t>
            </w:r>
          </w:p>
        </w:tc>
        <w:tc>
          <w:tcPr>
            <w:tcW w:w="917" w:type="dxa"/>
            <w:tcBorders>
              <w:top w:val="nil"/>
              <w:left w:val="single" w:sz="12" w:space="0" w:color="auto"/>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1.80%</w:t>
            </w:r>
          </w:p>
        </w:tc>
        <w:tc>
          <w:tcPr>
            <w:tcW w:w="917"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2.00%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1.90%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2.00%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s="Calibri"/>
                <w:color w:val="000000"/>
                <w:sz w:val="20"/>
                <w:szCs w:val="20"/>
              </w:rPr>
              <w:t>2.00%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1.90%</w:t>
            </w:r>
          </w:p>
        </w:tc>
      </w:tr>
      <w:tr w:rsidR="000D596D" w:rsidTr="000D596D">
        <w:trPr>
          <w:trHeight w:val="299"/>
        </w:trPr>
        <w:tc>
          <w:tcPr>
            <w:tcW w:w="1253" w:type="dxa"/>
            <w:tcBorders>
              <w:top w:val="nil"/>
              <w:left w:val="single" w:sz="8" w:space="0" w:color="auto"/>
              <w:bottom w:val="single" w:sz="8" w:space="0" w:color="auto"/>
              <w:right w:val="single" w:sz="8" w:space="0" w:color="auto"/>
            </w:tcBorders>
            <w:shd w:val="clear" w:color="auto" w:fill="auto"/>
            <w:noWrap/>
            <w:vAlign w:val="center"/>
            <w:hideMark/>
          </w:tcPr>
          <w:p w:rsidR="000D596D" w:rsidRDefault="000D596D">
            <w:pPr>
              <w:rPr>
                <w:rFonts w:ascii="Calibri" w:hAnsi="Calibri"/>
                <w:color w:val="000000"/>
                <w:sz w:val="20"/>
                <w:szCs w:val="20"/>
              </w:rPr>
            </w:pPr>
            <w:r>
              <w:rPr>
                <w:rFonts w:ascii="Calibri" w:hAnsi="Calibri"/>
                <w:color w:val="000000"/>
                <w:sz w:val="20"/>
                <w:szCs w:val="20"/>
              </w:rPr>
              <w:t>SD</w:t>
            </w:r>
          </w:p>
        </w:tc>
        <w:tc>
          <w:tcPr>
            <w:tcW w:w="742"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8,036</w:t>
            </w:r>
          </w:p>
        </w:tc>
        <w:tc>
          <w:tcPr>
            <w:tcW w:w="742"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7,684</w:t>
            </w:r>
          </w:p>
        </w:tc>
        <w:tc>
          <w:tcPr>
            <w:tcW w:w="742"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7,998</w:t>
            </w:r>
          </w:p>
        </w:tc>
        <w:tc>
          <w:tcPr>
            <w:tcW w:w="773"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8,717</w:t>
            </w:r>
          </w:p>
        </w:tc>
        <w:tc>
          <w:tcPr>
            <w:tcW w:w="773"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s="Calibri"/>
                <w:color w:val="000000"/>
                <w:sz w:val="20"/>
                <w:szCs w:val="20"/>
              </w:rPr>
              <w:t>8,623</w:t>
            </w:r>
          </w:p>
        </w:tc>
        <w:tc>
          <w:tcPr>
            <w:tcW w:w="742" w:type="dxa"/>
            <w:tcBorders>
              <w:top w:val="nil"/>
              <w:left w:val="nil"/>
              <w:bottom w:val="single" w:sz="8" w:space="0" w:color="auto"/>
              <w:right w:val="nil"/>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8,331</w:t>
            </w:r>
          </w:p>
        </w:tc>
        <w:tc>
          <w:tcPr>
            <w:tcW w:w="917" w:type="dxa"/>
            <w:tcBorders>
              <w:top w:val="nil"/>
              <w:left w:val="single" w:sz="12" w:space="0" w:color="auto"/>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88.80%</w:t>
            </w:r>
          </w:p>
        </w:tc>
        <w:tc>
          <w:tcPr>
            <w:tcW w:w="917"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88.30%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87.50%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85.60%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s="Calibri"/>
                <w:color w:val="000000"/>
                <w:sz w:val="20"/>
                <w:szCs w:val="20"/>
              </w:rPr>
              <w:t>84.50%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83.40%</w:t>
            </w:r>
          </w:p>
        </w:tc>
      </w:tr>
      <w:tr w:rsidR="000D596D" w:rsidTr="000D596D">
        <w:trPr>
          <w:trHeight w:val="299"/>
        </w:trPr>
        <w:tc>
          <w:tcPr>
            <w:tcW w:w="1253" w:type="dxa"/>
            <w:tcBorders>
              <w:top w:val="nil"/>
              <w:left w:val="single" w:sz="8" w:space="0" w:color="auto"/>
              <w:bottom w:val="single" w:sz="8" w:space="0" w:color="auto"/>
              <w:right w:val="single" w:sz="8" w:space="0" w:color="auto"/>
            </w:tcBorders>
            <w:shd w:val="clear" w:color="auto" w:fill="auto"/>
            <w:noWrap/>
            <w:vAlign w:val="center"/>
            <w:hideMark/>
          </w:tcPr>
          <w:p w:rsidR="000D596D" w:rsidRDefault="000D596D">
            <w:pPr>
              <w:rPr>
                <w:rFonts w:ascii="Calibri" w:hAnsi="Calibri"/>
                <w:b/>
                <w:bCs/>
                <w:color w:val="000000"/>
                <w:sz w:val="20"/>
                <w:szCs w:val="20"/>
              </w:rPr>
            </w:pPr>
            <w:r>
              <w:rPr>
                <w:rFonts w:ascii="Calibri" w:hAnsi="Calibri"/>
                <w:b/>
                <w:bCs/>
                <w:color w:val="000000"/>
                <w:sz w:val="20"/>
                <w:szCs w:val="20"/>
              </w:rPr>
              <w:t>Total</w:t>
            </w:r>
          </w:p>
        </w:tc>
        <w:tc>
          <w:tcPr>
            <w:tcW w:w="742"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9,053</w:t>
            </w:r>
          </w:p>
        </w:tc>
        <w:tc>
          <w:tcPr>
            <w:tcW w:w="742"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8,704</w:t>
            </w:r>
          </w:p>
        </w:tc>
        <w:tc>
          <w:tcPr>
            <w:tcW w:w="742"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9,141</w:t>
            </w:r>
          </w:p>
        </w:tc>
        <w:tc>
          <w:tcPr>
            <w:tcW w:w="773"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10,188</w:t>
            </w:r>
          </w:p>
        </w:tc>
        <w:tc>
          <w:tcPr>
            <w:tcW w:w="773"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s="Calibri"/>
                <w:color w:val="000000"/>
                <w:sz w:val="20"/>
                <w:szCs w:val="20"/>
              </w:rPr>
              <w:t>10,199</w:t>
            </w:r>
          </w:p>
        </w:tc>
        <w:tc>
          <w:tcPr>
            <w:tcW w:w="742" w:type="dxa"/>
            <w:tcBorders>
              <w:top w:val="nil"/>
              <w:left w:val="nil"/>
              <w:bottom w:val="single" w:sz="8" w:space="0" w:color="auto"/>
              <w:right w:val="nil"/>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9,989</w:t>
            </w:r>
          </w:p>
        </w:tc>
        <w:tc>
          <w:tcPr>
            <w:tcW w:w="917" w:type="dxa"/>
            <w:tcBorders>
              <w:top w:val="nil"/>
              <w:left w:val="single" w:sz="12" w:space="0" w:color="auto"/>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100.00%</w:t>
            </w:r>
          </w:p>
        </w:tc>
        <w:tc>
          <w:tcPr>
            <w:tcW w:w="917" w:type="dxa"/>
            <w:tcBorders>
              <w:top w:val="nil"/>
              <w:left w:val="nil"/>
              <w:bottom w:val="single" w:sz="8" w:space="0" w:color="auto"/>
              <w:right w:val="single" w:sz="8" w:space="0" w:color="auto"/>
            </w:tcBorders>
            <w:shd w:val="clear" w:color="auto" w:fill="auto"/>
            <w:noWrap/>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100.00%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100.00%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100.00%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s="Calibri"/>
                <w:color w:val="000000"/>
                <w:sz w:val="20"/>
                <w:szCs w:val="20"/>
              </w:rPr>
              <w:t>100.00%</w:t>
            </w:r>
          </w:p>
        </w:tc>
        <w:tc>
          <w:tcPr>
            <w:tcW w:w="917" w:type="dxa"/>
            <w:tcBorders>
              <w:top w:val="nil"/>
              <w:left w:val="nil"/>
              <w:bottom w:val="single" w:sz="8" w:space="0" w:color="auto"/>
              <w:right w:val="single" w:sz="8" w:space="0" w:color="auto"/>
            </w:tcBorders>
            <w:shd w:val="clear" w:color="auto" w:fill="auto"/>
            <w:vAlign w:val="center"/>
            <w:hideMark/>
          </w:tcPr>
          <w:p w:rsidR="000D596D" w:rsidRDefault="000D596D">
            <w:pPr>
              <w:jc w:val="center"/>
              <w:rPr>
                <w:rFonts w:ascii="Calibri" w:hAnsi="Calibri"/>
                <w:color w:val="000000"/>
                <w:sz w:val="20"/>
                <w:szCs w:val="20"/>
              </w:rPr>
            </w:pPr>
            <w:r>
              <w:rPr>
                <w:rFonts w:ascii="Calibri" w:hAnsi="Calibri"/>
                <w:color w:val="000000"/>
                <w:sz w:val="20"/>
                <w:szCs w:val="20"/>
              </w:rPr>
              <w:t>100.00%</w:t>
            </w:r>
          </w:p>
        </w:tc>
      </w:tr>
    </w:tbl>
    <w:p w:rsidR="00447439" w:rsidRPr="00447439" w:rsidRDefault="00447439" w:rsidP="00447439"/>
    <w:p w:rsidR="006C6F6A" w:rsidRPr="00D07AC9" w:rsidRDefault="006C6F6A" w:rsidP="009E6250">
      <w:pPr>
        <w:rPr>
          <w:highlight w:val="yellow"/>
        </w:rPr>
      </w:pPr>
    </w:p>
    <w:p w:rsidR="008E5C74" w:rsidRPr="008A3E02" w:rsidRDefault="008E5C74" w:rsidP="009E6250">
      <w:r w:rsidRPr="008A3E02">
        <w:t>In addition to the detailed categories shown above</w:t>
      </w:r>
      <w:r w:rsidR="00FD1927" w:rsidRPr="008A3E02">
        <w:t xml:space="preserve">, centers can also be grouped based on two larger categories, </w:t>
      </w:r>
      <w:r w:rsidR="00FD1927" w:rsidRPr="008A3E02">
        <w:rPr>
          <w:i/>
        </w:rPr>
        <w:t>school-based</w:t>
      </w:r>
      <w:r w:rsidR="00FD1927" w:rsidRPr="008A3E02">
        <w:t xml:space="preserve"> and </w:t>
      </w:r>
      <w:r w:rsidR="00FD1927" w:rsidRPr="008A3E02">
        <w:rPr>
          <w:i/>
        </w:rPr>
        <w:t>non-school-based</w:t>
      </w:r>
      <w:r w:rsidR="000B630C" w:rsidRPr="008A3E02">
        <w:t xml:space="preserve">. </w:t>
      </w:r>
    </w:p>
    <w:p w:rsidR="008E5C74" w:rsidRPr="00D07AC9" w:rsidRDefault="008E5C74" w:rsidP="009E6250">
      <w:pPr>
        <w:rPr>
          <w:highlight w:val="yellow"/>
        </w:rPr>
      </w:pPr>
    </w:p>
    <w:p w:rsidR="00A50F56" w:rsidRDefault="004C667D" w:rsidP="000D4CAA">
      <w:r w:rsidRPr="008A3E02">
        <w:t xml:space="preserve">As shown in </w:t>
      </w:r>
      <w:r w:rsidR="00174B5B" w:rsidRPr="008A3E02">
        <w:fldChar w:fldCharType="begin"/>
      </w:r>
      <w:r w:rsidR="00174B5B" w:rsidRPr="008A3E02">
        <w:instrText xml:space="preserve"> REF _Ref248895694 \h  \* MERGEFORMAT </w:instrText>
      </w:r>
      <w:r w:rsidR="00174B5B" w:rsidRPr="008A3E02">
        <w:fldChar w:fldCharType="separate"/>
      </w:r>
    </w:p>
    <w:p w:rsidR="00A50F56" w:rsidRDefault="00A50F56">
      <w:r>
        <w:br w:type="page"/>
      </w:r>
    </w:p>
    <w:p w:rsidR="00A50F56" w:rsidRDefault="00A50F56" w:rsidP="000D4CAA">
      <w:pPr>
        <w:rPr>
          <w:bCs/>
        </w:rPr>
      </w:pPr>
      <w:r>
        <w:rPr>
          <w:bCs/>
        </w:rPr>
        <w:lastRenderedPageBreak/>
        <w:t xml:space="preserve"> </w:t>
      </w:r>
    </w:p>
    <w:p w:rsidR="000D4CAA" w:rsidRDefault="00A50F56" w:rsidP="000D4CAA">
      <w:proofErr w:type="gramStart"/>
      <w:r w:rsidRPr="008A3E02">
        <w:t xml:space="preserve">Figure </w:t>
      </w:r>
      <w:r>
        <w:rPr>
          <w:noProof/>
        </w:rPr>
        <w:t>1</w:t>
      </w:r>
      <w:r w:rsidR="00174B5B" w:rsidRPr="008A3E02">
        <w:fldChar w:fldCharType="end"/>
      </w:r>
      <w:r w:rsidR="008A3E02" w:rsidRPr="008A3E02">
        <w:t>, approximately 90</w:t>
      </w:r>
      <w:r w:rsidR="00602E2D" w:rsidRPr="008A3E02">
        <w:t xml:space="preserve"> percent of centers were</w:t>
      </w:r>
      <w:proofErr w:type="gramEnd"/>
      <w:r w:rsidR="00602E2D" w:rsidRPr="008A3E02">
        <w:t xml:space="preserve"> hou</w:t>
      </w:r>
      <w:r w:rsidR="00F6289C" w:rsidRPr="008A3E02">
        <w:t>sed in schools; the other</w:t>
      </w:r>
      <w:r w:rsidR="00602E2D" w:rsidRPr="008A3E02">
        <w:t xml:space="preserve"> centers were located at a variety</w:t>
      </w:r>
      <w:r w:rsidR="000B630C" w:rsidRPr="008A3E02">
        <w:t xml:space="preserve"> of non-school-based sites.</w:t>
      </w:r>
      <w:bookmarkStart w:id="15" w:name="_Ref248895694"/>
      <w:bookmarkStart w:id="16" w:name="_Ref248895687"/>
    </w:p>
    <w:p w:rsidR="000D4CAA" w:rsidRDefault="000D4CAA">
      <w:r>
        <w:br w:type="page"/>
      </w:r>
    </w:p>
    <w:p w:rsidR="009F31AE" w:rsidRDefault="000D4CAA" w:rsidP="000D4CAA">
      <w:pPr>
        <w:rPr>
          <w:bCs/>
        </w:rPr>
      </w:pPr>
      <w:r>
        <w:rPr>
          <w:bCs/>
        </w:rPr>
        <w:lastRenderedPageBreak/>
        <w:t xml:space="preserve"> </w:t>
      </w:r>
    </w:p>
    <w:p w:rsidR="009E6250" w:rsidRPr="008A3E02" w:rsidRDefault="004C667D" w:rsidP="004C667D">
      <w:pPr>
        <w:pStyle w:val="Caption"/>
      </w:pPr>
      <w:proofErr w:type="gramStart"/>
      <w:r w:rsidRPr="008A3E02">
        <w:t xml:space="preserve">Figure </w:t>
      </w:r>
      <w:r w:rsidR="00C94DB1" w:rsidRPr="008A3E02">
        <w:fldChar w:fldCharType="begin"/>
      </w:r>
      <w:r w:rsidR="00676242" w:rsidRPr="008A3E02">
        <w:instrText xml:space="preserve"> SEQ Figure \* ARABIC </w:instrText>
      </w:r>
      <w:r w:rsidR="00C94DB1" w:rsidRPr="008A3E02">
        <w:fldChar w:fldCharType="separate"/>
      </w:r>
      <w:r w:rsidR="00A50F56">
        <w:rPr>
          <w:noProof/>
        </w:rPr>
        <w:t>1</w:t>
      </w:r>
      <w:r w:rsidR="00C94DB1" w:rsidRPr="008A3E02">
        <w:rPr>
          <w:noProof/>
        </w:rPr>
        <w:fldChar w:fldCharType="end"/>
      </w:r>
      <w:bookmarkEnd w:id="15"/>
      <w:r w:rsidRPr="008A3E02">
        <w:t>.</w:t>
      </w:r>
      <w:proofErr w:type="gramEnd"/>
      <w:r w:rsidR="009E6250" w:rsidRPr="008A3E02">
        <w:t xml:space="preserve"> Number of 21st CCLCs by School-Based Status</w:t>
      </w:r>
      <w:r w:rsidR="009E6250" w:rsidRPr="008A3E02">
        <w:br/>
        <w:t>During the 2007–08</w:t>
      </w:r>
      <w:r w:rsidR="009B27B9" w:rsidRPr="008A3E02">
        <w:t>,  2008–09</w:t>
      </w:r>
      <w:r w:rsidR="00FC778A" w:rsidRPr="008A3E02">
        <w:t xml:space="preserve">, </w:t>
      </w:r>
      <w:r w:rsidR="00E26F19" w:rsidRPr="008A3E02">
        <w:t>2009-10</w:t>
      </w:r>
      <w:r w:rsidR="00FC778A" w:rsidRPr="008A3E02">
        <w:t>, 2010-11</w:t>
      </w:r>
      <w:r w:rsidR="00B10E74" w:rsidRPr="008A3E02">
        <w:t>, 2011-12</w:t>
      </w:r>
      <w:r w:rsidR="008A3E02" w:rsidRPr="008A3E02">
        <w:t>, and 2012-13</w:t>
      </w:r>
      <w:r w:rsidR="009E6250" w:rsidRPr="008A3E02">
        <w:t xml:space="preserve"> Reporting Periods</w:t>
      </w:r>
      <w:bookmarkEnd w:id="16"/>
    </w:p>
    <w:bookmarkStart w:id="17" w:name="_MON_1471328241"/>
    <w:bookmarkEnd w:id="17"/>
    <w:p w:rsidR="00A23676" w:rsidRDefault="006F603A" w:rsidP="00DF154F">
      <w:pPr>
        <w:jc w:val="center"/>
        <w:rPr>
          <w:noProof/>
        </w:rPr>
      </w:pPr>
      <w:r>
        <w:rPr>
          <w:noProof/>
        </w:rPr>
        <w:object w:dxaOrig="11684" w:dyaOrig="4967" w14:anchorId="42CEA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1. Number of 21st CCLCs by School-Based Status&#10;During the 2007–08,  2008–09, 2009-10, 2010-11, 2011-12, and 2012-13 Reporting Periods&#10;" style="width:430.5pt;height:183pt" o:ole="">
            <v:imagedata r:id="rId11" o:title=""/>
          </v:shape>
          <o:OLEObject Type="Embed" ProgID="Excel.Sheet.12" ShapeID="_x0000_i1025" DrawAspect="Content" ObjectID="_1520163627" r:id="rId12"/>
        </w:object>
      </w:r>
    </w:p>
    <w:p w:rsidR="009F31AE" w:rsidRDefault="009F31AE" w:rsidP="00DF154F">
      <w:pPr>
        <w:jc w:val="center"/>
        <w:rPr>
          <w:b/>
          <w:noProof/>
        </w:rPr>
      </w:pPr>
    </w:p>
    <w:p w:rsidR="009F26D0" w:rsidRDefault="009F26D0" w:rsidP="00DF154F">
      <w:pPr>
        <w:jc w:val="center"/>
        <w:rPr>
          <w:b/>
        </w:rPr>
      </w:pPr>
      <w:r w:rsidRPr="009F26D0">
        <w:rPr>
          <w:b/>
          <w:noProof/>
        </w:rPr>
        <w:t>Table 3. Number and Percent of 21</w:t>
      </w:r>
      <w:r w:rsidRPr="009F26D0">
        <w:rPr>
          <w:b/>
          <w:noProof/>
          <w:vertAlign w:val="superscript"/>
        </w:rPr>
        <w:t>st</w:t>
      </w:r>
      <w:r w:rsidRPr="009F26D0">
        <w:rPr>
          <w:b/>
          <w:noProof/>
        </w:rPr>
        <w:t xml:space="preserve"> CCLCs by School-Based Status During the </w:t>
      </w:r>
      <w:r w:rsidRPr="009F26D0">
        <w:rPr>
          <w:b/>
        </w:rPr>
        <w:t>2007–08,  2008–09, 2009-10, 2010-11, 2011-12, and 2012-13 Reporting Periods</w:t>
      </w:r>
    </w:p>
    <w:tbl>
      <w:tblPr>
        <w:tblW w:w="11276" w:type="dxa"/>
        <w:tblInd w:w="-908" w:type="dxa"/>
        <w:tblLayout w:type="fixed"/>
        <w:tblLook w:val="04A0" w:firstRow="1" w:lastRow="0" w:firstColumn="1" w:lastColumn="0" w:noHBand="0" w:noVBand="1"/>
      </w:tblPr>
      <w:tblGrid>
        <w:gridCol w:w="1285"/>
        <w:gridCol w:w="762"/>
        <w:gridCol w:w="762"/>
        <w:gridCol w:w="762"/>
        <w:gridCol w:w="762"/>
        <w:gridCol w:w="823"/>
        <w:gridCol w:w="720"/>
        <w:gridCol w:w="900"/>
        <w:gridCol w:w="900"/>
        <w:gridCol w:w="900"/>
        <w:gridCol w:w="900"/>
        <w:gridCol w:w="900"/>
        <w:gridCol w:w="900"/>
      </w:tblGrid>
      <w:tr w:rsidR="0047420F" w:rsidTr="0047420F">
        <w:trPr>
          <w:trHeight w:val="563"/>
        </w:trPr>
        <w:tc>
          <w:tcPr>
            <w:tcW w:w="1285" w:type="dxa"/>
            <w:tcBorders>
              <w:top w:val="nil"/>
              <w:left w:val="single" w:sz="8" w:space="0" w:color="auto"/>
              <w:bottom w:val="single" w:sz="8" w:space="0" w:color="auto"/>
              <w:right w:val="single" w:sz="8" w:space="0" w:color="auto"/>
            </w:tcBorders>
            <w:shd w:val="clear" w:color="000000" w:fill="595959"/>
            <w:noWrap/>
            <w:vAlign w:val="center"/>
            <w:hideMark/>
          </w:tcPr>
          <w:p w:rsidR="008C3B12" w:rsidRDefault="008C3B12">
            <w:pPr>
              <w:jc w:val="center"/>
              <w:rPr>
                <w:rFonts w:ascii="Calibri" w:hAnsi="Calibri"/>
                <w:b/>
                <w:bCs/>
                <w:color w:val="FFFFFF"/>
                <w:sz w:val="20"/>
                <w:szCs w:val="20"/>
              </w:rPr>
            </w:pPr>
            <w:r>
              <w:rPr>
                <w:rFonts w:ascii="Calibri" w:hAnsi="Calibri"/>
                <w:b/>
                <w:bCs/>
                <w:color w:val="FFFFFF"/>
                <w:sz w:val="20"/>
                <w:szCs w:val="20"/>
              </w:rPr>
              <w:t>School-Based Status</w:t>
            </w:r>
          </w:p>
        </w:tc>
        <w:tc>
          <w:tcPr>
            <w:tcW w:w="762" w:type="dxa"/>
            <w:tcBorders>
              <w:top w:val="single" w:sz="4" w:space="0" w:color="auto"/>
              <w:left w:val="nil"/>
              <w:bottom w:val="single" w:sz="8" w:space="0" w:color="auto"/>
              <w:right w:val="single" w:sz="8" w:space="0" w:color="auto"/>
            </w:tcBorders>
            <w:shd w:val="clear" w:color="000000" w:fill="BFBFBF"/>
            <w:vAlign w:val="center"/>
            <w:hideMark/>
          </w:tcPr>
          <w:p w:rsidR="008C3B12" w:rsidRDefault="008C3B12">
            <w:pPr>
              <w:jc w:val="center"/>
              <w:rPr>
                <w:rFonts w:ascii="Calibri" w:hAnsi="Calibri"/>
                <w:b/>
                <w:bCs/>
                <w:color w:val="000000"/>
                <w:sz w:val="20"/>
                <w:szCs w:val="20"/>
              </w:rPr>
            </w:pPr>
            <w:r>
              <w:rPr>
                <w:rFonts w:ascii="Calibri" w:hAnsi="Calibri"/>
                <w:b/>
                <w:bCs/>
                <w:color w:val="000000"/>
                <w:sz w:val="20"/>
                <w:szCs w:val="20"/>
              </w:rPr>
              <w:t>No. in 2007-08</w:t>
            </w:r>
          </w:p>
        </w:tc>
        <w:tc>
          <w:tcPr>
            <w:tcW w:w="762" w:type="dxa"/>
            <w:tcBorders>
              <w:top w:val="single" w:sz="4" w:space="0" w:color="auto"/>
              <w:left w:val="nil"/>
              <w:bottom w:val="single" w:sz="8" w:space="0" w:color="auto"/>
              <w:right w:val="single" w:sz="8" w:space="0" w:color="auto"/>
            </w:tcBorders>
            <w:shd w:val="clear" w:color="000000" w:fill="BFBFBF"/>
            <w:vAlign w:val="center"/>
            <w:hideMark/>
          </w:tcPr>
          <w:p w:rsidR="008C3B12" w:rsidRDefault="008C3B12">
            <w:pPr>
              <w:jc w:val="center"/>
              <w:rPr>
                <w:rFonts w:ascii="Calibri" w:hAnsi="Calibri"/>
                <w:b/>
                <w:bCs/>
                <w:color w:val="000000"/>
                <w:sz w:val="20"/>
                <w:szCs w:val="20"/>
              </w:rPr>
            </w:pPr>
            <w:r>
              <w:rPr>
                <w:rFonts w:ascii="Calibri" w:hAnsi="Calibri"/>
                <w:b/>
                <w:bCs/>
                <w:color w:val="000000"/>
                <w:sz w:val="20"/>
                <w:szCs w:val="20"/>
              </w:rPr>
              <w:t>No. in 2008-09</w:t>
            </w:r>
          </w:p>
        </w:tc>
        <w:tc>
          <w:tcPr>
            <w:tcW w:w="762" w:type="dxa"/>
            <w:tcBorders>
              <w:top w:val="single" w:sz="4" w:space="0" w:color="auto"/>
              <w:left w:val="nil"/>
              <w:bottom w:val="single" w:sz="8" w:space="0" w:color="auto"/>
              <w:right w:val="single" w:sz="8" w:space="0" w:color="auto"/>
            </w:tcBorders>
            <w:shd w:val="clear" w:color="000000" w:fill="BFBFBF"/>
            <w:vAlign w:val="center"/>
            <w:hideMark/>
          </w:tcPr>
          <w:p w:rsidR="008C3B12" w:rsidRDefault="008C3B12">
            <w:pPr>
              <w:jc w:val="center"/>
              <w:rPr>
                <w:rFonts w:ascii="Calibri" w:hAnsi="Calibri"/>
                <w:b/>
                <w:bCs/>
                <w:color w:val="000000"/>
                <w:sz w:val="20"/>
                <w:szCs w:val="20"/>
              </w:rPr>
            </w:pPr>
            <w:r>
              <w:rPr>
                <w:rFonts w:ascii="Calibri" w:hAnsi="Calibri"/>
                <w:b/>
                <w:bCs/>
                <w:color w:val="000000"/>
                <w:sz w:val="20"/>
                <w:szCs w:val="20"/>
              </w:rPr>
              <w:t>No. in 2009-10</w:t>
            </w:r>
          </w:p>
        </w:tc>
        <w:tc>
          <w:tcPr>
            <w:tcW w:w="762" w:type="dxa"/>
            <w:tcBorders>
              <w:top w:val="single" w:sz="4" w:space="0" w:color="auto"/>
              <w:left w:val="nil"/>
              <w:bottom w:val="single" w:sz="8" w:space="0" w:color="auto"/>
              <w:right w:val="single" w:sz="8" w:space="0" w:color="auto"/>
            </w:tcBorders>
            <w:shd w:val="clear" w:color="000000" w:fill="BFBFBF"/>
            <w:vAlign w:val="center"/>
            <w:hideMark/>
          </w:tcPr>
          <w:p w:rsidR="008C3B12" w:rsidRDefault="008C3B12">
            <w:pPr>
              <w:jc w:val="center"/>
              <w:rPr>
                <w:rFonts w:ascii="Calibri" w:hAnsi="Calibri"/>
                <w:b/>
                <w:bCs/>
                <w:color w:val="000000"/>
                <w:sz w:val="20"/>
                <w:szCs w:val="20"/>
              </w:rPr>
            </w:pPr>
            <w:r>
              <w:rPr>
                <w:rFonts w:ascii="Calibri" w:hAnsi="Calibri"/>
                <w:b/>
                <w:bCs/>
                <w:color w:val="000000"/>
                <w:sz w:val="20"/>
                <w:szCs w:val="20"/>
              </w:rPr>
              <w:t>No. in 2010-11</w:t>
            </w:r>
          </w:p>
        </w:tc>
        <w:tc>
          <w:tcPr>
            <w:tcW w:w="823" w:type="dxa"/>
            <w:tcBorders>
              <w:top w:val="single" w:sz="4" w:space="0" w:color="auto"/>
              <w:left w:val="nil"/>
              <w:bottom w:val="single" w:sz="8" w:space="0" w:color="auto"/>
              <w:right w:val="single" w:sz="8" w:space="0" w:color="auto"/>
            </w:tcBorders>
            <w:shd w:val="clear" w:color="000000" w:fill="BFBFBF"/>
            <w:vAlign w:val="center"/>
            <w:hideMark/>
          </w:tcPr>
          <w:p w:rsidR="008C3B12" w:rsidRDefault="008C3B12">
            <w:pPr>
              <w:jc w:val="center"/>
              <w:rPr>
                <w:rFonts w:ascii="Calibri" w:hAnsi="Calibri"/>
                <w:b/>
                <w:bCs/>
                <w:color w:val="000000"/>
                <w:sz w:val="20"/>
                <w:szCs w:val="20"/>
              </w:rPr>
            </w:pPr>
            <w:r>
              <w:rPr>
                <w:rFonts w:ascii="Calibri" w:hAnsi="Calibri"/>
                <w:b/>
                <w:bCs/>
                <w:color w:val="000000"/>
                <w:sz w:val="20"/>
                <w:szCs w:val="20"/>
              </w:rPr>
              <w:t>No. in 2011-12</w:t>
            </w:r>
          </w:p>
        </w:tc>
        <w:tc>
          <w:tcPr>
            <w:tcW w:w="720" w:type="dxa"/>
            <w:tcBorders>
              <w:top w:val="single" w:sz="4" w:space="0" w:color="auto"/>
              <w:left w:val="nil"/>
              <w:bottom w:val="single" w:sz="8" w:space="0" w:color="auto"/>
              <w:right w:val="single" w:sz="8" w:space="0" w:color="auto"/>
            </w:tcBorders>
            <w:shd w:val="clear" w:color="000000" w:fill="BFBFBF"/>
            <w:vAlign w:val="center"/>
            <w:hideMark/>
          </w:tcPr>
          <w:p w:rsidR="008C3B12" w:rsidRDefault="008C3B12">
            <w:pPr>
              <w:jc w:val="center"/>
              <w:rPr>
                <w:rFonts w:ascii="Calibri" w:hAnsi="Calibri"/>
                <w:b/>
                <w:bCs/>
                <w:color w:val="000000"/>
                <w:sz w:val="20"/>
                <w:szCs w:val="20"/>
              </w:rPr>
            </w:pPr>
            <w:r>
              <w:rPr>
                <w:rFonts w:ascii="Calibri" w:hAnsi="Calibri"/>
                <w:b/>
                <w:bCs/>
                <w:color w:val="000000"/>
                <w:sz w:val="20"/>
                <w:szCs w:val="20"/>
              </w:rPr>
              <w:t>No. in 2012-13</w:t>
            </w:r>
          </w:p>
        </w:tc>
        <w:tc>
          <w:tcPr>
            <w:tcW w:w="900" w:type="dxa"/>
            <w:tcBorders>
              <w:top w:val="single" w:sz="4" w:space="0" w:color="auto"/>
              <w:left w:val="nil"/>
              <w:bottom w:val="single" w:sz="8" w:space="0" w:color="auto"/>
              <w:right w:val="single" w:sz="8" w:space="0" w:color="auto"/>
            </w:tcBorders>
            <w:shd w:val="clear" w:color="000000" w:fill="BFBFBF"/>
            <w:vAlign w:val="center"/>
            <w:hideMark/>
          </w:tcPr>
          <w:p w:rsidR="008C3B12" w:rsidRDefault="008C3B12">
            <w:pPr>
              <w:jc w:val="center"/>
              <w:rPr>
                <w:rFonts w:ascii="Calibri" w:hAnsi="Calibri"/>
                <w:b/>
                <w:bCs/>
                <w:color w:val="000000"/>
                <w:sz w:val="20"/>
                <w:szCs w:val="20"/>
              </w:rPr>
            </w:pPr>
            <w:r>
              <w:rPr>
                <w:rFonts w:ascii="Calibri" w:hAnsi="Calibri"/>
                <w:b/>
                <w:bCs/>
                <w:color w:val="000000"/>
                <w:sz w:val="20"/>
                <w:szCs w:val="20"/>
              </w:rPr>
              <w:t>Percent in 2007-08</w:t>
            </w:r>
          </w:p>
        </w:tc>
        <w:tc>
          <w:tcPr>
            <w:tcW w:w="900" w:type="dxa"/>
            <w:tcBorders>
              <w:top w:val="single" w:sz="4" w:space="0" w:color="auto"/>
              <w:left w:val="nil"/>
              <w:bottom w:val="single" w:sz="8" w:space="0" w:color="auto"/>
              <w:right w:val="single" w:sz="8" w:space="0" w:color="auto"/>
            </w:tcBorders>
            <w:shd w:val="clear" w:color="000000" w:fill="BFBFBF"/>
            <w:vAlign w:val="center"/>
            <w:hideMark/>
          </w:tcPr>
          <w:p w:rsidR="008C3B12" w:rsidRDefault="008C3B12">
            <w:pPr>
              <w:jc w:val="center"/>
              <w:rPr>
                <w:rFonts w:ascii="Calibri" w:hAnsi="Calibri"/>
                <w:b/>
                <w:bCs/>
                <w:color w:val="000000"/>
                <w:sz w:val="20"/>
                <w:szCs w:val="20"/>
              </w:rPr>
            </w:pPr>
            <w:r>
              <w:rPr>
                <w:rFonts w:ascii="Calibri" w:hAnsi="Calibri"/>
                <w:b/>
                <w:bCs/>
                <w:color w:val="000000"/>
                <w:sz w:val="20"/>
                <w:szCs w:val="20"/>
              </w:rPr>
              <w:t>Percent in 2008-09</w:t>
            </w:r>
          </w:p>
        </w:tc>
        <w:tc>
          <w:tcPr>
            <w:tcW w:w="900" w:type="dxa"/>
            <w:tcBorders>
              <w:top w:val="single" w:sz="4" w:space="0" w:color="auto"/>
              <w:left w:val="nil"/>
              <w:bottom w:val="single" w:sz="8" w:space="0" w:color="auto"/>
              <w:right w:val="single" w:sz="8" w:space="0" w:color="auto"/>
            </w:tcBorders>
            <w:shd w:val="clear" w:color="000000" w:fill="BFBFBF"/>
            <w:vAlign w:val="center"/>
            <w:hideMark/>
          </w:tcPr>
          <w:p w:rsidR="008C3B12" w:rsidRDefault="008C3B12">
            <w:pPr>
              <w:jc w:val="center"/>
              <w:rPr>
                <w:rFonts w:ascii="Calibri" w:hAnsi="Calibri"/>
                <w:b/>
                <w:bCs/>
                <w:color w:val="000000"/>
                <w:sz w:val="20"/>
                <w:szCs w:val="20"/>
              </w:rPr>
            </w:pPr>
            <w:r>
              <w:rPr>
                <w:rFonts w:ascii="Calibri" w:hAnsi="Calibri"/>
                <w:b/>
                <w:bCs/>
                <w:color w:val="000000"/>
                <w:sz w:val="20"/>
                <w:szCs w:val="20"/>
              </w:rPr>
              <w:t>Percent in 2009-10</w:t>
            </w:r>
          </w:p>
        </w:tc>
        <w:tc>
          <w:tcPr>
            <w:tcW w:w="900" w:type="dxa"/>
            <w:tcBorders>
              <w:top w:val="single" w:sz="4" w:space="0" w:color="auto"/>
              <w:left w:val="nil"/>
              <w:bottom w:val="single" w:sz="8" w:space="0" w:color="auto"/>
              <w:right w:val="single" w:sz="8" w:space="0" w:color="auto"/>
            </w:tcBorders>
            <w:shd w:val="clear" w:color="000000" w:fill="BFBFBF"/>
            <w:vAlign w:val="center"/>
            <w:hideMark/>
          </w:tcPr>
          <w:p w:rsidR="008C3B12" w:rsidRDefault="008C3B12">
            <w:pPr>
              <w:jc w:val="center"/>
              <w:rPr>
                <w:rFonts w:ascii="Calibri" w:hAnsi="Calibri"/>
                <w:b/>
                <w:bCs/>
                <w:color w:val="000000"/>
                <w:sz w:val="20"/>
                <w:szCs w:val="20"/>
              </w:rPr>
            </w:pPr>
            <w:r>
              <w:rPr>
                <w:rFonts w:ascii="Calibri" w:hAnsi="Calibri"/>
                <w:b/>
                <w:bCs/>
                <w:color w:val="000000"/>
                <w:sz w:val="20"/>
                <w:szCs w:val="20"/>
              </w:rPr>
              <w:t>Percent in 2010-11</w:t>
            </w:r>
          </w:p>
        </w:tc>
        <w:tc>
          <w:tcPr>
            <w:tcW w:w="900" w:type="dxa"/>
            <w:tcBorders>
              <w:top w:val="single" w:sz="4" w:space="0" w:color="auto"/>
              <w:left w:val="nil"/>
              <w:bottom w:val="single" w:sz="8" w:space="0" w:color="auto"/>
              <w:right w:val="single" w:sz="8" w:space="0" w:color="auto"/>
            </w:tcBorders>
            <w:shd w:val="clear" w:color="000000" w:fill="BFBFBF"/>
            <w:vAlign w:val="center"/>
            <w:hideMark/>
          </w:tcPr>
          <w:p w:rsidR="008C3B12" w:rsidRDefault="008C3B12">
            <w:pPr>
              <w:jc w:val="center"/>
              <w:rPr>
                <w:rFonts w:ascii="Calibri" w:hAnsi="Calibri"/>
                <w:b/>
                <w:bCs/>
                <w:color w:val="000000"/>
                <w:sz w:val="20"/>
                <w:szCs w:val="20"/>
              </w:rPr>
            </w:pPr>
            <w:r>
              <w:rPr>
                <w:rFonts w:ascii="Calibri" w:hAnsi="Calibri"/>
                <w:b/>
                <w:bCs/>
                <w:color w:val="000000"/>
                <w:sz w:val="20"/>
                <w:szCs w:val="20"/>
              </w:rPr>
              <w:t>Percent in 2011-12</w:t>
            </w:r>
          </w:p>
        </w:tc>
        <w:tc>
          <w:tcPr>
            <w:tcW w:w="900" w:type="dxa"/>
            <w:tcBorders>
              <w:top w:val="single" w:sz="4" w:space="0" w:color="auto"/>
              <w:left w:val="nil"/>
              <w:bottom w:val="single" w:sz="8" w:space="0" w:color="auto"/>
              <w:right w:val="single" w:sz="8" w:space="0" w:color="auto"/>
            </w:tcBorders>
            <w:shd w:val="clear" w:color="000000" w:fill="BFBFBF"/>
            <w:vAlign w:val="center"/>
            <w:hideMark/>
          </w:tcPr>
          <w:p w:rsidR="008C3B12" w:rsidRDefault="008C3B12">
            <w:pPr>
              <w:jc w:val="center"/>
              <w:rPr>
                <w:rFonts w:ascii="Calibri" w:hAnsi="Calibri"/>
                <w:b/>
                <w:bCs/>
                <w:color w:val="000000"/>
                <w:sz w:val="20"/>
                <w:szCs w:val="20"/>
              </w:rPr>
            </w:pPr>
            <w:r>
              <w:rPr>
                <w:rFonts w:ascii="Calibri" w:hAnsi="Calibri"/>
                <w:b/>
                <w:bCs/>
                <w:color w:val="000000"/>
                <w:sz w:val="20"/>
                <w:szCs w:val="20"/>
              </w:rPr>
              <w:t>Percent in 2012-13</w:t>
            </w:r>
          </w:p>
        </w:tc>
      </w:tr>
      <w:tr w:rsidR="008C3B12" w:rsidTr="0047420F">
        <w:trPr>
          <w:trHeight w:val="338"/>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8C3B12" w:rsidRDefault="008C3B12">
            <w:pPr>
              <w:rPr>
                <w:rFonts w:ascii="Calibri" w:hAnsi="Calibri"/>
                <w:b/>
                <w:bCs/>
                <w:color w:val="000000"/>
                <w:sz w:val="20"/>
                <w:szCs w:val="20"/>
              </w:rPr>
            </w:pPr>
            <w:r>
              <w:rPr>
                <w:rFonts w:ascii="Calibri" w:hAnsi="Calibri"/>
                <w:b/>
                <w:bCs/>
                <w:color w:val="000000"/>
                <w:sz w:val="20"/>
                <w:szCs w:val="20"/>
              </w:rPr>
              <w:t>MISSING*</w:t>
            </w:r>
          </w:p>
        </w:tc>
        <w:tc>
          <w:tcPr>
            <w:tcW w:w="762" w:type="dxa"/>
            <w:tcBorders>
              <w:top w:val="nil"/>
              <w:left w:val="nil"/>
              <w:bottom w:val="single" w:sz="8" w:space="0" w:color="auto"/>
              <w:right w:val="single" w:sz="8" w:space="0" w:color="auto"/>
            </w:tcBorders>
            <w:shd w:val="clear" w:color="auto" w:fill="auto"/>
            <w:noWrap/>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5</w:t>
            </w:r>
          </w:p>
        </w:tc>
        <w:tc>
          <w:tcPr>
            <w:tcW w:w="762" w:type="dxa"/>
            <w:tcBorders>
              <w:top w:val="nil"/>
              <w:left w:val="nil"/>
              <w:bottom w:val="single" w:sz="8" w:space="0" w:color="auto"/>
              <w:right w:val="single" w:sz="8" w:space="0" w:color="auto"/>
            </w:tcBorders>
            <w:shd w:val="clear" w:color="auto" w:fill="auto"/>
            <w:noWrap/>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14</w:t>
            </w:r>
          </w:p>
        </w:tc>
        <w:tc>
          <w:tcPr>
            <w:tcW w:w="762" w:type="dxa"/>
            <w:tcBorders>
              <w:top w:val="nil"/>
              <w:left w:val="nil"/>
              <w:bottom w:val="single" w:sz="8" w:space="0" w:color="auto"/>
              <w:right w:val="single" w:sz="8" w:space="0" w:color="auto"/>
            </w:tcBorders>
            <w:shd w:val="clear" w:color="auto" w:fill="auto"/>
            <w:noWrap/>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77</w:t>
            </w:r>
          </w:p>
        </w:tc>
        <w:tc>
          <w:tcPr>
            <w:tcW w:w="762" w:type="dxa"/>
            <w:tcBorders>
              <w:top w:val="nil"/>
              <w:left w:val="nil"/>
              <w:bottom w:val="single" w:sz="8" w:space="0" w:color="auto"/>
              <w:right w:val="single" w:sz="8" w:space="0" w:color="auto"/>
            </w:tcBorders>
            <w:shd w:val="clear" w:color="auto" w:fill="auto"/>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154</w:t>
            </w:r>
          </w:p>
        </w:tc>
        <w:tc>
          <w:tcPr>
            <w:tcW w:w="823" w:type="dxa"/>
            <w:tcBorders>
              <w:top w:val="nil"/>
              <w:left w:val="nil"/>
              <w:bottom w:val="single" w:sz="8" w:space="0" w:color="auto"/>
              <w:right w:val="single" w:sz="8" w:space="0" w:color="auto"/>
            </w:tcBorders>
            <w:shd w:val="clear" w:color="auto" w:fill="auto"/>
            <w:noWrap/>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310</w:t>
            </w:r>
          </w:p>
        </w:tc>
        <w:tc>
          <w:tcPr>
            <w:tcW w:w="720" w:type="dxa"/>
            <w:tcBorders>
              <w:top w:val="nil"/>
              <w:left w:val="nil"/>
              <w:bottom w:val="single" w:sz="8" w:space="0" w:color="auto"/>
              <w:right w:val="single" w:sz="8" w:space="0" w:color="auto"/>
            </w:tcBorders>
            <w:shd w:val="clear" w:color="auto" w:fill="auto"/>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476</w:t>
            </w:r>
          </w:p>
        </w:tc>
        <w:tc>
          <w:tcPr>
            <w:tcW w:w="900" w:type="dxa"/>
            <w:tcBorders>
              <w:top w:val="nil"/>
              <w:left w:val="nil"/>
              <w:bottom w:val="single" w:sz="8" w:space="0" w:color="auto"/>
              <w:right w:val="single" w:sz="8" w:space="0" w:color="auto"/>
            </w:tcBorders>
            <w:shd w:val="clear" w:color="auto" w:fill="auto"/>
            <w:noWrap/>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w:t>
            </w:r>
          </w:p>
        </w:tc>
        <w:tc>
          <w:tcPr>
            <w:tcW w:w="900" w:type="dxa"/>
            <w:tcBorders>
              <w:top w:val="nil"/>
              <w:left w:val="nil"/>
              <w:bottom w:val="single" w:sz="8" w:space="0" w:color="auto"/>
              <w:right w:val="single" w:sz="8" w:space="0" w:color="auto"/>
            </w:tcBorders>
            <w:shd w:val="clear" w:color="auto" w:fill="auto"/>
            <w:noWrap/>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w:t>
            </w:r>
          </w:p>
        </w:tc>
        <w:tc>
          <w:tcPr>
            <w:tcW w:w="900" w:type="dxa"/>
            <w:tcBorders>
              <w:top w:val="nil"/>
              <w:left w:val="nil"/>
              <w:bottom w:val="single" w:sz="8" w:space="0" w:color="auto"/>
              <w:right w:val="single" w:sz="8" w:space="0" w:color="auto"/>
            </w:tcBorders>
            <w:shd w:val="clear" w:color="auto" w:fill="auto"/>
            <w:noWrap/>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w:t>
            </w:r>
          </w:p>
        </w:tc>
        <w:tc>
          <w:tcPr>
            <w:tcW w:w="900" w:type="dxa"/>
            <w:tcBorders>
              <w:top w:val="nil"/>
              <w:left w:val="nil"/>
              <w:bottom w:val="single" w:sz="8" w:space="0" w:color="auto"/>
              <w:right w:val="single" w:sz="8" w:space="0" w:color="auto"/>
            </w:tcBorders>
            <w:shd w:val="clear" w:color="auto" w:fill="auto"/>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w:t>
            </w:r>
          </w:p>
        </w:tc>
        <w:tc>
          <w:tcPr>
            <w:tcW w:w="900" w:type="dxa"/>
            <w:tcBorders>
              <w:top w:val="nil"/>
              <w:left w:val="nil"/>
              <w:bottom w:val="single" w:sz="8" w:space="0" w:color="auto"/>
              <w:right w:val="single" w:sz="8" w:space="0" w:color="auto"/>
            </w:tcBorders>
            <w:shd w:val="clear" w:color="auto" w:fill="auto"/>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w:t>
            </w:r>
          </w:p>
        </w:tc>
        <w:tc>
          <w:tcPr>
            <w:tcW w:w="900" w:type="dxa"/>
            <w:tcBorders>
              <w:top w:val="nil"/>
              <w:left w:val="nil"/>
              <w:bottom w:val="single" w:sz="8" w:space="0" w:color="auto"/>
              <w:right w:val="single" w:sz="8" w:space="0" w:color="auto"/>
            </w:tcBorders>
            <w:shd w:val="clear" w:color="auto" w:fill="auto"/>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w:t>
            </w:r>
          </w:p>
        </w:tc>
      </w:tr>
      <w:tr w:rsidR="008C3B12" w:rsidTr="0047420F">
        <w:trPr>
          <w:trHeight w:val="338"/>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8C3B12" w:rsidRDefault="008C3B12">
            <w:pPr>
              <w:rPr>
                <w:rFonts w:ascii="Calibri" w:hAnsi="Calibri"/>
                <w:b/>
                <w:bCs/>
                <w:color w:val="000000"/>
                <w:sz w:val="20"/>
                <w:szCs w:val="20"/>
              </w:rPr>
            </w:pPr>
            <w:r>
              <w:rPr>
                <w:rFonts w:ascii="Calibri" w:hAnsi="Calibri"/>
                <w:b/>
                <w:bCs/>
                <w:color w:val="000000"/>
                <w:sz w:val="20"/>
                <w:szCs w:val="20"/>
              </w:rPr>
              <w:t>School-Based</w:t>
            </w:r>
          </w:p>
        </w:tc>
        <w:tc>
          <w:tcPr>
            <w:tcW w:w="762" w:type="dxa"/>
            <w:tcBorders>
              <w:top w:val="nil"/>
              <w:left w:val="nil"/>
              <w:bottom w:val="single" w:sz="8" w:space="0" w:color="auto"/>
              <w:right w:val="single" w:sz="8" w:space="0" w:color="auto"/>
            </w:tcBorders>
            <w:shd w:val="clear" w:color="auto" w:fill="auto"/>
            <w:noWrap/>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8179</w:t>
            </w:r>
          </w:p>
        </w:tc>
        <w:tc>
          <w:tcPr>
            <w:tcW w:w="762" w:type="dxa"/>
            <w:tcBorders>
              <w:top w:val="nil"/>
              <w:left w:val="nil"/>
              <w:bottom w:val="single" w:sz="8" w:space="0" w:color="auto"/>
              <w:right w:val="single" w:sz="8" w:space="0" w:color="auto"/>
            </w:tcBorders>
            <w:shd w:val="clear" w:color="auto" w:fill="auto"/>
            <w:noWrap/>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7841</w:t>
            </w:r>
          </w:p>
        </w:tc>
        <w:tc>
          <w:tcPr>
            <w:tcW w:w="762" w:type="dxa"/>
            <w:tcBorders>
              <w:top w:val="nil"/>
              <w:left w:val="nil"/>
              <w:bottom w:val="single" w:sz="8" w:space="0" w:color="auto"/>
              <w:right w:val="single" w:sz="8" w:space="0" w:color="auto"/>
            </w:tcBorders>
            <w:shd w:val="clear" w:color="auto" w:fill="auto"/>
            <w:noWrap/>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8187</w:t>
            </w:r>
          </w:p>
        </w:tc>
        <w:tc>
          <w:tcPr>
            <w:tcW w:w="762" w:type="dxa"/>
            <w:tcBorders>
              <w:top w:val="nil"/>
              <w:left w:val="nil"/>
              <w:bottom w:val="single" w:sz="8" w:space="0" w:color="auto"/>
              <w:right w:val="single" w:sz="8" w:space="0" w:color="auto"/>
            </w:tcBorders>
            <w:shd w:val="clear" w:color="auto" w:fill="auto"/>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8946</w:t>
            </w:r>
          </w:p>
        </w:tc>
        <w:tc>
          <w:tcPr>
            <w:tcW w:w="823" w:type="dxa"/>
            <w:tcBorders>
              <w:top w:val="nil"/>
              <w:left w:val="nil"/>
              <w:bottom w:val="single" w:sz="8" w:space="0" w:color="auto"/>
              <w:right w:val="single" w:sz="8" w:space="0" w:color="auto"/>
            </w:tcBorders>
            <w:shd w:val="clear" w:color="auto" w:fill="auto"/>
            <w:noWrap/>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8842</w:t>
            </w:r>
          </w:p>
        </w:tc>
        <w:tc>
          <w:tcPr>
            <w:tcW w:w="720" w:type="dxa"/>
            <w:tcBorders>
              <w:top w:val="nil"/>
              <w:left w:val="nil"/>
              <w:bottom w:val="single" w:sz="8" w:space="0" w:color="auto"/>
              <w:right w:val="single" w:sz="8" w:space="0" w:color="auto"/>
            </w:tcBorders>
            <w:shd w:val="clear" w:color="auto" w:fill="auto"/>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8567</w:t>
            </w:r>
          </w:p>
        </w:tc>
        <w:tc>
          <w:tcPr>
            <w:tcW w:w="900" w:type="dxa"/>
            <w:tcBorders>
              <w:top w:val="nil"/>
              <w:left w:val="nil"/>
              <w:bottom w:val="single" w:sz="8" w:space="0" w:color="auto"/>
              <w:right w:val="single" w:sz="8" w:space="0" w:color="auto"/>
            </w:tcBorders>
            <w:shd w:val="clear" w:color="auto" w:fill="auto"/>
            <w:noWrap/>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90.40%</w:t>
            </w:r>
          </w:p>
        </w:tc>
        <w:tc>
          <w:tcPr>
            <w:tcW w:w="900" w:type="dxa"/>
            <w:tcBorders>
              <w:top w:val="nil"/>
              <w:left w:val="nil"/>
              <w:bottom w:val="single" w:sz="8" w:space="0" w:color="auto"/>
              <w:right w:val="single" w:sz="8" w:space="0" w:color="auto"/>
            </w:tcBorders>
            <w:shd w:val="clear" w:color="auto" w:fill="auto"/>
            <w:noWrap/>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90.20%</w:t>
            </w:r>
          </w:p>
        </w:tc>
        <w:tc>
          <w:tcPr>
            <w:tcW w:w="900" w:type="dxa"/>
            <w:tcBorders>
              <w:top w:val="nil"/>
              <w:left w:val="nil"/>
              <w:bottom w:val="single" w:sz="8" w:space="0" w:color="auto"/>
              <w:right w:val="single" w:sz="8" w:space="0" w:color="auto"/>
            </w:tcBorders>
            <w:shd w:val="clear" w:color="auto" w:fill="auto"/>
            <w:noWrap/>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90.30%</w:t>
            </w:r>
          </w:p>
        </w:tc>
        <w:tc>
          <w:tcPr>
            <w:tcW w:w="900" w:type="dxa"/>
            <w:tcBorders>
              <w:top w:val="nil"/>
              <w:left w:val="nil"/>
              <w:bottom w:val="single" w:sz="8" w:space="0" w:color="auto"/>
              <w:right w:val="single" w:sz="8" w:space="0" w:color="auto"/>
            </w:tcBorders>
            <w:shd w:val="clear" w:color="auto" w:fill="auto"/>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89.20%</w:t>
            </w:r>
          </w:p>
        </w:tc>
        <w:tc>
          <w:tcPr>
            <w:tcW w:w="900" w:type="dxa"/>
            <w:tcBorders>
              <w:top w:val="nil"/>
              <w:left w:val="nil"/>
              <w:bottom w:val="single" w:sz="8" w:space="0" w:color="auto"/>
              <w:right w:val="single" w:sz="8" w:space="0" w:color="auto"/>
            </w:tcBorders>
            <w:shd w:val="clear" w:color="auto" w:fill="auto"/>
            <w:noWrap/>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89.40%</w:t>
            </w:r>
          </w:p>
        </w:tc>
        <w:tc>
          <w:tcPr>
            <w:tcW w:w="900" w:type="dxa"/>
            <w:tcBorders>
              <w:top w:val="nil"/>
              <w:left w:val="nil"/>
              <w:bottom w:val="single" w:sz="8" w:space="0" w:color="auto"/>
              <w:right w:val="single" w:sz="8" w:space="0" w:color="auto"/>
            </w:tcBorders>
            <w:shd w:val="clear" w:color="auto" w:fill="auto"/>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90.10%</w:t>
            </w:r>
          </w:p>
        </w:tc>
      </w:tr>
      <w:tr w:rsidR="008C3B12" w:rsidTr="0047420F">
        <w:trPr>
          <w:trHeight w:val="338"/>
        </w:trPr>
        <w:tc>
          <w:tcPr>
            <w:tcW w:w="1285" w:type="dxa"/>
            <w:tcBorders>
              <w:top w:val="nil"/>
              <w:left w:val="single" w:sz="8" w:space="0" w:color="auto"/>
              <w:bottom w:val="single" w:sz="8" w:space="0" w:color="auto"/>
              <w:right w:val="single" w:sz="8" w:space="0" w:color="auto"/>
            </w:tcBorders>
            <w:shd w:val="clear" w:color="auto" w:fill="auto"/>
            <w:noWrap/>
            <w:vAlign w:val="center"/>
            <w:hideMark/>
          </w:tcPr>
          <w:p w:rsidR="008C3B12" w:rsidRDefault="008C3B12">
            <w:pPr>
              <w:rPr>
                <w:rFonts w:ascii="Calibri" w:hAnsi="Calibri"/>
                <w:b/>
                <w:bCs/>
                <w:color w:val="000000"/>
                <w:sz w:val="20"/>
                <w:szCs w:val="20"/>
              </w:rPr>
            </w:pPr>
            <w:r>
              <w:rPr>
                <w:rFonts w:ascii="Calibri" w:hAnsi="Calibri"/>
                <w:b/>
                <w:bCs/>
                <w:color w:val="000000"/>
                <w:sz w:val="20"/>
                <w:szCs w:val="20"/>
              </w:rPr>
              <w:t>Non-School-Based</w:t>
            </w:r>
          </w:p>
        </w:tc>
        <w:tc>
          <w:tcPr>
            <w:tcW w:w="762" w:type="dxa"/>
            <w:tcBorders>
              <w:top w:val="nil"/>
              <w:left w:val="nil"/>
              <w:bottom w:val="single" w:sz="8" w:space="0" w:color="auto"/>
              <w:right w:val="single" w:sz="8" w:space="0" w:color="auto"/>
            </w:tcBorders>
            <w:shd w:val="clear" w:color="auto" w:fill="auto"/>
            <w:noWrap/>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869</w:t>
            </w:r>
          </w:p>
        </w:tc>
        <w:tc>
          <w:tcPr>
            <w:tcW w:w="762" w:type="dxa"/>
            <w:tcBorders>
              <w:top w:val="nil"/>
              <w:left w:val="nil"/>
              <w:bottom w:val="single" w:sz="8" w:space="0" w:color="auto"/>
              <w:right w:val="single" w:sz="8" w:space="0" w:color="auto"/>
            </w:tcBorders>
            <w:shd w:val="clear" w:color="auto" w:fill="auto"/>
            <w:noWrap/>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849</w:t>
            </w:r>
          </w:p>
        </w:tc>
        <w:tc>
          <w:tcPr>
            <w:tcW w:w="762" w:type="dxa"/>
            <w:tcBorders>
              <w:top w:val="nil"/>
              <w:left w:val="nil"/>
              <w:bottom w:val="single" w:sz="8" w:space="0" w:color="auto"/>
              <w:right w:val="single" w:sz="8" w:space="0" w:color="auto"/>
            </w:tcBorders>
            <w:shd w:val="clear" w:color="auto" w:fill="auto"/>
            <w:noWrap/>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877</w:t>
            </w:r>
          </w:p>
        </w:tc>
        <w:tc>
          <w:tcPr>
            <w:tcW w:w="762" w:type="dxa"/>
            <w:tcBorders>
              <w:top w:val="nil"/>
              <w:left w:val="nil"/>
              <w:bottom w:val="single" w:sz="8" w:space="0" w:color="auto"/>
              <w:right w:val="single" w:sz="8" w:space="0" w:color="auto"/>
            </w:tcBorders>
            <w:shd w:val="clear" w:color="auto" w:fill="auto"/>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1088</w:t>
            </w:r>
          </w:p>
        </w:tc>
        <w:tc>
          <w:tcPr>
            <w:tcW w:w="823" w:type="dxa"/>
            <w:tcBorders>
              <w:top w:val="nil"/>
              <w:left w:val="nil"/>
              <w:bottom w:val="single" w:sz="8" w:space="0" w:color="auto"/>
              <w:right w:val="single" w:sz="8" w:space="0" w:color="auto"/>
            </w:tcBorders>
            <w:shd w:val="clear" w:color="auto" w:fill="auto"/>
            <w:noWrap/>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1047</w:t>
            </w:r>
          </w:p>
        </w:tc>
        <w:tc>
          <w:tcPr>
            <w:tcW w:w="720" w:type="dxa"/>
            <w:tcBorders>
              <w:top w:val="nil"/>
              <w:left w:val="nil"/>
              <w:bottom w:val="single" w:sz="8" w:space="0" w:color="auto"/>
              <w:right w:val="single" w:sz="8" w:space="0" w:color="auto"/>
            </w:tcBorders>
            <w:shd w:val="clear" w:color="auto" w:fill="auto"/>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946</w:t>
            </w:r>
          </w:p>
        </w:tc>
        <w:tc>
          <w:tcPr>
            <w:tcW w:w="900" w:type="dxa"/>
            <w:tcBorders>
              <w:top w:val="nil"/>
              <w:left w:val="nil"/>
              <w:bottom w:val="single" w:sz="8" w:space="0" w:color="auto"/>
              <w:right w:val="single" w:sz="8" w:space="0" w:color="auto"/>
            </w:tcBorders>
            <w:shd w:val="clear" w:color="auto" w:fill="auto"/>
            <w:noWrap/>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9.60%</w:t>
            </w:r>
          </w:p>
        </w:tc>
        <w:tc>
          <w:tcPr>
            <w:tcW w:w="900" w:type="dxa"/>
            <w:tcBorders>
              <w:top w:val="nil"/>
              <w:left w:val="nil"/>
              <w:bottom w:val="single" w:sz="8" w:space="0" w:color="auto"/>
              <w:right w:val="single" w:sz="8" w:space="0" w:color="auto"/>
            </w:tcBorders>
            <w:shd w:val="clear" w:color="auto" w:fill="auto"/>
            <w:noWrap/>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9.80%</w:t>
            </w:r>
          </w:p>
        </w:tc>
        <w:tc>
          <w:tcPr>
            <w:tcW w:w="900" w:type="dxa"/>
            <w:tcBorders>
              <w:top w:val="nil"/>
              <w:left w:val="nil"/>
              <w:bottom w:val="single" w:sz="8" w:space="0" w:color="auto"/>
              <w:right w:val="single" w:sz="8" w:space="0" w:color="auto"/>
            </w:tcBorders>
            <w:shd w:val="clear" w:color="auto" w:fill="auto"/>
            <w:noWrap/>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9.70%</w:t>
            </w:r>
          </w:p>
        </w:tc>
        <w:tc>
          <w:tcPr>
            <w:tcW w:w="900" w:type="dxa"/>
            <w:tcBorders>
              <w:top w:val="nil"/>
              <w:left w:val="nil"/>
              <w:bottom w:val="single" w:sz="8" w:space="0" w:color="auto"/>
              <w:right w:val="single" w:sz="8" w:space="0" w:color="auto"/>
            </w:tcBorders>
            <w:shd w:val="clear" w:color="auto" w:fill="auto"/>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10.80%</w:t>
            </w:r>
          </w:p>
        </w:tc>
        <w:tc>
          <w:tcPr>
            <w:tcW w:w="900" w:type="dxa"/>
            <w:tcBorders>
              <w:top w:val="nil"/>
              <w:left w:val="nil"/>
              <w:bottom w:val="single" w:sz="8" w:space="0" w:color="auto"/>
              <w:right w:val="single" w:sz="8" w:space="0" w:color="auto"/>
            </w:tcBorders>
            <w:shd w:val="clear" w:color="auto" w:fill="auto"/>
            <w:noWrap/>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10.60%</w:t>
            </w:r>
          </w:p>
        </w:tc>
        <w:tc>
          <w:tcPr>
            <w:tcW w:w="900" w:type="dxa"/>
            <w:tcBorders>
              <w:top w:val="nil"/>
              <w:left w:val="nil"/>
              <w:bottom w:val="single" w:sz="8" w:space="0" w:color="auto"/>
              <w:right w:val="single" w:sz="8" w:space="0" w:color="auto"/>
            </w:tcBorders>
            <w:shd w:val="clear" w:color="auto" w:fill="auto"/>
            <w:vAlign w:val="center"/>
            <w:hideMark/>
          </w:tcPr>
          <w:p w:rsidR="008C3B12" w:rsidRDefault="008C3B12">
            <w:pPr>
              <w:jc w:val="center"/>
              <w:rPr>
                <w:rFonts w:ascii="Calibri" w:hAnsi="Calibri"/>
                <w:color w:val="000000"/>
                <w:sz w:val="20"/>
                <w:szCs w:val="20"/>
              </w:rPr>
            </w:pPr>
            <w:r>
              <w:rPr>
                <w:rFonts w:ascii="Calibri" w:hAnsi="Calibri"/>
                <w:color w:val="000000"/>
                <w:sz w:val="20"/>
                <w:szCs w:val="20"/>
              </w:rPr>
              <w:t>9.90%</w:t>
            </w:r>
          </w:p>
        </w:tc>
      </w:tr>
    </w:tbl>
    <w:p w:rsidR="00A23676" w:rsidRPr="0066409C" w:rsidRDefault="0066409C" w:rsidP="00F6289C">
      <w:pPr>
        <w:pStyle w:val="SHeading2"/>
        <w:rPr>
          <w:b w:val="0"/>
          <w:sz w:val="20"/>
          <w:szCs w:val="20"/>
        </w:rPr>
      </w:pPr>
      <w:bookmarkStart w:id="18" w:name="_Toc248907000"/>
      <w:r>
        <w:rPr>
          <w:b w:val="0"/>
          <w:i/>
          <w:sz w:val="20"/>
          <w:szCs w:val="20"/>
        </w:rPr>
        <w:t>*</w:t>
      </w:r>
      <w:r w:rsidRPr="0066409C">
        <w:rPr>
          <w:b w:val="0"/>
          <w:i/>
          <w:sz w:val="20"/>
          <w:szCs w:val="20"/>
        </w:rPr>
        <w:t xml:space="preserve"> </w:t>
      </w:r>
      <w:r>
        <w:rPr>
          <w:b w:val="0"/>
          <w:sz w:val="20"/>
          <w:szCs w:val="20"/>
        </w:rPr>
        <w:t>Centers are marked as “missing” in cases where the organization type is not indicated in the Grantee Profile (i.e., the data for the given center are only partially complete in the Grantee Profile).</w:t>
      </w:r>
    </w:p>
    <w:p w:rsidR="00A23676" w:rsidRDefault="00A23676">
      <w:pPr>
        <w:rPr>
          <w:b/>
          <w:sz w:val="28"/>
          <w:szCs w:val="28"/>
          <w:highlight w:val="yellow"/>
        </w:rPr>
      </w:pPr>
    </w:p>
    <w:p w:rsidR="00A770EF" w:rsidRPr="00EE1AC5" w:rsidRDefault="00A770EF" w:rsidP="00A50F56">
      <w:pPr>
        <w:pStyle w:val="Heading2"/>
      </w:pPr>
      <w:bookmarkStart w:id="19" w:name="_Toc446063950"/>
      <w:r w:rsidRPr="00EE1AC5">
        <w:t>People Served</w:t>
      </w:r>
      <w:bookmarkEnd w:id="18"/>
      <w:bookmarkEnd w:id="19"/>
    </w:p>
    <w:p w:rsidR="00A770EF" w:rsidRPr="00EE1AC5" w:rsidRDefault="00A770EF" w:rsidP="00A770EF"/>
    <w:p w:rsidR="009E6250" w:rsidRPr="00EE1AC5" w:rsidRDefault="00F44CCE" w:rsidP="00A770EF">
      <w:r w:rsidRPr="00EE1AC5">
        <w:t xml:space="preserve">As part of the APR submission process, centers are asked to report on the total number of students they served during the reporting period. </w:t>
      </w:r>
      <w:r w:rsidR="00496747" w:rsidRPr="00EE1AC5">
        <w:t xml:space="preserve">In addition, students who attend </w:t>
      </w:r>
      <w:r w:rsidR="00E65645" w:rsidRPr="00EE1AC5">
        <w:t xml:space="preserve">30 days or </w:t>
      </w:r>
      <w:r w:rsidR="00DC59B7" w:rsidRPr="00EE1AC5">
        <w:t>more</w:t>
      </w:r>
      <w:r w:rsidR="00E65645" w:rsidRPr="00EE1AC5">
        <w:t xml:space="preserve"> are </w:t>
      </w:r>
      <w:r w:rsidR="00A85C09">
        <w:t xml:space="preserve">categorized in PPICS as </w:t>
      </w:r>
      <w:r w:rsidR="00E65645" w:rsidRPr="00EE1AC5">
        <w:rPr>
          <w:i/>
        </w:rPr>
        <w:t>regular attendees</w:t>
      </w:r>
      <w:r w:rsidRPr="00EE1AC5">
        <w:t xml:space="preserve">. </w:t>
      </w:r>
      <w:r w:rsidR="00496747" w:rsidRPr="00EE1AC5">
        <w:t xml:space="preserve">As shown in </w:t>
      </w:r>
      <w:r w:rsidR="00174B5B" w:rsidRPr="00EE1AC5">
        <w:fldChar w:fldCharType="begin"/>
      </w:r>
      <w:r w:rsidR="00174B5B" w:rsidRPr="00EE1AC5">
        <w:instrText xml:space="preserve"> REF _Ref248861375 \h  \* MERGEFORMAT </w:instrText>
      </w:r>
      <w:r w:rsidR="00174B5B" w:rsidRPr="00EE1AC5">
        <w:fldChar w:fldCharType="separate"/>
      </w:r>
      <w:r w:rsidR="00A50F56" w:rsidRPr="00EE1AC5">
        <w:t xml:space="preserve">Table </w:t>
      </w:r>
      <w:r w:rsidR="00174B5B" w:rsidRPr="00EE1AC5">
        <w:fldChar w:fldCharType="end"/>
      </w:r>
      <w:r w:rsidR="006A38DF">
        <w:t>4</w:t>
      </w:r>
      <w:r w:rsidR="00630FBE" w:rsidRPr="00EE1AC5">
        <w:t>,</w:t>
      </w:r>
      <w:r w:rsidR="00496747" w:rsidRPr="00EE1AC5">
        <w:t xml:space="preserve"> there were </w:t>
      </w:r>
      <w:r w:rsidR="00EE1AC5" w:rsidRPr="00EE1AC5">
        <w:t>1,732,567</w:t>
      </w:r>
      <w:r w:rsidRPr="00EE1AC5">
        <w:t xml:space="preserve"> students who attended 21st </w:t>
      </w:r>
      <w:r w:rsidR="00630FBE" w:rsidRPr="00EE1AC5">
        <w:t xml:space="preserve">CCLC programming in </w:t>
      </w:r>
      <w:r w:rsidR="006F658C" w:rsidRPr="00EE1AC5">
        <w:t>201</w:t>
      </w:r>
      <w:r w:rsidR="00EE1AC5" w:rsidRPr="00EE1AC5">
        <w:t>2</w:t>
      </w:r>
      <w:r w:rsidR="00F6289C" w:rsidRPr="00EE1AC5">
        <w:t>-</w:t>
      </w:r>
      <w:r w:rsidR="001A1CE1" w:rsidRPr="00EE1AC5">
        <w:t>1</w:t>
      </w:r>
      <w:r w:rsidR="00EE1AC5" w:rsidRPr="00EE1AC5">
        <w:t>3</w:t>
      </w:r>
      <w:r w:rsidRPr="00EE1AC5">
        <w:t xml:space="preserve">. </w:t>
      </w:r>
      <w:r w:rsidR="00630FBE" w:rsidRPr="00EE1AC5">
        <w:t xml:space="preserve">Of those, </w:t>
      </w:r>
      <w:r w:rsidR="00EE1AC5" w:rsidRPr="00EE1AC5">
        <w:t>875,226</w:t>
      </w:r>
      <w:r w:rsidR="00851385">
        <w:t>,</w:t>
      </w:r>
      <w:r w:rsidR="001C52BF" w:rsidRPr="00EE1AC5">
        <w:t xml:space="preserve"> </w:t>
      </w:r>
      <w:r w:rsidRPr="00EE1AC5">
        <w:t xml:space="preserve">or </w:t>
      </w:r>
      <w:r w:rsidR="00EE1AC5" w:rsidRPr="00EE1AC5">
        <w:t xml:space="preserve">approximately </w:t>
      </w:r>
      <w:r w:rsidR="00CD2871" w:rsidRPr="00EE1AC5">
        <w:t>50</w:t>
      </w:r>
      <w:r w:rsidRPr="00EE1AC5">
        <w:t xml:space="preserve"> percent</w:t>
      </w:r>
      <w:r w:rsidR="00851385">
        <w:t>,</w:t>
      </w:r>
      <w:r w:rsidRPr="00EE1AC5">
        <w:t xml:space="preserve"> </w:t>
      </w:r>
      <w:r w:rsidR="00630FBE" w:rsidRPr="00EE1AC5">
        <w:t>were regular attendees.</w:t>
      </w:r>
    </w:p>
    <w:p w:rsidR="008E275B" w:rsidRPr="00EE1AC5" w:rsidRDefault="008E275B" w:rsidP="00A770EF">
      <w:pPr>
        <w:rPr>
          <w:sz w:val="22"/>
          <w:szCs w:val="22"/>
          <w:highlight w:val="yellow"/>
        </w:rPr>
      </w:pPr>
    </w:p>
    <w:p w:rsidR="00496747" w:rsidRPr="00EE1AC5" w:rsidRDefault="00496747" w:rsidP="007232EA">
      <w:pPr>
        <w:pStyle w:val="Caption"/>
      </w:pPr>
      <w:bookmarkStart w:id="20" w:name="_Ref248861375"/>
      <w:proofErr w:type="gramStart"/>
      <w:r w:rsidRPr="00EE1AC5">
        <w:t xml:space="preserve">Table </w:t>
      </w:r>
      <w:bookmarkEnd w:id="20"/>
      <w:r w:rsidR="006A38DF">
        <w:t>4</w:t>
      </w:r>
      <w:r w:rsidR="00723B47" w:rsidRPr="00EE1AC5">
        <w:t>.</w:t>
      </w:r>
      <w:proofErr w:type="gramEnd"/>
      <w:r w:rsidRPr="00EE1AC5">
        <w:t xml:space="preserve"> Total and Regular Attendee Students per Year</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769"/>
        <w:gridCol w:w="3420"/>
      </w:tblGrid>
      <w:tr w:rsidR="008E275B" w:rsidRPr="00EE1AC5" w:rsidTr="00E1460E">
        <w:trPr>
          <w:trHeight w:val="300"/>
          <w:tblHeader/>
        </w:trPr>
        <w:tc>
          <w:tcPr>
            <w:tcW w:w="3261" w:type="dxa"/>
            <w:shd w:val="pct25" w:color="auto" w:fill="auto"/>
            <w:noWrap/>
            <w:vAlign w:val="bottom"/>
          </w:tcPr>
          <w:p w:rsidR="008E275B" w:rsidRPr="00EE1AC5" w:rsidRDefault="008E275B" w:rsidP="008E275B">
            <w:pPr>
              <w:jc w:val="center"/>
              <w:rPr>
                <w:rFonts w:ascii="Calibri" w:hAnsi="Calibri" w:cs="Arial"/>
                <w:b/>
                <w:bCs/>
                <w:sz w:val="20"/>
                <w:szCs w:val="20"/>
              </w:rPr>
            </w:pPr>
            <w:r w:rsidRPr="00EE1AC5">
              <w:rPr>
                <w:rFonts w:ascii="Calibri" w:hAnsi="Calibri" w:cs="Arial"/>
                <w:b/>
                <w:bCs/>
                <w:sz w:val="20"/>
                <w:szCs w:val="20"/>
              </w:rPr>
              <w:t>APR Year</w:t>
            </w:r>
          </w:p>
        </w:tc>
        <w:tc>
          <w:tcPr>
            <w:tcW w:w="2769" w:type="dxa"/>
            <w:shd w:val="pct25" w:color="auto" w:fill="auto"/>
            <w:noWrap/>
            <w:vAlign w:val="bottom"/>
          </w:tcPr>
          <w:p w:rsidR="008E275B" w:rsidRPr="00EE1AC5" w:rsidRDefault="008E275B" w:rsidP="008E275B">
            <w:pPr>
              <w:jc w:val="center"/>
              <w:rPr>
                <w:rFonts w:ascii="Calibri" w:hAnsi="Calibri" w:cs="Arial"/>
                <w:b/>
                <w:bCs/>
                <w:sz w:val="20"/>
                <w:szCs w:val="20"/>
              </w:rPr>
            </w:pPr>
            <w:r w:rsidRPr="00EE1AC5">
              <w:rPr>
                <w:rFonts w:ascii="Calibri" w:hAnsi="Calibri" w:cs="Arial"/>
                <w:b/>
                <w:bCs/>
                <w:sz w:val="20"/>
                <w:szCs w:val="20"/>
              </w:rPr>
              <w:t>Total Students</w:t>
            </w:r>
          </w:p>
        </w:tc>
        <w:tc>
          <w:tcPr>
            <w:tcW w:w="3420" w:type="dxa"/>
            <w:shd w:val="pct25" w:color="auto" w:fill="auto"/>
            <w:noWrap/>
            <w:vAlign w:val="bottom"/>
          </w:tcPr>
          <w:p w:rsidR="008E275B" w:rsidRPr="00EE1AC5" w:rsidRDefault="008E275B" w:rsidP="008E275B">
            <w:pPr>
              <w:jc w:val="center"/>
              <w:rPr>
                <w:rFonts w:ascii="Calibri" w:hAnsi="Calibri" w:cs="Arial"/>
                <w:b/>
                <w:bCs/>
                <w:sz w:val="20"/>
                <w:szCs w:val="20"/>
              </w:rPr>
            </w:pPr>
            <w:r w:rsidRPr="00EE1AC5">
              <w:rPr>
                <w:rFonts w:ascii="Calibri" w:hAnsi="Calibri" w:cs="Arial"/>
                <w:b/>
                <w:bCs/>
                <w:sz w:val="20"/>
                <w:szCs w:val="20"/>
              </w:rPr>
              <w:t>Regular Attendee Students</w:t>
            </w:r>
          </w:p>
        </w:tc>
      </w:tr>
      <w:tr w:rsidR="00695535" w:rsidRPr="00EE1AC5" w:rsidTr="000E6DA5">
        <w:trPr>
          <w:trHeight w:val="300"/>
        </w:trPr>
        <w:tc>
          <w:tcPr>
            <w:tcW w:w="3261" w:type="dxa"/>
            <w:shd w:val="clear" w:color="auto" w:fill="auto"/>
            <w:noWrap/>
            <w:vAlign w:val="bottom"/>
          </w:tcPr>
          <w:p w:rsidR="00695535" w:rsidRPr="00EE1AC5" w:rsidRDefault="00695535" w:rsidP="008E275B">
            <w:pPr>
              <w:jc w:val="center"/>
              <w:rPr>
                <w:rFonts w:ascii="Calibri" w:hAnsi="Calibri" w:cs="Arial"/>
                <w:b/>
                <w:bCs/>
                <w:sz w:val="20"/>
                <w:szCs w:val="20"/>
              </w:rPr>
            </w:pPr>
            <w:r w:rsidRPr="00EE1AC5">
              <w:rPr>
                <w:rFonts w:ascii="Calibri" w:hAnsi="Calibri" w:cs="Arial"/>
                <w:b/>
                <w:bCs/>
                <w:sz w:val="20"/>
                <w:szCs w:val="20"/>
              </w:rPr>
              <w:t>2006</w:t>
            </w:r>
          </w:p>
        </w:tc>
        <w:tc>
          <w:tcPr>
            <w:tcW w:w="2769" w:type="dxa"/>
            <w:shd w:val="clear" w:color="auto" w:fill="auto"/>
            <w:noWrap/>
            <w:vAlign w:val="bottom"/>
          </w:tcPr>
          <w:p w:rsidR="00695535" w:rsidRPr="00EE1AC5" w:rsidRDefault="00695535" w:rsidP="00695535">
            <w:pPr>
              <w:jc w:val="center"/>
              <w:rPr>
                <w:rFonts w:ascii="Calibri" w:hAnsi="Calibri"/>
                <w:color w:val="000000"/>
                <w:sz w:val="20"/>
                <w:szCs w:val="20"/>
              </w:rPr>
            </w:pPr>
            <w:r w:rsidRPr="00EE1AC5">
              <w:rPr>
                <w:rFonts w:ascii="Calibri" w:hAnsi="Calibri"/>
                <w:color w:val="000000"/>
                <w:sz w:val="20"/>
                <w:szCs w:val="20"/>
              </w:rPr>
              <w:t>1,433,713</w:t>
            </w:r>
          </w:p>
        </w:tc>
        <w:tc>
          <w:tcPr>
            <w:tcW w:w="3420" w:type="dxa"/>
            <w:shd w:val="clear" w:color="auto" w:fill="auto"/>
            <w:noWrap/>
            <w:vAlign w:val="bottom"/>
          </w:tcPr>
          <w:p w:rsidR="00695535" w:rsidRPr="00EE1AC5" w:rsidRDefault="00695535" w:rsidP="00695535">
            <w:pPr>
              <w:jc w:val="center"/>
              <w:rPr>
                <w:rFonts w:ascii="Calibri" w:hAnsi="Calibri"/>
                <w:color w:val="000000"/>
                <w:sz w:val="20"/>
                <w:szCs w:val="20"/>
              </w:rPr>
            </w:pPr>
            <w:r w:rsidRPr="00EE1AC5">
              <w:rPr>
                <w:rFonts w:ascii="Calibri" w:hAnsi="Calibri"/>
                <w:color w:val="000000"/>
                <w:sz w:val="20"/>
                <w:szCs w:val="20"/>
              </w:rPr>
              <w:t>795,955</w:t>
            </w:r>
          </w:p>
        </w:tc>
      </w:tr>
      <w:tr w:rsidR="00695535" w:rsidRPr="00EE1AC5" w:rsidTr="000E6DA5">
        <w:trPr>
          <w:trHeight w:val="300"/>
        </w:trPr>
        <w:tc>
          <w:tcPr>
            <w:tcW w:w="3261" w:type="dxa"/>
            <w:shd w:val="clear" w:color="auto" w:fill="auto"/>
            <w:noWrap/>
            <w:vAlign w:val="bottom"/>
          </w:tcPr>
          <w:p w:rsidR="00695535" w:rsidRPr="00EE1AC5" w:rsidRDefault="00695535" w:rsidP="008E275B">
            <w:pPr>
              <w:jc w:val="center"/>
              <w:rPr>
                <w:rFonts w:ascii="Calibri" w:hAnsi="Calibri" w:cs="Arial"/>
                <w:b/>
                <w:bCs/>
                <w:sz w:val="20"/>
                <w:szCs w:val="20"/>
              </w:rPr>
            </w:pPr>
            <w:r w:rsidRPr="00EE1AC5">
              <w:rPr>
                <w:rFonts w:ascii="Calibri" w:hAnsi="Calibri" w:cs="Arial"/>
                <w:b/>
                <w:bCs/>
                <w:sz w:val="20"/>
                <w:szCs w:val="20"/>
              </w:rPr>
              <w:t>2007</w:t>
            </w:r>
          </w:p>
        </w:tc>
        <w:tc>
          <w:tcPr>
            <w:tcW w:w="2769" w:type="dxa"/>
            <w:shd w:val="clear" w:color="auto" w:fill="auto"/>
            <w:noWrap/>
            <w:vAlign w:val="bottom"/>
          </w:tcPr>
          <w:p w:rsidR="00695535" w:rsidRPr="00EE1AC5" w:rsidRDefault="00695535" w:rsidP="00695535">
            <w:pPr>
              <w:jc w:val="center"/>
              <w:rPr>
                <w:rFonts w:ascii="Calibri" w:hAnsi="Calibri"/>
                <w:color w:val="000000"/>
                <w:sz w:val="20"/>
                <w:szCs w:val="20"/>
              </w:rPr>
            </w:pPr>
            <w:r w:rsidRPr="00EE1AC5">
              <w:rPr>
                <w:rFonts w:ascii="Calibri" w:hAnsi="Calibri"/>
                <w:color w:val="000000"/>
                <w:sz w:val="20"/>
                <w:szCs w:val="20"/>
              </w:rPr>
              <w:t>1,388,776</w:t>
            </w:r>
          </w:p>
        </w:tc>
        <w:tc>
          <w:tcPr>
            <w:tcW w:w="3420" w:type="dxa"/>
            <w:shd w:val="clear" w:color="auto" w:fill="auto"/>
            <w:noWrap/>
            <w:vAlign w:val="bottom"/>
          </w:tcPr>
          <w:p w:rsidR="00695535" w:rsidRPr="00EE1AC5" w:rsidRDefault="00695535" w:rsidP="00695535">
            <w:pPr>
              <w:jc w:val="center"/>
              <w:rPr>
                <w:rFonts w:ascii="Calibri" w:hAnsi="Calibri"/>
                <w:color w:val="000000"/>
                <w:sz w:val="20"/>
                <w:szCs w:val="20"/>
              </w:rPr>
            </w:pPr>
            <w:r w:rsidRPr="00EE1AC5">
              <w:rPr>
                <w:rFonts w:ascii="Calibri" w:hAnsi="Calibri"/>
                <w:color w:val="000000"/>
                <w:sz w:val="20"/>
                <w:szCs w:val="20"/>
              </w:rPr>
              <w:t>753,307</w:t>
            </w:r>
          </w:p>
        </w:tc>
      </w:tr>
      <w:tr w:rsidR="00695535" w:rsidRPr="00EE1AC5" w:rsidTr="000E6DA5">
        <w:trPr>
          <w:trHeight w:val="300"/>
        </w:trPr>
        <w:tc>
          <w:tcPr>
            <w:tcW w:w="3261" w:type="dxa"/>
            <w:shd w:val="clear" w:color="auto" w:fill="auto"/>
            <w:noWrap/>
            <w:vAlign w:val="bottom"/>
          </w:tcPr>
          <w:p w:rsidR="00695535" w:rsidRPr="00EE1AC5" w:rsidRDefault="00695535" w:rsidP="008E275B">
            <w:pPr>
              <w:jc w:val="center"/>
              <w:rPr>
                <w:rFonts w:ascii="Calibri" w:hAnsi="Calibri" w:cs="Arial"/>
                <w:b/>
                <w:bCs/>
                <w:sz w:val="20"/>
                <w:szCs w:val="20"/>
              </w:rPr>
            </w:pPr>
            <w:r w:rsidRPr="00EE1AC5">
              <w:rPr>
                <w:rFonts w:ascii="Calibri" w:hAnsi="Calibri" w:cs="Arial"/>
                <w:b/>
                <w:bCs/>
                <w:sz w:val="20"/>
                <w:szCs w:val="20"/>
              </w:rPr>
              <w:t>2008</w:t>
            </w:r>
          </w:p>
        </w:tc>
        <w:tc>
          <w:tcPr>
            <w:tcW w:w="2769" w:type="dxa"/>
            <w:shd w:val="clear" w:color="auto" w:fill="auto"/>
            <w:noWrap/>
            <w:vAlign w:val="bottom"/>
          </w:tcPr>
          <w:p w:rsidR="00695535" w:rsidRPr="00EE1AC5" w:rsidRDefault="00695535" w:rsidP="00695535">
            <w:pPr>
              <w:jc w:val="center"/>
              <w:rPr>
                <w:rFonts w:ascii="Calibri" w:hAnsi="Calibri"/>
                <w:color w:val="000000"/>
                <w:sz w:val="20"/>
                <w:szCs w:val="20"/>
              </w:rPr>
            </w:pPr>
            <w:r w:rsidRPr="00EE1AC5">
              <w:rPr>
                <w:rFonts w:ascii="Calibri" w:hAnsi="Calibri"/>
                <w:color w:val="000000"/>
                <w:sz w:val="20"/>
                <w:szCs w:val="20"/>
              </w:rPr>
              <w:t>1,416,154</w:t>
            </w:r>
          </w:p>
        </w:tc>
        <w:tc>
          <w:tcPr>
            <w:tcW w:w="3420" w:type="dxa"/>
            <w:shd w:val="clear" w:color="auto" w:fill="auto"/>
            <w:noWrap/>
            <w:vAlign w:val="bottom"/>
          </w:tcPr>
          <w:p w:rsidR="00695535" w:rsidRPr="00EE1AC5" w:rsidRDefault="00695535" w:rsidP="00695535">
            <w:pPr>
              <w:jc w:val="center"/>
              <w:rPr>
                <w:rFonts w:ascii="Calibri" w:hAnsi="Calibri"/>
                <w:color w:val="000000"/>
                <w:sz w:val="20"/>
                <w:szCs w:val="20"/>
              </w:rPr>
            </w:pPr>
            <w:r w:rsidRPr="00EE1AC5">
              <w:rPr>
                <w:rFonts w:ascii="Calibri" w:hAnsi="Calibri"/>
                <w:color w:val="000000"/>
                <w:sz w:val="20"/>
                <w:szCs w:val="20"/>
              </w:rPr>
              <w:t>757,962</w:t>
            </w:r>
          </w:p>
        </w:tc>
      </w:tr>
      <w:tr w:rsidR="00695535" w:rsidRPr="00EE1AC5" w:rsidTr="000E6DA5">
        <w:trPr>
          <w:trHeight w:val="300"/>
        </w:trPr>
        <w:tc>
          <w:tcPr>
            <w:tcW w:w="3261" w:type="dxa"/>
            <w:shd w:val="clear" w:color="auto" w:fill="auto"/>
            <w:noWrap/>
            <w:vAlign w:val="bottom"/>
          </w:tcPr>
          <w:p w:rsidR="00695535" w:rsidRPr="00EE1AC5" w:rsidRDefault="00695535" w:rsidP="008E275B">
            <w:pPr>
              <w:jc w:val="center"/>
              <w:rPr>
                <w:rFonts w:ascii="Calibri" w:hAnsi="Calibri" w:cs="Arial"/>
                <w:b/>
                <w:bCs/>
                <w:sz w:val="20"/>
                <w:szCs w:val="20"/>
              </w:rPr>
            </w:pPr>
            <w:r w:rsidRPr="00EE1AC5">
              <w:rPr>
                <w:rFonts w:ascii="Calibri" w:hAnsi="Calibri" w:cs="Arial"/>
                <w:b/>
                <w:bCs/>
                <w:sz w:val="20"/>
                <w:szCs w:val="20"/>
              </w:rPr>
              <w:t>2009</w:t>
            </w:r>
          </w:p>
        </w:tc>
        <w:tc>
          <w:tcPr>
            <w:tcW w:w="2769" w:type="dxa"/>
            <w:shd w:val="clear" w:color="auto" w:fill="auto"/>
            <w:noWrap/>
            <w:vAlign w:val="bottom"/>
          </w:tcPr>
          <w:p w:rsidR="00695535" w:rsidRPr="00EE1AC5" w:rsidRDefault="00695535" w:rsidP="00695535">
            <w:pPr>
              <w:jc w:val="center"/>
              <w:rPr>
                <w:rFonts w:ascii="Calibri" w:hAnsi="Calibri"/>
                <w:color w:val="000000"/>
                <w:sz w:val="20"/>
                <w:szCs w:val="20"/>
              </w:rPr>
            </w:pPr>
            <w:r w:rsidRPr="00EE1AC5">
              <w:rPr>
                <w:rFonts w:ascii="Calibri" w:hAnsi="Calibri"/>
                <w:color w:val="000000"/>
                <w:sz w:val="20"/>
                <w:szCs w:val="20"/>
              </w:rPr>
              <w:t>1,506,</w:t>
            </w:r>
            <w:r w:rsidR="00755B2E" w:rsidRPr="00EE1AC5">
              <w:rPr>
                <w:rFonts w:ascii="Calibri" w:hAnsi="Calibri"/>
                <w:color w:val="000000"/>
                <w:sz w:val="20"/>
                <w:szCs w:val="20"/>
              </w:rPr>
              <w:t>920</w:t>
            </w:r>
          </w:p>
        </w:tc>
        <w:tc>
          <w:tcPr>
            <w:tcW w:w="3420" w:type="dxa"/>
            <w:shd w:val="clear" w:color="auto" w:fill="auto"/>
            <w:noWrap/>
            <w:vAlign w:val="bottom"/>
          </w:tcPr>
          <w:p w:rsidR="00E1460E" w:rsidRPr="00EE1AC5" w:rsidRDefault="00695535" w:rsidP="00E1460E">
            <w:pPr>
              <w:jc w:val="center"/>
              <w:rPr>
                <w:rFonts w:ascii="Calibri" w:hAnsi="Calibri"/>
                <w:color w:val="000000"/>
                <w:sz w:val="20"/>
                <w:szCs w:val="20"/>
              </w:rPr>
            </w:pPr>
            <w:r w:rsidRPr="00EE1AC5">
              <w:rPr>
                <w:rFonts w:ascii="Calibri" w:hAnsi="Calibri"/>
                <w:color w:val="000000"/>
                <w:sz w:val="20"/>
                <w:szCs w:val="20"/>
              </w:rPr>
              <w:t>754,338</w:t>
            </w:r>
          </w:p>
        </w:tc>
      </w:tr>
      <w:tr w:rsidR="00B3651B" w:rsidRPr="00EE1AC5" w:rsidTr="000E6DA5">
        <w:trPr>
          <w:trHeight w:val="300"/>
        </w:trPr>
        <w:tc>
          <w:tcPr>
            <w:tcW w:w="3261" w:type="dxa"/>
            <w:shd w:val="clear" w:color="auto" w:fill="auto"/>
            <w:noWrap/>
            <w:vAlign w:val="bottom"/>
          </w:tcPr>
          <w:p w:rsidR="00B3651B" w:rsidRPr="00EE1AC5" w:rsidRDefault="002F6FA4" w:rsidP="008E275B">
            <w:pPr>
              <w:jc w:val="center"/>
              <w:rPr>
                <w:rFonts w:ascii="Calibri" w:hAnsi="Calibri" w:cs="Arial"/>
                <w:b/>
                <w:bCs/>
                <w:sz w:val="20"/>
                <w:szCs w:val="20"/>
              </w:rPr>
            </w:pPr>
            <w:r w:rsidRPr="00EE1AC5">
              <w:rPr>
                <w:rFonts w:ascii="Calibri" w:hAnsi="Calibri" w:cs="Arial"/>
                <w:b/>
                <w:bCs/>
                <w:sz w:val="20"/>
                <w:szCs w:val="20"/>
              </w:rPr>
              <w:t>2010</w:t>
            </w:r>
          </w:p>
        </w:tc>
        <w:tc>
          <w:tcPr>
            <w:tcW w:w="2769" w:type="dxa"/>
            <w:shd w:val="clear" w:color="auto" w:fill="auto"/>
            <w:noWrap/>
            <w:vAlign w:val="bottom"/>
          </w:tcPr>
          <w:p w:rsidR="00B3651B" w:rsidRPr="00EE1AC5" w:rsidRDefault="002F6FA4" w:rsidP="00695535">
            <w:pPr>
              <w:jc w:val="center"/>
              <w:rPr>
                <w:rFonts w:ascii="Calibri" w:hAnsi="Calibri"/>
                <w:color w:val="000000"/>
                <w:sz w:val="20"/>
                <w:szCs w:val="20"/>
              </w:rPr>
            </w:pPr>
            <w:r w:rsidRPr="00EE1AC5">
              <w:rPr>
                <w:rFonts w:ascii="Calibri" w:hAnsi="Calibri"/>
                <w:color w:val="000000"/>
                <w:sz w:val="20"/>
                <w:szCs w:val="20"/>
              </w:rPr>
              <w:t>1,660,945</w:t>
            </w:r>
          </w:p>
        </w:tc>
        <w:tc>
          <w:tcPr>
            <w:tcW w:w="3420" w:type="dxa"/>
            <w:shd w:val="clear" w:color="auto" w:fill="auto"/>
            <w:noWrap/>
            <w:vAlign w:val="bottom"/>
          </w:tcPr>
          <w:p w:rsidR="00B3651B" w:rsidRPr="00EE1AC5" w:rsidRDefault="002F6FA4" w:rsidP="00695535">
            <w:pPr>
              <w:jc w:val="center"/>
              <w:rPr>
                <w:rFonts w:ascii="Calibri" w:hAnsi="Calibri"/>
                <w:color w:val="000000"/>
                <w:sz w:val="20"/>
                <w:szCs w:val="20"/>
              </w:rPr>
            </w:pPr>
            <w:r w:rsidRPr="00EE1AC5">
              <w:rPr>
                <w:rFonts w:ascii="Calibri" w:hAnsi="Calibri"/>
                <w:color w:val="000000"/>
                <w:sz w:val="20"/>
                <w:szCs w:val="20"/>
              </w:rPr>
              <w:t>808,710</w:t>
            </w:r>
          </w:p>
        </w:tc>
      </w:tr>
      <w:tr w:rsidR="0012117A" w:rsidRPr="00EE1AC5" w:rsidTr="000E6DA5">
        <w:trPr>
          <w:trHeight w:val="300"/>
        </w:trPr>
        <w:tc>
          <w:tcPr>
            <w:tcW w:w="3261" w:type="dxa"/>
            <w:shd w:val="clear" w:color="auto" w:fill="auto"/>
            <w:noWrap/>
            <w:vAlign w:val="bottom"/>
          </w:tcPr>
          <w:p w:rsidR="0012117A" w:rsidRPr="00EE1AC5" w:rsidRDefault="0012117A" w:rsidP="008E275B">
            <w:pPr>
              <w:jc w:val="center"/>
              <w:rPr>
                <w:rFonts w:ascii="Calibri" w:hAnsi="Calibri" w:cs="Arial"/>
                <w:b/>
                <w:bCs/>
                <w:sz w:val="20"/>
                <w:szCs w:val="20"/>
              </w:rPr>
            </w:pPr>
            <w:r w:rsidRPr="00EE1AC5">
              <w:rPr>
                <w:rFonts w:ascii="Calibri" w:hAnsi="Calibri" w:cs="Arial"/>
                <w:b/>
                <w:bCs/>
                <w:sz w:val="20"/>
                <w:szCs w:val="20"/>
              </w:rPr>
              <w:lastRenderedPageBreak/>
              <w:t>2011</w:t>
            </w:r>
          </w:p>
        </w:tc>
        <w:tc>
          <w:tcPr>
            <w:tcW w:w="2769" w:type="dxa"/>
            <w:shd w:val="clear" w:color="auto" w:fill="auto"/>
            <w:noWrap/>
            <w:vAlign w:val="bottom"/>
          </w:tcPr>
          <w:p w:rsidR="0012117A" w:rsidRPr="00EE1AC5" w:rsidRDefault="00652CDB" w:rsidP="00652CDB">
            <w:pPr>
              <w:jc w:val="center"/>
              <w:rPr>
                <w:rFonts w:ascii="Calibri" w:hAnsi="Calibri"/>
                <w:color w:val="000000"/>
                <w:sz w:val="20"/>
                <w:szCs w:val="20"/>
              </w:rPr>
            </w:pPr>
            <w:r w:rsidRPr="00EE1AC5">
              <w:rPr>
                <w:rFonts w:ascii="Calibri" w:hAnsi="Calibri"/>
                <w:color w:val="000000"/>
                <w:sz w:val="20"/>
                <w:szCs w:val="20"/>
              </w:rPr>
              <w:t>1,873,290</w:t>
            </w:r>
          </w:p>
        </w:tc>
        <w:tc>
          <w:tcPr>
            <w:tcW w:w="3420" w:type="dxa"/>
            <w:shd w:val="clear" w:color="auto" w:fill="auto"/>
            <w:noWrap/>
            <w:vAlign w:val="bottom"/>
          </w:tcPr>
          <w:p w:rsidR="0012117A" w:rsidRPr="00EE1AC5" w:rsidRDefault="00652CDB" w:rsidP="00652CDB">
            <w:pPr>
              <w:jc w:val="center"/>
              <w:rPr>
                <w:rFonts w:ascii="Calibri" w:hAnsi="Calibri"/>
                <w:color w:val="000000"/>
                <w:sz w:val="20"/>
                <w:szCs w:val="20"/>
              </w:rPr>
            </w:pPr>
            <w:r w:rsidRPr="00EE1AC5">
              <w:rPr>
                <w:rFonts w:ascii="Calibri" w:hAnsi="Calibri"/>
                <w:color w:val="000000"/>
                <w:sz w:val="20"/>
                <w:szCs w:val="20"/>
              </w:rPr>
              <w:t>897,642</w:t>
            </w:r>
          </w:p>
        </w:tc>
      </w:tr>
      <w:tr w:rsidR="00CD2871" w:rsidRPr="00EE1AC5" w:rsidTr="000E6DA5">
        <w:trPr>
          <w:trHeight w:val="300"/>
        </w:trPr>
        <w:tc>
          <w:tcPr>
            <w:tcW w:w="3261" w:type="dxa"/>
            <w:shd w:val="clear" w:color="auto" w:fill="auto"/>
            <w:noWrap/>
            <w:vAlign w:val="bottom"/>
          </w:tcPr>
          <w:p w:rsidR="00CD2871" w:rsidRPr="00EE1AC5" w:rsidRDefault="00CD2871" w:rsidP="008E275B">
            <w:pPr>
              <w:jc w:val="center"/>
              <w:rPr>
                <w:rFonts w:ascii="Calibri" w:hAnsi="Calibri" w:cs="Arial"/>
                <w:b/>
                <w:bCs/>
                <w:sz w:val="20"/>
                <w:szCs w:val="20"/>
              </w:rPr>
            </w:pPr>
            <w:r w:rsidRPr="00EE1AC5">
              <w:rPr>
                <w:rFonts w:ascii="Calibri" w:hAnsi="Calibri" w:cs="Arial"/>
                <w:b/>
                <w:bCs/>
                <w:sz w:val="20"/>
                <w:szCs w:val="20"/>
              </w:rPr>
              <w:t>2012</w:t>
            </w:r>
          </w:p>
        </w:tc>
        <w:tc>
          <w:tcPr>
            <w:tcW w:w="2769" w:type="dxa"/>
            <w:shd w:val="clear" w:color="auto" w:fill="auto"/>
            <w:noWrap/>
            <w:vAlign w:val="bottom"/>
          </w:tcPr>
          <w:p w:rsidR="00CD2871" w:rsidRPr="00EE1AC5" w:rsidRDefault="00CD2871" w:rsidP="00652CDB">
            <w:pPr>
              <w:jc w:val="center"/>
              <w:rPr>
                <w:rFonts w:ascii="Calibri" w:hAnsi="Calibri"/>
                <w:color w:val="000000"/>
                <w:sz w:val="20"/>
                <w:szCs w:val="20"/>
              </w:rPr>
            </w:pPr>
            <w:r w:rsidRPr="00EE1AC5">
              <w:rPr>
                <w:rFonts w:ascii="Calibri" w:hAnsi="Calibri"/>
                <w:color w:val="000000"/>
                <w:sz w:val="20"/>
                <w:szCs w:val="20"/>
              </w:rPr>
              <w:t>1,876,544</w:t>
            </w:r>
          </w:p>
        </w:tc>
        <w:tc>
          <w:tcPr>
            <w:tcW w:w="3420" w:type="dxa"/>
            <w:shd w:val="clear" w:color="auto" w:fill="auto"/>
            <w:noWrap/>
            <w:vAlign w:val="bottom"/>
          </w:tcPr>
          <w:p w:rsidR="00CD2871" w:rsidRPr="00EE1AC5" w:rsidRDefault="00CD2871" w:rsidP="00652CDB">
            <w:pPr>
              <w:jc w:val="center"/>
              <w:rPr>
                <w:rFonts w:ascii="Calibri" w:hAnsi="Calibri"/>
                <w:color w:val="000000"/>
                <w:sz w:val="20"/>
                <w:szCs w:val="20"/>
              </w:rPr>
            </w:pPr>
            <w:r w:rsidRPr="00EE1AC5">
              <w:rPr>
                <w:rFonts w:ascii="Calibri" w:hAnsi="Calibri"/>
                <w:color w:val="000000"/>
                <w:sz w:val="20"/>
                <w:szCs w:val="20"/>
              </w:rPr>
              <w:t>937,972</w:t>
            </w:r>
          </w:p>
        </w:tc>
      </w:tr>
      <w:tr w:rsidR="00EE1AC5" w:rsidRPr="000E6DA5" w:rsidTr="000E6DA5">
        <w:trPr>
          <w:trHeight w:val="300"/>
        </w:trPr>
        <w:tc>
          <w:tcPr>
            <w:tcW w:w="3261" w:type="dxa"/>
            <w:shd w:val="clear" w:color="auto" w:fill="auto"/>
            <w:noWrap/>
            <w:vAlign w:val="bottom"/>
          </w:tcPr>
          <w:p w:rsidR="00EE1AC5" w:rsidRPr="000E6DA5" w:rsidRDefault="00EE1AC5" w:rsidP="008E275B">
            <w:pPr>
              <w:jc w:val="center"/>
              <w:rPr>
                <w:rFonts w:ascii="Calibri" w:hAnsi="Calibri" w:cs="Arial"/>
                <w:bCs/>
                <w:sz w:val="20"/>
                <w:szCs w:val="20"/>
              </w:rPr>
            </w:pPr>
            <w:r w:rsidRPr="000E6DA5">
              <w:rPr>
                <w:rFonts w:ascii="Calibri" w:hAnsi="Calibri" w:cs="Arial"/>
                <w:bCs/>
                <w:sz w:val="20"/>
                <w:szCs w:val="20"/>
              </w:rPr>
              <w:t>2013</w:t>
            </w:r>
          </w:p>
        </w:tc>
        <w:tc>
          <w:tcPr>
            <w:tcW w:w="2769" w:type="dxa"/>
            <w:shd w:val="clear" w:color="auto" w:fill="auto"/>
            <w:noWrap/>
            <w:vAlign w:val="bottom"/>
          </w:tcPr>
          <w:p w:rsidR="00EE1AC5" w:rsidRPr="000E6DA5" w:rsidRDefault="00EE1AC5" w:rsidP="00652CDB">
            <w:pPr>
              <w:jc w:val="center"/>
              <w:rPr>
                <w:rFonts w:ascii="Calibri" w:hAnsi="Calibri"/>
                <w:color w:val="000000"/>
                <w:sz w:val="20"/>
                <w:szCs w:val="20"/>
              </w:rPr>
            </w:pPr>
            <w:r w:rsidRPr="000E6DA5">
              <w:rPr>
                <w:rFonts w:ascii="Calibri" w:hAnsi="Calibri"/>
                <w:color w:val="000000"/>
                <w:sz w:val="20"/>
                <w:szCs w:val="20"/>
              </w:rPr>
              <w:t>1,732,567</w:t>
            </w:r>
          </w:p>
        </w:tc>
        <w:tc>
          <w:tcPr>
            <w:tcW w:w="3420" w:type="dxa"/>
            <w:shd w:val="clear" w:color="auto" w:fill="auto"/>
            <w:noWrap/>
            <w:vAlign w:val="bottom"/>
          </w:tcPr>
          <w:p w:rsidR="00EE1AC5" w:rsidRPr="000E6DA5" w:rsidRDefault="00EE1AC5" w:rsidP="00652CDB">
            <w:pPr>
              <w:jc w:val="center"/>
              <w:rPr>
                <w:rFonts w:ascii="Calibri" w:hAnsi="Calibri"/>
                <w:color w:val="000000"/>
                <w:sz w:val="20"/>
                <w:szCs w:val="20"/>
              </w:rPr>
            </w:pPr>
            <w:r w:rsidRPr="000E6DA5">
              <w:rPr>
                <w:rFonts w:ascii="Calibri" w:hAnsi="Calibri"/>
                <w:color w:val="000000"/>
                <w:sz w:val="20"/>
                <w:szCs w:val="20"/>
              </w:rPr>
              <w:t>875,226</w:t>
            </w:r>
          </w:p>
        </w:tc>
      </w:tr>
    </w:tbl>
    <w:p w:rsidR="002F6FA4" w:rsidRPr="00EE1AC5" w:rsidRDefault="002F6FA4" w:rsidP="00A770EF">
      <w:pPr>
        <w:rPr>
          <w:b/>
          <w:sz w:val="22"/>
          <w:szCs w:val="22"/>
          <w:highlight w:val="yellow"/>
        </w:rPr>
      </w:pPr>
    </w:p>
    <w:p w:rsidR="009E6250" w:rsidRDefault="00174B5B">
      <w:r w:rsidRPr="00A34D4C">
        <w:fldChar w:fldCharType="begin"/>
      </w:r>
      <w:r w:rsidRPr="00A34D4C">
        <w:instrText xml:space="preserve"> REF _Ref248861884 \h  \* MERGEFORMAT </w:instrText>
      </w:r>
      <w:r w:rsidRPr="00A34D4C">
        <w:fldChar w:fldCharType="separate"/>
      </w:r>
      <w:r w:rsidR="00A50F56" w:rsidRPr="00E0131B">
        <w:t xml:space="preserve">Table </w:t>
      </w:r>
      <w:r w:rsidRPr="00A34D4C">
        <w:fldChar w:fldCharType="end"/>
      </w:r>
      <w:r w:rsidR="006A38DF">
        <w:t>5</w:t>
      </w:r>
      <w:r w:rsidR="00266298" w:rsidRPr="00A34D4C">
        <w:t xml:space="preserve"> shows where </w:t>
      </w:r>
      <w:r w:rsidR="00171F9C" w:rsidRPr="00A34D4C">
        <w:t xml:space="preserve">students participated </w:t>
      </w:r>
      <w:r w:rsidR="00F44CCE" w:rsidRPr="00A34D4C">
        <w:t xml:space="preserve">in 21st </w:t>
      </w:r>
      <w:r w:rsidR="00266298" w:rsidRPr="00A34D4C">
        <w:t xml:space="preserve">CCLC activities </w:t>
      </w:r>
      <w:r w:rsidR="00171F9C" w:rsidRPr="00A34D4C">
        <w:t>by center type. In 20</w:t>
      </w:r>
      <w:r w:rsidR="006F658C" w:rsidRPr="00A34D4C">
        <w:t>1</w:t>
      </w:r>
      <w:r w:rsidR="00EE1AC5" w:rsidRPr="00A34D4C">
        <w:t>2</w:t>
      </w:r>
      <w:r w:rsidR="00DB7682" w:rsidRPr="00A34D4C">
        <w:t>-</w:t>
      </w:r>
      <w:r w:rsidR="001A1CE1" w:rsidRPr="00A34D4C">
        <w:t>1</w:t>
      </w:r>
      <w:r w:rsidR="00EE1AC5" w:rsidRPr="00A34D4C">
        <w:t>3</w:t>
      </w:r>
      <w:r w:rsidR="00171F9C" w:rsidRPr="00A34D4C">
        <w:t xml:space="preserve"> fo</w:t>
      </w:r>
      <w:r w:rsidR="00EE1AC5" w:rsidRPr="00A34D4C">
        <w:t>r example, nearly 88</w:t>
      </w:r>
      <w:r w:rsidR="001C52BF" w:rsidRPr="00A34D4C">
        <w:t xml:space="preserve"> </w:t>
      </w:r>
      <w:r w:rsidR="00F44CCE" w:rsidRPr="00A34D4C">
        <w:t>percent</w:t>
      </w:r>
      <w:r w:rsidR="00F463EE" w:rsidRPr="00A34D4C">
        <w:t xml:space="preserve"> of </w:t>
      </w:r>
      <w:r w:rsidR="006F658C" w:rsidRPr="00A34D4C">
        <w:t xml:space="preserve">all </w:t>
      </w:r>
      <w:r w:rsidR="00F463EE" w:rsidRPr="00A34D4C">
        <w:t>students</w:t>
      </w:r>
      <w:r w:rsidR="00171F9C" w:rsidRPr="00A34D4C">
        <w:t xml:space="preserve"> </w:t>
      </w:r>
      <w:r w:rsidR="00C52962">
        <w:t xml:space="preserve">attended </w:t>
      </w:r>
      <w:r w:rsidR="00171F9C" w:rsidRPr="00A34D4C">
        <w:t xml:space="preserve">centers housed in </w:t>
      </w:r>
      <w:r w:rsidR="00C52962">
        <w:t>SD</w:t>
      </w:r>
      <w:r w:rsidR="00DB7682" w:rsidRPr="00A34D4C">
        <w:t xml:space="preserve"> </w:t>
      </w:r>
      <w:r w:rsidR="00171F9C" w:rsidRPr="00A34D4C">
        <w:t>buildings.</w:t>
      </w:r>
      <w:r w:rsidR="00EE1AC5" w:rsidRPr="00A34D4C">
        <w:t xml:space="preserve"> Excluding </w:t>
      </w:r>
      <w:r w:rsidR="00A34D4C" w:rsidRPr="00A34D4C">
        <w:t xml:space="preserve">center type classified as unknown, </w:t>
      </w:r>
      <w:r w:rsidR="00FA5D24">
        <w:t>CBO</w:t>
      </w:r>
      <w:r w:rsidR="00F44CCE" w:rsidRPr="00A34D4C">
        <w:t>-</w:t>
      </w:r>
      <w:r w:rsidR="00DB7682" w:rsidRPr="00A34D4C">
        <w:t xml:space="preserve">housed centers </w:t>
      </w:r>
      <w:r w:rsidR="00F463EE" w:rsidRPr="00A34D4C">
        <w:t>accounted for the second highest percent</w:t>
      </w:r>
      <w:r w:rsidR="00F44CCE" w:rsidRPr="00A34D4C">
        <w:t xml:space="preserve">age of students at just </w:t>
      </w:r>
      <w:proofErr w:type="gramStart"/>
      <w:r w:rsidR="00C52962">
        <w:t>under</w:t>
      </w:r>
      <w:proofErr w:type="gramEnd"/>
      <w:r w:rsidR="00C52962">
        <w:t xml:space="preserve"> three</w:t>
      </w:r>
      <w:r w:rsidR="00F44CCE" w:rsidRPr="00A34D4C">
        <w:t xml:space="preserve"> percent</w:t>
      </w:r>
      <w:r w:rsidR="00F463EE" w:rsidRPr="00A34D4C">
        <w:t>.</w:t>
      </w:r>
      <w:r w:rsidR="00F44CCE" w:rsidRPr="00A34D4C">
        <w:t xml:space="preserve"> </w:t>
      </w:r>
      <w:r w:rsidR="00EE1AC5" w:rsidRPr="00A34D4C">
        <w:t>Nearly 86</w:t>
      </w:r>
      <w:r w:rsidR="008410DA" w:rsidRPr="00A34D4C">
        <w:t xml:space="preserve"> </w:t>
      </w:r>
      <w:r w:rsidR="00F44CCE" w:rsidRPr="00A34D4C">
        <w:t>percent</w:t>
      </w:r>
      <w:r w:rsidR="00171F9C" w:rsidRPr="00A34D4C">
        <w:t xml:space="preserve"> of all regular attendees in 20</w:t>
      </w:r>
      <w:r w:rsidR="002C5F76" w:rsidRPr="00A34D4C">
        <w:t>1</w:t>
      </w:r>
      <w:r w:rsidR="00EE1AC5" w:rsidRPr="00A34D4C">
        <w:t>3</w:t>
      </w:r>
      <w:r w:rsidR="00171F9C" w:rsidRPr="00A34D4C">
        <w:t xml:space="preserve"> attended programming in centers housed in </w:t>
      </w:r>
      <w:r w:rsidR="00C52962">
        <w:t>SD</w:t>
      </w:r>
      <w:r w:rsidR="00DB7682" w:rsidRPr="00A34D4C">
        <w:t xml:space="preserve"> buildings. </w:t>
      </w:r>
      <w:r w:rsidR="00C52962">
        <w:t>CBO-housed</w:t>
      </w:r>
      <w:r w:rsidR="00DB7682" w:rsidRPr="00A34D4C">
        <w:t xml:space="preserve"> centers</w:t>
      </w:r>
      <w:r w:rsidR="00F463EE" w:rsidRPr="00A34D4C">
        <w:t xml:space="preserve"> accounted for the second highest percenta</w:t>
      </w:r>
      <w:r w:rsidR="00F44CCE" w:rsidRPr="00A34D4C">
        <w:t>g</w:t>
      </w:r>
      <w:r w:rsidR="00C52962">
        <w:t>e of regular attendees at over three</w:t>
      </w:r>
      <w:r w:rsidR="00F44CCE" w:rsidRPr="00A34D4C">
        <w:t xml:space="preserve"> percent. </w:t>
      </w:r>
      <w:r w:rsidR="00F463EE" w:rsidRPr="00A34D4C">
        <w:t xml:space="preserve">Similar trends are seen for </w:t>
      </w:r>
      <w:r w:rsidR="00E96CC5" w:rsidRPr="00A34D4C">
        <w:t>2007-08</w:t>
      </w:r>
      <w:r w:rsidR="002C5F76" w:rsidRPr="00A34D4C">
        <w:t>, 2008-09</w:t>
      </w:r>
      <w:r w:rsidR="00064162" w:rsidRPr="00A34D4C">
        <w:t>, 2009-1</w:t>
      </w:r>
      <w:r w:rsidR="006F658C" w:rsidRPr="00A34D4C">
        <w:t>0</w:t>
      </w:r>
      <w:r w:rsidR="00A34D4C" w:rsidRPr="00A34D4C">
        <w:t xml:space="preserve">, </w:t>
      </w:r>
      <w:r w:rsidR="008410DA" w:rsidRPr="00A34D4C">
        <w:t>2010-11</w:t>
      </w:r>
      <w:r w:rsidR="00A34D4C" w:rsidRPr="00A34D4C">
        <w:t>, and 2011-12.</w:t>
      </w:r>
    </w:p>
    <w:p w:rsidR="00434A45" w:rsidRPr="00A34D4C" w:rsidRDefault="00434A45"/>
    <w:p w:rsidR="00332EF9" w:rsidRDefault="00332EF9" w:rsidP="00E0131B">
      <w:pPr>
        <w:pStyle w:val="Caption"/>
        <w:spacing w:before="120"/>
      </w:pPr>
      <w:bookmarkStart w:id="21" w:name="_Ref248861884"/>
      <w:proofErr w:type="gramStart"/>
      <w:r w:rsidRPr="00E0131B">
        <w:t xml:space="preserve">Table </w:t>
      </w:r>
      <w:bookmarkEnd w:id="21"/>
      <w:r w:rsidR="006A38DF">
        <w:t>5</w:t>
      </w:r>
      <w:r w:rsidR="00723B47" w:rsidRPr="00E0131B">
        <w:t>.</w:t>
      </w:r>
      <w:proofErr w:type="gramEnd"/>
      <w:r w:rsidRPr="00E0131B">
        <w:t xml:space="preserve"> Total and Regular </w:t>
      </w:r>
      <w:r w:rsidR="007B365D" w:rsidRPr="00E0131B">
        <w:t xml:space="preserve">Student </w:t>
      </w:r>
      <w:r w:rsidRPr="00E0131B">
        <w:t>Attendees by Center Type</w:t>
      </w:r>
    </w:p>
    <w:tbl>
      <w:tblPr>
        <w:tblW w:w="10692" w:type="dxa"/>
        <w:tblInd w:w="-660" w:type="dxa"/>
        <w:tblLook w:val="04A0" w:firstRow="1" w:lastRow="0" w:firstColumn="1" w:lastColumn="0" w:noHBand="0" w:noVBand="1"/>
      </w:tblPr>
      <w:tblGrid>
        <w:gridCol w:w="1620"/>
        <w:gridCol w:w="756"/>
        <w:gridCol w:w="756"/>
        <w:gridCol w:w="756"/>
        <w:gridCol w:w="756"/>
        <w:gridCol w:w="756"/>
        <w:gridCol w:w="756"/>
        <w:gridCol w:w="756"/>
        <w:gridCol w:w="756"/>
        <w:gridCol w:w="756"/>
        <w:gridCol w:w="756"/>
        <w:gridCol w:w="756"/>
        <w:gridCol w:w="756"/>
      </w:tblGrid>
      <w:tr w:rsidR="00493EB1" w:rsidTr="00493EB1">
        <w:trPr>
          <w:trHeight w:val="615"/>
        </w:trPr>
        <w:tc>
          <w:tcPr>
            <w:tcW w:w="1620" w:type="dxa"/>
            <w:tcBorders>
              <w:top w:val="single" w:sz="8" w:space="0" w:color="auto"/>
              <w:left w:val="single" w:sz="8" w:space="0" w:color="auto"/>
              <w:bottom w:val="single" w:sz="8" w:space="0" w:color="auto"/>
              <w:right w:val="single" w:sz="8" w:space="0" w:color="auto"/>
            </w:tcBorders>
            <w:shd w:val="clear" w:color="000000" w:fill="595959"/>
            <w:vAlign w:val="center"/>
            <w:hideMark/>
          </w:tcPr>
          <w:p w:rsidR="00493EB1" w:rsidRDefault="00493EB1">
            <w:pPr>
              <w:jc w:val="center"/>
              <w:rPr>
                <w:rFonts w:ascii="Calibri" w:hAnsi="Calibri"/>
                <w:color w:val="0000FF"/>
                <w:sz w:val="22"/>
                <w:szCs w:val="22"/>
                <w:u w:val="single"/>
              </w:rPr>
            </w:pPr>
            <w:r w:rsidRPr="00E0131B">
              <w:rPr>
                <w:rFonts w:ascii="Calibri" w:hAnsi="Calibri" w:cs="Arial"/>
                <w:b/>
                <w:bCs/>
                <w:color w:val="FFFFFF" w:themeColor="background1"/>
                <w:sz w:val="22"/>
                <w:szCs w:val="22"/>
              </w:rPr>
              <w:t>Center Type</w:t>
            </w:r>
            <w:r w:rsidRPr="00E0131B">
              <w:rPr>
                <w:rStyle w:val="FootnoteReference"/>
                <w:rFonts w:ascii="Calibri" w:hAnsi="Calibri" w:cs="Arial"/>
                <w:b/>
                <w:bCs/>
                <w:color w:val="FFFFFF" w:themeColor="background1"/>
                <w:sz w:val="22"/>
                <w:szCs w:val="22"/>
              </w:rPr>
              <w:footnoteReference w:id="3"/>
            </w:r>
          </w:p>
        </w:tc>
        <w:tc>
          <w:tcPr>
            <w:tcW w:w="756" w:type="dxa"/>
            <w:tcBorders>
              <w:top w:val="single" w:sz="8" w:space="0" w:color="auto"/>
              <w:left w:val="nil"/>
              <w:bottom w:val="single" w:sz="8" w:space="0" w:color="auto"/>
              <w:right w:val="single" w:sz="8" w:space="0" w:color="auto"/>
            </w:tcBorders>
            <w:shd w:val="clear" w:color="000000" w:fill="D9D9D9"/>
            <w:vAlign w:val="center"/>
            <w:hideMark/>
          </w:tcPr>
          <w:p w:rsidR="00493EB1" w:rsidRDefault="00493EB1">
            <w:pPr>
              <w:jc w:val="center"/>
              <w:rPr>
                <w:rFonts w:ascii="Calibri" w:hAnsi="Calibri"/>
                <w:b/>
                <w:bCs/>
                <w:color w:val="000000"/>
                <w:sz w:val="20"/>
                <w:szCs w:val="20"/>
              </w:rPr>
            </w:pPr>
            <w:r>
              <w:rPr>
                <w:rFonts w:ascii="Calibri" w:hAnsi="Calibri"/>
                <w:b/>
                <w:bCs/>
                <w:color w:val="000000"/>
                <w:sz w:val="20"/>
                <w:szCs w:val="20"/>
              </w:rPr>
              <w:t>2008 Tot</w:t>
            </w:r>
          </w:p>
        </w:tc>
        <w:tc>
          <w:tcPr>
            <w:tcW w:w="756" w:type="dxa"/>
            <w:tcBorders>
              <w:top w:val="single" w:sz="8" w:space="0" w:color="auto"/>
              <w:left w:val="nil"/>
              <w:bottom w:val="single" w:sz="8" w:space="0" w:color="auto"/>
              <w:right w:val="single" w:sz="8" w:space="0" w:color="auto"/>
            </w:tcBorders>
            <w:shd w:val="clear" w:color="000000" w:fill="D9D9D9"/>
            <w:vAlign w:val="center"/>
            <w:hideMark/>
          </w:tcPr>
          <w:p w:rsidR="00493EB1" w:rsidRDefault="00493EB1">
            <w:pPr>
              <w:jc w:val="center"/>
              <w:rPr>
                <w:rFonts w:ascii="Calibri" w:hAnsi="Calibri"/>
                <w:b/>
                <w:bCs/>
                <w:color w:val="000000"/>
                <w:sz w:val="20"/>
                <w:szCs w:val="20"/>
              </w:rPr>
            </w:pPr>
            <w:r>
              <w:rPr>
                <w:rFonts w:ascii="Calibri" w:hAnsi="Calibri"/>
                <w:b/>
                <w:bCs/>
                <w:color w:val="000000"/>
                <w:sz w:val="20"/>
                <w:szCs w:val="20"/>
              </w:rPr>
              <w:t xml:space="preserve">2008 </w:t>
            </w:r>
            <w:proofErr w:type="spellStart"/>
            <w:r>
              <w:rPr>
                <w:rFonts w:ascii="Calibri" w:hAnsi="Calibri"/>
                <w:b/>
                <w:bCs/>
                <w:color w:val="000000"/>
                <w:sz w:val="20"/>
                <w:szCs w:val="20"/>
              </w:rPr>
              <w:t>Reg</w:t>
            </w:r>
            <w:proofErr w:type="spellEnd"/>
          </w:p>
        </w:tc>
        <w:tc>
          <w:tcPr>
            <w:tcW w:w="756" w:type="dxa"/>
            <w:tcBorders>
              <w:top w:val="single" w:sz="8" w:space="0" w:color="auto"/>
              <w:left w:val="nil"/>
              <w:bottom w:val="single" w:sz="8" w:space="0" w:color="auto"/>
              <w:right w:val="single" w:sz="8" w:space="0" w:color="auto"/>
            </w:tcBorders>
            <w:shd w:val="clear" w:color="000000" w:fill="D9D9D9"/>
            <w:vAlign w:val="center"/>
            <w:hideMark/>
          </w:tcPr>
          <w:p w:rsidR="00493EB1" w:rsidRDefault="00493EB1">
            <w:pPr>
              <w:jc w:val="center"/>
              <w:rPr>
                <w:rFonts w:ascii="Calibri" w:hAnsi="Calibri"/>
                <w:b/>
                <w:bCs/>
                <w:color w:val="000000"/>
                <w:sz w:val="20"/>
                <w:szCs w:val="20"/>
              </w:rPr>
            </w:pPr>
            <w:r>
              <w:rPr>
                <w:rFonts w:ascii="Calibri" w:hAnsi="Calibri"/>
                <w:b/>
                <w:bCs/>
                <w:color w:val="000000"/>
                <w:sz w:val="20"/>
                <w:szCs w:val="20"/>
              </w:rPr>
              <w:t>2009 Tot</w:t>
            </w:r>
          </w:p>
        </w:tc>
        <w:tc>
          <w:tcPr>
            <w:tcW w:w="756" w:type="dxa"/>
            <w:tcBorders>
              <w:top w:val="single" w:sz="8" w:space="0" w:color="auto"/>
              <w:left w:val="nil"/>
              <w:bottom w:val="single" w:sz="8" w:space="0" w:color="auto"/>
              <w:right w:val="single" w:sz="8" w:space="0" w:color="auto"/>
            </w:tcBorders>
            <w:shd w:val="clear" w:color="000000" w:fill="D9D9D9"/>
            <w:vAlign w:val="center"/>
            <w:hideMark/>
          </w:tcPr>
          <w:p w:rsidR="00493EB1" w:rsidRDefault="00493EB1">
            <w:pPr>
              <w:jc w:val="center"/>
              <w:rPr>
                <w:rFonts w:ascii="Calibri" w:hAnsi="Calibri"/>
                <w:b/>
                <w:bCs/>
                <w:color w:val="000000"/>
                <w:sz w:val="20"/>
                <w:szCs w:val="20"/>
              </w:rPr>
            </w:pPr>
            <w:r>
              <w:rPr>
                <w:rFonts w:ascii="Calibri" w:hAnsi="Calibri"/>
                <w:b/>
                <w:bCs/>
                <w:color w:val="000000"/>
                <w:sz w:val="20"/>
                <w:szCs w:val="20"/>
              </w:rPr>
              <w:t xml:space="preserve">2009 </w:t>
            </w:r>
            <w:proofErr w:type="spellStart"/>
            <w:r>
              <w:rPr>
                <w:rFonts w:ascii="Calibri" w:hAnsi="Calibri"/>
                <w:b/>
                <w:bCs/>
                <w:color w:val="000000"/>
                <w:sz w:val="20"/>
                <w:szCs w:val="20"/>
              </w:rPr>
              <w:t>Reg</w:t>
            </w:r>
            <w:proofErr w:type="spellEnd"/>
          </w:p>
        </w:tc>
        <w:tc>
          <w:tcPr>
            <w:tcW w:w="756" w:type="dxa"/>
            <w:tcBorders>
              <w:top w:val="single" w:sz="8" w:space="0" w:color="auto"/>
              <w:left w:val="nil"/>
              <w:bottom w:val="single" w:sz="8" w:space="0" w:color="auto"/>
              <w:right w:val="single" w:sz="8" w:space="0" w:color="auto"/>
            </w:tcBorders>
            <w:shd w:val="clear" w:color="000000" w:fill="D9D9D9"/>
            <w:vAlign w:val="center"/>
            <w:hideMark/>
          </w:tcPr>
          <w:p w:rsidR="00493EB1" w:rsidRDefault="00493EB1">
            <w:pPr>
              <w:jc w:val="center"/>
              <w:rPr>
                <w:rFonts w:ascii="Calibri" w:hAnsi="Calibri"/>
                <w:b/>
                <w:bCs/>
                <w:color w:val="000000"/>
                <w:sz w:val="20"/>
                <w:szCs w:val="20"/>
              </w:rPr>
            </w:pPr>
            <w:r>
              <w:rPr>
                <w:rFonts w:ascii="Calibri" w:hAnsi="Calibri"/>
                <w:b/>
                <w:bCs/>
                <w:color w:val="000000"/>
                <w:sz w:val="20"/>
                <w:szCs w:val="20"/>
              </w:rPr>
              <w:t>2010 Tot</w:t>
            </w:r>
          </w:p>
        </w:tc>
        <w:tc>
          <w:tcPr>
            <w:tcW w:w="756" w:type="dxa"/>
            <w:tcBorders>
              <w:top w:val="single" w:sz="8" w:space="0" w:color="auto"/>
              <w:left w:val="nil"/>
              <w:bottom w:val="single" w:sz="8" w:space="0" w:color="auto"/>
              <w:right w:val="single" w:sz="8" w:space="0" w:color="auto"/>
            </w:tcBorders>
            <w:shd w:val="clear" w:color="000000" w:fill="D9D9D9"/>
            <w:vAlign w:val="center"/>
            <w:hideMark/>
          </w:tcPr>
          <w:p w:rsidR="00493EB1" w:rsidRDefault="00493EB1">
            <w:pPr>
              <w:jc w:val="center"/>
              <w:rPr>
                <w:rFonts w:ascii="Calibri" w:hAnsi="Calibri"/>
                <w:b/>
                <w:bCs/>
                <w:color w:val="000000"/>
                <w:sz w:val="20"/>
                <w:szCs w:val="20"/>
              </w:rPr>
            </w:pPr>
            <w:r>
              <w:rPr>
                <w:rFonts w:ascii="Calibri" w:hAnsi="Calibri"/>
                <w:b/>
                <w:bCs/>
                <w:color w:val="000000"/>
                <w:sz w:val="20"/>
                <w:szCs w:val="20"/>
              </w:rPr>
              <w:t xml:space="preserve">2010 </w:t>
            </w:r>
            <w:proofErr w:type="spellStart"/>
            <w:r>
              <w:rPr>
                <w:rFonts w:ascii="Calibri" w:hAnsi="Calibri"/>
                <w:b/>
                <w:bCs/>
                <w:color w:val="000000"/>
                <w:sz w:val="20"/>
                <w:szCs w:val="20"/>
              </w:rPr>
              <w:t>Reg</w:t>
            </w:r>
            <w:proofErr w:type="spellEnd"/>
          </w:p>
        </w:tc>
        <w:tc>
          <w:tcPr>
            <w:tcW w:w="756" w:type="dxa"/>
            <w:tcBorders>
              <w:top w:val="single" w:sz="8" w:space="0" w:color="auto"/>
              <w:left w:val="nil"/>
              <w:bottom w:val="single" w:sz="8" w:space="0" w:color="auto"/>
              <w:right w:val="single" w:sz="8" w:space="0" w:color="auto"/>
            </w:tcBorders>
            <w:shd w:val="clear" w:color="000000" w:fill="D9D9D9"/>
            <w:vAlign w:val="center"/>
            <w:hideMark/>
          </w:tcPr>
          <w:p w:rsidR="00493EB1" w:rsidRDefault="00493EB1">
            <w:pPr>
              <w:jc w:val="center"/>
              <w:rPr>
                <w:rFonts w:ascii="Calibri" w:hAnsi="Calibri"/>
                <w:b/>
                <w:bCs/>
                <w:color w:val="000000"/>
                <w:sz w:val="20"/>
                <w:szCs w:val="20"/>
              </w:rPr>
            </w:pPr>
            <w:r>
              <w:rPr>
                <w:rFonts w:ascii="Calibri" w:hAnsi="Calibri"/>
                <w:b/>
                <w:bCs/>
                <w:color w:val="000000"/>
                <w:sz w:val="20"/>
                <w:szCs w:val="20"/>
              </w:rPr>
              <w:t>2011 Tot</w:t>
            </w:r>
          </w:p>
        </w:tc>
        <w:tc>
          <w:tcPr>
            <w:tcW w:w="756" w:type="dxa"/>
            <w:tcBorders>
              <w:top w:val="single" w:sz="8" w:space="0" w:color="auto"/>
              <w:left w:val="nil"/>
              <w:bottom w:val="single" w:sz="8" w:space="0" w:color="auto"/>
              <w:right w:val="single" w:sz="8" w:space="0" w:color="auto"/>
            </w:tcBorders>
            <w:shd w:val="clear" w:color="000000" w:fill="D9D9D9"/>
            <w:vAlign w:val="center"/>
            <w:hideMark/>
          </w:tcPr>
          <w:p w:rsidR="00493EB1" w:rsidRDefault="00493EB1">
            <w:pPr>
              <w:jc w:val="center"/>
              <w:rPr>
                <w:rFonts w:ascii="Calibri" w:hAnsi="Calibri"/>
                <w:b/>
                <w:bCs/>
                <w:color w:val="000000"/>
                <w:sz w:val="20"/>
                <w:szCs w:val="20"/>
              </w:rPr>
            </w:pPr>
            <w:r>
              <w:rPr>
                <w:rFonts w:ascii="Calibri" w:hAnsi="Calibri"/>
                <w:b/>
                <w:bCs/>
                <w:color w:val="000000"/>
                <w:sz w:val="20"/>
                <w:szCs w:val="20"/>
              </w:rPr>
              <w:t xml:space="preserve">2011 </w:t>
            </w:r>
            <w:proofErr w:type="spellStart"/>
            <w:r>
              <w:rPr>
                <w:rFonts w:ascii="Calibri" w:hAnsi="Calibri"/>
                <w:b/>
                <w:bCs/>
                <w:color w:val="000000"/>
                <w:sz w:val="20"/>
                <w:szCs w:val="20"/>
              </w:rPr>
              <w:t>Reg</w:t>
            </w:r>
            <w:proofErr w:type="spellEnd"/>
          </w:p>
        </w:tc>
        <w:tc>
          <w:tcPr>
            <w:tcW w:w="756" w:type="dxa"/>
            <w:tcBorders>
              <w:top w:val="single" w:sz="8" w:space="0" w:color="auto"/>
              <w:left w:val="nil"/>
              <w:bottom w:val="single" w:sz="8" w:space="0" w:color="auto"/>
              <w:right w:val="single" w:sz="8" w:space="0" w:color="auto"/>
            </w:tcBorders>
            <w:shd w:val="clear" w:color="000000" w:fill="D9D9D9"/>
            <w:vAlign w:val="center"/>
            <w:hideMark/>
          </w:tcPr>
          <w:p w:rsidR="00493EB1" w:rsidRDefault="00493EB1">
            <w:pPr>
              <w:jc w:val="center"/>
              <w:rPr>
                <w:rFonts w:ascii="Calibri" w:hAnsi="Calibri"/>
                <w:b/>
                <w:bCs/>
                <w:color w:val="000000"/>
                <w:sz w:val="20"/>
                <w:szCs w:val="20"/>
              </w:rPr>
            </w:pPr>
            <w:r>
              <w:rPr>
                <w:rFonts w:ascii="Calibri" w:hAnsi="Calibri"/>
                <w:b/>
                <w:bCs/>
                <w:color w:val="000000"/>
                <w:sz w:val="20"/>
                <w:szCs w:val="20"/>
              </w:rPr>
              <w:t>2012 Tot</w:t>
            </w:r>
          </w:p>
        </w:tc>
        <w:tc>
          <w:tcPr>
            <w:tcW w:w="756" w:type="dxa"/>
            <w:tcBorders>
              <w:top w:val="single" w:sz="8" w:space="0" w:color="auto"/>
              <w:left w:val="nil"/>
              <w:bottom w:val="single" w:sz="8" w:space="0" w:color="auto"/>
              <w:right w:val="single" w:sz="8" w:space="0" w:color="auto"/>
            </w:tcBorders>
            <w:shd w:val="clear" w:color="000000" w:fill="D9D9D9"/>
            <w:vAlign w:val="center"/>
            <w:hideMark/>
          </w:tcPr>
          <w:p w:rsidR="00493EB1" w:rsidRDefault="00493EB1">
            <w:pPr>
              <w:jc w:val="center"/>
              <w:rPr>
                <w:rFonts w:ascii="Calibri" w:hAnsi="Calibri"/>
                <w:b/>
                <w:bCs/>
                <w:color w:val="000000"/>
                <w:sz w:val="20"/>
                <w:szCs w:val="20"/>
              </w:rPr>
            </w:pPr>
            <w:r>
              <w:rPr>
                <w:rFonts w:ascii="Calibri" w:hAnsi="Calibri"/>
                <w:b/>
                <w:bCs/>
                <w:color w:val="000000"/>
                <w:sz w:val="20"/>
                <w:szCs w:val="20"/>
              </w:rPr>
              <w:t xml:space="preserve">2012 </w:t>
            </w:r>
            <w:proofErr w:type="spellStart"/>
            <w:r>
              <w:rPr>
                <w:rFonts w:ascii="Calibri" w:hAnsi="Calibri"/>
                <w:b/>
                <w:bCs/>
                <w:color w:val="000000"/>
                <w:sz w:val="20"/>
                <w:szCs w:val="20"/>
              </w:rPr>
              <w:t>Reg</w:t>
            </w:r>
            <w:proofErr w:type="spellEnd"/>
          </w:p>
        </w:tc>
        <w:tc>
          <w:tcPr>
            <w:tcW w:w="756" w:type="dxa"/>
            <w:tcBorders>
              <w:top w:val="single" w:sz="8" w:space="0" w:color="auto"/>
              <w:left w:val="nil"/>
              <w:bottom w:val="single" w:sz="8" w:space="0" w:color="auto"/>
              <w:right w:val="single" w:sz="8" w:space="0" w:color="auto"/>
            </w:tcBorders>
            <w:shd w:val="clear" w:color="000000" w:fill="D9D9D9"/>
            <w:vAlign w:val="center"/>
            <w:hideMark/>
          </w:tcPr>
          <w:p w:rsidR="00493EB1" w:rsidRDefault="00493EB1">
            <w:pPr>
              <w:jc w:val="center"/>
              <w:rPr>
                <w:rFonts w:ascii="Calibri" w:hAnsi="Calibri"/>
                <w:b/>
                <w:bCs/>
                <w:color w:val="000000"/>
                <w:sz w:val="20"/>
                <w:szCs w:val="20"/>
              </w:rPr>
            </w:pPr>
            <w:r>
              <w:rPr>
                <w:rFonts w:ascii="Calibri" w:hAnsi="Calibri"/>
                <w:b/>
                <w:bCs/>
                <w:color w:val="000000"/>
                <w:sz w:val="20"/>
                <w:szCs w:val="20"/>
              </w:rPr>
              <w:t>2013 Tot</w:t>
            </w:r>
          </w:p>
        </w:tc>
        <w:tc>
          <w:tcPr>
            <w:tcW w:w="756" w:type="dxa"/>
            <w:tcBorders>
              <w:top w:val="single" w:sz="8" w:space="0" w:color="auto"/>
              <w:left w:val="nil"/>
              <w:bottom w:val="single" w:sz="8" w:space="0" w:color="auto"/>
              <w:right w:val="single" w:sz="8" w:space="0" w:color="auto"/>
            </w:tcBorders>
            <w:shd w:val="clear" w:color="000000" w:fill="D9D9D9"/>
            <w:vAlign w:val="center"/>
            <w:hideMark/>
          </w:tcPr>
          <w:p w:rsidR="00493EB1" w:rsidRDefault="00493EB1">
            <w:pPr>
              <w:jc w:val="center"/>
              <w:rPr>
                <w:rFonts w:ascii="Calibri" w:hAnsi="Calibri"/>
                <w:b/>
                <w:bCs/>
                <w:color w:val="000000"/>
                <w:sz w:val="20"/>
                <w:szCs w:val="20"/>
              </w:rPr>
            </w:pPr>
            <w:r>
              <w:rPr>
                <w:rFonts w:ascii="Calibri" w:hAnsi="Calibri"/>
                <w:b/>
                <w:bCs/>
                <w:color w:val="000000"/>
                <w:sz w:val="20"/>
                <w:szCs w:val="20"/>
              </w:rPr>
              <w:t xml:space="preserve">2013 </w:t>
            </w:r>
            <w:proofErr w:type="spellStart"/>
            <w:r>
              <w:rPr>
                <w:rFonts w:ascii="Calibri" w:hAnsi="Calibri"/>
                <w:b/>
                <w:bCs/>
                <w:color w:val="000000"/>
                <w:sz w:val="20"/>
                <w:szCs w:val="20"/>
              </w:rPr>
              <w:t>Reg</w:t>
            </w:r>
            <w:proofErr w:type="spellEnd"/>
          </w:p>
        </w:tc>
      </w:tr>
      <w:tr w:rsidR="00493EB1" w:rsidTr="00493EB1">
        <w:trPr>
          <w:trHeight w:val="315"/>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rsidR="00493EB1" w:rsidRDefault="00493EB1">
            <w:pPr>
              <w:rPr>
                <w:rFonts w:ascii="Calibri" w:hAnsi="Calibri"/>
                <w:b/>
                <w:bCs/>
                <w:color w:val="000000"/>
                <w:sz w:val="20"/>
                <w:szCs w:val="20"/>
              </w:rPr>
            </w:pPr>
            <w:r>
              <w:rPr>
                <w:rFonts w:ascii="Calibri" w:hAnsi="Calibri" w:cs="Arial"/>
                <w:b/>
                <w:bCs/>
                <w:color w:val="000000"/>
                <w:sz w:val="20"/>
                <w:szCs w:val="20"/>
              </w:rPr>
              <w:t>Unknown</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0.03%</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0.02%</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0.10%</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0.12%</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0.58%</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0.64%</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1.08%</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1.17%</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2.32%</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2.38%</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s="Calibri"/>
                <w:color w:val="000000"/>
                <w:sz w:val="18"/>
                <w:szCs w:val="18"/>
              </w:rPr>
              <w:t>3.59%</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s="Calibri"/>
                <w:color w:val="000000"/>
                <w:sz w:val="18"/>
                <w:szCs w:val="18"/>
              </w:rPr>
              <w:t>3.92%</w:t>
            </w:r>
          </w:p>
        </w:tc>
      </w:tr>
      <w:tr w:rsidR="00493EB1" w:rsidTr="00493EB1">
        <w:trPr>
          <w:trHeight w:val="315"/>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rsidR="00493EB1" w:rsidRDefault="00493EB1">
            <w:pPr>
              <w:rPr>
                <w:rFonts w:ascii="Calibri" w:hAnsi="Calibri"/>
                <w:b/>
                <w:bCs/>
                <w:color w:val="000000"/>
                <w:sz w:val="20"/>
                <w:szCs w:val="20"/>
              </w:rPr>
            </w:pPr>
            <w:r>
              <w:rPr>
                <w:rFonts w:ascii="Calibri" w:hAnsi="Calibri" w:cs="Arial"/>
                <w:b/>
                <w:bCs/>
                <w:color w:val="000000"/>
                <w:sz w:val="20"/>
                <w:szCs w:val="20"/>
              </w:rPr>
              <w:t>CBO</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2.72%</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3.29%</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3.01%</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3.56%</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3.25%</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2.71%</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3.58%</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3.03%</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2.92%</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3.49%</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s="Calibri"/>
                <w:color w:val="000000"/>
                <w:sz w:val="18"/>
                <w:szCs w:val="18"/>
              </w:rPr>
              <w:t>2.80%</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s="Calibri"/>
                <w:color w:val="000000"/>
                <w:sz w:val="18"/>
                <w:szCs w:val="18"/>
              </w:rPr>
              <w:t>3.30%</w:t>
            </w:r>
          </w:p>
        </w:tc>
      </w:tr>
      <w:tr w:rsidR="00493EB1" w:rsidTr="00493EB1">
        <w:trPr>
          <w:trHeight w:val="315"/>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rsidR="00493EB1" w:rsidRDefault="00493EB1">
            <w:pPr>
              <w:rPr>
                <w:rFonts w:ascii="Calibri" w:hAnsi="Calibri"/>
                <w:b/>
                <w:bCs/>
                <w:color w:val="000000"/>
                <w:sz w:val="20"/>
                <w:szCs w:val="20"/>
              </w:rPr>
            </w:pPr>
            <w:r>
              <w:rPr>
                <w:rFonts w:ascii="Calibri" w:hAnsi="Calibri" w:cs="Arial"/>
                <w:b/>
                <w:bCs/>
                <w:color w:val="000000"/>
                <w:sz w:val="20"/>
                <w:szCs w:val="20"/>
              </w:rPr>
              <w:t>COU</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0.33%</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0.26%</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0.24%</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0.17%</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0.12%</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0.13%</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0.13%</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0.12%</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0.13%</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0.10%</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s="Calibri"/>
                <w:color w:val="000000"/>
                <w:sz w:val="18"/>
                <w:szCs w:val="18"/>
              </w:rPr>
              <w:t>0.11%</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s="Calibri"/>
                <w:color w:val="000000"/>
                <w:sz w:val="18"/>
                <w:szCs w:val="18"/>
              </w:rPr>
              <w:t>0.06%</w:t>
            </w:r>
          </w:p>
        </w:tc>
      </w:tr>
      <w:tr w:rsidR="00493EB1" w:rsidTr="00493EB1">
        <w:trPr>
          <w:trHeight w:val="315"/>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rsidR="00493EB1" w:rsidRDefault="00493EB1">
            <w:pPr>
              <w:rPr>
                <w:rFonts w:ascii="Calibri" w:hAnsi="Calibri"/>
                <w:b/>
                <w:bCs/>
                <w:color w:val="000000"/>
                <w:sz w:val="20"/>
                <w:szCs w:val="20"/>
              </w:rPr>
            </w:pPr>
            <w:r>
              <w:rPr>
                <w:rFonts w:ascii="Calibri" w:hAnsi="Calibri" w:cs="Arial"/>
                <w:b/>
                <w:bCs/>
                <w:color w:val="000000"/>
                <w:sz w:val="20"/>
                <w:szCs w:val="20"/>
              </w:rPr>
              <w:t>CS</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1.36%</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1.52%</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1.62%</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1.83%</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2.09%</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1.77%</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2.27%</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1.92%</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1.99%</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2.32%</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s="Calibri"/>
                <w:color w:val="000000"/>
                <w:sz w:val="18"/>
                <w:szCs w:val="18"/>
              </w:rPr>
              <w:t>2.21%</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s="Calibri"/>
                <w:color w:val="000000"/>
                <w:sz w:val="18"/>
                <w:szCs w:val="18"/>
              </w:rPr>
              <w:t>2.36%</w:t>
            </w:r>
          </w:p>
        </w:tc>
      </w:tr>
      <w:tr w:rsidR="00493EB1" w:rsidTr="00493EB1">
        <w:trPr>
          <w:trHeight w:val="315"/>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rsidR="00493EB1" w:rsidRDefault="00493EB1">
            <w:pPr>
              <w:rPr>
                <w:rFonts w:ascii="Calibri" w:hAnsi="Calibri"/>
                <w:b/>
                <w:bCs/>
                <w:color w:val="000000"/>
                <w:sz w:val="20"/>
                <w:szCs w:val="20"/>
              </w:rPr>
            </w:pPr>
            <w:r>
              <w:rPr>
                <w:rFonts w:ascii="Calibri" w:hAnsi="Calibri" w:cs="Arial"/>
                <w:b/>
                <w:bCs/>
                <w:color w:val="000000"/>
                <w:sz w:val="20"/>
                <w:szCs w:val="20"/>
              </w:rPr>
              <w:t>FBO</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0.67%</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0.80%</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0.72%</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0.94%</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0.81%</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0.58%</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1.06%</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0.75%</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0.64%</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0.89%</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s="Calibri"/>
                <w:color w:val="000000"/>
                <w:sz w:val="18"/>
                <w:szCs w:val="18"/>
              </w:rPr>
              <w:t>0.54%</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s="Calibri"/>
                <w:color w:val="000000"/>
                <w:sz w:val="18"/>
                <w:szCs w:val="18"/>
              </w:rPr>
              <w:t>0.76%</w:t>
            </w:r>
          </w:p>
        </w:tc>
      </w:tr>
      <w:tr w:rsidR="00493EB1" w:rsidTr="00493EB1">
        <w:trPr>
          <w:trHeight w:val="315"/>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rsidR="00493EB1" w:rsidRDefault="00493EB1">
            <w:pPr>
              <w:rPr>
                <w:rFonts w:ascii="Calibri" w:hAnsi="Calibri"/>
                <w:b/>
                <w:bCs/>
                <w:color w:val="000000"/>
                <w:sz w:val="20"/>
                <w:szCs w:val="20"/>
              </w:rPr>
            </w:pPr>
            <w:r>
              <w:rPr>
                <w:rFonts w:ascii="Calibri" w:hAnsi="Calibri" w:cs="Arial"/>
                <w:b/>
                <w:bCs/>
                <w:color w:val="000000"/>
                <w:sz w:val="20"/>
                <w:szCs w:val="20"/>
              </w:rPr>
              <w:t>FPC</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0.04%</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0.04%</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0.03%</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0.04%</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0.06%</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0.05%</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0.13%</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0.09%</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0.06%</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0.10%</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s="Calibri"/>
                <w:color w:val="000000"/>
                <w:sz w:val="18"/>
                <w:szCs w:val="18"/>
              </w:rPr>
              <w:t>0.04%</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s="Calibri"/>
                <w:color w:val="000000"/>
                <w:sz w:val="18"/>
                <w:szCs w:val="18"/>
              </w:rPr>
              <w:t>0.06%</w:t>
            </w:r>
          </w:p>
        </w:tc>
      </w:tr>
      <w:tr w:rsidR="00493EB1" w:rsidTr="00493EB1">
        <w:trPr>
          <w:trHeight w:val="315"/>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rsidR="00493EB1" w:rsidRDefault="00493EB1">
            <w:pPr>
              <w:rPr>
                <w:rFonts w:ascii="Calibri" w:hAnsi="Calibri"/>
                <w:b/>
                <w:bCs/>
                <w:color w:val="000000"/>
                <w:sz w:val="20"/>
                <w:szCs w:val="20"/>
              </w:rPr>
            </w:pPr>
            <w:r>
              <w:rPr>
                <w:rFonts w:ascii="Calibri" w:hAnsi="Calibri" w:cs="Arial"/>
                <w:b/>
                <w:bCs/>
                <w:color w:val="000000"/>
                <w:sz w:val="20"/>
                <w:szCs w:val="20"/>
              </w:rPr>
              <w:t>NPA</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2.97%</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3.03%</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1.99%</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2.15%</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2.16%</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1.87%</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2.11%</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1.93%</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1.99%</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2.38%</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s="Calibri"/>
                <w:color w:val="000000"/>
                <w:sz w:val="18"/>
                <w:szCs w:val="18"/>
              </w:rPr>
              <w:t>2.07%</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s="Calibri"/>
                <w:color w:val="000000"/>
                <w:sz w:val="18"/>
                <w:szCs w:val="18"/>
              </w:rPr>
              <w:t>2.36%</w:t>
            </w:r>
          </w:p>
        </w:tc>
      </w:tr>
      <w:tr w:rsidR="00493EB1" w:rsidTr="00493EB1">
        <w:trPr>
          <w:trHeight w:val="315"/>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rsidR="00493EB1" w:rsidRDefault="00493EB1">
            <w:pPr>
              <w:rPr>
                <w:rFonts w:ascii="Calibri" w:hAnsi="Calibri"/>
                <w:b/>
                <w:bCs/>
                <w:color w:val="000000"/>
                <w:sz w:val="20"/>
                <w:szCs w:val="20"/>
              </w:rPr>
            </w:pPr>
            <w:r>
              <w:rPr>
                <w:rFonts w:ascii="Calibri" w:hAnsi="Calibri" w:cs="Arial"/>
                <w:b/>
                <w:bCs/>
                <w:color w:val="000000"/>
                <w:sz w:val="20"/>
                <w:szCs w:val="20"/>
              </w:rPr>
              <w:t>Other</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1.74%</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1.57%</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1.59%</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1.38%</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1.41%</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1.42%</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1.48%</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1.34%</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1.15%</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1.30%</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s="Calibri"/>
                <w:color w:val="000000"/>
                <w:sz w:val="18"/>
                <w:szCs w:val="18"/>
              </w:rPr>
              <w:t>1.03%</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s="Calibri"/>
                <w:color w:val="000000"/>
                <w:sz w:val="18"/>
                <w:szCs w:val="18"/>
              </w:rPr>
              <w:t>1.18%</w:t>
            </w:r>
          </w:p>
        </w:tc>
      </w:tr>
      <w:tr w:rsidR="00493EB1" w:rsidTr="00493EB1">
        <w:trPr>
          <w:trHeight w:val="315"/>
        </w:trPr>
        <w:tc>
          <w:tcPr>
            <w:tcW w:w="1620" w:type="dxa"/>
            <w:tcBorders>
              <w:top w:val="nil"/>
              <w:left w:val="single" w:sz="8" w:space="0" w:color="auto"/>
              <w:bottom w:val="single" w:sz="8" w:space="0" w:color="auto"/>
              <w:right w:val="single" w:sz="8" w:space="0" w:color="auto"/>
            </w:tcBorders>
            <w:shd w:val="clear" w:color="auto" w:fill="auto"/>
            <w:noWrap/>
            <w:vAlign w:val="center"/>
            <w:hideMark/>
          </w:tcPr>
          <w:p w:rsidR="00493EB1" w:rsidRDefault="00493EB1">
            <w:pPr>
              <w:rPr>
                <w:rFonts w:ascii="Calibri" w:hAnsi="Calibri"/>
                <w:b/>
                <w:bCs/>
                <w:color w:val="000000"/>
                <w:sz w:val="20"/>
                <w:szCs w:val="20"/>
              </w:rPr>
            </w:pPr>
            <w:r>
              <w:rPr>
                <w:rFonts w:ascii="Calibri" w:hAnsi="Calibri" w:cs="Arial"/>
                <w:b/>
                <w:bCs/>
                <w:color w:val="000000"/>
                <w:sz w:val="20"/>
                <w:szCs w:val="20"/>
              </w:rPr>
              <w:t>SD</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90.14%</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89.47%</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90.70%</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89.81%</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89.53%</w:t>
            </w:r>
          </w:p>
        </w:tc>
        <w:tc>
          <w:tcPr>
            <w:tcW w:w="756" w:type="dxa"/>
            <w:tcBorders>
              <w:top w:val="nil"/>
              <w:left w:val="nil"/>
              <w:bottom w:val="single" w:sz="8" w:space="0" w:color="auto"/>
              <w:right w:val="single" w:sz="8" w:space="0" w:color="auto"/>
            </w:tcBorders>
            <w:shd w:val="clear" w:color="auto" w:fill="auto"/>
            <w:noWrap/>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90.83%</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88.16%</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89.65%</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88.80%</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olor w:val="000000"/>
                <w:sz w:val="18"/>
                <w:szCs w:val="18"/>
              </w:rPr>
              <w:t>87.04%</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s="Calibri"/>
                <w:color w:val="000000"/>
                <w:sz w:val="18"/>
                <w:szCs w:val="18"/>
              </w:rPr>
              <w:t>87.62%</w:t>
            </w:r>
          </w:p>
        </w:tc>
        <w:tc>
          <w:tcPr>
            <w:tcW w:w="756" w:type="dxa"/>
            <w:tcBorders>
              <w:top w:val="nil"/>
              <w:left w:val="nil"/>
              <w:bottom w:val="single" w:sz="8" w:space="0" w:color="auto"/>
              <w:right w:val="single" w:sz="8" w:space="0" w:color="auto"/>
            </w:tcBorders>
            <w:shd w:val="clear" w:color="auto" w:fill="auto"/>
            <w:vAlign w:val="center"/>
            <w:hideMark/>
          </w:tcPr>
          <w:p w:rsidR="00493EB1" w:rsidRDefault="00493EB1">
            <w:pPr>
              <w:jc w:val="center"/>
              <w:rPr>
                <w:rFonts w:ascii="Calibri" w:hAnsi="Calibri"/>
                <w:color w:val="000000"/>
                <w:sz w:val="18"/>
                <w:szCs w:val="18"/>
              </w:rPr>
            </w:pPr>
            <w:r>
              <w:rPr>
                <w:rFonts w:ascii="Calibri" w:hAnsi="Calibri" w:cs="Calibri"/>
                <w:color w:val="000000"/>
                <w:sz w:val="18"/>
                <w:szCs w:val="18"/>
              </w:rPr>
              <w:t>85.99%</w:t>
            </w:r>
          </w:p>
        </w:tc>
      </w:tr>
    </w:tbl>
    <w:p w:rsidR="0047420F" w:rsidRPr="0047420F" w:rsidRDefault="0047420F" w:rsidP="0047420F"/>
    <w:p w:rsidR="00CC3071" w:rsidRPr="00D07AC9" w:rsidRDefault="00CC3071">
      <w:pPr>
        <w:rPr>
          <w:highlight w:val="yellow"/>
        </w:rPr>
      </w:pPr>
    </w:p>
    <w:p w:rsidR="001F1D81" w:rsidRPr="00A34D4C" w:rsidRDefault="001F1D81">
      <w:r w:rsidRPr="00A34D4C">
        <w:t>Center</w:t>
      </w:r>
      <w:r w:rsidR="002049A4" w:rsidRPr="00A34D4C">
        <w:t xml:space="preserve">s were also open to the </w:t>
      </w:r>
      <w:r w:rsidR="00FC6C15" w:rsidRPr="00A34D4C">
        <w:t>adult family members</w:t>
      </w:r>
      <w:r w:rsidR="002049A4" w:rsidRPr="00A34D4C">
        <w:t xml:space="preserve"> of student attendees</w:t>
      </w:r>
      <w:r w:rsidRPr="00A34D4C">
        <w:t>.</w:t>
      </w:r>
      <w:r w:rsidR="005278A0" w:rsidRPr="00A34D4C">
        <w:t xml:space="preserve"> </w:t>
      </w:r>
      <w:r w:rsidR="00FC6C15" w:rsidRPr="00A34D4C">
        <w:t>Here again</w:t>
      </w:r>
      <w:r w:rsidR="00723B47" w:rsidRPr="00A34D4C">
        <w:t>,</w:t>
      </w:r>
      <w:r w:rsidR="00FC6C15" w:rsidRPr="00A34D4C">
        <w:t xml:space="preserve"> information about the number of adult family members served by a given center during the reporting period was obtained via the APR. </w:t>
      </w:r>
      <w:r w:rsidR="006C496D" w:rsidRPr="00A34D4C">
        <w:t xml:space="preserve">As shown in </w:t>
      </w:r>
      <w:r w:rsidR="00174B5B" w:rsidRPr="00A34D4C">
        <w:fldChar w:fldCharType="begin"/>
      </w:r>
      <w:r w:rsidR="00174B5B" w:rsidRPr="00A34D4C">
        <w:instrText xml:space="preserve"> REF _Ref248862930 \h  \* MERGEFORMAT </w:instrText>
      </w:r>
      <w:r w:rsidR="00174B5B" w:rsidRPr="00A34D4C">
        <w:fldChar w:fldCharType="separate"/>
      </w:r>
      <w:r w:rsidR="00A50F56" w:rsidRPr="00EE1AC5">
        <w:t xml:space="preserve">Table </w:t>
      </w:r>
      <w:r w:rsidR="00174B5B" w:rsidRPr="00A34D4C">
        <w:fldChar w:fldCharType="end"/>
      </w:r>
      <w:r w:rsidR="006A38DF">
        <w:t>6</w:t>
      </w:r>
      <w:r w:rsidR="006C496D" w:rsidRPr="00A34D4C">
        <w:t xml:space="preserve">, </w:t>
      </w:r>
      <w:r w:rsidR="00A34D4C" w:rsidRPr="00A34D4C">
        <w:t>293,059 a</w:t>
      </w:r>
      <w:r w:rsidR="00FC6C15" w:rsidRPr="00A34D4C">
        <w:t xml:space="preserve">dult </w:t>
      </w:r>
      <w:r w:rsidR="006C496D" w:rsidRPr="00A34D4C">
        <w:t>family members were prov</w:t>
      </w:r>
      <w:r w:rsidR="00FC6C15" w:rsidRPr="00A34D4C">
        <w:t>ided with services in 20</w:t>
      </w:r>
      <w:r w:rsidR="00A33CA1" w:rsidRPr="00A34D4C">
        <w:t>1</w:t>
      </w:r>
      <w:r w:rsidR="00A34D4C" w:rsidRPr="00A34D4C">
        <w:t>2</w:t>
      </w:r>
      <w:r w:rsidR="00FC6C15" w:rsidRPr="00A34D4C">
        <w:t>-</w:t>
      </w:r>
      <w:r w:rsidR="00EA4064" w:rsidRPr="00A34D4C">
        <w:t>1</w:t>
      </w:r>
      <w:r w:rsidR="00A34D4C" w:rsidRPr="00A34D4C">
        <w:t>3</w:t>
      </w:r>
      <w:r w:rsidR="00064162" w:rsidRPr="00A34D4C">
        <w:t xml:space="preserve">. </w:t>
      </w:r>
      <w:r w:rsidR="003F40AA" w:rsidRPr="00A34D4C">
        <w:t>W</w:t>
      </w:r>
      <w:r w:rsidR="00064162" w:rsidRPr="00A34D4C">
        <w:t>ith the exception of a slight decline in 2008-09</w:t>
      </w:r>
      <w:r w:rsidR="00A34D4C" w:rsidRPr="00A34D4C">
        <w:t xml:space="preserve"> and 2012-13</w:t>
      </w:r>
      <w:r w:rsidR="003F40AA" w:rsidRPr="00A34D4C">
        <w:t>, this number has increased every year.</w:t>
      </w:r>
    </w:p>
    <w:p w:rsidR="006C050B" w:rsidRPr="00D07AC9" w:rsidRDefault="006C050B">
      <w:pPr>
        <w:rPr>
          <w:highlight w:val="yellow"/>
        </w:rPr>
      </w:pPr>
    </w:p>
    <w:p w:rsidR="005278A0" w:rsidRPr="00EE1AC5" w:rsidRDefault="006C050B" w:rsidP="00FC6C15">
      <w:pPr>
        <w:pStyle w:val="Caption"/>
        <w:spacing w:after="120"/>
      </w:pPr>
      <w:bookmarkStart w:id="22" w:name="_Ref248862930"/>
      <w:proofErr w:type="gramStart"/>
      <w:r w:rsidRPr="00EE1AC5">
        <w:t xml:space="preserve">Table </w:t>
      </w:r>
      <w:bookmarkEnd w:id="22"/>
      <w:r w:rsidR="006A38DF">
        <w:t>6</w:t>
      </w:r>
      <w:r w:rsidR="00723B47" w:rsidRPr="00EE1AC5">
        <w:t>.</w:t>
      </w:r>
      <w:proofErr w:type="gramEnd"/>
      <w:r w:rsidRPr="00EE1AC5">
        <w:t xml:space="preserve"> Family Members Served</w:t>
      </w:r>
    </w:p>
    <w:tbl>
      <w:tblPr>
        <w:tblW w:w="9735" w:type="dxa"/>
        <w:jc w:val="center"/>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940"/>
        <w:gridCol w:w="1006"/>
        <w:gridCol w:w="1042"/>
        <w:gridCol w:w="940"/>
        <w:gridCol w:w="940"/>
        <w:gridCol w:w="940"/>
        <w:gridCol w:w="940"/>
        <w:gridCol w:w="940"/>
      </w:tblGrid>
      <w:tr w:rsidR="00EE1AC5" w:rsidRPr="00EE1AC5" w:rsidTr="008B6360">
        <w:trPr>
          <w:trHeight w:val="300"/>
          <w:jc w:val="center"/>
        </w:trPr>
        <w:tc>
          <w:tcPr>
            <w:tcW w:w="2047" w:type="dxa"/>
            <w:shd w:val="pct25" w:color="auto" w:fill="auto"/>
            <w:noWrap/>
            <w:vAlign w:val="bottom"/>
          </w:tcPr>
          <w:p w:rsidR="00EE1AC5" w:rsidRPr="00EE1AC5" w:rsidRDefault="00EE1AC5">
            <w:pPr>
              <w:rPr>
                <w:rFonts w:ascii="Calibri" w:hAnsi="Calibri" w:cs="Arial"/>
                <w:b/>
                <w:sz w:val="22"/>
                <w:szCs w:val="22"/>
              </w:rPr>
            </w:pPr>
          </w:p>
        </w:tc>
        <w:tc>
          <w:tcPr>
            <w:tcW w:w="940" w:type="dxa"/>
            <w:shd w:val="pct25" w:color="auto" w:fill="auto"/>
            <w:noWrap/>
            <w:vAlign w:val="center"/>
          </w:tcPr>
          <w:p w:rsidR="00EE1AC5" w:rsidRPr="00EE1AC5" w:rsidRDefault="00EE1AC5" w:rsidP="00723B47">
            <w:pPr>
              <w:jc w:val="center"/>
              <w:rPr>
                <w:rFonts w:ascii="Calibri" w:hAnsi="Calibri" w:cs="Arial"/>
                <w:b/>
                <w:bCs/>
                <w:sz w:val="22"/>
                <w:szCs w:val="22"/>
              </w:rPr>
            </w:pPr>
            <w:r w:rsidRPr="00EE1AC5">
              <w:rPr>
                <w:rFonts w:ascii="Calibri" w:hAnsi="Calibri" w:cs="Arial"/>
                <w:b/>
                <w:bCs/>
                <w:sz w:val="22"/>
                <w:szCs w:val="22"/>
              </w:rPr>
              <w:t>2006</w:t>
            </w:r>
          </w:p>
        </w:tc>
        <w:tc>
          <w:tcPr>
            <w:tcW w:w="1006" w:type="dxa"/>
            <w:shd w:val="pct25" w:color="auto" w:fill="auto"/>
            <w:noWrap/>
            <w:vAlign w:val="center"/>
          </w:tcPr>
          <w:p w:rsidR="00EE1AC5" w:rsidRPr="00EE1AC5" w:rsidRDefault="00EE1AC5" w:rsidP="00723B47">
            <w:pPr>
              <w:jc w:val="center"/>
              <w:rPr>
                <w:rFonts w:ascii="Calibri" w:hAnsi="Calibri" w:cs="Arial"/>
                <w:b/>
                <w:bCs/>
                <w:sz w:val="22"/>
                <w:szCs w:val="22"/>
              </w:rPr>
            </w:pPr>
            <w:r w:rsidRPr="00EE1AC5">
              <w:rPr>
                <w:rFonts w:ascii="Calibri" w:hAnsi="Calibri" w:cs="Arial"/>
                <w:b/>
                <w:bCs/>
                <w:sz w:val="22"/>
                <w:szCs w:val="22"/>
              </w:rPr>
              <w:t>2007</w:t>
            </w:r>
          </w:p>
        </w:tc>
        <w:tc>
          <w:tcPr>
            <w:tcW w:w="1042" w:type="dxa"/>
            <w:shd w:val="pct25" w:color="auto" w:fill="auto"/>
            <w:noWrap/>
            <w:vAlign w:val="center"/>
          </w:tcPr>
          <w:p w:rsidR="00EE1AC5" w:rsidRPr="00EE1AC5" w:rsidRDefault="00EE1AC5" w:rsidP="00723B47">
            <w:pPr>
              <w:jc w:val="center"/>
              <w:rPr>
                <w:rFonts w:ascii="Calibri" w:hAnsi="Calibri" w:cs="Arial"/>
                <w:b/>
                <w:bCs/>
                <w:sz w:val="22"/>
                <w:szCs w:val="22"/>
              </w:rPr>
            </w:pPr>
            <w:r w:rsidRPr="00EE1AC5">
              <w:rPr>
                <w:rFonts w:ascii="Calibri" w:hAnsi="Calibri" w:cs="Arial"/>
                <w:b/>
                <w:bCs/>
                <w:sz w:val="22"/>
                <w:szCs w:val="22"/>
              </w:rPr>
              <w:t>2008</w:t>
            </w:r>
          </w:p>
        </w:tc>
        <w:tc>
          <w:tcPr>
            <w:tcW w:w="940" w:type="dxa"/>
            <w:shd w:val="pct25" w:color="auto" w:fill="auto"/>
            <w:vAlign w:val="center"/>
          </w:tcPr>
          <w:p w:rsidR="00EE1AC5" w:rsidRPr="00EE1AC5" w:rsidRDefault="00EE1AC5" w:rsidP="00723B47">
            <w:pPr>
              <w:jc w:val="center"/>
              <w:rPr>
                <w:rFonts w:ascii="Calibri" w:hAnsi="Calibri" w:cs="Arial"/>
                <w:b/>
                <w:bCs/>
                <w:sz w:val="22"/>
                <w:szCs w:val="22"/>
              </w:rPr>
            </w:pPr>
            <w:r w:rsidRPr="00EE1AC5">
              <w:rPr>
                <w:rFonts w:ascii="Calibri" w:hAnsi="Calibri" w:cs="Arial"/>
                <w:b/>
                <w:bCs/>
                <w:sz w:val="22"/>
                <w:szCs w:val="22"/>
              </w:rPr>
              <w:t>2009</w:t>
            </w:r>
          </w:p>
        </w:tc>
        <w:tc>
          <w:tcPr>
            <w:tcW w:w="940" w:type="dxa"/>
            <w:shd w:val="pct25" w:color="auto" w:fill="auto"/>
            <w:vAlign w:val="center"/>
          </w:tcPr>
          <w:p w:rsidR="00EE1AC5" w:rsidRPr="00EE1AC5" w:rsidRDefault="00EE1AC5" w:rsidP="00723B47">
            <w:pPr>
              <w:jc w:val="center"/>
              <w:rPr>
                <w:rFonts w:ascii="Calibri" w:hAnsi="Calibri" w:cs="Arial"/>
                <w:b/>
                <w:bCs/>
                <w:sz w:val="22"/>
                <w:szCs w:val="22"/>
              </w:rPr>
            </w:pPr>
            <w:r w:rsidRPr="00EE1AC5">
              <w:rPr>
                <w:rFonts w:ascii="Calibri" w:hAnsi="Calibri" w:cs="Arial"/>
                <w:b/>
                <w:bCs/>
                <w:sz w:val="22"/>
                <w:szCs w:val="22"/>
              </w:rPr>
              <w:t>2010</w:t>
            </w:r>
          </w:p>
        </w:tc>
        <w:tc>
          <w:tcPr>
            <w:tcW w:w="940" w:type="dxa"/>
            <w:shd w:val="pct25" w:color="auto" w:fill="auto"/>
            <w:vAlign w:val="center"/>
          </w:tcPr>
          <w:p w:rsidR="00EE1AC5" w:rsidRPr="00EE1AC5" w:rsidRDefault="00EE1AC5" w:rsidP="00723B47">
            <w:pPr>
              <w:jc w:val="center"/>
              <w:rPr>
                <w:rFonts w:ascii="Calibri" w:hAnsi="Calibri" w:cs="Arial"/>
                <w:b/>
                <w:bCs/>
                <w:sz w:val="22"/>
                <w:szCs w:val="22"/>
              </w:rPr>
            </w:pPr>
            <w:r w:rsidRPr="00EE1AC5">
              <w:rPr>
                <w:rFonts w:ascii="Calibri" w:hAnsi="Calibri" w:cs="Arial"/>
                <w:b/>
                <w:bCs/>
                <w:sz w:val="22"/>
                <w:szCs w:val="22"/>
              </w:rPr>
              <w:t>2011</w:t>
            </w:r>
          </w:p>
        </w:tc>
        <w:tc>
          <w:tcPr>
            <w:tcW w:w="940" w:type="dxa"/>
            <w:shd w:val="pct25" w:color="auto" w:fill="auto"/>
            <w:vAlign w:val="center"/>
          </w:tcPr>
          <w:p w:rsidR="00EE1AC5" w:rsidRPr="00EE1AC5" w:rsidRDefault="00EE1AC5" w:rsidP="00723B47">
            <w:pPr>
              <w:jc w:val="center"/>
              <w:rPr>
                <w:rFonts w:ascii="Calibri" w:hAnsi="Calibri" w:cs="Arial"/>
                <w:b/>
                <w:bCs/>
                <w:sz w:val="22"/>
                <w:szCs w:val="22"/>
              </w:rPr>
            </w:pPr>
            <w:r w:rsidRPr="00EE1AC5">
              <w:rPr>
                <w:rFonts w:ascii="Calibri" w:hAnsi="Calibri" w:cs="Arial"/>
                <w:b/>
                <w:bCs/>
                <w:sz w:val="22"/>
                <w:szCs w:val="22"/>
              </w:rPr>
              <w:t>2012</w:t>
            </w:r>
          </w:p>
        </w:tc>
        <w:tc>
          <w:tcPr>
            <w:tcW w:w="940" w:type="dxa"/>
            <w:shd w:val="pct25" w:color="auto" w:fill="auto"/>
          </w:tcPr>
          <w:p w:rsidR="00EE1AC5" w:rsidRPr="00EE1AC5" w:rsidRDefault="00EE1AC5" w:rsidP="00723B47">
            <w:pPr>
              <w:jc w:val="center"/>
              <w:rPr>
                <w:rFonts w:ascii="Calibri" w:hAnsi="Calibri" w:cs="Arial"/>
                <w:b/>
                <w:bCs/>
                <w:sz w:val="22"/>
                <w:szCs w:val="22"/>
              </w:rPr>
            </w:pPr>
            <w:r w:rsidRPr="00EE1AC5">
              <w:rPr>
                <w:rFonts w:ascii="Calibri" w:hAnsi="Calibri" w:cs="Arial"/>
                <w:b/>
                <w:bCs/>
                <w:sz w:val="22"/>
                <w:szCs w:val="22"/>
              </w:rPr>
              <w:t>2013</w:t>
            </w:r>
          </w:p>
        </w:tc>
      </w:tr>
      <w:tr w:rsidR="00EE1AC5" w:rsidRPr="00D07AC9" w:rsidTr="008B6360">
        <w:trPr>
          <w:trHeight w:val="143"/>
          <w:jc w:val="center"/>
        </w:trPr>
        <w:tc>
          <w:tcPr>
            <w:tcW w:w="2047" w:type="dxa"/>
            <w:shd w:val="clear" w:color="auto" w:fill="auto"/>
            <w:noWrap/>
            <w:vAlign w:val="bottom"/>
          </w:tcPr>
          <w:p w:rsidR="00EE1AC5" w:rsidRPr="00EE1AC5" w:rsidRDefault="00EE1AC5" w:rsidP="00FA5D24">
            <w:pPr>
              <w:rPr>
                <w:rFonts w:ascii="Calibri" w:hAnsi="Calibri" w:cs="Arial"/>
                <w:b/>
                <w:bCs/>
                <w:sz w:val="22"/>
                <w:szCs w:val="22"/>
              </w:rPr>
            </w:pPr>
            <w:r w:rsidRPr="00EE1AC5">
              <w:rPr>
                <w:rFonts w:ascii="Calibri" w:hAnsi="Calibri" w:cs="Arial"/>
                <w:b/>
                <w:bCs/>
                <w:sz w:val="22"/>
                <w:szCs w:val="22"/>
              </w:rPr>
              <w:t xml:space="preserve">Family Members </w:t>
            </w:r>
            <w:r w:rsidRPr="00EE1AC5">
              <w:rPr>
                <w:rFonts w:ascii="Calibri" w:hAnsi="Calibri" w:cs="Arial"/>
                <w:b/>
                <w:bCs/>
                <w:sz w:val="22"/>
                <w:szCs w:val="22"/>
              </w:rPr>
              <w:lastRenderedPageBreak/>
              <w:t>Served</w:t>
            </w:r>
          </w:p>
        </w:tc>
        <w:tc>
          <w:tcPr>
            <w:tcW w:w="940" w:type="dxa"/>
            <w:shd w:val="clear" w:color="auto" w:fill="auto"/>
            <w:noWrap/>
            <w:vAlign w:val="center"/>
          </w:tcPr>
          <w:p w:rsidR="00EE1AC5" w:rsidRPr="00EE1AC5" w:rsidRDefault="00EE1AC5" w:rsidP="00CD2871">
            <w:pPr>
              <w:jc w:val="center"/>
              <w:rPr>
                <w:rFonts w:ascii="Calibri" w:hAnsi="Calibri"/>
                <w:color w:val="000000"/>
                <w:sz w:val="22"/>
                <w:szCs w:val="22"/>
              </w:rPr>
            </w:pPr>
            <w:r w:rsidRPr="00EE1AC5">
              <w:rPr>
                <w:rFonts w:ascii="Calibri" w:hAnsi="Calibri"/>
                <w:color w:val="000000"/>
                <w:sz w:val="22"/>
                <w:szCs w:val="22"/>
              </w:rPr>
              <w:lastRenderedPageBreak/>
              <w:t>199,489</w:t>
            </w:r>
          </w:p>
        </w:tc>
        <w:tc>
          <w:tcPr>
            <w:tcW w:w="1006" w:type="dxa"/>
            <w:shd w:val="clear" w:color="auto" w:fill="auto"/>
            <w:noWrap/>
            <w:vAlign w:val="center"/>
          </w:tcPr>
          <w:p w:rsidR="00EE1AC5" w:rsidRPr="00EE1AC5" w:rsidRDefault="00EE1AC5" w:rsidP="00CD2871">
            <w:pPr>
              <w:jc w:val="center"/>
              <w:rPr>
                <w:rFonts w:ascii="Calibri" w:hAnsi="Calibri"/>
                <w:color w:val="000000"/>
                <w:sz w:val="22"/>
                <w:szCs w:val="22"/>
              </w:rPr>
            </w:pPr>
            <w:r w:rsidRPr="00EE1AC5">
              <w:rPr>
                <w:rFonts w:ascii="Calibri" w:hAnsi="Calibri"/>
                <w:color w:val="000000"/>
                <w:sz w:val="22"/>
                <w:szCs w:val="22"/>
              </w:rPr>
              <w:t>210,857</w:t>
            </w:r>
          </w:p>
        </w:tc>
        <w:tc>
          <w:tcPr>
            <w:tcW w:w="1042" w:type="dxa"/>
            <w:shd w:val="clear" w:color="auto" w:fill="auto"/>
            <w:noWrap/>
            <w:vAlign w:val="center"/>
          </w:tcPr>
          <w:p w:rsidR="00EE1AC5" w:rsidRPr="00EE1AC5" w:rsidRDefault="00EE1AC5" w:rsidP="00CD2871">
            <w:pPr>
              <w:jc w:val="center"/>
              <w:rPr>
                <w:rFonts w:ascii="Calibri" w:hAnsi="Calibri"/>
                <w:color w:val="000000"/>
                <w:sz w:val="22"/>
                <w:szCs w:val="22"/>
              </w:rPr>
            </w:pPr>
            <w:r w:rsidRPr="00EE1AC5">
              <w:rPr>
                <w:rFonts w:ascii="Calibri" w:hAnsi="Calibri"/>
                <w:color w:val="000000"/>
                <w:sz w:val="22"/>
                <w:szCs w:val="22"/>
              </w:rPr>
              <w:t>223,042</w:t>
            </w:r>
          </w:p>
        </w:tc>
        <w:tc>
          <w:tcPr>
            <w:tcW w:w="940" w:type="dxa"/>
            <w:vAlign w:val="center"/>
          </w:tcPr>
          <w:p w:rsidR="00EE1AC5" w:rsidRPr="00EE1AC5" w:rsidRDefault="00EE1AC5" w:rsidP="00CD2871">
            <w:pPr>
              <w:jc w:val="center"/>
              <w:rPr>
                <w:rFonts w:ascii="Calibri" w:hAnsi="Calibri"/>
                <w:color w:val="000000"/>
                <w:sz w:val="22"/>
                <w:szCs w:val="22"/>
              </w:rPr>
            </w:pPr>
            <w:r w:rsidRPr="00EE1AC5">
              <w:rPr>
                <w:rFonts w:ascii="Calibri" w:hAnsi="Calibri"/>
                <w:color w:val="000000"/>
                <w:sz w:val="22"/>
                <w:szCs w:val="22"/>
              </w:rPr>
              <w:t>213,552</w:t>
            </w:r>
          </w:p>
        </w:tc>
        <w:tc>
          <w:tcPr>
            <w:tcW w:w="940" w:type="dxa"/>
            <w:vAlign w:val="center"/>
          </w:tcPr>
          <w:p w:rsidR="00EE1AC5" w:rsidRPr="00EE1AC5" w:rsidRDefault="00EE1AC5" w:rsidP="00CD2871">
            <w:pPr>
              <w:jc w:val="center"/>
              <w:rPr>
                <w:rFonts w:ascii="Calibri" w:hAnsi="Calibri"/>
                <w:color w:val="000000"/>
                <w:sz w:val="22"/>
                <w:szCs w:val="22"/>
              </w:rPr>
            </w:pPr>
            <w:r w:rsidRPr="00EE1AC5">
              <w:rPr>
                <w:rFonts w:ascii="Calibri" w:hAnsi="Calibri"/>
                <w:color w:val="000000"/>
                <w:sz w:val="22"/>
                <w:szCs w:val="22"/>
              </w:rPr>
              <w:t>253,283</w:t>
            </w:r>
          </w:p>
        </w:tc>
        <w:tc>
          <w:tcPr>
            <w:tcW w:w="940" w:type="dxa"/>
            <w:vAlign w:val="center"/>
          </w:tcPr>
          <w:p w:rsidR="00EE1AC5" w:rsidRPr="00EE1AC5" w:rsidRDefault="00EE1AC5" w:rsidP="00CD2871">
            <w:pPr>
              <w:jc w:val="center"/>
              <w:rPr>
                <w:rFonts w:ascii="Calibri" w:hAnsi="Calibri"/>
                <w:color w:val="000000"/>
                <w:sz w:val="22"/>
                <w:szCs w:val="22"/>
              </w:rPr>
            </w:pPr>
            <w:r w:rsidRPr="00EE1AC5">
              <w:rPr>
                <w:rFonts w:ascii="Calibri" w:hAnsi="Calibri"/>
                <w:color w:val="000000"/>
                <w:sz w:val="22"/>
                <w:szCs w:val="22"/>
              </w:rPr>
              <w:t>274,364</w:t>
            </w:r>
          </w:p>
        </w:tc>
        <w:tc>
          <w:tcPr>
            <w:tcW w:w="940" w:type="dxa"/>
            <w:vAlign w:val="center"/>
          </w:tcPr>
          <w:p w:rsidR="00EE1AC5" w:rsidRPr="00EE1AC5" w:rsidRDefault="00EE1AC5" w:rsidP="00CD2871">
            <w:pPr>
              <w:jc w:val="center"/>
              <w:rPr>
                <w:rFonts w:ascii="Calibri" w:hAnsi="Calibri"/>
                <w:color w:val="000000"/>
                <w:sz w:val="22"/>
                <w:szCs w:val="22"/>
              </w:rPr>
            </w:pPr>
            <w:r w:rsidRPr="00EE1AC5">
              <w:rPr>
                <w:rFonts w:ascii="Calibri" w:hAnsi="Calibri"/>
                <w:color w:val="000000"/>
                <w:sz w:val="22"/>
                <w:szCs w:val="22"/>
              </w:rPr>
              <w:t>297,723</w:t>
            </w:r>
          </w:p>
        </w:tc>
        <w:tc>
          <w:tcPr>
            <w:tcW w:w="940" w:type="dxa"/>
            <w:vAlign w:val="center"/>
          </w:tcPr>
          <w:p w:rsidR="00EE1AC5" w:rsidRPr="00EE1AC5" w:rsidRDefault="00EE1AC5" w:rsidP="00EE1AC5">
            <w:pPr>
              <w:jc w:val="center"/>
              <w:rPr>
                <w:rFonts w:ascii="Calibri" w:hAnsi="Calibri"/>
                <w:color w:val="000000"/>
                <w:sz w:val="22"/>
                <w:szCs w:val="22"/>
              </w:rPr>
            </w:pPr>
            <w:r w:rsidRPr="00EE1AC5">
              <w:rPr>
                <w:rFonts w:ascii="Calibri" w:hAnsi="Calibri"/>
                <w:color w:val="000000"/>
                <w:sz w:val="22"/>
                <w:szCs w:val="22"/>
              </w:rPr>
              <w:t>293,059</w:t>
            </w:r>
          </w:p>
        </w:tc>
      </w:tr>
    </w:tbl>
    <w:p w:rsidR="0007133E" w:rsidRPr="00D07AC9" w:rsidRDefault="0007133E">
      <w:pPr>
        <w:rPr>
          <w:b/>
          <w:sz w:val="28"/>
          <w:szCs w:val="28"/>
          <w:highlight w:val="yellow"/>
        </w:rPr>
      </w:pPr>
    </w:p>
    <w:p w:rsidR="00990BF6" w:rsidRPr="00C1785C" w:rsidRDefault="00990BF6" w:rsidP="00A50F56">
      <w:pPr>
        <w:pStyle w:val="Heading2"/>
      </w:pPr>
      <w:bookmarkStart w:id="23" w:name="_Toc248907001"/>
      <w:bookmarkStart w:id="24" w:name="_Toc446063951"/>
      <w:r w:rsidRPr="00C1785C">
        <w:t>Activity Cluster</w:t>
      </w:r>
      <w:bookmarkEnd w:id="23"/>
      <w:bookmarkEnd w:id="24"/>
    </w:p>
    <w:p w:rsidR="00990BF6" w:rsidRPr="00C1785C" w:rsidRDefault="00990BF6">
      <w:pPr>
        <w:rPr>
          <w:b/>
        </w:rPr>
      </w:pPr>
    </w:p>
    <w:p w:rsidR="00990BF6" w:rsidRPr="00C1785C" w:rsidRDefault="00990BF6">
      <w:pPr>
        <w:rPr>
          <w:color w:val="000000"/>
        </w:rPr>
      </w:pPr>
      <w:r w:rsidRPr="00C1785C">
        <w:t xml:space="preserve">The </w:t>
      </w:r>
      <w:r w:rsidR="001A4E9B">
        <w:t>purpose</w:t>
      </w:r>
      <w:r w:rsidRPr="00C1785C">
        <w:t xml:space="preserve"> of the 21st CCLC program is to provide academic enrichment programs that </w:t>
      </w:r>
      <w:r w:rsidRPr="00C1785C">
        <w:rPr>
          <w:color w:val="000000"/>
        </w:rPr>
        <w:t>reinforce and complement the regular academic program of participating students. Generally, this broad mandate encompasses a host of different types of activities, including the following activity categories:</w:t>
      </w:r>
    </w:p>
    <w:p w:rsidR="00990BF6" w:rsidRPr="00C1785C" w:rsidRDefault="00990BF6" w:rsidP="00ED017F">
      <w:pPr>
        <w:numPr>
          <w:ilvl w:val="0"/>
          <w:numId w:val="6"/>
        </w:numPr>
        <w:spacing w:before="120"/>
      </w:pPr>
      <w:r w:rsidRPr="00C1785C">
        <w:t>Academic enrichment learning programs</w:t>
      </w:r>
    </w:p>
    <w:p w:rsidR="00990BF6" w:rsidRPr="00C1785C" w:rsidRDefault="00990BF6" w:rsidP="00ED017F">
      <w:pPr>
        <w:numPr>
          <w:ilvl w:val="0"/>
          <w:numId w:val="6"/>
        </w:numPr>
        <w:spacing w:before="120"/>
      </w:pPr>
      <w:r w:rsidRPr="00C1785C">
        <w:t xml:space="preserve">Tutoring </w:t>
      </w:r>
    </w:p>
    <w:p w:rsidR="00990BF6" w:rsidRPr="00C1785C" w:rsidRDefault="00990BF6" w:rsidP="00ED017F">
      <w:pPr>
        <w:numPr>
          <w:ilvl w:val="0"/>
          <w:numId w:val="6"/>
        </w:numPr>
        <w:spacing w:before="120"/>
      </w:pPr>
      <w:r w:rsidRPr="00C1785C">
        <w:t>Supplemental educational services</w:t>
      </w:r>
    </w:p>
    <w:p w:rsidR="00990BF6" w:rsidRPr="00C1785C" w:rsidRDefault="00990BF6" w:rsidP="00ED017F">
      <w:pPr>
        <w:numPr>
          <w:ilvl w:val="0"/>
          <w:numId w:val="6"/>
        </w:numPr>
        <w:spacing w:before="120"/>
      </w:pPr>
      <w:r w:rsidRPr="00C1785C">
        <w:t>Homework help</w:t>
      </w:r>
    </w:p>
    <w:p w:rsidR="00990BF6" w:rsidRPr="00C1785C" w:rsidRDefault="00990BF6" w:rsidP="00ED017F">
      <w:pPr>
        <w:numPr>
          <w:ilvl w:val="0"/>
          <w:numId w:val="6"/>
        </w:numPr>
        <w:spacing w:before="120"/>
      </w:pPr>
      <w:r w:rsidRPr="00C1785C">
        <w:t>Mentoring</w:t>
      </w:r>
    </w:p>
    <w:p w:rsidR="00990BF6" w:rsidRPr="00C1785C" w:rsidRDefault="00990BF6" w:rsidP="00ED017F">
      <w:pPr>
        <w:numPr>
          <w:ilvl w:val="0"/>
          <w:numId w:val="6"/>
        </w:numPr>
        <w:spacing w:before="120"/>
      </w:pPr>
      <w:r w:rsidRPr="00C1785C">
        <w:t>Recreational activities</w:t>
      </w:r>
    </w:p>
    <w:p w:rsidR="00990BF6" w:rsidRPr="00C1785C" w:rsidRDefault="00990BF6" w:rsidP="00ED017F">
      <w:pPr>
        <w:numPr>
          <w:ilvl w:val="0"/>
          <w:numId w:val="6"/>
        </w:numPr>
        <w:spacing w:before="120"/>
      </w:pPr>
      <w:r w:rsidRPr="00C1785C">
        <w:t>Career</w:t>
      </w:r>
      <w:r w:rsidR="00885D26" w:rsidRPr="00C1785C">
        <w:t xml:space="preserve"> or </w:t>
      </w:r>
      <w:r w:rsidRPr="00C1785C">
        <w:t>job training for youth</w:t>
      </w:r>
    </w:p>
    <w:p w:rsidR="00990BF6" w:rsidRPr="00C1785C" w:rsidRDefault="00990BF6" w:rsidP="00ED017F">
      <w:pPr>
        <w:numPr>
          <w:ilvl w:val="0"/>
          <w:numId w:val="6"/>
        </w:numPr>
        <w:spacing w:before="120"/>
      </w:pPr>
      <w:r w:rsidRPr="00C1785C">
        <w:t>Drug and violence prevention, counseling, and character education programs</w:t>
      </w:r>
    </w:p>
    <w:p w:rsidR="00990BF6" w:rsidRPr="00C1785C" w:rsidRDefault="00990BF6" w:rsidP="00ED017F">
      <w:pPr>
        <w:numPr>
          <w:ilvl w:val="0"/>
          <w:numId w:val="6"/>
        </w:numPr>
        <w:spacing w:before="120"/>
      </w:pPr>
      <w:r w:rsidRPr="00C1785C">
        <w:t>Expanded library service hours</w:t>
      </w:r>
    </w:p>
    <w:p w:rsidR="00990BF6" w:rsidRPr="00C1785C" w:rsidRDefault="00990BF6" w:rsidP="00ED017F">
      <w:pPr>
        <w:numPr>
          <w:ilvl w:val="0"/>
          <w:numId w:val="6"/>
        </w:numPr>
        <w:spacing w:before="120"/>
      </w:pPr>
      <w:r w:rsidRPr="00C1785C">
        <w:t>Community service or service-learning programs</w:t>
      </w:r>
    </w:p>
    <w:p w:rsidR="00990BF6" w:rsidRPr="00C1785C" w:rsidRDefault="00990BF6" w:rsidP="00ED017F">
      <w:pPr>
        <w:numPr>
          <w:ilvl w:val="0"/>
          <w:numId w:val="6"/>
        </w:numPr>
        <w:spacing w:before="120"/>
      </w:pPr>
      <w:r w:rsidRPr="00C1785C">
        <w:t>Activities that promote youth leadership</w:t>
      </w:r>
    </w:p>
    <w:p w:rsidR="00990BF6" w:rsidRPr="00C1785C" w:rsidRDefault="00990BF6">
      <w:pPr>
        <w:rPr>
          <w:b/>
        </w:rPr>
      </w:pPr>
    </w:p>
    <w:p w:rsidR="00990BF6" w:rsidRPr="00C1785C" w:rsidRDefault="00990BF6">
      <w:r w:rsidRPr="00C1785C">
        <w:t xml:space="preserve">Given the wide range of activities that an individual 21st CCLC </w:t>
      </w:r>
      <w:r w:rsidR="008455DF">
        <w:t>may</w:t>
      </w:r>
      <w:r w:rsidRPr="00C1785C">
        <w:t xml:space="preserve"> provide, </w:t>
      </w:r>
      <w:r w:rsidR="005B713E" w:rsidRPr="00C1785C">
        <w:t>a series of “activity</w:t>
      </w:r>
      <w:r w:rsidR="0058672B" w:rsidRPr="00C1785C">
        <w:t xml:space="preserve"> clusters” were identified </w:t>
      </w:r>
      <w:r w:rsidRPr="00C1785C">
        <w:t xml:space="preserve">based on the relative emphasis given to providing the categories of activities listed </w:t>
      </w:r>
      <w:r w:rsidR="00885D26" w:rsidRPr="00C1785C">
        <w:t xml:space="preserve">previously </w:t>
      </w:r>
      <w:r w:rsidR="004E367C" w:rsidRPr="00C1785C">
        <w:t>during</w:t>
      </w:r>
      <w:r w:rsidRPr="00C1785C">
        <w:t xml:space="preserve"> the </w:t>
      </w:r>
      <w:r w:rsidR="005254C8" w:rsidRPr="00C1785C">
        <w:t>2007</w:t>
      </w:r>
      <w:r w:rsidR="00723B47" w:rsidRPr="00C1785C">
        <w:t>-</w:t>
      </w:r>
      <w:r w:rsidR="005254C8" w:rsidRPr="00C1785C">
        <w:t>08</w:t>
      </w:r>
      <w:r w:rsidR="0091456E" w:rsidRPr="00C1785C">
        <w:t>, 2008-09</w:t>
      </w:r>
      <w:r w:rsidR="00C06C56" w:rsidRPr="00C1785C">
        <w:t>, 2009</w:t>
      </w:r>
      <w:r w:rsidR="001F558B" w:rsidRPr="00C1785C">
        <w:t>-</w:t>
      </w:r>
      <w:r w:rsidR="00C06C56" w:rsidRPr="00C1785C">
        <w:t>10</w:t>
      </w:r>
      <w:r w:rsidR="003765D2" w:rsidRPr="00C1785C">
        <w:t xml:space="preserve">, </w:t>
      </w:r>
      <w:r w:rsidR="001B2569" w:rsidRPr="00C1785C">
        <w:t>2010-11</w:t>
      </w:r>
      <w:r w:rsidR="003765D2" w:rsidRPr="00C1785C">
        <w:t>, 2011-12</w:t>
      </w:r>
      <w:r w:rsidR="00C1785C" w:rsidRPr="00C1785C">
        <w:t>, and 2012-13</w:t>
      </w:r>
      <w:r w:rsidRPr="00C1785C">
        <w:t xml:space="preserve"> school years</w:t>
      </w:r>
      <w:r w:rsidR="00226A2E" w:rsidRPr="00C1785C">
        <w:t>.</w:t>
      </w:r>
      <w:r w:rsidR="001B2569" w:rsidRPr="00C1785C">
        <w:t xml:space="preserve"> </w:t>
      </w:r>
      <w:r w:rsidRPr="00C1785C">
        <w:t>To do this clustering,</w:t>
      </w:r>
      <w:r w:rsidRPr="00C1785C">
        <w:rPr>
          <w:vertAlign w:val="superscript"/>
        </w:rPr>
        <w:t xml:space="preserve"> </w:t>
      </w:r>
      <w:r w:rsidRPr="00C1785C">
        <w:t>21st CCLC activity data were used to calculate the percentage of total hours of center programming allocated to each of the activity categories. This was done by multiplying the number of weeks an activity was provided by the number of days per week it was provided by the number of hours provided per session. These products were then summed by activity category for a center. The center-level summations by category were then divided by the total number of hours of activity provided by a center to determine the percentage of hours a given category of activity was offered.</w:t>
      </w:r>
      <w:r w:rsidR="00481775" w:rsidRPr="00C1785C">
        <w:t xml:space="preserve"> </w:t>
      </w:r>
      <w:r w:rsidRPr="00C1785C">
        <w:t>Based on</w:t>
      </w:r>
      <w:r w:rsidR="00226A2E" w:rsidRPr="00C1785C">
        <w:t xml:space="preserve"> </w:t>
      </w:r>
      <w:r w:rsidRPr="00C1785C">
        <w:t>the results of the</w:t>
      </w:r>
      <w:r w:rsidR="00226A2E" w:rsidRPr="00C1785C">
        <w:t>se</w:t>
      </w:r>
      <w:r w:rsidRPr="00C1785C">
        <w:t xml:space="preserve"> calculations, the fol</w:t>
      </w:r>
      <w:r w:rsidR="0058672B" w:rsidRPr="00C1785C">
        <w:t>lowing question can be answered</w:t>
      </w:r>
      <w:r w:rsidRPr="00C1785C">
        <w:t xml:space="preserve">: What percentage of a center’s total activity hours </w:t>
      </w:r>
      <w:r w:rsidR="00885D26" w:rsidRPr="00C1785C">
        <w:t xml:space="preserve">was </w:t>
      </w:r>
      <w:r w:rsidRPr="00C1785C">
        <w:t xml:space="preserve">dedicated to academic enrichment, tutoring, homework help, </w:t>
      </w:r>
      <w:proofErr w:type="spellStart"/>
      <w:r w:rsidRPr="00C1785C">
        <w:t>etc</w:t>
      </w:r>
      <w:proofErr w:type="spellEnd"/>
      <w:r w:rsidRPr="00C1785C">
        <w:t>?</w:t>
      </w:r>
      <w:r w:rsidR="00481775" w:rsidRPr="00C1785C">
        <w:t xml:space="preserve"> </w:t>
      </w:r>
    </w:p>
    <w:p w:rsidR="00990BF6" w:rsidRPr="00C1785C" w:rsidRDefault="00990BF6"/>
    <w:p w:rsidR="00990BF6" w:rsidRPr="00C1785C" w:rsidRDefault="00990BF6" w:rsidP="000A3FC4">
      <w:r w:rsidRPr="00C1785C">
        <w:t>In order to further summarize th</w:t>
      </w:r>
      <w:r w:rsidR="00226A2E" w:rsidRPr="00C1785C">
        <w:t>ese</w:t>
      </w:r>
      <w:r w:rsidRPr="00C1785C">
        <w:t xml:space="preserve"> data</w:t>
      </w:r>
      <w:r w:rsidR="00226A2E" w:rsidRPr="00C1785C">
        <w:t xml:space="preserve"> related to the 21st CCLC activity provision</w:t>
      </w:r>
      <w:r w:rsidRPr="00C1785C">
        <w:t>, K-Means cluster analysis was employed using the center-level percentages for each category of activity. Cluster analysis is typically employed to combine cases into groups using a series of variables as criteria to determine the degree of similarity between individual cases</w:t>
      </w:r>
      <w:r w:rsidR="00885D26" w:rsidRPr="00C1785C">
        <w:t>,</w:t>
      </w:r>
      <w:r w:rsidR="0058672B" w:rsidRPr="00C1785C">
        <w:t xml:space="preserve"> and </w:t>
      </w:r>
      <w:r w:rsidR="00885D26" w:rsidRPr="00C1785C">
        <w:t xml:space="preserve">it </w:t>
      </w:r>
      <w:r w:rsidR="0058672B" w:rsidRPr="00C1785C">
        <w:t xml:space="preserve">is </w:t>
      </w:r>
      <w:r w:rsidRPr="00C1785C">
        <w:t xml:space="preserve">particularly well-suited when there is a desire to classify a large number of cases into a smaller domain of discrete groupings. In this case, employing cluster analysis resulted in the identification of five primary program clusters defined by the relative emphasis centers </w:t>
      </w:r>
      <w:r w:rsidR="001033F9" w:rsidRPr="00C1785C">
        <w:t xml:space="preserve">placed on </w:t>
      </w:r>
      <w:r w:rsidRPr="00C1785C">
        <w:rPr>
          <w:i/>
        </w:rPr>
        <w:t>offering</w:t>
      </w:r>
      <w:r w:rsidRPr="00C1785C">
        <w:t xml:space="preserve"> one or more </w:t>
      </w:r>
      <w:r w:rsidRPr="00C1785C">
        <w:lastRenderedPageBreak/>
        <w:t xml:space="preserve">programming areas during the course of the </w:t>
      </w:r>
      <w:r w:rsidR="00723B47" w:rsidRPr="00C1785C">
        <w:t>2007-</w:t>
      </w:r>
      <w:r w:rsidR="005254C8" w:rsidRPr="00C1785C">
        <w:t>08</w:t>
      </w:r>
      <w:r w:rsidR="0091456E" w:rsidRPr="00C1785C">
        <w:t>, 2008-09</w:t>
      </w:r>
      <w:r w:rsidR="001F558B" w:rsidRPr="00C1785C">
        <w:t>, 2009-10</w:t>
      </w:r>
      <w:r w:rsidR="001B2569" w:rsidRPr="00C1785C">
        <w:t>, 2010-11</w:t>
      </w:r>
      <w:r w:rsidR="003765D2" w:rsidRPr="00C1785C">
        <w:t xml:space="preserve">, </w:t>
      </w:r>
      <w:r w:rsidR="00C1785C" w:rsidRPr="00C1785C">
        <w:t>2</w:t>
      </w:r>
      <w:r w:rsidR="003765D2" w:rsidRPr="00C1785C">
        <w:t>011-12</w:t>
      </w:r>
      <w:r w:rsidR="00C1785C" w:rsidRPr="00C1785C">
        <w:t>, and 2012-13</w:t>
      </w:r>
      <w:r w:rsidRPr="00C1785C">
        <w:t xml:space="preserve"> scho</w:t>
      </w:r>
      <w:r w:rsidR="0058672B" w:rsidRPr="00C1785C">
        <w:t xml:space="preserve">ol years. </w:t>
      </w:r>
      <w:r w:rsidR="00885D26" w:rsidRPr="00C1785C">
        <w:t>Following are t</w:t>
      </w:r>
      <w:r w:rsidR="0058672B" w:rsidRPr="00C1785C">
        <w:t>he five clusters:</w:t>
      </w:r>
      <w:r w:rsidRPr="00C1785C">
        <w:t xml:space="preserve"> </w:t>
      </w:r>
    </w:p>
    <w:p w:rsidR="000A3FC4" w:rsidRPr="00C1785C" w:rsidRDefault="000A3FC4" w:rsidP="000A3FC4"/>
    <w:p w:rsidR="00990BF6" w:rsidRPr="00C1785C" w:rsidRDefault="00990BF6" w:rsidP="000A3FC4">
      <w:pPr>
        <w:numPr>
          <w:ilvl w:val="0"/>
          <w:numId w:val="7"/>
        </w:numPr>
        <w:tabs>
          <w:tab w:val="clear" w:pos="1440"/>
          <w:tab w:val="num" w:pos="720"/>
        </w:tabs>
        <w:ind w:left="720"/>
      </w:pPr>
      <w:r w:rsidRPr="00C1785C">
        <w:t xml:space="preserve">Centers mostly providing tutoring activities </w:t>
      </w:r>
    </w:p>
    <w:p w:rsidR="000A3FC4" w:rsidRPr="00C1785C" w:rsidRDefault="000A3FC4" w:rsidP="000A3FC4">
      <w:pPr>
        <w:ind w:left="720"/>
      </w:pPr>
    </w:p>
    <w:p w:rsidR="00990BF6" w:rsidRPr="00C1785C" w:rsidRDefault="00990BF6" w:rsidP="000A3FC4">
      <w:pPr>
        <w:numPr>
          <w:ilvl w:val="0"/>
          <w:numId w:val="7"/>
        </w:numPr>
        <w:tabs>
          <w:tab w:val="clear" w:pos="1440"/>
          <w:tab w:val="num" w:pos="720"/>
        </w:tabs>
        <w:ind w:left="720"/>
      </w:pPr>
      <w:r w:rsidRPr="00C1785C">
        <w:t xml:space="preserve">Centers mostly providing homework help </w:t>
      </w:r>
    </w:p>
    <w:p w:rsidR="000A3FC4" w:rsidRPr="00C1785C" w:rsidRDefault="000A3FC4" w:rsidP="000A3FC4"/>
    <w:p w:rsidR="00990BF6" w:rsidRPr="00C1785C" w:rsidRDefault="00990BF6" w:rsidP="000A3FC4">
      <w:pPr>
        <w:numPr>
          <w:ilvl w:val="0"/>
          <w:numId w:val="7"/>
        </w:numPr>
        <w:tabs>
          <w:tab w:val="clear" w:pos="1440"/>
          <w:tab w:val="num" w:pos="720"/>
        </w:tabs>
        <w:ind w:left="720"/>
      </w:pPr>
      <w:r w:rsidRPr="00C1785C">
        <w:t xml:space="preserve">Centers mostly providing recreational activities </w:t>
      </w:r>
    </w:p>
    <w:p w:rsidR="000A3FC4" w:rsidRPr="00C1785C" w:rsidRDefault="000A3FC4" w:rsidP="000A3FC4"/>
    <w:p w:rsidR="000A3FC4" w:rsidRPr="00C1785C" w:rsidRDefault="00990BF6" w:rsidP="000A3FC4">
      <w:pPr>
        <w:numPr>
          <w:ilvl w:val="0"/>
          <w:numId w:val="7"/>
        </w:numPr>
        <w:tabs>
          <w:tab w:val="clear" w:pos="1440"/>
          <w:tab w:val="num" w:pos="720"/>
        </w:tabs>
        <w:ind w:left="720"/>
      </w:pPr>
      <w:r w:rsidRPr="00C1785C">
        <w:t xml:space="preserve">Centers mostly providing academic enrichment </w:t>
      </w:r>
    </w:p>
    <w:p w:rsidR="000A3FC4" w:rsidRPr="00C1785C" w:rsidRDefault="000A3FC4" w:rsidP="000A3FC4"/>
    <w:p w:rsidR="00990BF6" w:rsidRPr="00C1785C" w:rsidRDefault="00990BF6" w:rsidP="000A3FC4">
      <w:pPr>
        <w:numPr>
          <w:ilvl w:val="0"/>
          <w:numId w:val="7"/>
        </w:numPr>
        <w:tabs>
          <w:tab w:val="clear" w:pos="1440"/>
          <w:tab w:val="num" w:pos="720"/>
        </w:tabs>
        <w:ind w:left="720"/>
      </w:pPr>
      <w:r w:rsidRPr="00C1785C">
        <w:t>Centers provid</w:t>
      </w:r>
      <w:r w:rsidR="00885D26" w:rsidRPr="00C1785C">
        <w:t>in</w:t>
      </w:r>
      <w:r w:rsidR="00510892" w:rsidRPr="00C1785C">
        <w:t>g</w:t>
      </w:r>
      <w:r w:rsidRPr="00C1785C">
        <w:t xml:space="preserve"> a wide variety of activities across multiple categories</w:t>
      </w:r>
    </w:p>
    <w:p w:rsidR="00990BF6" w:rsidRPr="00D07AC9" w:rsidRDefault="00990BF6" w:rsidP="000A3FC4">
      <w:pPr>
        <w:rPr>
          <w:highlight w:val="yellow"/>
        </w:rPr>
      </w:pPr>
    </w:p>
    <w:p w:rsidR="00990BF6" w:rsidRPr="00050463" w:rsidRDefault="00226A2E">
      <w:r w:rsidRPr="00050463">
        <w:t>It is important to note that</w:t>
      </w:r>
      <w:r w:rsidR="00990BF6" w:rsidRPr="00050463">
        <w:t xml:space="preserve"> data used to assign centers to program clusters were available </w:t>
      </w:r>
      <w:r w:rsidR="00885D26" w:rsidRPr="00050463">
        <w:t xml:space="preserve">only </w:t>
      </w:r>
      <w:r w:rsidR="00990BF6" w:rsidRPr="00050463">
        <w:t xml:space="preserve">from states that employed the individual activities reporting option in PPICS for the </w:t>
      </w:r>
      <w:r w:rsidR="00723B47" w:rsidRPr="00050463">
        <w:t>2007-</w:t>
      </w:r>
      <w:r w:rsidR="005254C8" w:rsidRPr="00050463">
        <w:t>08</w:t>
      </w:r>
      <w:r w:rsidR="0091456E" w:rsidRPr="00050463">
        <w:t xml:space="preserve">, </w:t>
      </w:r>
      <w:r w:rsidR="001F558B" w:rsidRPr="00050463">
        <w:t xml:space="preserve">2008-09, </w:t>
      </w:r>
      <w:r w:rsidR="0091456E" w:rsidRPr="00050463">
        <w:t>200</w:t>
      </w:r>
      <w:r w:rsidR="001F558B" w:rsidRPr="00050463">
        <w:t>9</w:t>
      </w:r>
      <w:r w:rsidR="0091456E" w:rsidRPr="00050463">
        <w:t>-</w:t>
      </w:r>
      <w:r w:rsidR="001F558B" w:rsidRPr="00050463">
        <w:t>10</w:t>
      </w:r>
      <w:r w:rsidR="003765D2" w:rsidRPr="00050463">
        <w:t xml:space="preserve">, </w:t>
      </w:r>
      <w:r w:rsidR="001B2569" w:rsidRPr="00050463">
        <w:t>2010-11</w:t>
      </w:r>
      <w:r w:rsidR="003765D2" w:rsidRPr="00050463">
        <w:t>, 2011-12</w:t>
      </w:r>
      <w:r w:rsidR="00C1785C" w:rsidRPr="00050463">
        <w:t>, and</w:t>
      </w:r>
      <w:r w:rsidR="00050463" w:rsidRPr="00050463">
        <w:t>/or</w:t>
      </w:r>
      <w:r w:rsidR="00C1785C" w:rsidRPr="00050463">
        <w:t xml:space="preserve"> 2012-13</w:t>
      </w:r>
      <w:r w:rsidR="001B2569" w:rsidRPr="00050463">
        <w:t xml:space="preserve"> </w:t>
      </w:r>
      <w:r w:rsidR="00990BF6" w:rsidRPr="00050463">
        <w:t>reporting periods. For clarification, one of the foundational design elements of PPICS was to construct a system made up of two primary types of data:</w:t>
      </w:r>
      <w:r w:rsidR="00481775" w:rsidRPr="00050463">
        <w:t xml:space="preserve"> </w:t>
      </w:r>
      <w:r w:rsidR="00990BF6" w:rsidRPr="00050463">
        <w:t xml:space="preserve">(1) </w:t>
      </w:r>
      <w:r w:rsidR="00885D26" w:rsidRPr="00050463">
        <w:t xml:space="preserve">data </w:t>
      </w:r>
      <w:r w:rsidR="00990BF6" w:rsidRPr="00050463">
        <w:t xml:space="preserve">that would be supplied by </w:t>
      </w:r>
      <w:r w:rsidR="00990BF6" w:rsidRPr="00050463">
        <w:rPr>
          <w:i/>
        </w:rPr>
        <w:t>all</w:t>
      </w:r>
      <w:r w:rsidR="00990BF6" w:rsidRPr="00050463">
        <w:t xml:space="preserve"> 21st CCLCs and (2) </w:t>
      </w:r>
      <w:r w:rsidR="00885D26" w:rsidRPr="00050463">
        <w:t xml:space="preserve">data </w:t>
      </w:r>
      <w:r w:rsidR="00990BF6" w:rsidRPr="00050463">
        <w:t>that could vary based on a series of options afforded to SEAs to customize the APR to meet the unique data and reporting needs of the state.</w:t>
      </w:r>
      <w:r w:rsidR="00481775" w:rsidRPr="00050463">
        <w:t xml:space="preserve"> </w:t>
      </w:r>
      <w:r w:rsidR="00990BF6" w:rsidRPr="00050463">
        <w:t xml:space="preserve">Activities data collected in PPICS is an example of </w:t>
      </w:r>
      <w:r w:rsidR="00885D26" w:rsidRPr="00050463">
        <w:t xml:space="preserve">the </w:t>
      </w:r>
      <w:r w:rsidR="00990BF6" w:rsidRPr="00050463">
        <w:t xml:space="preserve">latter approach. In this case, states supply data using </w:t>
      </w:r>
      <w:r w:rsidR="00885D26" w:rsidRPr="00050463">
        <w:t xml:space="preserve">(1) </w:t>
      </w:r>
      <w:r w:rsidR="00990BF6" w:rsidRPr="00050463">
        <w:t xml:space="preserve">an </w:t>
      </w:r>
      <w:r w:rsidR="00990BF6" w:rsidRPr="00050463">
        <w:rPr>
          <w:i/>
        </w:rPr>
        <w:t xml:space="preserve">aggregated </w:t>
      </w:r>
      <w:r w:rsidR="00990BF6" w:rsidRPr="00050463">
        <w:t xml:space="preserve">approach in which sites identify the typical number of hours per week a given category of activity was provided or </w:t>
      </w:r>
      <w:r w:rsidR="00885D26" w:rsidRPr="00050463">
        <w:t xml:space="preserve">(2) </w:t>
      </w:r>
      <w:r w:rsidR="00990BF6" w:rsidRPr="00050463">
        <w:t xml:space="preserve">an </w:t>
      </w:r>
      <w:r w:rsidR="00990BF6" w:rsidRPr="00050463">
        <w:rPr>
          <w:i/>
        </w:rPr>
        <w:t xml:space="preserve">individual </w:t>
      </w:r>
      <w:r w:rsidR="00990BF6" w:rsidRPr="00050463">
        <w:t xml:space="preserve">activities approach </w:t>
      </w:r>
      <w:r w:rsidR="00885D26" w:rsidRPr="00050463">
        <w:t xml:space="preserve">in which </w:t>
      </w:r>
      <w:r w:rsidR="00990BF6" w:rsidRPr="00050463">
        <w:t xml:space="preserve">each discrete activity provided by a center (e.g., </w:t>
      </w:r>
      <w:r w:rsidR="00885D26" w:rsidRPr="00050463">
        <w:t xml:space="preserve">a </w:t>
      </w:r>
      <w:r w:rsidR="00990BF6" w:rsidRPr="00050463">
        <w:t xml:space="preserve">rocketry club </w:t>
      </w:r>
      <w:r w:rsidR="00885D26" w:rsidRPr="00050463">
        <w:t>that met</w:t>
      </w:r>
      <w:r w:rsidR="00990BF6" w:rsidRPr="00050463">
        <w:t xml:space="preserve"> from 4:00 </w:t>
      </w:r>
      <w:r w:rsidR="00885D26" w:rsidRPr="00050463">
        <w:t xml:space="preserve">p.m. </w:t>
      </w:r>
      <w:r w:rsidR="00990BF6" w:rsidRPr="00050463">
        <w:t>to 5:00 p</w:t>
      </w:r>
      <w:r w:rsidR="00885D26" w:rsidRPr="00050463">
        <w:t>.</w:t>
      </w:r>
      <w:r w:rsidR="00990BF6" w:rsidRPr="00050463">
        <w:t>m</w:t>
      </w:r>
      <w:r w:rsidR="00885D26" w:rsidRPr="00050463">
        <w:t>.</w:t>
      </w:r>
      <w:r w:rsidR="00990BF6" w:rsidRPr="00050463">
        <w:t xml:space="preserve"> each Tuesday and Thursday for eight weeks during the school year) is added to the system as a separate record. The cluster analysis described </w:t>
      </w:r>
      <w:r w:rsidR="00DC59B7" w:rsidRPr="00050463">
        <w:t>in this report</w:t>
      </w:r>
      <w:r w:rsidR="00990BF6" w:rsidRPr="00050463">
        <w:t xml:space="preserve"> relie</w:t>
      </w:r>
      <w:r w:rsidR="00DC59B7" w:rsidRPr="00050463">
        <w:t>s</w:t>
      </w:r>
      <w:r w:rsidR="00990BF6" w:rsidRPr="00050463">
        <w:t xml:space="preserve"> on data supplied by states that required their grantees to report activities data </w:t>
      </w:r>
      <w:r w:rsidR="003457C1" w:rsidRPr="00050463">
        <w:t xml:space="preserve">through </w:t>
      </w:r>
      <w:r w:rsidR="00990BF6" w:rsidRPr="00050463">
        <w:t>the individual activities reporting option (</w:t>
      </w:r>
      <w:r w:rsidR="00BB6298" w:rsidRPr="00050463">
        <w:t>26 states in</w:t>
      </w:r>
      <w:r w:rsidR="00990BF6" w:rsidRPr="00050463">
        <w:t xml:space="preserve"> </w:t>
      </w:r>
      <w:r w:rsidR="00723B47" w:rsidRPr="00050463">
        <w:t>2007-</w:t>
      </w:r>
      <w:r w:rsidR="005254C8" w:rsidRPr="00050463">
        <w:t>08</w:t>
      </w:r>
      <w:r w:rsidR="0091456E" w:rsidRPr="00050463">
        <w:t>, 25 states in 2008-09</w:t>
      </w:r>
      <w:r w:rsidR="001F558B" w:rsidRPr="00050463">
        <w:t>, 26 states in 2009-10</w:t>
      </w:r>
      <w:r w:rsidR="001B2569" w:rsidRPr="00050463">
        <w:t xml:space="preserve">, </w:t>
      </w:r>
      <w:r w:rsidR="005F61A7" w:rsidRPr="00050463">
        <w:t xml:space="preserve">29 </w:t>
      </w:r>
      <w:r w:rsidR="001B2569" w:rsidRPr="00050463">
        <w:t>in 2010-11</w:t>
      </w:r>
      <w:r w:rsidR="00050463" w:rsidRPr="00050463">
        <w:t xml:space="preserve">, </w:t>
      </w:r>
      <w:r w:rsidR="001E3F18" w:rsidRPr="00050463">
        <w:t>29</w:t>
      </w:r>
      <w:r w:rsidR="003765D2" w:rsidRPr="00050463">
        <w:t xml:space="preserve"> in 2011-12</w:t>
      </w:r>
      <w:r w:rsidR="00050463" w:rsidRPr="00050463">
        <w:t xml:space="preserve">, and </w:t>
      </w:r>
      <w:r w:rsidR="002D04C0" w:rsidRPr="002D04C0">
        <w:t>28</w:t>
      </w:r>
      <w:r w:rsidR="00050463" w:rsidRPr="002D04C0">
        <w:t xml:space="preserve"> in 2012-13</w:t>
      </w:r>
      <w:r w:rsidR="00990BF6" w:rsidRPr="002D04C0">
        <w:t>)</w:t>
      </w:r>
      <w:r w:rsidR="0058672B" w:rsidRPr="002D04C0">
        <w:t>.</w:t>
      </w:r>
    </w:p>
    <w:p w:rsidR="00990BF6" w:rsidRPr="00D07AC9" w:rsidRDefault="00990BF6">
      <w:pPr>
        <w:rPr>
          <w:highlight w:val="yellow"/>
        </w:rPr>
      </w:pPr>
    </w:p>
    <w:p w:rsidR="00990BF6" w:rsidRPr="00FF17F9" w:rsidRDefault="00917810">
      <w:pPr>
        <w:rPr>
          <w:i/>
        </w:rPr>
      </w:pPr>
      <w:r w:rsidRPr="00FF17F9">
        <w:t>As shown in</w:t>
      </w:r>
      <w:r w:rsidR="00E32944" w:rsidRPr="00FF17F9">
        <w:t xml:space="preserve"> Figure 2</w:t>
      </w:r>
      <w:r w:rsidR="006D29C8">
        <w:t xml:space="preserve"> and Table </w:t>
      </w:r>
      <w:r w:rsidR="006A38DF">
        <w:t>7</w:t>
      </w:r>
      <w:r w:rsidR="00990BF6" w:rsidRPr="00FF17F9">
        <w:t>, the relative distribution of centers across each cluster type was foun</w:t>
      </w:r>
      <w:r w:rsidR="00D04683" w:rsidRPr="00FF17F9">
        <w:t xml:space="preserve">d to be somewhat stable across </w:t>
      </w:r>
      <w:r w:rsidR="00990BF6" w:rsidRPr="00FF17F9">
        <w:t xml:space="preserve">reporting periods, with the majority of centers falling in either the </w:t>
      </w:r>
      <w:r w:rsidR="00990BF6" w:rsidRPr="00FF17F9">
        <w:rPr>
          <w:i/>
        </w:rPr>
        <w:t xml:space="preserve">Variety </w:t>
      </w:r>
      <w:r w:rsidR="00990BF6" w:rsidRPr="00FF17F9">
        <w:t xml:space="preserve">or </w:t>
      </w:r>
      <w:r w:rsidR="00990BF6" w:rsidRPr="00FF17F9">
        <w:rPr>
          <w:i/>
        </w:rPr>
        <w:t xml:space="preserve">Mostly Enrichment </w:t>
      </w:r>
      <w:r w:rsidR="00D04683" w:rsidRPr="00FF17F9">
        <w:t>cluster</w:t>
      </w:r>
      <w:r w:rsidR="00D04683" w:rsidRPr="002D04C0">
        <w:t xml:space="preserve">. </w:t>
      </w:r>
      <w:r w:rsidR="00050463" w:rsidRPr="002D04C0">
        <w:t>The 201</w:t>
      </w:r>
      <w:r w:rsidR="00FF17F9" w:rsidRPr="002D04C0">
        <w:t>2</w:t>
      </w:r>
      <w:r w:rsidR="00050463" w:rsidRPr="002D04C0">
        <w:t>-1</w:t>
      </w:r>
      <w:r w:rsidR="00FF17F9" w:rsidRPr="002D04C0">
        <w:t>3</w:t>
      </w:r>
      <w:r w:rsidR="00050463" w:rsidRPr="002D04C0">
        <w:t xml:space="preserve"> reporting period was the only exception to this trend. Approximately </w:t>
      </w:r>
      <w:r w:rsidR="00FF17F9" w:rsidRPr="002D04C0">
        <w:t>a fifth of centers</w:t>
      </w:r>
      <w:r w:rsidR="00990BF6" w:rsidRPr="002D04C0">
        <w:t xml:space="preserve"> were classified as falling within either the </w:t>
      </w:r>
      <w:r w:rsidR="00990BF6" w:rsidRPr="002D04C0">
        <w:rPr>
          <w:i/>
        </w:rPr>
        <w:t xml:space="preserve">Mostly Homework Help </w:t>
      </w:r>
      <w:r w:rsidR="00990BF6" w:rsidRPr="002D04C0">
        <w:t xml:space="preserve">or </w:t>
      </w:r>
      <w:r w:rsidR="00990BF6" w:rsidRPr="002D04C0">
        <w:rPr>
          <w:i/>
        </w:rPr>
        <w:t xml:space="preserve">Mostly Tutoring </w:t>
      </w:r>
      <w:r w:rsidR="00990BF6" w:rsidRPr="002D04C0">
        <w:t xml:space="preserve">clusters, </w:t>
      </w:r>
      <w:r w:rsidR="00FF17F9" w:rsidRPr="002D04C0">
        <w:t xml:space="preserve">or the </w:t>
      </w:r>
      <w:r w:rsidR="00990BF6" w:rsidRPr="002D04C0">
        <w:rPr>
          <w:i/>
        </w:rPr>
        <w:t xml:space="preserve">Mostly Recreation </w:t>
      </w:r>
      <w:r w:rsidR="00FF17F9" w:rsidRPr="002D04C0">
        <w:t>programming cluster.</w:t>
      </w:r>
    </w:p>
    <w:p w:rsidR="00226A2E" w:rsidRPr="00D07AC9" w:rsidRDefault="00226A2E">
      <w:pPr>
        <w:rPr>
          <w:i/>
          <w:highlight w:val="yellow"/>
        </w:rPr>
      </w:pPr>
    </w:p>
    <w:p w:rsidR="005722B3" w:rsidRPr="007E3D15" w:rsidRDefault="005722B3" w:rsidP="005722B3">
      <w:pPr>
        <w:pStyle w:val="Caption"/>
      </w:pPr>
      <w:proofErr w:type="gramStart"/>
      <w:r w:rsidRPr="007E3D15">
        <w:t xml:space="preserve">Figure </w:t>
      </w:r>
      <w:r w:rsidR="00C94DB1" w:rsidRPr="007E3D15">
        <w:fldChar w:fldCharType="begin"/>
      </w:r>
      <w:r w:rsidR="00676242" w:rsidRPr="007E3D15">
        <w:instrText xml:space="preserve"> SEQ Figure \* ARABIC </w:instrText>
      </w:r>
      <w:r w:rsidR="00C94DB1" w:rsidRPr="007E3D15">
        <w:fldChar w:fldCharType="separate"/>
      </w:r>
      <w:r w:rsidR="00A50F56">
        <w:rPr>
          <w:noProof/>
        </w:rPr>
        <w:t>2</w:t>
      </w:r>
      <w:r w:rsidR="00C94DB1" w:rsidRPr="007E3D15">
        <w:rPr>
          <w:noProof/>
        </w:rPr>
        <w:fldChar w:fldCharType="end"/>
      </w:r>
      <w:r w:rsidRPr="007E3D15">
        <w:t>.</w:t>
      </w:r>
      <w:proofErr w:type="gramEnd"/>
      <w:r w:rsidRPr="007E3D15">
        <w:t xml:space="preserve"> Primary Program Clusters Based on Activity Data </w:t>
      </w:r>
      <w:r w:rsidR="008455DF">
        <w:t>Reported</w:t>
      </w:r>
      <w:r w:rsidRPr="007E3D15">
        <w:br/>
      </w:r>
      <w:r w:rsidR="008455DF">
        <w:t xml:space="preserve">for </w:t>
      </w:r>
      <w:r w:rsidRPr="007E3D15">
        <w:t xml:space="preserve">the </w:t>
      </w:r>
      <w:r w:rsidR="00AB2A5A" w:rsidRPr="007E3D15">
        <w:t>2007</w:t>
      </w:r>
      <w:r w:rsidR="00723B47" w:rsidRPr="007E3D15">
        <w:t>-</w:t>
      </w:r>
      <w:r w:rsidR="00AB2A5A" w:rsidRPr="007E3D15">
        <w:t>08, 2008</w:t>
      </w:r>
      <w:r w:rsidR="00723B47" w:rsidRPr="007E3D15">
        <w:t>-</w:t>
      </w:r>
      <w:r w:rsidR="00AB2A5A" w:rsidRPr="007E3D15">
        <w:t xml:space="preserve">09, 2009-10, </w:t>
      </w:r>
      <w:r w:rsidRPr="007E3D15">
        <w:t>2010-11</w:t>
      </w:r>
      <w:r w:rsidR="00AB2A5A" w:rsidRPr="007E3D15">
        <w:t>, 2011-12</w:t>
      </w:r>
      <w:r w:rsidR="007E3D15" w:rsidRPr="007E3D15">
        <w:t>, &amp; 2012-13</w:t>
      </w:r>
      <w:r w:rsidRPr="007E3D15">
        <w:t xml:space="preserve"> School Years</w:t>
      </w:r>
    </w:p>
    <w:bookmarkStart w:id="25" w:name="_MON_1471330512"/>
    <w:bookmarkEnd w:id="25"/>
    <w:p w:rsidR="00DC688E" w:rsidRDefault="006F603A" w:rsidP="005722B3">
      <w:r>
        <w:object w:dxaOrig="11684" w:dyaOrig="4967" w14:anchorId="0231136D">
          <v:shape id="_x0000_i1026" type="#_x0000_t75" alt="Figure 2. Primary Program Clusters Based on Activity Data Reported&#10;for the 2007-08, 2008-09, 2009-10, 2010-11, 2011-12, &amp; 2012-13 School Years&#10;" style="width:442.5pt;height:188.25pt" o:ole="">
            <v:imagedata r:id="rId13" o:title=""/>
          </v:shape>
          <o:OLEObject Type="Embed" ProgID="Excel.Sheet.12" ShapeID="_x0000_i1026" DrawAspect="Content" ObjectID="_1520163628" r:id="rId14"/>
        </w:object>
      </w:r>
    </w:p>
    <w:p w:rsidR="008B6360" w:rsidRDefault="008B6360" w:rsidP="008455DF">
      <w:pPr>
        <w:jc w:val="center"/>
        <w:rPr>
          <w:b/>
        </w:rPr>
      </w:pPr>
    </w:p>
    <w:p w:rsidR="008455DF" w:rsidRDefault="008455DF" w:rsidP="008455DF">
      <w:pPr>
        <w:jc w:val="center"/>
        <w:rPr>
          <w:b/>
        </w:rPr>
      </w:pPr>
      <w:proofErr w:type="gramStart"/>
      <w:r w:rsidRPr="008455DF">
        <w:rPr>
          <w:b/>
        </w:rPr>
        <w:t xml:space="preserve">Table </w:t>
      </w:r>
      <w:r w:rsidR="006A38DF">
        <w:rPr>
          <w:b/>
        </w:rPr>
        <w:t>7</w:t>
      </w:r>
      <w:r w:rsidRPr="008455DF">
        <w:rPr>
          <w:b/>
        </w:rPr>
        <w:t>.</w:t>
      </w:r>
      <w:proofErr w:type="gramEnd"/>
      <w:r w:rsidRPr="008455DF">
        <w:rPr>
          <w:b/>
        </w:rPr>
        <w:t xml:space="preserve"> Number and Percent Share of Primary Program Clusters, Based on Activity Data Reported for the 2007-08, 2008-09, 2009-10, 2010-11, 2011-12, &amp; 2012-13 School Years</w:t>
      </w:r>
    </w:p>
    <w:tbl>
      <w:tblPr>
        <w:tblW w:w="10659" w:type="dxa"/>
        <w:tblInd w:w="-638" w:type="dxa"/>
        <w:tblLook w:val="04A0" w:firstRow="1" w:lastRow="0" w:firstColumn="1" w:lastColumn="0" w:noHBand="0" w:noVBand="1"/>
      </w:tblPr>
      <w:tblGrid>
        <w:gridCol w:w="1260"/>
        <w:gridCol w:w="709"/>
        <w:gridCol w:w="708"/>
        <w:gridCol w:w="708"/>
        <w:gridCol w:w="691"/>
        <w:gridCol w:w="708"/>
        <w:gridCol w:w="691"/>
        <w:gridCol w:w="864"/>
        <w:gridCol w:w="864"/>
        <w:gridCol w:w="864"/>
        <w:gridCol w:w="864"/>
        <w:gridCol w:w="864"/>
        <w:gridCol w:w="864"/>
      </w:tblGrid>
      <w:tr w:rsidR="008C3B12" w:rsidTr="00840720">
        <w:trPr>
          <w:trHeight w:val="482"/>
        </w:trPr>
        <w:tc>
          <w:tcPr>
            <w:tcW w:w="1260" w:type="dxa"/>
            <w:tcBorders>
              <w:top w:val="single" w:sz="4" w:space="0" w:color="auto"/>
              <w:left w:val="single" w:sz="8" w:space="0" w:color="auto"/>
              <w:bottom w:val="single" w:sz="8" w:space="0" w:color="auto"/>
              <w:right w:val="single" w:sz="8" w:space="0" w:color="auto"/>
            </w:tcBorders>
            <w:shd w:val="clear" w:color="000000" w:fill="595959"/>
            <w:noWrap/>
            <w:vAlign w:val="center"/>
            <w:hideMark/>
          </w:tcPr>
          <w:p w:rsidR="008C3B12" w:rsidRDefault="008C3B12">
            <w:pPr>
              <w:jc w:val="center"/>
              <w:rPr>
                <w:rFonts w:ascii="Calibri" w:hAnsi="Calibri"/>
                <w:b/>
                <w:bCs/>
                <w:color w:val="FFFFFF"/>
                <w:sz w:val="20"/>
                <w:szCs w:val="20"/>
              </w:rPr>
            </w:pPr>
            <w:r>
              <w:rPr>
                <w:rFonts w:ascii="Calibri" w:hAnsi="Calibri"/>
                <w:b/>
                <w:bCs/>
                <w:color w:val="FFFFFF"/>
                <w:sz w:val="20"/>
                <w:szCs w:val="20"/>
              </w:rPr>
              <w:t>Activity Cluster</w:t>
            </w:r>
          </w:p>
        </w:tc>
        <w:tc>
          <w:tcPr>
            <w:tcW w:w="709" w:type="dxa"/>
            <w:tcBorders>
              <w:top w:val="single" w:sz="4" w:space="0" w:color="auto"/>
              <w:left w:val="nil"/>
              <w:bottom w:val="single" w:sz="8" w:space="0" w:color="auto"/>
              <w:right w:val="single" w:sz="8" w:space="0" w:color="auto"/>
            </w:tcBorders>
            <w:shd w:val="clear" w:color="000000" w:fill="BFBFBF"/>
            <w:vAlign w:val="center"/>
            <w:hideMark/>
          </w:tcPr>
          <w:p w:rsidR="008C3B12" w:rsidRDefault="008C3B12">
            <w:pPr>
              <w:jc w:val="center"/>
              <w:rPr>
                <w:rFonts w:ascii="Calibri" w:hAnsi="Calibri"/>
                <w:b/>
                <w:bCs/>
                <w:color w:val="000000"/>
                <w:sz w:val="20"/>
                <w:szCs w:val="20"/>
              </w:rPr>
            </w:pPr>
            <w:r>
              <w:rPr>
                <w:rFonts w:ascii="Calibri" w:hAnsi="Calibri"/>
                <w:b/>
                <w:bCs/>
                <w:color w:val="000000"/>
                <w:sz w:val="20"/>
                <w:szCs w:val="20"/>
              </w:rPr>
              <w:t>No. in 2007-08</w:t>
            </w:r>
          </w:p>
        </w:tc>
        <w:tc>
          <w:tcPr>
            <w:tcW w:w="708" w:type="dxa"/>
            <w:tcBorders>
              <w:top w:val="single" w:sz="4" w:space="0" w:color="auto"/>
              <w:left w:val="nil"/>
              <w:bottom w:val="single" w:sz="8" w:space="0" w:color="auto"/>
              <w:right w:val="single" w:sz="8" w:space="0" w:color="auto"/>
            </w:tcBorders>
            <w:shd w:val="clear" w:color="000000" w:fill="BFBFBF"/>
            <w:vAlign w:val="center"/>
            <w:hideMark/>
          </w:tcPr>
          <w:p w:rsidR="008C3B12" w:rsidRDefault="008C3B12">
            <w:pPr>
              <w:jc w:val="center"/>
              <w:rPr>
                <w:rFonts w:ascii="Calibri" w:hAnsi="Calibri"/>
                <w:b/>
                <w:bCs/>
                <w:color w:val="000000"/>
                <w:sz w:val="20"/>
                <w:szCs w:val="20"/>
              </w:rPr>
            </w:pPr>
            <w:r>
              <w:rPr>
                <w:rFonts w:ascii="Calibri" w:hAnsi="Calibri"/>
                <w:b/>
                <w:bCs/>
                <w:color w:val="000000"/>
                <w:sz w:val="20"/>
                <w:szCs w:val="20"/>
              </w:rPr>
              <w:t>No. in 2008-09</w:t>
            </w:r>
          </w:p>
        </w:tc>
        <w:tc>
          <w:tcPr>
            <w:tcW w:w="708" w:type="dxa"/>
            <w:tcBorders>
              <w:top w:val="single" w:sz="4" w:space="0" w:color="auto"/>
              <w:left w:val="nil"/>
              <w:bottom w:val="single" w:sz="8" w:space="0" w:color="auto"/>
              <w:right w:val="single" w:sz="8" w:space="0" w:color="auto"/>
            </w:tcBorders>
            <w:shd w:val="clear" w:color="000000" w:fill="BFBFBF"/>
            <w:vAlign w:val="center"/>
            <w:hideMark/>
          </w:tcPr>
          <w:p w:rsidR="008C3B12" w:rsidRDefault="008C3B12">
            <w:pPr>
              <w:jc w:val="center"/>
              <w:rPr>
                <w:rFonts w:ascii="Calibri" w:hAnsi="Calibri"/>
                <w:b/>
                <w:bCs/>
                <w:color w:val="000000"/>
                <w:sz w:val="20"/>
                <w:szCs w:val="20"/>
              </w:rPr>
            </w:pPr>
            <w:r>
              <w:rPr>
                <w:rFonts w:ascii="Calibri" w:hAnsi="Calibri"/>
                <w:b/>
                <w:bCs/>
                <w:color w:val="000000"/>
                <w:sz w:val="20"/>
                <w:szCs w:val="20"/>
              </w:rPr>
              <w:t>No. in 2009-10</w:t>
            </w:r>
          </w:p>
        </w:tc>
        <w:tc>
          <w:tcPr>
            <w:tcW w:w="691" w:type="dxa"/>
            <w:tcBorders>
              <w:top w:val="single" w:sz="4" w:space="0" w:color="auto"/>
              <w:left w:val="nil"/>
              <w:bottom w:val="single" w:sz="8" w:space="0" w:color="auto"/>
              <w:right w:val="single" w:sz="8" w:space="0" w:color="auto"/>
            </w:tcBorders>
            <w:shd w:val="clear" w:color="000000" w:fill="BFBFBF"/>
            <w:vAlign w:val="center"/>
            <w:hideMark/>
          </w:tcPr>
          <w:p w:rsidR="008C3B12" w:rsidRDefault="008C3B12">
            <w:pPr>
              <w:jc w:val="center"/>
              <w:rPr>
                <w:rFonts w:ascii="Calibri" w:hAnsi="Calibri"/>
                <w:b/>
                <w:bCs/>
                <w:color w:val="000000"/>
                <w:sz w:val="20"/>
                <w:szCs w:val="20"/>
              </w:rPr>
            </w:pPr>
            <w:r>
              <w:rPr>
                <w:rFonts w:ascii="Calibri" w:hAnsi="Calibri"/>
                <w:b/>
                <w:bCs/>
                <w:color w:val="000000"/>
                <w:sz w:val="20"/>
                <w:szCs w:val="20"/>
              </w:rPr>
              <w:t>No. in 2010-11</w:t>
            </w:r>
          </w:p>
        </w:tc>
        <w:tc>
          <w:tcPr>
            <w:tcW w:w="708" w:type="dxa"/>
            <w:tcBorders>
              <w:top w:val="single" w:sz="4" w:space="0" w:color="auto"/>
              <w:left w:val="nil"/>
              <w:bottom w:val="single" w:sz="8" w:space="0" w:color="auto"/>
              <w:right w:val="single" w:sz="8" w:space="0" w:color="auto"/>
            </w:tcBorders>
            <w:shd w:val="clear" w:color="000000" w:fill="BFBFBF"/>
            <w:vAlign w:val="center"/>
            <w:hideMark/>
          </w:tcPr>
          <w:p w:rsidR="008C3B12" w:rsidRDefault="008C3B12">
            <w:pPr>
              <w:jc w:val="center"/>
              <w:rPr>
                <w:rFonts w:ascii="Calibri" w:hAnsi="Calibri"/>
                <w:b/>
                <w:bCs/>
                <w:color w:val="000000"/>
                <w:sz w:val="20"/>
                <w:szCs w:val="20"/>
              </w:rPr>
            </w:pPr>
            <w:r>
              <w:rPr>
                <w:rFonts w:ascii="Calibri" w:hAnsi="Calibri"/>
                <w:b/>
                <w:bCs/>
                <w:color w:val="000000"/>
                <w:sz w:val="20"/>
                <w:szCs w:val="20"/>
              </w:rPr>
              <w:t>No. in 2011-12</w:t>
            </w:r>
          </w:p>
        </w:tc>
        <w:tc>
          <w:tcPr>
            <w:tcW w:w="691" w:type="dxa"/>
            <w:tcBorders>
              <w:top w:val="single" w:sz="4" w:space="0" w:color="auto"/>
              <w:left w:val="nil"/>
              <w:bottom w:val="single" w:sz="8" w:space="0" w:color="auto"/>
              <w:right w:val="single" w:sz="18" w:space="0" w:color="auto"/>
            </w:tcBorders>
            <w:shd w:val="clear" w:color="000000" w:fill="BFBFBF"/>
            <w:vAlign w:val="center"/>
            <w:hideMark/>
          </w:tcPr>
          <w:p w:rsidR="008C3B12" w:rsidRDefault="008C3B12">
            <w:pPr>
              <w:jc w:val="center"/>
              <w:rPr>
                <w:rFonts w:ascii="Calibri" w:hAnsi="Calibri"/>
                <w:b/>
                <w:bCs/>
                <w:color w:val="000000"/>
                <w:sz w:val="20"/>
                <w:szCs w:val="20"/>
              </w:rPr>
            </w:pPr>
            <w:r>
              <w:rPr>
                <w:rFonts w:ascii="Calibri" w:hAnsi="Calibri"/>
                <w:b/>
                <w:bCs/>
                <w:color w:val="000000"/>
                <w:sz w:val="20"/>
                <w:szCs w:val="20"/>
              </w:rPr>
              <w:t>No. in 2012-13</w:t>
            </w:r>
          </w:p>
        </w:tc>
        <w:tc>
          <w:tcPr>
            <w:tcW w:w="864" w:type="dxa"/>
            <w:tcBorders>
              <w:top w:val="single" w:sz="4" w:space="0" w:color="auto"/>
              <w:left w:val="single" w:sz="18" w:space="0" w:color="auto"/>
              <w:bottom w:val="single" w:sz="8" w:space="0" w:color="auto"/>
              <w:right w:val="single" w:sz="8" w:space="0" w:color="auto"/>
            </w:tcBorders>
            <w:shd w:val="clear" w:color="000000" w:fill="BFBFBF"/>
            <w:vAlign w:val="center"/>
            <w:hideMark/>
          </w:tcPr>
          <w:p w:rsidR="008C3B12" w:rsidRDefault="008C3B12">
            <w:pPr>
              <w:jc w:val="center"/>
              <w:rPr>
                <w:rFonts w:ascii="Calibri" w:hAnsi="Calibri"/>
                <w:b/>
                <w:bCs/>
                <w:color w:val="000000"/>
                <w:sz w:val="20"/>
                <w:szCs w:val="20"/>
              </w:rPr>
            </w:pPr>
            <w:r>
              <w:rPr>
                <w:rFonts w:ascii="Calibri" w:hAnsi="Calibri"/>
                <w:b/>
                <w:bCs/>
                <w:color w:val="000000"/>
                <w:sz w:val="20"/>
                <w:szCs w:val="20"/>
              </w:rPr>
              <w:t>Percent in 2007-08</w:t>
            </w:r>
          </w:p>
        </w:tc>
        <w:tc>
          <w:tcPr>
            <w:tcW w:w="864" w:type="dxa"/>
            <w:tcBorders>
              <w:top w:val="single" w:sz="4" w:space="0" w:color="auto"/>
              <w:left w:val="nil"/>
              <w:bottom w:val="single" w:sz="8" w:space="0" w:color="auto"/>
              <w:right w:val="single" w:sz="8" w:space="0" w:color="auto"/>
            </w:tcBorders>
            <w:shd w:val="clear" w:color="000000" w:fill="BFBFBF"/>
            <w:vAlign w:val="center"/>
            <w:hideMark/>
          </w:tcPr>
          <w:p w:rsidR="008C3B12" w:rsidRDefault="008C3B12">
            <w:pPr>
              <w:jc w:val="center"/>
              <w:rPr>
                <w:rFonts w:ascii="Calibri" w:hAnsi="Calibri"/>
                <w:b/>
                <w:bCs/>
                <w:color w:val="000000"/>
                <w:sz w:val="20"/>
                <w:szCs w:val="20"/>
              </w:rPr>
            </w:pPr>
            <w:r>
              <w:rPr>
                <w:rFonts w:ascii="Calibri" w:hAnsi="Calibri"/>
                <w:b/>
                <w:bCs/>
                <w:color w:val="000000"/>
                <w:sz w:val="20"/>
                <w:szCs w:val="20"/>
              </w:rPr>
              <w:t>Percent in 2008-09</w:t>
            </w:r>
          </w:p>
        </w:tc>
        <w:tc>
          <w:tcPr>
            <w:tcW w:w="864" w:type="dxa"/>
            <w:tcBorders>
              <w:top w:val="single" w:sz="4" w:space="0" w:color="auto"/>
              <w:left w:val="nil"/>
              <w:bottom w:val="single" w:sz="8" w:space="0" w:color="auto"/>
              <w:right w:val="single" w:sz="8" w:space="0" w:color="auto"/>
            </w:tcBorders>
            <w:shd w:val="clear" w:color="000000" w:fill="BFBFBF"/>
            <w:vAlign w:val="center"/>
            <w:hideMark/>
          </w:tcPr>
          <w:p w:rsidR="008C3B12" w:rsidRDefault="008C3B12">
            <w:pPr>
              <w:jc w:val="center"/>
              <w:rPr>
                <w:rFonts w:ascii="Calibri" w:hAnsi="Calibri"/>
                <w:b/>
                <w:bCs/>
                <w:color w:val="000000"/>
                <w:sz w:val="20"/>
                <w:szCs w:val="20"/>
              </w:rPr>
            </w:pPr>
            <w:r>
              <w:rPr>
                <w:rFonts w:ascii="Calibri" w:hAnsi="Calibri"/>
                <w:b/>
                <w:bCs/>
                <w:color w:val="000000"/>
                <w:sz w:val="20"/>
                <w:szCs w:val="20"/>
              </w:rPr>
              <w:t>Percent in 2009-10</w:t>
            </w:r>
          </w:p>
        </w:tc>
        <w:tc>
          <w:tcPr>
            <w:tcW w:w="864" w:type="dxa"/>
            <w:tcBorders>
              <w:top w:val="single" w:sz="4" w:space="0" w:color="auto"/>
              <w:left w:val="nil"/>
              <w:bottom w:val="single" w:sz="8" w:space="0" w:color="auto"/>
              <w:right w:val="single" w:sz="8" w:space="0" w:color="auto"/>
            </w:tcBorders>
            <w:shd w:val="clear" w:color="000000" w:fill="BFBFBF"/>
            <w:vAlign w:val="center"/>
            <w:hideMark/>
          </w:tcPr>
          <w:p w:rsidR="008C3B12" w:rsidRDefault="008C3B12">
            <w:pPr>
              <w:jc w:val="center"/>
              <w:rPr>
                <w:rFonts w:ascii="Calibri" w:hAnsi="Calibri"/>
                <w:b/>
                <w:bCs/>
                <w:color w:val="000000"/>
                <w:sz w:val="20"/>
                <w:szCs w:val="20"/>
              </w:rPr>
            </w:pPr>
            <w:r>
              <w:rPr>
                <w:rFonts w:ascii="Calibri" w:hAnsi="Calibri"/>
                <w:b/>
                <w:bCs/>
                <w:color w:val="000000"/>
                <w:sz w:val="20"/>
                <w:szCs w:val="20"/>
              </w:rPr>
              <w:t>Percent in 2010-11</w:t>
            </w:r>
          </w:p>
        </w:tc>
        <w:tc>
          <w:tcPr>
            <w:tcW w:w="864" w:type="dxa"/>
            <w:tcBorders>
              <w:top w:val="single" w:sz="4" w:space="0" w:color="auto"/>
              <w:left w:val="nil"/>
              <w:bottom w:val="single" w:sz="8" w:space="0" w:color="auto"/>
              <w:right w:val="single" w:sz="8" w:space="0" w:color="auto"/>
            </w:tcBorders>
            <w:shd w:val="clear" w:color="000000" w:fill="BFBFBF"/>
            <w:vAlign w:val="center"/>
            <w:hideMark/>
          </w:tcPr>
          <w:p w:rsidR="008C3B12" w:rsidRDefault="008C3B12">
            <w:pPr>
              <w:jc w:val="center"/>
              <w:rPr>
                <w:rFonts w:ascii="Calibri" w:hAnsi="Calibri"/>
                <w:b/>
                <w:bCs/>
                <w:color w:val="000000"/>
                <w:sz w:val="20"/>
                <w:szCs w:val="20"/>
              </w:rPr>
            </w:pPr>
            <w:r>
              <w:rPr>
                <w:rFonts w:ascii="Calibri" w:hAnsi="Calibri"/>
                <w:b/>
                <w:bCs/>
                <w:color w:val="000000"/>
                <w:sz w:val="20"/>
                <w:szCs w:val="20"/>
              </w:rPr>
              <w:t>Percent in 2011-12</w:t>
            </w:r>
          </w:p>
        </w:tc>
        <w:tc>
          <w:tcPr>
            <w:tcW w:w="864" w:type="dxa"/>
            <w:tcBorders>
              <w:top w:val="single" w:sz="4" w:space="0" w:color="auto"/>
              <w:left w:val="nil"/>
              <w:bottom w:val="single" w:sz="8" w:space="0" w:color="auto"/>
              <w:right w:val="single" w:sz="8" w:space="0" w:color="auto"/>
            </w:tcBorders>
            <w:shd w:val="clear" w:color="000000" w:fill="BFBFBF"/>
            <w:vAlign w:val="center"/>
            <w:hideMark/>
          </w:tcPr>
          <w:p w:rsidR="008C3B12" w:rsidRDefault="008C3B12">
            <w:pPr>
              <w:jc w:val="center"/>
              <w:rPr>
                <w:rFonts w:ascii="Calibri" w:hAnsi="Calibri"/>
                <w:b/>
                <w:bCs/>
                <w:color w:val="000000"/>
                <w:sz w:val="20"/>
                <w:szCs w:val="20"/>
              </w:rPr>
            </w:pPr>
            <w:r>
              <w:rPr>
                <w:rFonts w:ascii="Calibri" w:hAnsi="Calibri"/>
                <w:b/>
                <w:bCs/>
                <w:color w:val="000000"/>
                <w:sz w:val="20"/>
                <w:szCs w:val="20"/>
              </w:rPr>
              <w:t>Percent in 2012-13</w:t>
            </w:r>
          </w:p>
        </w:tc>
      </w:tr>
      <w:tr w:rsidR="008C3B12" w:rsidTr="00840720">
        <w:trPr>
          <w:trHeight w:val="289"/>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8C3B12" w:rsidRDefault="008C3B12">
            <w:pPr>
              <w:rPr>
                <w:rFonts w:ascii="Calibri" w:hAnsi="Calibri"/>
                <w:color w:val="000000"/>
                <w:sz w:val="22"/>
                <w:szCs w:val="22"/>
              </w:rPr>
            </w:pPr>
            <w:r>
              <w:rPr>
                <w:rFonts w:ascii="Calibri" w:hAnsi="Calibri"/>
                <w:color w:val="000000"/>
                <w:sz w:val="22"/>
                <w:szCs w:val="22"/>
              </w:rPr>
              <w:t>Unknown*</w:t>
            </w:r>
          </w:p>
        </w:tc>
        <w:tc>
          <w:tcPr>
            <w:tcW w:w="709"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4,835</w:t>
            </w:r>
          </w:p>
        </w:tc>
        <w:tc>
          <w:tcPr>
            <w:tcW w:w="708"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4,656</w:t>
            </w:r>
          </w:p>
        </w:tc>
        <w:tc>
          <w:tcPr>
            <w:tcW w:w="708"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5,305</w:t>
            </w:r>
          </w:p>
        </w:tc>
        <w:tc>
          <w:tcPr>
            <w:tcW w:w="691" w:type="dxa"/>
            <w:tcBorders>
              <w:top w:val="nil"/>
              <w:left w:val="nil"/>
              <w:bottom w:val="single" w:sz="8" w:space="0" w:color="auto"/>
              <w:right w:val="single" w:sz="8" w:space="0" w:color="auto"/>
            </w:tcBorders>
            <w:shd w:val="clear" w:color="auto" w:fill="auto"/>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5,492</w:t>
            </w:r>
          </w:p>
        </w:tc>
        <w:tc>
          <w:tcPr>
            <w:tcW w:w="708"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5,360</w:t>
            </w:r>
          </w:p>
        </w:tc>
        <w:tc>
          <w:tcPr>
            <w:tcW w:w="691" w:type="dxa"/>
            <w:tcBorders>
              <w:top w:val="nil"/>
              <w:left w:val="nil"/>
              <w:bottom w:val="single" w:sz="8" w:space="0" w:color="auto"/>
              <w:right w:val="single" w:sz="18" w:space="0" w:color="auto"/>
            </w:tcBorders>
            <w:shd w:val="clear" w:color="auto" w:fill="auto"/>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5,081</w:t>
            </w:r>
          </w:p>
        </w:tc>
        <w:tc>
          <w:tcPr>
            <w:tcW w:w="864" w:type="dxa"/>
            <w:tcBorders>
              <w:top w:val="nil"/>
              <w:left w:val="single" w:sz="18" w:space="0" w:color="auto"/>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w:t>
            </w:r>
          </w:p>
        </w:tc>
        <w:tc>
          <w:tcPr>
            <w:tcW w:w="864"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w:t>
            </w:r>
          </w:p>
        </w:tc>
        <w:tc>
          <w:tcPr>
            <w:tcW w:w="864"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w:t>
            </w:r>
          </w:p>
        </w:tc>
        <w:tc>
          <w:tcPr>
            <w:tcW w:w="864" w:type="dxa"/>
            <w:tcBorders>
              <w:top w:val="nil"/>
              <w:left w:val="nil"/>
              <w:bottom w:val="single" w:sz="8" w:space="0" w:color="auto"/>
              <w:right w:val="single" w:sz="8" w:space="0" w:color="auto"/>
            </w:tcBorders>
            <w:shd w:val="clear" w:color="auto" w:fill="auto"/>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w:t>
            </w:r>
          </w:p>
        </w:tc>
        <w:tc>
          <w:tcPr>
            <w:tcW w:w="864" w:type="dxa"/>
            <w:tcBorders>
              <w:top w:val="nil"/>
              <w:left w:val="nil"/>
              <w:bottom w:val="single" w:sz="8" w:space="0" w:color="auto"/>
              <w:right w:val="single" w:sz="8" w:space="0" w:color="auto"/>
            </w:tcBorders>
            <w:shd w:val="clear" w:color="auto" w:fill="auto"/>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w:t>
            </w:r>
          </w:p>
        </w:tc>
        <w:tc>
          <w:tcPr>
            <w:tcW w:w="864" w:type="dxa"/>
            <w:tcBorders>
              <w:top w:val="nil"/>
              <w:left w:val="nil"/>
              <w:bottom w:val="single" w:sz="8" w:space="0" w:color="auto"/>
              <w:right w:val="single" w:sz="8" w:space="0" w:color="auto"/>
            </w:tcBorders>
            <w:shd w:val="clear" w:color="auto" w:fill="auto"/>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w:t>
            </w:r>
          </w:p>
        </w:tc>
      </w:tr>
      <w:tr w:rsidR="008C3B12" w:rsidTr="00840720">
        <w:trPr>
          <w:trHeight w:val="289"/>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8C3B12" w:rsidRDefault="008C3B12">
            <w:pPr>
              <w:rPr>
                <w:rFonts w:ascii="Calibri" w:hAnsi="Calibri"/>
                <w:color w:val="000000"/>
                <w:sz w:val="22"/>
                <w:szCs w:val="22"/>
              </w:rPr>
            </w:pPr>
            <w:r>
              <w:rPr>
                <w:rFonts w:ascii="Calibri" w:hAnsi="Calibri"/>
                <w:color w:val="000000"/>
                <w:sz w:val="22"/>
                <w:szCs w:val="22"/>
              </w:rPr>
              <w:t>Variety</w:t>
            </w:r>
          </w:p>
        </w:tc>
        <w:tc>
          <w:tcPr>
            <w:tcW w:w="709"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1,331</w:t>
            </w:r>
          </w:p>
        </w:tc>
        <w:tc>
          <w:tcPr>
            <w:tcW w:w="708"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1,446</w:t>
            </w:r>
          </w:p>
        </w:tc>
        <w:tc>
          <w:tcPr>
            <w:tcW w:w="708"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1,348</w:t>
            </w:r>
          </w:p>
        </w:tc>
        <w:tc>
          <w:tcPr>
            <w:tcW w:w="691" w:type="dxa"/>
            <w:tcBorders>
              <w:top w:val="nil"/>
              <w:left w:val="nil"/>
              <w:bottom w:val="single" w:sz="8" w:space="0" w:color="auto"/>
              <w:right w:val="single" w:sz="8" w:space="0" w:color="auto"/>
            </w:tcBorders>
            <w:shd w:val="clear" w:color="auto" w:fill="auto"/>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1,641</w:t>
            </w:r>
          </w:p>
        </w:tc>
        <w:tc>
          <w:tcPr>
            <w:tcW w:w="708"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1,630</w:t>
            </w:r>
          </w:p>
        </w:tc>
        <w:tc>
          <w:tcPr>
            <w:tcW w:w="691" w:type="dxa"/>
            <w:tcBorders>
              <w:top w:val="nil"/>
              <w:left w:val="nil"/>
              <w:bottom w:val="single" w:sz="8" w:space="0" w:color="auto"/>
              <w:right w:val="single" w:sz="18" w:space="0" w:color="auto"/>
            </w:tcBorders>
            <w:shd w:val="clear" w:color="auto" w:fill="auto"/>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1,526</w:t>
            </w:r>
          </w:p>
        </w:tc>
        <w:tc>
          <w:tcPr>
            <w:tcW w:w="864" w:type="dxa"/>
            <w:tcBorders>
              <w:top w:val="nil"/>
              <w:left w:val="single" w:sz="18" w:space="0" w:color="auto"/>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32.80%</w:t>
            </w:r>
          </w:p>
        </w:tc>
        <w:tc>
          <w:tcPr>
            <w:tcW w:w="864"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35.90%</w:t>
            </w:r>
          </w:p>
        </w:tc>
        <w:tc>
          <w:tcPr>
            <w:tcW w:w="864"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35.40%</w:t>
            </w:r>
          </w:p>
        </w:tc>
        <w:tc>
          <w:tcPr>
            <w:tcW w:w="864" w:type="dxa"/>
            <w:tcBorders>
              <w:top w:val="nil"/>
              <w:left w:val="nil"/>
              <w:bottom w:val="single" w:sz="8" w:space="0" w:color="auto"/>
              <w:right w:val="single" w:sz="8" w:space="0" w:color="auto"/>
            </w:tcBorders>
            <w:shd w:val="clear" w:color="auto" w:fill="auto"/>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34.90%</w:t>
            </w:r>
          </w:p>
        </w:tc>
        <w:tc>
          <w:tcPr>
            <w:tcW w:w="864"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33.70%</w:t>
            </w:r>
          </w:p>
        </w:tc>
        <w:tc>
          <w:tcPr>
            <w:tcW w:w="864" w:type="dxa"/>
            <w:tcBorders>
              <w:top w:val="nil"/>
              <w:left w:val="nil"/>
              <w:bottom w:val="single" w:sz="8" w:space="0" w:color="auto"/>
              <w:right w:val="single" w:sz="8" w:space="0" w:color="auto"/>
            </w:tcBorders>
            <w:shd w:val="clear" w:color="auto" w:fill="auto"/>
            <w:vAlign w:val="center"/>
            <w:hideMark/>
          </w:tcPr>
          <w:p w:rsidR="008C3B12" w:rsidRDefault="008C3B12">
            <w:pPr>
              <w:jc w:val="right"/>
              <w:rPr>
                <w:rFonts w:ascii="Calibri" w:hAnsi="Calibri"/>
                <w:color w:val="000000"/>
                <w:sz w:val="20"/>
                <w:szCs w:val="20"/>
              </w:rPr>
            </w:pPr>
            <w:r>
              <w:rPr>
                <w:rFonts w:ascii="Calibri" w:hAnsi="Calibri" w:cs="Calibri"/>
                <w:color w:val="000000"/>
                <w:sz w:val="20"/>
                <w:szCs w:val="20"/>
              </w:rPr>
              <w:t>31.10%</w:t>
            </w:r>
          </w:p>
        </w:tc>
      </w:tr>
      <w:tr w:rsidR="008C3B12" w:rsidTr="00840720">
        <w:trPr>
          <w:trHeight w:val="289"/>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8C3B12" w:rsidRDefault="008C3B12">
            <w:pPr>
              <w:rPr>
                <w:rFonts w:ascii="Calibri" w:hAnsi="Calibri"/>
                <w:color w:val="000000"/>
                <w:sz w:val="22"/>
                <w:szCs w:val="22"/>
              </w:rPr>
            </w:pPr>
            <w:r>
              <w:rPr>
                <w:rFonts w:ascii="Calibri" w:hAnsi="Calibri"/>
                <w:color w:val="000000"/>
                <w:sz w:val="22"/>
                <w:szCs w:val="22"/>
              </w:rPr>
              <w:t>Enrichment</w:t>
            </w:r>
          </w:p>
        </w:tc>
        <w:tc>
          <w:tcPr>
            <w:tcW w:w="709"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1,021</w:t>
            </w:r>
          </w:p>
        </w:tc>
        <w:tc>
          <w:tcPr>
            <w:tcW w:w="708"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958</w:t>
            </w:r>
          </w:p>
        </w:tc>
        <w:tc>
          <w:tcPr>
            <w:tcW w:w="708"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919</w:t>
            </w:r>
          </w:p>
        </w:tc>
        <w:tc>
          <w:tcPr>
            <w:tcW w:w="691" w:type="dxa"/>
            <w:tcBorders>
              <w:top w:val="nil"/>
              <w:left w:val="nil"/>
              <w:bottom w:val="single" w:sz="8" w:space="0" w:color="auto"/>
              <w:right w:val="single" w:sz="8" w:space="0" w:color="auto"/>
            </w:tcBorders>
            <w:shd w:val="clear" w:color="auto" w:fill="auto"/>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1,072</w:t>
            </w:r>
          </w:p>
        </w:tc>
        <w:tc>
          <w:tcPr>
            <w:tcW w:w="708"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1,008</w:t>
            </w:r>
          </w:p>
        </w:tc>
        <w:tc>
          <w:tcPr>
            <w:tcW w:w="691" w:type="dxa"/>
            <w:tcBorders>
              <w:top w:val="nil"/>
              <w:left w:val="nil"/>
              <w:bottom w:val="single" w:sz="8" w:space="0" w:color="auto"/>
              <w:right w:val="single" w:sz="18" w:space="0" w:color="auto"/>
            </w:tcBorders>
            <w:shd w:val="clear" w:color="auto" w:fill="auto"/>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1,218</w:t>
            </w:r>
          </w:p>
        </w:tc>
        <w:tc>
          <w:tcPr>
            <w:tcW w:w="864" w:type="dxa"/>
            <w:tcBorders>
              <w:top w:val="nil"/>
              <w:left w:val="single" w:sz="18" w:space="0" w:color="auto"/>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25.10%</w:t>
            </w:r>
          </w:p>
        </w:tc>
        <w:tc>
          <w:tcPr>
            <w:tcW w:w="864"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23.80%</w:t>
            </w:r>
          </w:p>
        </w:tc>
        <w:tc>
          <w:tcPr>
            <w:tcW w:w="864"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24.10%</w:t>
            </w:r>
          </w:p>
        </w:tc>
        <w:tc>
          <w:tcPr>
            <w:tcW w:w="864" w:type="dxa"/>
            <w:tcBorders>
              <w:top w:val="nil"/>
              <w:left w:val="nil"/>
              <w:bottom w:val="single" w:sz="8" w:space="0" w:color="auto"/>
              <w:right w:val="single" w:sz="8" w:space="0" w:color="auto"/>
            </w:tcBorders>
            <w:shd w:val="clear" w:color="auto" w:fill="auto"/>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22.80%</w:t>
            </w:r>
          </w:p>
        </w:tc>
        <w:tc>
          <w:tcPr>
            <w:tcW w:w="864"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20.80%</w:t>
            </w:r>
          </w:p>
        </w:tc>
        <w:tc>
          <w:tcPr>
            <w:tcW w:w="864" w:type="dxa"/>
            <w:tcBorders>
              <w:top w:val="nil"/>
              <w:left w:val="nil"/>
              <w:bottom w:val="single" w:sz="8" w:space="0" w:color="auto"/>
              <w:right w:val="single" w:sz="8" w:space="0" w:color="auto"/>
            </w:tcBorders>
            <w:shd w:val="clear" w:color="auto" w:fill="auto"/>
            <w:vAlign w:val="center"/>
            <w:hideMark/>
          </w:tcPr>
          <w:p w:rsidR="008C3B12" w:rsidRDefault="008C3B12">
            <w:pPr>
              <w:jc w:val="right"/>
              <w:rPr>
                <w:rFonts w:ascii="Calibri" w:hAnsi="Calibri"/>
                <w:color w:val="000000"/>
                <w:sz w:val="20"/>
                <w:szCs w:val="20"/>
              </w:rPr>
            </w:pPr>
            <w:r>
              <w:rPr>
                <w:rFonts w:ascii="Calibri" w:hAnsi="Calibri" w:cs="Calibri"/>
                <w:color w:val="000000"/>
                <w:sz w:val="20"/>
                <w:szCs w:val="20"/>
              </w:rPr>
              <w:t>24.80%</w:t>
            </w:r>
          </w:p>
        </w:tc>
      </w:tr>
      <w:tr w:rsidR="008C3B12" w:rsidTr="00840720">
        <w:trPr>
          <w:trHeight w:val="289"/>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8C3B12" w:rsidRDefault="008C3B12">
            <w:pPr>
              <w:rPr>
                <w:rFonts w:ascii="Calibri" w:hAnsi="Calibri"/>
                <w:color w:val="000000"/>
                <w:sz w:val="22"/>
                <w:szCs w:val="22"/>
              </w:rPr>
            </w:pPr>
            <w:r>
              <w:rPr>
                <w:rFonts w:ascii="Calibri" w:hAnsi="Calibri"/>
                <w:color w:val="000000"/>
                <w:sz w:val="22"/>
                <w:szCs w:val="22"/>
              </w:rPr>
              <w:t>Recreation</w:t>
            </w:r>
          </w:p>
        </w:tc>
        <w:tc>
          <w:tcPr>
            <w:tcW w:w="709"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836</w:t>
            </w:r>
          </w:p>
        </w:tc>
        <w:tc>
          <w:tcPr>
            <w:tcW w:w="708"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878</w:t>
            </w:r>
          </w:p>
        </w:tc>
        <w:tc>
          <w:tcPr>
            <w:tcW w:w="708"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752</w:t>
            </w:r>
          </w:p>
        </w:tc>
        <w:tc>
          <w:tcPr>
            <w:tcW w:w="691" w:type="dxa"/>
            <w:tcBorders>
              <w:top w:val="nil"/>
              <w:left w:val="nil"/>
              <w:bottom w:val="single" w:sz="8" w:space="0" w:color="auto"/>
              <w:right w:val="single" w:sz="8" w:space="0" w:color="auto"/>
            </w:tcBorders>
            <w:shd w:val="clear" w:color="auto" w:fill="auto"/>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1,004</w:t>
            </w:r>
          </w:p>
        </w:tc>
        <w:tc>
          <w:tcPr>
            <w:tcW w:w="708"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1,120</w:t>
            </w:r>
          </w:p>
        </w:tc>
        <w:tc>
          <w:tcPr>
            <w:tcW w:w="691" w:type="dxa"/>
            <w:tcBorders>
              <w:top w:val="nil"/>
              <w:left w:val="nil"/>
              <w:bottom w:val="single" w:sz="8" w:space="0" w:color="auto"/>
              <w:right w:val="single" w:sz="18" w:space="0" w:color="auto"/>
            </w:tcBorders>
            <w:shd w:val="clear" w:color="auto" w:fill="auto"/>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1,127</w:t>
            </w:r>
          </w:p>
        </w:tc>
        <w:tc>
          <w:tcPr>
            <w:tcW w:w="864" w:type="dxa"/>
            <w:tcBorders>
              <w:top w:val="nil"/>
              <w:left w:val="single" w:sz="18" w:space="0" w:color="auto"/>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20.60%</w:t>
            </w:r>
          </w:p>
        </w:tc>
        <w:tc>
          <w:tcPr>
            <w:tcW w:w="864"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21.80%</w:t>
            </w:r>
          </w:p>
        </w:tc>
        <w:tc>
          <w:tcPr>
            <w:tcW w:w="864"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19.70%</w:t>
            </w:r>
          </w:p>
        </w:tc>
        <w:tc>
          <w:tcPr>
            <w:tcW w:w="864" w:type="dxa"/>
            <w:tcBorders>
              <w:top w:val="nil"/>
              <w:left w:val="nil"/>
              <w:bottom w:val="single" w:sz="8" w:space="0" w:color="auto"/>
              <w:right w:val="single" w:sz="8" w:space="0" w:color="auto"/>
            </w:tcBorders>
            <w:shd w:val="clear" w:color="auto" w:fill="auto"/>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21.40%</w:t>
            </w:r>
          </w:p>
        </w:tc>
        <w:tc>
          <w:tcPr>
            <w:tcW w:w="864"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23.10%</w:t>
            </w:r>
          </w:p>
        </w:tc>
        <w:tc>
          <w:tcPr>
            <w:tcW w:w="864" w:type="dxa"/>
            <w:tcBorders>
              <w:top w:val="nil"/>
              <w:left w:val="nil"/>
              <w:bottom w:val="single" w:sz="8" w:space="0" w:color="auto"/>
              <w:right w:val="single" w:sz="8" w:space="0" w:color="auto"/>
            </w:tcBorders>
            <w:shd w:val="clear" w:color="auto" w:fill="auto"/>
            <w:vAlign w:val="center"/>
            <w:hideMark/>
          </w:tcPr>
          <w:p w:rsidR="008C3B12" w:rsidRDefault="008C3B12">
            <w:pPr>
              <w:jc w:val="right"/>
              <w:rPr>
                <w:rFonts w:ascii="Calibri" w:hAnsi="Calibri"/>
                <w:color w:val="000000"/>
                <w:sz w:val="20"/>
                <w:szCs w:val="20"/>
              </w:rPr>
            </w:pPr>
            <w:r>
              <w:rPr>
                <w:rFonts w:ascii="Calibri" w:hAnsi="Calibri" w:cs="Calibri"/>
                <w:color w:val="000000"/>
                <w:sz w:val="20"/>
                <w:szCs w:val="20"/>
              </w:rPr>
              <w:t>23.00%</w:t>
            </w:r>
          </w:p>
        </w:tc>
      </w:tr>
      <w:tr w:rsidR="008C3B12" w:rsidTr="00840720">
        <w:trPr>
          <w:trHeight w:val="289"/>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8C3B12" w:rsidRDefault="008C3B12">
            <w:pPr>
              <w:rPr>
                <w:rFonts w:ascii="Calibri" w:hAnsi="Calibri"/>
                <w:color w:val="000000"/>
                <w:sz w:val="22"/>
                <w:szCs w:val="22"/>
              </w:rPr>
            </w:pPr>
            <w:r>
              <w:rPr>
                <w:rFonts w:ascii="Calibri" w:hAnsi="Calibri"/>
                <w:color w:val="000000"/>
                <w:sz w:val="22"/>
                <w:szCs w:val="22"/>
              </w:rPr>
              <w:t>Tutoring</w:t>
            </w:r>
          </w:p>
        </w:tc>
        <w:tc>
          <w:tcPr>
            <w:tcW w:w="709"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505</w:t>
            </w:r>
          </w:p>
        </w:tc>
        <w:tc>
          <w:tcPr>
            <w:tcW w:w="708"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342</w:t>
            </w:r>
          </w:p>
        </w:tc>
        <w:tc>
          <w:tcPr>
            <w:tcW w:w="708"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342</w:t>
            </w:r>
          </w:p>
        </w:tc>
        <w:tc>
          <w:tcPr>
            <w:tcW w:w="691" w:type="dxa"/>
            <w:tcBorders>
              <w:top w:val="nil"/>
              <w:left w:val="nil"/>
              <w:bottom w:val="single" w:sz="8" w:space="0" w:color="auto"/>
              <w:right w:val="single" w:sz="8" w:space="0" w:color="auto"/>
            </w:tcBorders>
            <w:shd w:val="clear" w:color="auto" w:fill="auto"/>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473</w:t>
            </w:r>
          </w:p>
        </w:tc>
        <w:tc>
          <w:tcPr>
            <w:tcW w:w="708"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476</w:t>
            </w:r>
          </w:p>
        </w:tc>
        <w:tc>
          <w:tcPr>
            <w:tcW w:w="691" w:type="dxa"/>
            <w:tcBorders>
              <w:top w:val="nil"/>
              <w:left w:val="nil"/>
              <w:bottom w:val="single" w:sz="8" w:space="0" w:color="auto"/>
              <w:right w:val="single" w:sz="18" w:space="0" w:color="auto"/>
            </w:tcBorders>
            <w:shd w:val="clear" w:color="auto" w:fill="auto"/>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377</w:t>
            </w:r>
          </w:p>
        </w:tc>
        <w:tc>
          <w:tcPr>
            <w:tcW w:w="864" w:type="dxa"/>
            <w:tcBorders>
              <w:top w:val="nil"/>
              <w:left w:val="single" w:sz="18" w:space="0" w:color="auto"/>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12.40%</w:t>
            </w:r>
          </w:p>
        </w:tc>
        <w:tc>
          <w:tcPr>
            <w:tcW w:w="864"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8.50%</w:t>
            </w:r>
          </w:p>
        </w:tc>
        <w:tc>
          <w:tcPr>
            <w:tcW w:w="864"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9.00%</w:t>
            </w:r>
          </w:p>
        </w:tc>
        <w:tc>
          <w:tcPr>
            <w:tcW w:w="864" w:type="dxa"/>
            <w:tcBorders>
              <w:top w:val="nil"/>
              <w:left w:val="nil"/>
              <w:bottom w:val="single" w:sz="8" w:space="0" w:color="auto"/>
              <w:right w:val="single" w:sz="8" w:space="0" w:color="auto"/>
            </w:tcBorders>
            <w:shd w:val="clear" w:color="auto" w:fill="auto"/>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10.10%</w:t>
            </w:r>
          </w:p>
        </w:tc>
        <w:tc>
          <w:tcPr>
            <w:tcW w:w="864"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9.80%</w:t>
            </w:r>
          </w:p>
        </w:tc>
        <w:tc>
          <w:tcPr>
            <w:tcW w:w="864" w:type="dxa"/>
            <w:tcBorders>
              <w:top w:val="nil"/>
              <w:left w:val="nil"/>
              <w:bottom w:val="single" w:sz="8" w:space="0" w:color="auto"/>
              <w:right w:val="single" w:sz="8" w:space="0" w:color="auto"/>
            </w:tcBorders>
            <w:shd w:val="clear" w:color="auto" w:fill="auto"/>
            <w:vAlign w:val="center"/>
            <w:hideMark/>
          </w:tcPr>
          <w:p w:rsidR="008C3B12" w:rsidRDefault="008C3B12">
            <w:pPr>
              <w:jc w:val="right"/>
              <w:rPr>
                <w:rFonts w:ascii="Calibri" w:hAnsi="Calibri"/>
                <w:color w:val="000000"/>
                <w:sz w:val="20"/>
                <w:szCs w:val="20"/>
              </w:rPr>
            </w:pPr>
            <w:r>
              <w:rPr>
                <w:rFonts w:ascii="Calibri" w:hAnsi="Calibri" w:cs="Calibri"/>
                <w:color w:val="000000"/>
                <w:sz w:val="20"/>
                <w:szCs w:val="20"/>
              </w:rPr>
              <w:t>7.70%</w:t>
            </w:r>
          </w:p>
        </w:tc>
      </w:tr>
      <w:tr w:rsidR="008C3B12" w:rsidTr="00840720">
        <w:trPr>
          <w:trHeight w:val="289"/>
        </w:trPr>
        <w:tc>
          <w:tcPr>
            <w:tcW w:w="1260" w:type="dxa"/>
            <w:tcBorders>
              <w:top w:val="nil"/>
              <w:left w:val="single" w:sz="8" w:space="0" w:color="auto"/>
              <w:bottom w:val="single" w:sz="8" w:space="0" w:color="auto"/>
              <w:right w:val="single" w:sz="8" w:space="0" w:color="auto"/>
            </w:tcBorders>
            <w:shd w:val="clear" w:color="auto" w:fill="auto"/>
            <w:noWrap/>
            <w:vAlign w:val="center"/>
            <w:hideMark/>
          </w:tcPr>
          <w:p w:rsidR="008C3B12" w:rsidRDefault="008C3B12">
            <w:pPr>
              <w:rPr>
                <w:rFonts w:ascii="Calibri" w:hAnsi="Calibri"/>
                <w:color w:val="000000"/>
                <w:sz w:val="22"/>
                <w:szCs w:val="22"/>
              </w:rPr>
            </w:pPr>
            <w:r>
              <w:rPr>
                <w:rFonts w:ascii="Calibri" w:hAnsi="Calibri"/>
                <w:color w:val="000000"/>
                <w:sz w:val="22"/>
                <w:szCs w:val="22"/>
              </w:rPr>
              <w:t>Homework Help</w:t>
            </w:r>
          </w:p>
        </w:tc>
        <w:tc>
          <w:tcPr>
            <w:tcW w:w="709"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371</w:t>
            </w:r>
          </w:p>
        </w:tc>
        <w:tc>
          <w:tcPr>
            <w:tcW w:w="708"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408</w:t>
            </w:r>
          </w:p>
        </w:tc>
        <w:tc>
          <w:tcPr>
            <w:tcW w:w="708"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451</w:t>
            </w:r>
          </w:p>
        </w:tc>
        <w:tc>
          <w:tcPr>
            <w:tcW w:w="691" w:type="dxa"/>
            <w:tcBorders>
              <w:top w:val="nil"/>
              <w:left w:val="nil"/>
              <w:bottom w:val="single" w:sz="8" w:space="0" w:color="auto"/>
              <w:right w:val="single" w:sz="8" w:space="0" w:color="auto"/>
            </w:tcBorders>
            <w:shd w:val="clear" w:color="auto" w:fill="auto"/>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506</w:t>
            </w:r>
          </w:p>
        </w:tc>
        <w:tc>
          <w:tcPr>
            <w:tcW w:w="708"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605</w:t>
            </w:r>
          </w:p>
        </w:tc>
        <w:tc>
          <w:tcPr>
            <w:tcW w:w="691" w:type="dxa"/>
            <w:tcBorders>
              <w:top w:val="nil"/>
              <w:left w:val="nil"/>
              <w:bottom w:val="single" w:sz="8" w:space="0" w:color="auto"/>
              <w:right w:val="single" w:sz="18" w:space="0" w:color="auto"/>
            </w:tcBorders>
            <w:shd w:val="clear" w:color="auto" w:fill="auto"/>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660</w:t>
            </w:r>
          </w:p>
        </w:tc>
        <w:tc>
          <w:tcPr>
            <w:tcW w:w="864" w:type="dxa"/>
            <w:tcBorders>
              <w:top w:val="nil"/>
              <w:left w:val="single" w:sz="18" w:space="0" w:color="auto"/>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9.10%</w:t>
            </w:r>
          </w:p>
        </w:tc>
        <w:tc>
          <w:tcPr>
            <w:tcW w:w="864"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10.10%</w:t>
            </w:r>
          </w:p>
        </w:tc>
        <w:tc>
          <w:tcPr>
            <w:tcW w:w="864"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11.80%</w:t>
            </w:r>
          </w:p>
        </w:tc>
        <w:tc>
          <w:tcPr>
            <w:tcW w:w="864" w:type="dxa"/>
            <w:tcBorders>
              <w:top w:val="nil"/>
              <w:left w:val="nil"/>
              <w:bottom w:val="single" w:sz="8" w:space="0" w:color="auto"/>
              <w:right w:val="single" w:sz="8" w:space="0" w:color="auto"/>
            </w:tcBorders>
            <w:shd w:val="clear" w:color="auto" w:fill="auto"/>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10.80%</w:t>
            </w:r>
          </w:p>
        </w:tc>
        <w:tc>
          <w:tcPr>
            <w:tcW w:w="864" w:type="dxa"/>
            <w:tcBorders>
              <w:top w:val="nil"/>
              <w:left w:val="nil"/>
              <w:bottom w:val="single" w:sz="8" w:space="0" w:color="auto"/>
              <w:right w:val="single" w:sz="8" w:space="0" w:color="auto"/>
            </w:tcBorders>
            <w:shd w:val="clear" w:color="auto" w:fill="auto"/>
            <w:noWrap/>
            <w:vAlign w:val="center"/>
            <w:hideMark/>
          </w:tcPr>
          <w:p w:rsidR="008C3B12" w:rsidRDefault="008C3B12">
            <w:pPr>
              <w:jc w:val="right"/>
              <w:rPr>
                <w:rFonts w:ascii="Calibri" w:hAnsi="Calibri"/>
                <w:color w:val="000000"/>
                <w:sz w:val="20"/>
                <w:szCs w:val="20"/>
              </w:rPr>
            </w:pPr>
            <w:r>
              <w:rPr>
                <w:rFonts w:ascii="Calibri" w:hAnsi="Calibri"/>
                <w:color w:val="000000"/>
                <w:sz w:val="20"/>
                <w:szCs w:val="20"/>
              </w:rPr>
              <w:t>12.50%</w:t>
            </w:r>
          </w:p>
        </w:tc>
        <w:tc>
          <w:tcPr>
            <w:tcW w:w="864" w:type="dxa"/>
            <w:tcBorders>
              <w:top w:val="nil"/>
              <w:left w:val="nil"/>
              <w:bottom w:val="single" w:sz="8" w:space="0" w:color="auto"/>
              <w:right w:val="single" w:sz="8" w:space="0" w:color="auto"/>
            </w:tcBorders>
            <w:shd w:val="clear" w:color="auto" w:fill="auto"/>
            <w:vAlign w:val="center"/>
            <w:hideMark/>
          </w:tcPr>
          <w:p w:rsidR="008C3B12" w:rsidRDefault="008C3B12">
            <w:pPr>
              <w:jc w:val="right"/>
              <w:rPr>
                <w:rFonts w:ascii="Calibri" w:hAnsi="Calibri"/>
                <w:color w:val="000000"/>
                <w:sz w:val="20"/>
                <w:szCs w:val="20"/>
              </w:rPr>
            </w:pPr>
            <w:r>
              <w:rPr>
                <w:rFonts w:ascii="Calibri" w:hAnsi="Calibri" w:cs="Calibri"/>
                <w:color w:val="000000"/>
                <w:sz w:val="20"/>
                <w:szCs w:val="20"/>
              </w:rPr>
              <w:t>13.40%</w:t>
            </w:r>
          </w:p>
        </w:tc>
      </w:tr>
    </w:tbl>
    <w:p w:rsidR="0034386D" w:rsidRPr="00E740F1" w:rsidRDefault="0034386D" w:rsidP="0034386D">
      <w:pPr>
        <w:rPr>
          <w:sz w:val="20"/>
          <w:szCs w:val="20"/>
        </w:rPr>
      </w:pPr>
      <w:r w:rsidRPr="00E740F1">
        <w:rPr>
          <w:sz w:val="20"/>
          <w:szCs w:val="20"/>
        </w:rPr>
        <w:t>*Primarily includes centers in states electing not to report individual activities data.</w:t>
      </w:r>
    </w:p>
    <w:p w:rsidR="005722B3" w:rsidRPr="00D07AC9" w:rsidRDefault="005722B3" w:rsidP="005722B3">
      <w:pPr>
        <w:pStyle w:val="SHeading2"/>
        <w:rPr>
          <w:highlight w:val="yellow"/>
        </w:rPr>
      </w:pPr>
    </w:p>
    <w:p w:rsidR="00990BF6" w:rsidRPr="003F70C0" w:rsidRDefault="00990BF6" w:rsidP="00A50F56">
      <w:pPr>
        <w:pStyle w:val="Heading2"/>
      </w:pPr>
      <w:bookmarkStart w:id="26" w:name="_Toc248907002"/>
      <w:bookmarkStart w:id="27" w:name="_Toc446063952"/>
      <w:r w:rsidRPr="003F70C0">
        <w:t>Staffing</w:t>
      </w:r>
      <w:bookmarkEnd w:id="26"/>
      <w:bookmarkEnd w:id="27"/>
    </w:p>
    <w:p w:rsidR="00990BF6" w:rsidRDefault="00990BF6">
      <w:pPr>
        <w:tabs>
          <w:tab w:val="num" w:pos="720"/>
        </w:tabs>
      </w:pPr>
    </w:p>
    <w:p w:rsidR="003E48BC" w:rsidRPr="000831A2" w:rsidRDefault="003E48BC" w:rsidP="003E48BC">
      <w:r w:rsidRPr="000831A2">
        <w:t xml:space="preserve">This section provides an overview of the </w:t>
      </w:r>
      <w:r>
        <w:t xml:space="preserve">different types and numbers of staff serving </w:t>
      </w:r>
      <w:r w:rsidRPr="000831A2">
        <w:t>21st CCLC programs.</w:t>
      </w:r>
    </w:p>
    <w:p w:rsidR="003E48BC" w:rsidRDefault="003E48BC">
      <w:pPr>
        <w:tabs>
          <w:tab w:val="num" w:pos="720"/>
        </w:tabs>
      </w:pPr>
    </w:p>
    <w:p w:rsidR="001A2B37" w:rsidRPr="003F70C0" w:rsidRDefault="001A2B37" w:rsidP="00A50F56">
      <w:pPr>
        <w:pStyle w:val="Heading3"/>
      </w:pPr>
      <w:bookmarkStart w:id="28" w:name="_Toc248907003"/>
      <w:bookmarkStart w:id="29" w:name="_Toc446063953"/>
      <w:r w:rsidRPr="003F70C0">
        <w:t>Types of Employees</w:t>
      </w:r>
      <w:bookmarkEnd w:id="28"/>
      <w:bookmarkEnd w:id="29"/>
    </w:p>
    <w:p w:rsidR="00076E18" w:rsidRPr="003F70C0" w:rsidRDefault="00076E18" w:rsidP="00205EBC">
      <w:pPr>
        <w:pStyle w:val="SHeading3"/>
      </w:pPr>
    </w:p>
    <w:p w:rsidR="00BD0A40" w:rsidRPr="003F70C0" w:rsidRDefault="00512788">
      <w:r w:rsidRPr="003F70C0">
        <w:t xml:space="preserve">Staff for 21st </w:t>
      </w:r>
      <w:r w:rsidR="00953AC0" w:rsidRPr="003F70C0">
        <w:t>CCLC programs come</w:t>
      </w:r>
      <w:r w:rsidR="00236A90">
        <w:t>s</w:t>
      </w:r>
      <w:r w:rsidR="00953AC0" w:rsidRPr="003F70C0">
        <w:t xml:space="preserve"> from many sources including teachers, parents, and loca</w:t>
      </w:r>
      <w:r w:rsidRPr="003F70C0">
        <w:t xml:space="preserve">l college students. </w:t>
      </w:r>
      <w:r w:rsidR="00953AC0" w:rsidRPr="003F70C0">
        <w:t>Some are paid, while others serve as volunteers.</w:t>
      </w:r>
      <w:r w:rsidRPr="003F70C0">
        <w:t xml:space="preserve"> </w:t>
      </w:r>
      <w:r w:rsidR="00874B71" w:rsidRPr="003F70C0">
        <w:t xml:space="preserve">As shown in </w:t>
      </w:r>
      <w:r w:rsidR="00883143" w:rsidRPr="003F70C0">
        <w:t xml:space="preserve">Table </w:t>
      </w:r>
      <w:r w:rsidR="00B8721C">
        <w:t>8</w:t>
      </w:r>
      <w:r w:rsidR="00874B71" w:rsidRPr="003F70C0">
        <w:t xml:space="preserve">, </w:t>
      </w:r>
      <w:r w:rsidR="00F57632" w:rsidRPr="003F70C0">
        <w:t>for the 20</w:t>
      </w:r>
      <w:r w:rsidR="00076E18" w:rsidRPr="003F70C0">
        <w:t>1</w:t>
      </w:r>
      <w:r w:rsidR="003F70C0" w:rsidRPr="003F70C0">
        <w:t>2</w:t>
      </w:r>
      <w:r w:rsidR="00D248C1" w:rsidRPr="003F70C0">
        <w:noBreakHyphen/>
      </w:r>
      <w:r w:rsidR="00E90690" w:rsidRPr="003F70C0">
        <w:t>1</w:t>
      </w:r>
      <w:r w:rsidR="003F70C0" w:rsidRPr="003F70C0">
        <w:t>3</w:t>
      </w:r>
      <w:r w:rsidR="00F57632" w:rsidRPr="003F70C0">
        <w:t xml:space="preserve"> school year, </w:t>
      </w:r>
      <w:r w:rsidR="00874B71" w:rsidRPr="003F70C0">
        <w:t>school-day te</w:t>
      </w:r>
      <w:r w:rsidR="00F57632" w:rsidRPr="003F70C0">
        <w:t>achers account for the largest perc</w:t>
      </w:r>
      <w:r w:rsidRPr="003F70C0">
        <w:t xml:space="preserve">entage of paid staff at </w:t>
      </w:r>
      <w:r w:rsidR="000158A8" w:rsidRPr="003F70C0">
        <w:t>4</w:t>
      </w:r>
      <w:r w:rsidR="003F70C0" w:rsidRPr="003F70C0">
        <w:t>4</w:t>
      </w:r>
      <w:r w:rsidRPr="003F70C0">
        <w:t xml:space="preserve"> percent. </w:t>
      </w:r>
      <w:r w:rsidR="00F57632" w:rsidRPr="003F70C0">
        <w:t>Non-teaching school staff account fo</w:t>
      </w:r>
      <w:r w:rsidRPr="003F70C0">
        <w:t xml:space="preserve">r the second largest at approximately </w:t>
      </w:r>
      <w:r w:rsidR="000158A8" w:rsidRPr="003F70C0">
        <w:t>1</w:t>
      </w:r>
      <w:r w:rsidR="009463C0" w:rsidRPr="003F70C0">
        <w:t>3</w:t>
      </w:r>
      <w:r w:rsidRPr="003F70C0">
        <w:t xml:space="preserve"> percent. </w:t>
      </w:r>
      <w:r w:rsidR="00F57632" w:rsidRPr="003F70C0">
        <w:t>As for volunteer staff, college students account for</w:t>
      </w:r>
      <w:r w:rsidRPr="003F70C0">
        <w:t xml:space="preserve"> the largest percentage at </w:t>
      </w:r>
      <w:r w:rsidR="00076E18" w:rsidRPr="003F70C0">
        <w:t>2</w:t>
      </w:r>
      <w:r w:rsidR="003F70C0" w:rsidRPr="003F70C0">
        <w:t>7</w:t>
      </w:r>
      <w:r w:rsidRPr="003F70C0">
        <w:t xml:space="preserve"> percent with </w:t>
      </w:r>
      <w:r w:rsidR="00CE6863" w:rsidRPr="003F70C0">
        <w:t xml:space="preserve">community members </w:t>
      </w:r>
      <w:r w:rsidRPr="003F70C0">
        <w:t xml:space="preserve">second at </w:t>
      </w:r>
      <w:r w:rsidR="000158A8" w:rsidRPr="003F70C0">
        <w:t>1</w:t>
      </w:r>
      <w:r w:rsidR="009463C0" w:rsidRPr="003F70C0">
        <w:t>8</w:t>
      </w:r>
      <w:r w:rsidRPr="003F70C0">
        <w:t xml:space="preserve"> percent. </w:t>
      </w:r>
    </w:p>
    <w:p w:rsidR="0014423B" w:rsidRPr="00D07AC9" w:rsidRDefault="0014423B">
      <w:pPr>
        <w:rPr>
          <w:highlight w:val="yellow"/>
        </w:rPr>
      </w:pPr>
    </w:p>
    <w:p w:rsidR="00BD0A40" w:rsidRPr="003F70C0" w:rsidRDefault="00BD0A40" w:rsidP="00512788">
      <w:pPr>
        <w:pStyle w:val="Caption"/>
        <w:spacing w:after="120"/>
      </w:pPr>
      <w:bookmarkStart w:id="30" w:name="_Ref248833555"/>
      <w:proofErr w:type="gramStart"/>
      <w:r w:rsidRPr="003F70C0">
        <w:t xml:space="preserve">Table </w:t>
      </w:r>
      <w:bookmarkEnd w:id="30"/>
      <w:r w:rsidR="00F217BF">
        <w:t>8</w:t>
      </w:r>
      <w:r w:rsidR="00CD7BCE" w:rsidRPr="003F70C0">
        <w:t>.</w:t>
      </w:r>
      <w:proofErr w:type="gramEnd"/>
      <w:r w:rsidRPr="003F70C0">
        <w:t xml:space="preserve"> </w:t>
      </w:r>
      <w:r w:rsidR="0098475B" w:rsidRPr="003F70C0">
        <w:t>20</w:t>
      </w:r>
      <w:r w:rsidR="00D5659D" w:rsidRPr="003F70C0">
        <w:t>1</w:t>
      </w:r>
      <w:r w:rsidR="00CC6AC2" w:rsidRPr="003F70C0">
        <w:t>2</w:t>
      </w:r>
      <w:r w:rsidR="005F29DC" w:rsidRPr="003F70C0">
        <w:t>-</w:t>
      </w:r>
      <w:r w:rsidR="00E90690" w:rsidRPr="003F70C0">
        <w:t>1</w:t>
      </w:r>
      <w:r w:rsidR="00CC6AC2" w:rsidRPr="003F70C0">
        <w:t>3</w:t>
      </w:r>
      <w:r w:rsidR="0098475B" w:rsidRPr="003F70C0">
        <w:t xml:space="preserve"> </w:t>
      </w:r>
      <w:r w:rsidRPr="003F70C0">
        <w:t>Staffing</w:t>
      </w:r>
      <w:r w:rsidR="001A2B37" w:rsidRPr="003F70C0">
        <w:t xml:space="preserve"> Types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8"/>
        <w:gridCol w:w="1036"/>
        <w:gridCol w:w="1170"/>
        <w:gridCol w:w="1131"/>
        <w:gridCol w:w="1151"/>
      </w:tblGrid>
      <w:tr w:rsidR="00E90690" w:rsidRPr="00D07AC9" w:rsidTr="005927B0">
        <w:trPr>
          <w:trHeight w:val="738"/>
          <w:jc w:val="center"/>
        </w:trPr>
        <w:tc>
          <w:tcPr>
            <w:tcW w:w="4868" w:type="dxa"/>
            <w:shd w:val="pct25" w:color="auto" w:fill="auto"/>
            <w:vAlign w:val="bottom"/>
          </w:tcPr>
          <w:p w:rsidR="00E90690" w:rsidRPr="00237D71" w:rsidRDefault="00E90690" w:rsidP="001215F1">
            <w:pPr>
              <w:rPr>
                <w:rFonts w:ascii="Calibri" w:hAnsi="Calibri" w:cs="Arial"/>
                <w:b/>
                <w:bCs/>
                <w:sz w:val="22"/>
                <w:szCs w:val="22"/>
              </w:rPr>
            </w:pPr>
            <w:r w:rsidRPr="00237D71">
              <w:rPr>
                <w:rFonts w:ascii="Calibri" w:hAnsi="Calibri" w:cs="Arial"/>
                <w:b/>
                <w:bCs/>
                <w:sz w:val="22"/>
                <w:szCs w:val="22"/>
              </w:rPr>
              <w:lastRenderedPageBreak/>
              <w:t>Staff Type</w:t>
            </w:r>
          </w:p>
        </w:tc>
        <w:tc>
          <w:tcPr>
            <w:tcW w:w="1036" w:type="dxa"/>
            <w:shd w:val="pct25" w:color="auto" w:fill="auto"/>
            <w:vAlign w:val="bottom"/>
          </w:tcPr>
          <w:p w:rsidR="00E90690" w:rsidRPr="00237D71" w:rsidRDefault="00E90690" w:rsidP="001215F1">
            <w:pPr>
              <w:jc w:val="center"/>
              <w:rPr>
                <w:rFonts w:ascii="Calibri" w:hAnsi="Calibri" w:cs="Arial"/>
                <w:b/>
                <w:bCs/>
                <w:sz w:val="22"/>
                <w:szCs w:val="22"/>
              </w:rPr>
            </w:pPr>
            <w:r w:rsidRPr="00237D71">
              <w:rPr>
                <w:rFonts w:ascii="Calibri" w:hAnsi="Calibri" w:cs="Arial"/>
                <w:b/>
                <w:bCs/>
                <w:sz w:val="22"/>
                <w:szCs w:val="22"/>
              </w:rPr>
              <w:t>Paid Staff</w:t>
            </w:r>
          </w:p>
        </w:tc>
        <w:tc>
          <w:tcPr>
            <w:tcW w:w="1170" w:type="dxa"/>
            <w:shd w:val="pct25" w:color="auto" w:fill="auto"/>
            <w:vAlign w:val="bottom"/>
          </w:tcPr>
          <w:p w:rsidR="00E90690" w:rsidRPr="00237D71" w:rsidRDefault="00E90690" w:rsidP="001215F1">
            <w:pPr>
              <w:jc w:val="center"/>
              <w:rPr>
                <w:rFonts w:ascii="Calibri" w:hAnsi="Calibri" w:cs="Arial"/>
                <w:b/>
                <w:bCs/>
                <w:sz w:val="22"/>
                <w:szCs w:val="22"/>
              </w:rPr>
            </w:pPr>
            <w:r w:rsidRPr="00237D71">
              <w:rPr>
                <w:rFonts w:ascii="Calibri" w:hAnsi="Calibri" w:cs="Arial"/>
                <w:b/>
                <w:bCs/>
                <w:sz w:val="22"/>
                <w:szCs w:val="22"/>
              </w:rPr>
              <w:t>Percent Paid Staff</w:t>
            </w:r>
          </w:p>
        </w:tc>
        <w:tc>
          <w:tcPr>
            <w:tcW w:w="1131" w:type="dxa"/>
            <w:shd w:val="pct25" w:color="auto" w:fill="auto"/>
            <w:vAlign w:val="bottom"/>
          </w:tcPr>
          <w:p w:rsidR="00E90690" w:rsidRPr="00237D71" w:rsidRDefault="00E90690" w:rsidP="001215F1">
            <w:pPr>
              <w:jc w:val="center"/>
              <w:rPr>
                <w:rFonts w:ascii="Calibri" w:hAnsi="Calibri" w:cs="Arial"/>
                <w:b/>
                <w:bCs/>
                <w:sz w:val="22"/>
                <w:szCs w:val="22"/>
              </w:rPr>
            </w:pPr>
            <w:r w:rsidRPr="00237D71">
              <w:rPr>
                <w:rFonts w:ascii="Calibri" w:hAnsi="Calibri" w:cs="Arial"/>
                <w:b/>
                <w:bCs/>
                <w:sz w:val="22"/>
                <w:szCs w:val="22"/>
              </w:rPr>
              <w:t>Volunteer Staff</w:t>
            </w:r>
          </w:p>
        </w:tc>
        <w:tc>
          <w:tcPr>
            <w:tcW w:w="1151" w:type="dxa"/>
            <w:shd w:val="pct25" w:color="auto" w:fill="auto"/>
            <w:vAlign w:val="bottom"/>
          </w:tcPr>
          <w:p w:rsidR="00E90690" w:rsidRPr="00237D71" w:rsidRDefault="00E90690" w:rsidP="001215F1">
            <w:pPr>
              <w:jc w:val="center"/>
              <w:rPr>
                <w:rFonts w:ascii="Calibri" w:hAnsi="Calibri" w:cs="Arial"/>
                <w:b/>
                <w:bCs/>
                <w:sz w:val="22"/>
                <w:szCs w:val="22"/>
              </w:rPr>
            </w:pPr>
            <w:r w:rsidRPr="00237D71">
              <w:rPr>
                <w:rFonts w:ascii="Calibri" w:hAnsi="Calibri" w:cs="Arial"/>
                <w:b/>
                <w:bCs/>
                <w:sz w:val="22"/>
                <w:szCs w:val="22"/>
              </w:rPr>
              <w:t>Percent Volunteer Staff</w:t>
            </w:r>
          </w:p>
        </w:tc>
      </w:tr>
      <w:tr w:rsidR="00237D71" w:rsidRPr="00D07AC9" w:rsidTr="005927B0">
        <w:trPr>
          <w:trHeight w:val="255"/>
          <w:jc w:val="center"/>
        </w:trPr>
        <w:tc>
          <w:tcPr>
            <w:tcW w:w="4868" w:type="dxa"/>
            <w:shd w:val="clear" w:color="auto" w:fill="auto"/>
            <w:noWrap/>
            <w:vAlign w:val="bottom"/>
          </w:tcPr>
          <w:p w:rsidR="00237D71" w:rsidRPr="00237D71" w:rsidRDefault="00237D71" w:rsidP="00237D71">
            <w:pPr>
              <w:rPr>
                <w:rFonts w:ascii="Calibri" w:hAnsi="Calibri" w:cs="Arial"/>
                <w:sz w:val="22"/>
                <w:szCs w:val="22"/>
              </w:rPr>
            </w:pPr>
            <w:r w:rsidRPr="00237D71">
              <w:rPr>
                <w:rFonts w:ascii="Calibri" w:hAnsi="Calibri" w:cs="Arial"/>
                <w:sz w:val="22"/>
                <w:szCs w:val="22"/>
              </w:rPr>
              <w:t>School-day teachers</w:t>
            </w:r>
          </w:p>
        </w:tc>
        <w:tc>
          <w:tcPr>
            <w:tcW w:w="1036"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56,343</w:t>
            </w:r>
          </w:p>
        </w:tc>
        <w:tc>
          <w:tcPr>
            <w:tcW w:w="1170"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44%</w:t>
            </w:r>
          </w:p>
        </w:tc>
        <w:tc>
          <w:tcPr>
            <w:tcW w:w="1131"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2,487</w:t>
            </w:r>
          </w:p>
        </w:tc>
        <w:tc>
          <w:tcPr>
            <w:tcW w:w="1151"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7%</w:t>
            </w:r>
          </w:p>
        </w:tc>
      </w:tr>
      <w:tr w:rsidR="00237D71" w:rsidRPr="00D07AC9" w:rsidTr="005927B0">
        <w:trPr>
          <w:trHeight w:val="255"/>
          <w:jc w:val="center"/>
        </w:trPr>
        <w:tc>
          <w:tcPr>
            <w:tcW w:w="4868" w:type="dxa"/>
            <w:shd w:val="clear" w:color="auto" w:fill="auto"/>
            <w:noWrap/>
            <w:vAlign w:val="bottom"/>
          </w:tcPr>
          <w:p w:rsidR="00237D71" w:rsidRPr="00237D71" w:rsidRDefault="00237D71" w:rsidP="00237D71">
            <w:pPr>
              <w:rPr>
                <w:rFonts w:ascii="Calibri" w:hAnsi="Calibri" w:cs="Arial"/>
                <w:sz w:val="22"/>
                <w:szCs w:val="22"/>
              </w:rPr>
            </w:pPr>
            <w:r w:rsidRPr="00237D71">
              <w:rPr>
                <w:rFonts w:ascii="Calibri" w:hAnsi="Calibri" w:cs="Arial"/>
                <w:sz w:val="22"/>
                <w:szCs w:val="22"/>
              </w:rPr>
              <w:t>College students</w:t>
            </w:r>
          </w:p>
        </w:tc>
        <w:tc>
          <w:tcPr>
            <w:tcW w:w="1036"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9,978</w:t>
            </w:r>
          </w:p>
        </w:tc>
        <w:tc>
          <w:tcPr>
            <w:tcW w:w="1170"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8%</w:t>
            </w:r>
          </w:p>
        </w:tc>
        <w:tc>
          <w:tcPr>
            <w:tcW w:w="1131"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9,476</w:t>
            </w:r>
          </w:p>
        </w:tc>
        <w:tc>
          <w:tcPr>
            <w:tcW w:w="1151"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27%</w:t>
            </w:r>
          </w:p>
        </w:tc>
      </w:tr>
      <w:tr w:rsidR="00237D71" w:rsidRPr="00D07AC9" w:rsidTr="005927B0">
        <w:trPr>
          <w:trHeight w:val="255"/>
          <w:jc w:val="center"/>
        </w:trPr>
        <w:tc>
          <w:tcPr>
            <w:tcW w:w="4868" w:type="dxa"/>
            <w:shd w:val="clear" w:color="auto" w:fill="auto"/>
            <w:noWrap/>
            <w:vAlign w:val="bottom"/>
          </w:tcPr>
          <w:p w:rsidR="00237D71" w:rsidRPr="00237D71" w:rsidRDefault="00237D71" w:rsidP="00237D71">
            <w:pPr>
              <w:rPr>
                <w:rFonts w:ascii="Calibri" w:hAnsi="Calibri" w:cs="Arial"/>
                <w:sz w:val="22"/>
                <w:szCs w:val="22"/>
              </w:rPr>
            </w:pPr>
            <w:r w:rsidRPr="00237D71">
              <w:rPr>
                <w:rFonts w:ascii="Calibri" w:hAnsi="Calibri" w:cs="Arial"/>
                <w:sz w:val="22"/>
                <w:szCs w:val="22"/>
              </w:rPr>
              <w:t>High school students</w:t>
            </w:r>
          </w:p>
        </w:tc>
        <w:tc>
          <w:tcPr>
            <w:tcW w:w="1036"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4,459</w:t>
            </w:r>
          </w:p>
        </w:tc>
        <w:tc>
          <w:tcPr>
            <w:tcW w:w="1170"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w:t>
            </w:r>
          </w:p>
        </w:tc>
        <w:tc>
          <w:tcPr>
            <w:tcW w:w="1131"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6,042</w:t>
            </w:r>
          </w:p>
        </w:tc>
        <w:tc>
          <w:tcPr>
            <w:tcW w:w="1151"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17%</w:t>
            </w:r>
          </w:p>
        </w:tc>
      </w:tr>
      <w:tr w:rsidR="00237D71" w:rsidRPr="00D07AC9" w:rsidTr="005927B0">
        <w:trPr>
          <w:trHeight w:val="255"/>
          <w:jc w:val="center"/>
        </w:trPr>
        <w:tc>
          <w:tcPr>
            <w:tcW w:w="4868" w:type="dxa"/>
            <w:shd w:val="clear" w:color="auto" w:fill="auto"/>
            <w:noWrap/>
            <w:vAlign w:val="bottom"/>
          </w:tcPr>
          <w:p w:rsidR="00237D71" w:rsidRPr="00237D71" w:rsidRDefault="00237D71" w:rsidP="00237D71">
            <w:pPr>
              <w:rPr>
                <w:rFonts w:ascii="Calibri" w:hAnsi="Calibri" w:cs="Arial"/>
                <w:sz w:val="22"/>
                <w:szCs w:val="22"/>
              </w:rPr>
            </w:pPr>
            <w:r w:rsidRPr="00237D71">
              <w:rPr>
                <w:rFonts w:ascii="Calibri" w:hAnsi="Calibri" w:cs="Arial"/>
                <w:sz w:val="22"/>
                <w:szCs w:val="22"/>
              </w:rPr>
              <w:t>Parents</w:t>
            </w:r>
          </w:p>
        </w:tc>
        <w:tc>
          <w:tcPr>
            <w:tcW w:w="1036"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1,182</w:t>
            </w:r>
          </w:p>
        </w:tc>
        <w:tc>
          <w:tcPr>
            <w:tcW w:w="1170"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w:t>
            </w:r>
          </w:p>
        </w:tc>
        <w:tc>
          <w:tcPr>
            <w:tcW w:w="1131"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5,041</w:t>
            </w:r>
          </w:p>
        </w:tc>
        <w:tc>
          <w:tcPr>
            <w:tcW w:w="1151"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14%</w:t>
            </w:r>
          </w:p>
        </w:tc>
      </w:tr>
      <w:tr w:rsidR="00237D71" w:rsidRPr="00D07AC9" w:rsidTr="005927B0">
        <w:trPr>
          <w:trHeight w:val="255"/>
          <w:jc w:val="center"/>
        </w:trPr>
        <w:tc>
          <w:tcPr>
            <w:tcW w:w="4868" w:type="dxa"/>
            <w:shd w:val="clear" w:color="auto" w:fill="auto"/>
            <w:noWrap/>
            <w:vAlign w:val="bottom"/>
          </w:tcPr>
          <w:p w:rsidR="00237D71" w:rsidRPr="00237D71" w:rsidRDefault="00237D71" w:rsidP="00237D71">
            <w:pPr>
              <w:rPr>
                <w:rFonts w:ascii="Calibri" w:hAnsi="Calibri" w:cs="Arial"/>
                <w:sz w:val="22"/>
                <w:szCs w:val="22"/>
              </w:rPr>
            </w:pPr>
            <w:r w:rsidRPr="00237D71">
              <w:rPr>
                <w:rFonts w:ascii="Calibri" w:hAnsi="Calibri" w:cs="Arial"/>
                <w:sz w:val="22"/>
                <w:szCs w:val="22"/>
              </w:rPr>
              <w:t>Youth development workers</w:t>
            </w:r>
          </w:p>
        </w:tc>
        <w:tc>
          <w:tcPr>
            <w:tcW w:w="1036"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13,014</w:t>
            </w:r>
          </w:p>
        </w:tc>
        <w:tc>
          <w:tcPr>
            <w:tcW w:w="1170"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w:t>
            </w:r>
          </w:p>
        </w:tc>
        <w:tc>
          <w:tcPr>
            <w:tcW w:w="1131"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2,455</w:t>
            </w:r>
          </w:p>
        </w:tc>
        <w:tc>
          <w:tcPr>
            <w:tcW w:w="1151"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7%</w:t>
            </w:r>
          </w:p>
        </w:tc>
      </w:tr>
      <w:tr w:rsidR="00237D71" w:rsidRPr="00D07AC9" w:rsidTr="005927B0">
        <w:trPr>
          <w:trHeight w:val="255"/>
          <w:jc w:val="center"/>
        </w:trPr>
        <w:tc>
          <w:tcPr>
            <w:tcW w:w="4868" w:type="dxa"/>
            <w:shd w:val="clear" w:color="auto" w:fill="auto"/>
            <w:noWrap/>
            <w:vAlign w:val="bottom"/>
          </w:tcPr>
          <w:p w:rsidR="00237D71" w:rsidRPr="00237D71" w:rsidRDefault="00237D71" w:rsidP="00237D71">
            <w:pPr>
              <w:rPr>
                <w:rFonts w:ascii="Calibri" w:hAnsi="Calibri" w:cs="Arial"/>
                <w:sz w:val="22"/>
                <w:szCs w:val="22"/>
              </w:rPr>
            </w:pPr>
            <w:r w:rsidRPr="00237D71">
              <w:rPr>
                <w:rFonts w:ascii="Calibri" w:hAnsi="Calibri" w:cs="Arial"/>
                <w:sz w:val="22"/>
                <w:szCs w:val="22"/>
              </w:rPr>
              <w:t>Other community members</w:t>
            </w:r>
          </w:p>
        </w:tc>
        <w:tc>
          <w:tcPr>
            <w:tcW w:w="1036"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3,319</w:t>
            </w:r>
          </w:p>
        </w:tc>
        <w:tc>
          <w:tcPr>
            <w:tcW w:w="1170"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w:t>
            </w:r>
          </w:p>
        </w:tc>
        <w:tc>
          <w:tcPr>
            <w:tcW w:w="1131"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6,299</w:t>
            </w:r>
          </w:p>
        </w:tc>
        <w:tc>
          <w:tcPr>
            <w:tcW w:w="1151"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18%</w:t>
            </w:r>
          </w:p>
        </w:tc>
      </w:tr>
      <w:tr w:rsidR="00237D71" w:rsidRPr="00D07AC9" w:rsidTr="005927B0">
        <w:trPr>
          <w:trHeight w:val="255"/>
          <w:jc w:val="center"/>
        </w:trPr>
        <w:tc>
          <w:tcPr>
            <w:tcW w:w="4868" w:type="dxa"/>
            <w:shd w:val="clear" w:color="auto" w:fill="auto"/>
            <w:noWrap/>
            <w:vAlign w:val="bottom"/>
          </w:tcPr>
          <w:p w:rsidR="00237D71" w:rsidRPr="00237D71" w:rsidRDefault="00237D71" w:rsidP="00237D71">
            <w:pPr>
              <w:rPr>
                <w:rFonts w:ascii="Calibri" w:hAnsi="Calibri" w:cs="Arial"/>
                <w:sz w:val="22"/>
                <w:szCs w:val="22"/>
              </w:rPr>
            </w:pPr>
            <w:r w:rsidRPr="00237D71">
              <w:rPr>
                <w:rFonts w:ascii="Calibri" w:hAnsi="Calibri" w:cs="Arial"/>
                <w:sz w:val="22"/>
                <w:szCs w:val="22"/>
              </w:rPr>
              <w:t>Other non-teaching school staff</w:t>
            </w:r>
          </w:p>
        </w:tc>
        <w:tc>
          <w:tcPr>
            <w:tcW w:w="1036"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16,643</w:t>
            </w:r>
          </w:p>
        </w:tc>
        <w:tc>
          <w:tcPr>
            <w:tcW w:w="1170"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13%</w:t>
            </w:r>
          </w:p>
        </w:tc>
        <w:tc>
          <w:tcPr>
            <w:tcW w:w="1131"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1,290</w:t>
            </w:r>
          </w:p>
        </w:tc>
        <w:tc>
          <w:tcPr>
            <w:tcW w:w="1151"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w:t>
            </w:r>
          </w:p>
        </w:tc>
      </w:tr>
      <w:tr w:rsidR="00237D71" w:rsidRPr="00D07AC9" w:rsidTr="005927B0">
        <w:trPr>
          <w:trHeight w:val="255"/>
          <w:jc w:val="center"/>
        </w:trPr>
        <w:tc>
          <w:tcPr>
            <w:tcW w:w="4868" w:type="dxa"/>
            <w:shd w:val="clear" w:color="auto" w:fill="auto"/>
            <w:noWrap/>
            <w:vAlign w:val="bottom"/>
          </w:tcPr>
          <w:p w:rsidR="00237D71" w:rsidRPr="00237D71" w:rsidRDefault="00237D71" w:rsidP="00237D71">
            <w:pPr>
              <w:rPr>
                <w:rFonts w:ascii="Calibri" w:hAnsi="Calibri" w:cs="Arial"/>
                <w:sz w:val="22"/>
                <w:szCs w:val="22"/>
              </w:rPr>
            </w:pPr>
            <w:r w:rsidRPr="00237D71">
              <w:rPr>
                <w:rFonts w:ascii="Calibri" w:hAnsi="Calibri" w:cs="Arial"/>
                <w:sz w:val="22"/>
                <w:szCs w:val="22"/>
              </w:rPr>
              <w:t>Center administrators and coordinators</w:t>
            </w:r>
          </w:p>
        </w:tc>
        <w:tc>
          <w:tcPr>
            <w:tcW w:w="1036"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10,996</w:t>
            </w:r>
          </w:p>
        </w:tc>
        <w:tc>
          <w:tcPr>
            <w:tcW w:w="1170"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9%</w:t>
            </w:r>
          </w:p>
        </w:tc>
        <w:tc>
          <w:tcPr>
            <w:tcW w:w="1131"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403</w:t>
            </w:r>
          </w:p>
        </w:tc>
        <w:tc>
          <w:tcPr>
            <w:tcW w:w="1151"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w:t>
            </w:r>
          </w:p>
        </w:tc>
      </w:tr>
      <w:tr w:rsidR="00237D71" w:rsidRPr="00D07AC9" w:rsidTr="005927B0">
        <w:trPr>
          <w:trHeight w:val="255"/>
          <w:jc w:val="center"/>
        </w:trPr>
        <w:tc>
          <w:tcPr>
            <w:tcW w:w="4868" w:type="dxa"/>
            <w:shd w:val="clear" w:color="auto" w:fill="auto"/>
            <w:noWrap/>
            <w:vAlign w:val="bottom"/>
          </w:tcPr>
          <w:p w:rsidR="00237D71" w:rsidRPr="00237D71" w:rsidRDefault="00237D71" w:rsidP="00237D71">
            <w:pPr>
              <w:rPr>
                <w:rFonts w:ascii="Calibri" w:hAnsi="Calibri" w:cs="Arial"/>
                <w:sz w:val="22"/>
                <w:szCs w:val="22"/>
              </w:rPr>
            </w:pPr>
            <w:r w:rsidRPr="00237D71">
              <w:rPr>
                <w:rFonts w:ascii="Calibri" w:hAnsi="Calibri" w:cs="Arial"/>
                <w:sz w:val="22"/>
                <w:szCs w:val="22"/>
              </w:rPr>
              <w:t xml:space="preserve">Other </w:t>
            </w:r>
            <w:proofErr w:type="spellStart"/>
            <w:r w:rsidRPr="00237D71">
              <w:rPr>
                <w:rFonts w:ascii="Calibri" w:hAnsi="Calibri" w:cs="Arial"/>
                <w:sz w:val="22"/>
                <w:szCs w:val="22"/>
              </w:rPr>
              <w:t>nonschool</w:t>
            </w:r>
            <w:proofErr w:type="spellEnd"/>
            <w:r w:rsidRPr="00237D71">
              <w:rPr>
                <w:rFonts w:ascii="Calibri" w:hAnsi="Calibri" w:cs="Arial"/>
                <w:sz w:val="22"/>
                <w:szCs w:val="22"/>
              </w:rPr>
              <w:t>-day staff with some or no college</w:t>
            </w:r>
          </w:p>
        </w:tc>
        <w:tc>
          <w:tcPr>
            <w:tcW w:w="1036"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9,010</w:t>
            </w:r>
          </w:p>
        </w:tc>
        <w:tc>
          <w:tcPr>
            <w:tcW w:w="1170"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7%</w:t>
            </w:r>
          </w:p>
        </w:tc>
        <w:tc>
          <w:tcPr>
            <w:tcW w:w="1131"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757</w:t>
            </w:r>
          </w:p>
        </w:tc>
        <w:tc>
          <w:tcPr>
            <w:tcW w:w="1151"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w:t>
            </w:r>
          </w:p>
        </w:tc>
      </w:tr>
      <w:tr w:rsidR="00237D71" w:rsidRPr="00D07AC9" w:rsidTr="005927B0">
        <w:trPr>
          <w:trHeight w:val="255"/>
          <w:jc w:val="center"/>
        </w:trPr>
        <w:tc>
          <w:tcPr>
            <w:tcW w:w="4868" w:type="dxa"/>
            <w:shd w:val="clear" w:color="auto" w:fill="auto"/>
            <w:noWrap/>
            <w:vAlign w:val="bottom"/>
          </w:tcPr>
          <w:p w:rsidR="00237D71" w:rsidRPr="00237D71" w:rsidRDefault="00237D71" w:rsidP="00237D71">
            <w:pPr>
              <w:rPr>
                <w:rFonts w:ascii="Calibri" w:hAnsi="Calibri" w:cs="Arial"/>
                <w:sz w:val="22"/>
                <w:szCs w:val="22"/>
              </w:rPr>
            </w:pPr>
            <w:r w:rsidRPr="00237D71">
              <w:rPr>
                <w:rFonts w:ascii="Calibri" w:hAnsi="Calibri" w:cs="Arial"/>
                <w:sz w:val="22"/>
                <w:szCs w:val="22"/>
              </w:rPr>
              <w:t>Other</w:t>
            </w:r>
          </w:p>
        </w:tc>
        <w:tc>
          <w:tcPr>
            <w:tcW w:w="1036"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3,328</w:t>
            </w:r>
          </w:p>
        </w:tc>
        <w:tc>
          <w:tcPr>
            <w:tcW w:w="1170"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w:t>
            </w:r>
          </w:p>
        </w:tc>
        <w:tc>
          <w:tcPr>
            <w:tcW w:w="1131"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694</w:t>
            </w:r>
          </w:p>
        </w:tc>
        <w:tc>
          <w:tcPr>
            <w:tcW w:w="1151"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2%</w:t>
            </w:r>
          </w:p>
        </w:tc>
      </w:tr>
      <w:tr w:rsidR="00237D71" w:rsidRPr="00D07AC9" w:rsidTr="005927B0">
        <w:trPr>
          <w:trHeight w:val="255"/>
          <w:jc w:val="center"/>
        </w:trPr>
        <w:tc>
          <w:tcPr>
            <w:tcW w:w="4868" w:type="dxa"/>
            <w:shd w:val="clear" w:color="auto" w:fill="auto"/>
            <w:noWrap/>
            <w:vAlign w:val="bottom"/>
          </w:tcPr>
          <w:p w:rsidR="00237D71" w:rsidRPr="00237D71" w:rsidRDefault="00237D71" w:rsidP="00237D71">
            <w:pPr>
              <w:rPr>
                <w:rFonts w:ascii="Calibri" w:hAnsi="Calibri" w:cs="Arial"/>
                <w:b/>
                <w:sz w:val="22"/>
                <w:szCs w:val="22"/>
              </w:rPr>
            </w:pPr>
            <w:r w:rsidRPr="00237D71">
              <w:rPr>
                <w:rFonts w:ascii="Calibri" w:hAnsi="Calibri" w:cs="Arial"/>
                <w:b/>
                <w:sz w:val="22"/>
                <w:szCs w:val="22"/>
              </w:rPr>
              <w:t>Total</w:t>
            </w:r>
          </w:p>
        </w:tc>
        <w:tc>
          <w:tcPr>
            <w:tcW w:w="1036"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128,272</w:t>
            </w:r>
          </w:p>
        </w:tc>
        <w:tc>
          <w:tcPr>
            <w:tcW w:w="1170"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w:t>
            </w:r>
          </w:p>
        </w:tc>
        <w:tc>
          <w:tcPr>
            <w:tcW w:w="1131"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34,944</w:t>
            </w:r>
          </w:p>
        </w:tc>
        <w:tc>
          <w:tcPr>
            <w:tcW w:w="1151" w:type="dxa"/>
            <w:shd w:val="clear" w:color="auto" w:fill="auto"/>
            <w:noWrap/>
          </w:tcPr>
          <w:p w:rsidR="00237D71" w:rsidRPr="00237D71" w:rsidRDefault="00237D71" w:rsidP="00404EA3">
            <w:pPr>
              <w:autoSpaceDE w:val="0"/>
              <w:autoSpaceDN w:val="0"/>
              <w:adjustRightInd w:val="0"/>
              <w:jc w:val="right"/>
              <w:rPr>
                <w:rFonts w:ascii="Calibri" w:hAnsi="Calibri" w:cs="Calibri"/>
                <w:color w:val="000000"/>
                <w:sz w:val="22"/>
                <w:szCs w:val="22"/>
              </w:rPr>
            </w:pPr>
            <w:r>
              <w:rPr>
                <w:rFonts w:ascii="Calibri" w:hAnsi="Calibri" w:cs="Calibri"/>
                <w:color w:val="000000"/>
                <w:sz w:val="22"/>
                <w:szCs w:val="22"/>
              </w:rPr>
              <w:t>100%</w:t>
            </w:r>
          </w:p>
        </w:tc>
      </w:tr>
    </w:tbl>
    <w:p w:rsidR="00E90690" w:rsidRPr="00D07AC9" w:rsidRDefault="00E90690">
      <w:pPr>
        <w:rPr>
          <w:highlight w:val="yellow"/>
        </w:rPr>
      </w:pPr>
    </w:p>
    <w:p w:rsidR="008B6360" w:rsidRDefault="008B6360" w:rsidP="00731D13">
      <w:pPr>
        <w:pStyle w:val="SHeading3"/>
      </w:pPr>
      <w:bookmarkStart w:id="31" w:name="_Toc248907004"/>
    </w:p>
    <w:p w:rsidR="008B6360" w:rsidRDefault="008B6360" w:rsidP="00731D13">
      <w:pPr>
        <w:pStyle w:val="SHeading3"/>
      </w:pPr>
    </w:p>
    <w:p w:rsidR="001A2B37" w:rsidRPr="003F70C0" w:rsidRDefault="001A2B37" w:rsidP="00A50F56">
      <w:pPr>
        <w:pStyle w:val="Heading3"/>
      </w:pPr>
      <w:bookmarkStart w:id="32" w:name="_Toc446063954"/>
      <w:r w:rsidRPr="003F70C0">
        <w:t>Staffing Clusters</w:t>
      </w:r>
      <w:bookmarkEnd w:id="31"/>
      <w:bookmarkEnd w:id="32"/>
    </w:p>
    <w:p w:rsidR="00883143" w:rsidRPr="003F70C0" w:rsidRDefault="00883143"/>
    <w:p w:rsidR="00990BF6" w:rsidRPr="003F70C0" w:rsidRDefault="00990BF6">
      <w:r w:rsidRPr="003F70C0">
        <w:t xml:space="preserve">Similar to the activities clusters, we classified centers into clusters based on the extent to which they relied on different categories of staff to deliver programming during the </w:t>
      </w:r>
      <w:r w:rsidR="005254C8" w:rsidRPr="003F70C0">
        <w:t>2007</w:t>
      </w:r>
      <w:r w:rsidR="00723B47" w:rsidRPr="003F70C0">
        <w:t>-</w:t>
      </w:r>
      <w:r w:rsidR="005254C8" w:rsidRPr="003F70C0">
        <w:t>08</w:t>
      </w:r>
      <w:r w:rsidR="00CB0920" w:rsidRPr="003F70C0">
        <w:t>, 2008-09</w:t>
      </w:r>
      <w:r w:rsidR="00313E00" w:rsidRPr="003F70C0">
        <w:t>, 2009-10</w:t>
      </w:r>
      <w:r w:rsidR="00076E18" w:rsidRPr="003F70C0">
        <w:t>, 2010-11</w:t>
      </w:r>
      <w:r w:rsidR="00482361" w:rsidRPr="003F70C0">
        <w:t>, 2011-12</w:t>
      </w:r>
      <w:r w:rsidR="003F70C0" w:rsidRPr="003F70C0">
        <w:t>, and 2012-13</w:t>
      </w:r>
      <w:r w:rsidRPr="003F70C0">
        <w:t xml:space="preserve"> school years. </w:t>
      </w:r>
      <w:r w:rsidR="00AD1ADE" w:rsidRPr="003F70C0">
        <w:t>Each of these staff categories are a combination of th</w:t>
      </w:r>
      <w:r w:rsidR="00076E18" w:rsidRPr="003F70C0">
        <w:t xml:space="preserve">e different staff types above. </w:t>
      </w:r>
      <w:r w:rsidRPr="003F70C0">
        <w:t xml:space="preserve">As shown in Figure </w:t>
      </w:r>
      <w:r w:rsidR="0014423B" w:rsidRPr="003F70C0">
        <w:t>3</w:t>
      </w:r>
      <w:r w:rsidRPr="003F70C0">
        <w:t>, five primary staffing models were identified:</w:t>
      </w:r>
    </w:p>
    <w:p w:rsidR="00482361" w:rsidRPr="003F70C0" w:rsidRDefault="00482361" w:rsidP="00515688">
      <w:pPr>
        <w:pStyle w:val="ListParagraph"/>
        <w:rPr>
          <w:rFonts w:asciiTheme="minorHAnsi" w:hAnsiTheme="minorHAnsi"/>
          <w:b/>
          <w:color w:val="000000"/>
          <w:sz w:val="20"/>
          <w:szCs w:val="20"/>
        </w:rPr>
      </w:pPr>
    </w:p>
    <w:p w:rsidR="007A526D" w:rsidRPr="003F70C0" w:rsidRDefault="007A526D" w:rsidP="007A526D">
      <w:pPr>
        <w:pStyle w:val="ListParagraph"/>
        <w:numPr>
          <w:ilvl w:val="0"/>
          <w:numId w:val="8"/>
        </w:numPr>
        <w:rPr>
          <w:color w:val="000000"/>
        </w:rPr>
      </w:pPr>
      <w:r w:rsidRPr="003F70C0">
        <w:t xml:space="preserve">Centers staffed mostly by </w:t>
      </w:r>
      <w:r w:rsidRPr="003F70C0">
        <w:rPr>
          <w:color w:val="000000"/>
        </w:rPr>
        <w:t>school-day teachers</w:t>
      </w:r>
    </w:p>
    <w:p w:rsidR="007A526D" w:rsidRPr="003F70C0" w:rsidRDefault="007A526D" w:rsidP="007A526D">
      <w:pPr>
        <w:pStyle w:val="ListParagraph"/>
        <w:rPr>
          <w:color w:val="000000"/>
        </w:rPr>
      </w:pPr>
    </w:p>
    <w:p w:rsidR="007A526D" w:rsidRPr="003F70C0" w:rsidRDefault="007A526D" w:rsidP="007A526D">
      <w:pPr>
        <w:pStyle w:val="ListParagraph"/>
        <w:numPr>
          <w:ilvl w:val="0"/>
          <w:numId w:val="8"/>
        </w:numPr>
        <w:rPr>
          <w:color w:val="000000"/>
        </w:rPr>
      </w:pPr>
      <w:r w:rsidRPr="003F70C0">
        <w:t xml:space="preserve">Centers staffed mostly by </w:t>
      </w:r>
      <w:r w:rsidRPr="003F70C0">
        <w:rPr>
          <w:color w:val="000000"/>
        </w:rPr>
        <w:t>college students, school-day teachers</w:t>
      </w:r>
    </w:p>
    <w:p w:rsidR="007A526D" w:rsidRPr="003F70C0" w:rsidRDefault="007A526D" w:rsidP="007A526D">
      <w:pPr>
        <w:pStyle w:val="ListParagraph"/>
        <w:rPr>
          <w:color w:val="000000"/>
        </w:rPr>
      </w:pPr>
    </w:p>
    <w:p w:rsidR="007A526D" w:rsidRPr="003F70C0" w:rsidRDefault="007A526D" w:rsidP="007A526D">
      <w:pPr>
        <w:pStyle w:val="ListParagraph"/>
        <w:numPr>
          <w:ilvl w:val="0"/>
          <w:numId w:val="8"/>
        </w:numPr>
        <w:rPr>
          <w:color w:val="000000"/>
        </w:rPr>
      </w:pPr>
      <w:r w:rsidRPr="003F70C0">
        <w:t>Centers staffed mostly by o</w:t>
      </w:r>
      <w:r w:rsidRPr="003F70C0">
        <w:rPr>
          <w:color w:val="000000"/>
        </w:rPr>
        <w:t xml:space="preserve">ther non-school-day </w:t>
      </w:r>
      <w:r w:rsidRPr="002D04C0">
        <w:rPr>
          <w:color w:val="000000"/>
        </w:rPr>
        <w:t>staff with</w:t>
      </w:r>
      <w:r w:rsidR="002D04C0" w:rsidRPr="002D04C0">
        <w:rPr>
          <w:color w:val="000000"/>
        </w:rPr>
        <w:t xml:space="preserve"> some or</w:t>
      </w:r>
      <w:r w:rsidR="002D04C0">
        <w:rPr>
          <w:color w:val="000000"/>
        </w:rPr>
        <w:t xml:space="preserve"> no</w:t>
      </w:r>
      <w:r w:rsidRPr="003F70C0">
        <w:rPr>
          <w:color w:val="000000"/>
        </w:rPr>
        <w:t xml:space="preserve"> college, school-day teachers</w:t>
      </w:r>
    </w:p>
    <w:p w:rsidR="007A526D" w:rsidRPr="003F70C0" w:rsidRDefault="007A526D" w:rsidP="007A526D">
      <w:pPr>
        <w:pStyle w:val="ListParagraph"/>
        <w:rPr>
          <w:color w:val="000000"/>
        </w:rPr>
      </w:pPr>
    </w:p>
    <w:p w:rsidR="007A526D" w:rsidRPr="003F70C0" w:rsidRDefault="007A526D" w:rsidP="00515688">
      <w:pPr>
        <w:pStyle w:val="ListParagraph"/>
        <w:numPr>
          <w:ilvl w:val="0"/>
          <w:numId w:val="8"/>
        </w:numPr>
        <w:rPr>
          <w:color w:val="000000"/>
        </w:rPr>
      </w:pPr>
      <w:r w:rsidRPr="003F70C0">
        <w:t xml:space="preserve">Centers staffed mostly by </w:t>
      </w:r>
      <w:r w:rsidRPr="003F70C0">
        <w:rPr>
          <w:color w:val="000000"/>
        </w:rPr>
        <w:t>non-teaching school-day staff, school-day teachers</w:t>
      </w:r>
      <w:r w:rsidRPr="003F70C0">
        <w:t xml:space="preserve"> </w:t>
      </w:r>
    </w:p>
    <w:p w:rsidR="007A526D" w:rsidRPr="003F70C0" w:rsidRDefault="007A526D" w:rsidP="007A526D">
      <w:pPr>
        <w:pStyle w:val="ListParagraph"/>
        <w:rPr>
          <w:color w:val="000000"/>
        </w:rPr>
      </w:pPr>
    </w:p>
    <w:p w:rsidR="00482361" w:rsidRPr="003F70C0" w:rsidRDefault="00482361" w:rsidP="00515688">
      <w:pPr>
        <w:pStyle w:val="ListParagraph"/>
        <w:numPr>
          <w:ilvl w:val="0"/>
          <w:numId w:val="8"/>
        </w:numPr>
        <w:rPr>
          <w:color w:val="000000"/>
        </w:rPr>
      </w:pPr>
      <w:r w:rsidRPr="003F70C0">
        <w:t xml:space="preserve">Centers staffed mostly by </w:t>
      </w:r>
      <w:r w:rsidRPr="003F70C0">
        <w:rPr>
          <w:color w:val="000000"/>
        </w:rPr>
        <w:t>youth development (YD) workers, other staff</w:t>
      </w:r>
    </w:p>
    <w:p w:rsidR="00482361" w:rsidRPr="00D07AC9" w:rsidRDefault="00482361" w:rsidP="00515688">
      <w:pPr>
        <w:ind w:left="720"/>
        <w:rPr>
          <w:highlight w:val="yellow"/>
        </w:rPr>
      </w:pPr>
    </w:p>
    <w:p w:rsidR="00923813" w:rsidRPr="00ED01FC" w:rsidRDefault="00990BF6" w:rsidP="00923813">
      <w:r w:rsidRPr="00ED01FC">
        <w:t xml:space="preserve">Note that teachers, at least to some extent, were </w:t>
      </w:r>
      <w:r w:rsidR="00BD271D">
        <w:t xml:space="preserve">included </w:t>
      </w:r>
      <w:r w:rsidRPr="00ED01FC">
        <w:t>in each of the staffi</w:t>
      </w:r>
      <w:r w:rsidR="009F1EE2" w:rsidRPr="00ED01FC">
        <w:t>ng clusters outlined in</w:t>
      </w:r>
      <w:r w:rsidR="00CE4C6F" w:rsidRPr="00ED01FC">
        <w:t xml:space="preserve"> Figure 3</w:t>
      </w:r>
      <w:r w:rsidR="00F456AA">
        <w:t xml:space="preserve"> and Table </w:t>
      </w:r>
      <w:r w:rsidR="00B8721C">
        <w:t>9</w:t>
      </w:r>
      <w:r w:rsidR="00CE4C6F" w:rsidRPr="00ED01FC">
        <w:t>,</w:t>
      </w:r>
      <w:r w:rsidR="009F1EE2" w:rsidRPr="00ED01FC">
        <w:t xml:space="preserve"> </w:t>
      </w:r>
      <w:r w:rsidRPr="00ED01FC">
        <w:t xml:space="preserve">although the degree of involvement varied significantly from one cluster to the next. </w:t>
      </w:r>
      <w:r w:rsidR="00923813" w:rsidRPr="00ED01FC">
        <w:t>On average, t</w:t>
      </w:r>
      <w:r w:rsidR="00515688" w:rsidRPr="00ED01FC">
        <w:t xml:space="preserve">he percent of teachers falling within each staffing cluster </w:t>
      </w:r>
      <w:r w:rsidR="00923813" w:rsidRPr="00ED01FC">
        <w:t xml:space="preserve">follows: (a) </w:t>
      </w:r>
      <w:r w:rsidRPr="00ED01FC">
        <w:rPr>
          <w:i/>
        </w:rPr>
        <w:t xml:space="preserve">Mostly </w:t>
      </w:r>
      <w:r w:rsidR="00923813" w:rsidRPr="00ED01FC">
        <w:rPr>
          <w:i/>
        </w:rPr>
        <w:t>school-day t</w:t>
      </w:r>
      <w:r w:rsidRPr="00ED01FC">
        <w:rPr>
          <w:i/>
        </w:rPr>
        <w:t>eachers</w:t>
      </w:r>
      <w:r w:rsidRPr="00ED01FC">
        <w:t xml:space="preserve"> </w:t>
      </w:r>
      <w:r w:rsidR="003F70C0" w:rsidRPr="00ED01FC">
        <w:t>(81</w:t>
      </w:r>
      <w:r w:rsidR="00BD271D">
        <w:t xml:space="preserve"> percent</w:t>
      </w:r>
      <w:r w:rsidR="00923813" w:rsidRPr="00ED01FC">
        <w:t xml:space="preserve">), (b) </w:t>
      </w:r>
      <w:r w:rsidR="00923813" w:rsidRPr="00ED01FC">
        <w:rPr>
          <w:i/>
        </w:rPr>
        <w:t xml:space="preserve">mostly </w:t>
      </w:r>
      <w:r w:rsidR="00923813" w:rsidRPr="00ED01FC">
        <w:rPr>
          <w:i/>
          <w:color w:val="000000"/>
        </w:rPr>
        <w:t>youth development (YD) workers, other staff</w:t>
      </w:r>
      <w:r w:rsidR="00923813" w:rsidRPr="00ED01FC">
        <w:rPr>
          <w:color w:val="000000"/>
        </w:rPr>
        <w:t xml:space="preserve"> (1</w:t>
      </w:r>
      <w:r w:rsidR="00ED01FC" w:rsidRPr="00ED01FC">
        <w:rPr>
          <w:color w:val="000000"/>
        </w:rPr>
        <w:t>7</w:t>
      </w:r>
      <w:r w:rsidR="00BD271D">
        <w:rPr>
          <w:color w:val="000000"/>
        </w:rPr>
        <w:t xml:space="preserve"> percent</w:t>
      </w:r>
      <w:r w:rsidR="00923813" w:rsidRPr="00ED01FC">
        <w:rPr>
          <w:color w:val="000000"/>
        </w:rPr>
        <w:t xml:space="preserve">), (c) </w:t>
      </w:r>
      <w:r w:rsidR="00923813" w:rsidRPr="00ED01FC">
        <w:rPr>
          <w:i/>
          <w:color w:val="000000"/>
        </w:rPr>
        <w:t xml:space="preserve">mostly </w:t>
      </w:r>
      <w:r w:rsidR="00923813" w:rsidRPr="00ED01FC">
        <w:rPr>
          <w:i/>
        </w:rPr>
        <w:t>o</w:t>
      </w:r>
      <w:r w:rsidR="00923813" w:rsidRPr="00ED01FC">
        <w:rPr>
          <w:i/>
          <w:color w:val="000000"/>
        </w:rPr>
        <w:t xml:space="preserve">ther non-school-day staff </w:t>
      </w:r>
      <w:r w:rsidR="002D04C0">
        <w:rPr>
          <w:i/>
          <w:color w:val="000000"/>
        </w:rPr>
        <w:t xml:space="preserve">with some or no </w:t>
      </w:r>
      <w:r w:rsidR="00923813" w:rsidRPr="00ED01FC">
        <w:rPr>
          <w:i/>
          <w:color w:val="000000"/>
        </w:rPr>
        <w:t>college, school-day teachers</w:t>
      </w:r>
      <w:r w:rsidR="00923813" w:rsidRPr="00ED01FC">
        <w:rPr>
          <w:color w:val="000000"/>
        </w:rPr>
        <w:t xml:space="preserve"> (1</w:t>
      </w:r>
      <w:r w:rsidR="00ED01FC" w:rsidRPr="00ED01FC">
        <w:rPr>
          <w:color w:val="000000"/>
        </w:rPr>
        <w:t>6</w:t>
      </w:r>
      <w:r w:rsidR="00BD271D">
        <w:rPr>
          <w:color w:val="000000"/>
        </w:rPr>
        <w:t xml:space="preserve"> percent</w:t>
      </w:r>
      <w:r w:rsidR="00923813" w:rsidRPr="00ED01FC">
        <w:rPr>
          <w:color w:val="000000"/>
        </w:rPr>
        <w:t>), (d</w:t>
      </w:r>
      <w:r w:rsidR="00923813" w:rsidRPr="00851385">
        <w:rPr>
          <w:color w:val="000000"/>
        </w:rPr>
        <w:t>)</w:t>
      </w:r>
      <w:r w:rsidR="00923813" w:rsidRPr="00ED01FC">
        <w:rPr>
          <w:i/>
          <w:color w:val="000000"/>
        </w:rPr>
        <w:t xml:space="preserve"> m</w:t>
      </w:r>
      <w:r w:rsidR="00923813" w:rsidRPr="00ED01FC">
        <w:rPr>
          <w:i/>
        </w:rPr>
        <w:t xml:space="preserve">ostly </w:t>
      </w:r>
      <w:r w:rsidR="00923813" w:rsidRPr="00ED01FC">
        <w:rPr>
          <w:i/>
          <w:color w:val="000000"/>
        </w:rPr>
        <w:t>college students, school-day teachers</w:t>
      </w:r>
      <w:r w:rsidR="00BD271D">
        <w:rPr>
          <w:color w:val="000000"/>
        </w:rPr>
        <w:t xml:space="preserve"> (15 percent</w:t>
      </w:r>
      <w:r w:rsidR="00923813" w:rsidRPr="00ED01FC">
        <w:rPr>
          <w:color w:val="000000"/>
        </w:rPr>
        <w:t xml:space="preserve">), and (e) </w:t>
      </w:r>
      <w:r w:rsidR="00923813" w:rsidRPr="00ED01FC">
        <w:rPr>
          <w:i/>
        </w:rPr>
        <w:t xml:space="preserve">mostly </w:t>
      </w:r>
      <w:r w:rsidR="00923813" w:rsidRPr="00ED01FC">
        <w:rPr>
          <w:i/>
          <w:color w:val="000000"/>
        </w:rPr>
        <w:t>non-teaching school-day staff, school-day teachers</w:t>
      </w:r>
      <w:r w:rsidR="00923813" w:rsidRPr="00ED01FC">
        <w:rPr>
          <w:color w:val="000000"/>
        </w:rPr>
        <w:t xml:space="preserve"> (3</w:t>
      </w:r>
      <w:r w:rsidR="00ED01FC" w:rsidRPr="00ED01FC">
        <w:rPr>
          <w:color w:val="000000"/>
        </w:rPr>
        <w:t>7</w:t>
      </w:r>
      <w:r w:rsidR="00BD271D">
        <w:rPr>
          <w:color w:val="000000"/>
        </w:rPr>
        <w:t xml:space="preserve"> percent</w:t>
      </w:r>
      <w:r w:rsidR="00923813" w:rsidRPr="00ED01FC">
        <w:rPr>
          <w:color w:val="000000"/>
        </w:rPr>
        <w:t>).</w:t>
      </w:r>
    </w:p>
    <w:p w:rsidR="00923813" w:rsidRPr="00D07AC9" w:rsidRDefault="00923813" w:rsidP="00923813">
      <w:pPr>
        <w:rPr>
          <w:color w:val="000000"/>
          <w:highlight w:val="yellow"/>
        </w:rPr>
      </w:pPr>
    </w:p>
    <w:p w:rsidR="00990BF6" w:rsidRPr="00D07AC9" w:rsidRDefault="00990BF6">
      <w:pPr>
        <w:rPr>
          <w:highlight w:val="yellow"/>
        </w:rPr>
      </w:pPr>
    </w:p>
    <w:p w:rsidR="00856B7B" w:rsidRPr="00F456AA" w:rsidRDefault="00856B7B" w:rsidP="00856B7B">
      <w:pPr>
        <w:pStyle w:val="Caption"/>
        <w:keepNext/>
        <w:keepLines/>
      </w:pPr>
      <w:proofErr w:type="gramStart"/>
      <w:r w:rsidRPr="003F70C0">
        <w:lastRenderedPageBreak/>
        <w:t xml:space="preserve">Figure </w:t>
      </w:r>
      <w:r w:rsidR="00C94DB1" w:rsidRPr="003F70C0">
        <w:fldChar w:fldCharType="begin"/>
      </w:r>
      <w:r w:rsidR="00676242" w:rsidRPr="003F70C0">
        <w:instrText xml:space="preserve"> SEQ Figure \* ARABIC </w:instrText>
      </w:r>
      <w:r w:rsidR="00C94DB1" w:rsidRPr="003F70C0">
        <w:fldChar w:fldCharType="separate"/>
      </w:r>
      <w:r w:rsidR="00A50F56">
        <w:rPr>
          <w:noProof/>
        </w:rPr>
        <w:t>3</w:t>
      </w:r>
      <w:r w:rsidR="00C94DB1" w:rsidRPr="003F70C0">
        <w:rPr>
          <w:noProof/>
        </w:rPr>
        <w:fldChar w:fldCharType="end"/>
      </w:r>
      <w:r w:rsidRPr="003F70C0">
        <w:t>.</w:t>
      </w:r>
      <w:proofErr w:type="gramEnd"/>
      <w:r w:rsidRPr="003F70C0">
        <w:t xml:space="preserve"> Primary Staffing Clusters Based on </w:t>
      </w:r>
      <w:r w:rsidR="00E56E19">
        <w:t xml:space="preserve">Total </w:t>
      </w:r>
      <w:r w:rsidRPr="003F70C0">
        <w:t xml:space="preserve">Staffing Data </w:t>
      </w:r>
      <w:r w:rsidR="00E56E19">
        <w:t>Reported</w:t>
      </w:r>
      <w:r w:rsidRPr="003F70C0">
        <w:br/>
      </w:r>
      <w:r w:rsidR="00E56E19" w:rsidRPr="00F456AA">
        <w:t xml:space="preserve">for </w:t>
      </w:r>
      <w:r w:rsidR="00723B47" w:rsidRPr="00F456AA">
        <w:t xml:space="preserve">the </w:t>
      </w:r>
      <w:r w:rsidR="003F70C0" w:rsidRPr="00F456AA">
        <w:t>2</w:t>
      </w:r>
      <w:r w:rsidR="00723B47" w:rsidRPr="00F456AA">
        <w:t>007-</w:t>
      </w:r>
      <w:r w:rsidRPr="00F456AA">
        <w:t>08, 2008-09, 2009-10, 2010-11</w:t>
      </w:r>
      <w:r w:rsidR="00092FD5" w:rsidRPr="00F456AA">
        <w:t>, 2011-12</w:t>
      </w:r>
      <w:r w:rsidR="003F70C0" w:rsidRPr="00F456AA">
        <w:t>, and 2012-13</w:t>
      </w:r>
      <w:r w:rsidRPr="00F456AA">
        <w:t xml:space="preserve"> School Years</w:t>
      </w:r>
    </w:p>
    <w:p w:rsidR="00350AC4" w:rsidRPr="00D07AC9" w:rsidRDefault="006F603A" w:rsidP="00F456AA">
      <w:pPr>
        <w:jc w:val="center"/>
        <w:rPr>
          <w:highlight w:val="yellow"/>
        </w:rPr>
      </w:pPr>
      <w:r w:rsidRPr="00F456AA">
        <w:object w:dxaOrig="11684" w:dyaOrig="4967" w14:anchorId="61BB1EE4">
          <v:shape id="_x0000_i1027" type="#_x0000_t75" alt="Figure 3. Primary Staffing Clusters Based on Total Staffing Data Reported&#10;for the 2007-08, 2008-09, 2009-10, 2010-11, 2011-12, and 2012-13 School Years&#10;" style="width:475.5pt;height:202.5pt" o:ole="">
            <v:imagedata r:id="rId15" o:title=""/>
          </v:shape>
          <o:OLEObject Type="Embed" ProgID="Excel.Sheet.12" ShapeID="_x0000_i1027" DrawAspect="Content" ObjectID="_1520163629" r:id="rId16"/>
        </w:object>
      </w:r>
    </w:p>
    <w:p w:rsidR="009F31AE" w:rsidRDefault="009F31AE" w:rsidP="00F456AA">
      <w:pPr>
        <w:jc w:val="center"/>
        <w:rPr>
          <w:b/>
        </w:rPr>
      </w:pPr>
    </w:p>
    <w:p w:rsidR="00A20F1A" w:rsidRDefault="00F456AA" w:rsidP="00F456AA">
      <w:pPr>
        <w:jc w:val="center"/>
        <w:rPr>
          <w:b/>
        </w:rPr>
      </w:pPr>
      <w:proofErr w:type="gramStart"/>
      <w:r w:rsidRPr="00F456AA">
        <w:rPr>
          <w:b/>
        </w:rPr>
        <w:t xml:space="preserve">Table </w:t>
      </w:r>
      <w:r w:rsidR="00F217BF">
        <w:rPr>
          <w:b/>
        </w:rPr>
        <w:t>9</w:t>
      </w:r>
      <w:r w:rsidRPr="00F456AA">
        <w:rPr>
          <w:b/>
        </w:rPr>
        <w:t>.</w:t>
      </w:r>
      <w:proofErr w:type="gramEnd"/>
      <w:r w:rsidRPr="00F456AA">
        <w:rPr>
          <w:b/>
        </w:rPr>
        <w:t xml:space="preserve"> Number and Percent of Primary Staffing Clusters, Based on Total Staffing Data Reported for the 2007-08, 2008-09, 2009-10, 2010-11, 2011-12, and 2012-13 School Years</w:t>
      </w:r>
    </w:p>
    <w:tbl>
      <w:tblPr>
        <w:tblW w:w="11082" w:type="dxa"/>
        <w:tblInd w:w="-848" w:type="dxa"/>
        <w:tblLook w:val="04A0" w:firstRow="1" w:lastRow="0" w:firstColumn="1" w:lastColumn="0" w:noHBand="0" w:noVBand="1"/>
      </w:tblPr>
      <w:tblGrid>
        <w:gridCol w:w="1620"/>
        <w:gridCol w:w="740"/>
        <w:gridCol w:w="740"/>
        <w:gridCol w:w="740"/>
        <w:gridCol w:w="683"/>
        <w:gridCol w:w="740"/>
        <w:gridCol w:w="683"/>
        <w:gridCol w:w="856"/>
        <w:gridCol w:w="856"/>
        <w:gridCol w:w="856"/>
        <w:gridCol w:w="856"/>
        <w:gridCol w:w="856"/>
        <w:gridCol w:w="856"/>
      </w:tblGrid>
      <w:tr w:rsidR="00C16CFE" w:rsidTr="00C16CFE">
        <w:trPr>
          <w:trHeight w:val="1035"/>
        </w:trPr>
        <w:tc>
          <w:tcPr>
            <w:tcW w:w="1620" w:type="dxa"/>
            <w:tcBorders>
              <w:top w:val="single" w:sz="8" w:space="0" w:color="auto"/>
              <w:left w:val="single" w:sz="8" w:space="0" w:color="auto"/>
              <w:bottom w:val="single" w:sz="8" w:space="0" w:color="auto"/>
              <w:right w:val="single" w:sz="8" w:space="0" w:color="auto"/>
            </w:tcBorders>
            <w:shd w:val="clear" w:color="000000" w:fill="595959"/>
            <w:noWrap/>
            <w:vAlign w:val="center"/>
            <w:hideMark/>
          </w:tcPr>
          <w:p w:rsidR="00C16CFE" w:rsidRDefault="00C16CFE">
            <w:pPr>
              <w:jc w:val="center"/>
              <w:rPr>
                <w:rFonts w:ascii="Calibri" w:hAnsi="Calibri"/>
                <w:b/>
                <w:bCs/>
                <w:color w:val="FFFFFF"/>
                <w:sz w:val="20"/>
                <w:szCs w:val="20"/>
              </w:rPr>
            </w:pPr>
            <w:r>
              <w:rPr>
                <w:rFonts w:ascii="Calibri" w:hAnsi="Calibri"/>
                <w:b/>
                <w:bCs/>
                <w:color w:val="FFFFFF"/>
                <w:sz w:val="20"/>
                <w:szCs w:val="20"/>
              </w:rPr>
              <w:t>Staffing Cluster</w:t>
            </w:r>
          </w:p>
        </w:tc>
        <w:tc>
          <w:tcPr>
            <w:tcW w:w="740" w:type="dxa"/>
            <w:tcBorders>
              <w:top w:val="single" w:sz="8" w:space="0" w:color="auto"/>
              <w:left w:val="nil"/>
              <w:bottom w:val="single" w:sz="8" w:space="0" w:color="auto"/>
              <w:right w:val="single" w:sz="8" w:space="0" w:color="auto"/>
            </w:tcBorders>
            <w:shd w:val="clear" w:color="000000" w:fill="BFBFBF"/>
            <w:vAlign w:val="center"/>
            <w:hideMark/>
          </w:tcPr>
          <w:p w:rsidR="00C16CFE" w:rsidRDefault="00C16CFE">
            <w:pPr>
              <w:jc w:val="center"/>
              <w:rPr>
                <w:rFonts w:ascii="Calibri" w:hAnsi="Calibri"/>
                <w:b/>
                <w:bCs/>
                <w:color w:val="000000"/>
                <w:sz w:val="20"/>
                <w:szCs w:val="20"/>
              </w:rPr>
            </w:pPr>
            <w:r>
              <w:rPr>
                <w:rFonts w:ascii="Calibri" w:hAnsi="Calibri"/>
                <w:b/>
                <w:bCs/>
                <w:color w:val="000000"/>
                <w:sz w:val="20"/>
                <w:szCs w:val="20"/>
              </w:rPr>
              <w:t>No. in 2007-08</w:t>
            </w:r>
          </w:p>
        </w:tc>
        <w:tc>
          <w:tcPr>
            <w:tcW w:w="740" w:type="dxa"/>
            <w:tcBorders>
              <w:top w:val="single" w:sz="8" w:space="0" w:color="auto"/>
              <w:left w:val="nil"/>
              <w:bottom w:val="single" w:sz="8" w:space="0" w:color="auto"/>
              <w:right w:val="single" w:sz="8" w:space="0" w:color="auto"/>
            </w:tcBorders>
            <w:shd w:val="clear" w:color="000000" w:fill="BFBFBF"/>
            <w:vAlign w:val="center"/>
            <w:hideMark/>
          </w:tcPr>
          <w:p w:rsidR="00C16CFE" w:rsidRDefault="00C16CFE">
            <w:pPr>
              <w:jc w:val="center"/>
              <w:rPr>
                <w:rFonts w:ascii="Calibri" w:hAnsi="Calibri"/>
                <w:b/>
                <w:bCs/>
                <w:color w:val="000000"/>
                <w:sz w:val="20"/>
                <w:szCs w:val="20"/>
              </w:rPr>
            </w:pPr>
            <w:r>
              <w:rPr>
                <w:rFonts w:ascii="Calibri" w:hAnsi="Calibri"/>
                <w:b/>
                <w:bCs/>
                <w:color w:val="000000"/>
                <w:sz w:val="20"/>
                <w:szCs w:val="20"/>
              </w:rPr>
              <w:t>No. in 2008-09</w:t>
            </w:r>
          </w:p>
        </w:tc>
        <w:tc>
          <w:tcPr>
            <w:tcW w:w="740" w:type="dxa"/>
            <w:tcBorders>
              <w:top w:val="single" w:sz="8" w:space="0" w:color="auto"/>
              <w:left w:val="nil"/>
              <w:bottom w:val="single" w:sz="8" w:space="0" w:color="auto"/>
              <w:right w:val="single" w:sz="8" w:space="0" w:color="auto"/>
            </w:tcBorders>
            <w:shd w:val="clear" w:color="000000" w:fill="BFBFBF"/>
            <w:vAlign w:val="center"/>
            <w:hideMark/>
          </w:tcPr>
          <w:p w:rsidR="00C16CFE" w:rsidRDefault="00C16CFE">
            <w:pPr>
              <w:jc w:val="center"/>
              <w:rPr>
                <w:rFonts w:ascii="Calibri" w:hAnsi="Calibri"/>
                <w:b/>
                <w:bCs/>
                <w:color w:val="000000"/>
                <w:sz w:val="20"/>
                <w:szCs w:val="20"/>
              </w:rPr>
            </w:pPr>
            <w:r>
              <w:rPr>
                <w:rFonts w:ascii="Calibri" w:hAnsi="Calibri"/>
                <w:b/>
                <w:bCs/>
                <w:color w:val="000000"/>
                <w:sz w:val="20"/>
                <w:szCs w:val="20"/>
              </w:rPr>
              <w:t>No. in 2009-10</w:t>
            </w:r>
          </w:p>
        </w:tc>
        <w:tc>
          <w:tcPr>
            <w:tcW w:w="683" w:type="dxa"/>
            <w:tcBorders>
              <w:top w:val="single" w:sz="8" w:space="0" w:color="auto"/>
              <w:left w:val="nil"/>
              <w:bottom w:val="single" w:sz="8" w:space="0" w:color="auto"/>
              <w:right w:val="single" w:sz="8" w:space="0" w:color="auto"/>
            </w:tcBorders>
            <w:shd w:val="clear" w:color="000000" w:fill="BFBFBF"/>
            <w:vAlign w:val="center"/>
            <w:hideMark/>
          </w:tcPr>
          <w:p w:rsidR="00C16CFE" w:rsidRDefault="00C16CFE">
            <w:pPr>
              <w:jc w:val="center"/>
              <w:rPr>
                <w:rFonts w:ascii="Calibri" w:hAnsi="Calibri"/>
                <w:b/>
                <w:bCs/>
                <w:color w:val="000000"/>
                <w:sz w:val="20"/>
                <w:szCs w:val="20"/>
              </w:rPr>
            </w:pPr>
            <w:r>
              <w:rPr>
                <w:rFonts w:ascii="Calibri" w:hAnsi="Calibri"/>
                <w:b/>
                <w:bCs/>
                <w:color w:val="000000"/>
                <w:sz w:val="20"/>
                <w:szCs w:val="20"/>
              </w:rPr>
              <w:t>No. in 2010-11</w:t>
            </w:r>
          </w:p>
        </w:tc>
        <w:tc>
          <w:tcPr>
            <w:tcW w:w="740" w:type="dxa"/>
            <w:tcBorders>
              <w:top w:val="single" w:sz="8" w:space="0" w:color="auto"/>
              <w:left w:val="nil"/>
              <w:bottom w:val="single" w:sz="8" w:space="0" w:color="auto"/>
              <w:right w:val="single" w:sz="8" w:space="0" w:color="auto"/>
            </w:tcBorders>
            <w:shd w:val="clear" w:color="000000" w:fill="BFBFBF"/>
            <w:vAlign w:val="center"/>
            <w:hideMark/>
          </w:tcPr>
          <w:p w:rsidR="00C16CFE" w:rsidRDefault="00C16CFE">
            <w:pPr>
              <w:jc w:val="center"/>
              <w:rPr>
                <w:rFonts w:ascii="Calibri" w:hAnsi="Calibri"/>
                <w:b/>
                <w:bCs/>
                <w:color w:val="000000"/>
                <w:sz w:val="20"/>
                <w:szCs w:val="20"/>
              </w:rPr>
            </w:pPr>
            <w:r>
              <w:rPr>
                <w:rFonts w:ascii="Calibri" w:hAnsi="Calibri"/>
                <w:b/>
                <w:bCs/>
                <w:color w:val="000000"/>
                <w:sz w:val="20"/>
                <w:szCs w:val="20"/>
              </w:rPr>
              <w:t>No. in 2011-12</w:t>
            </w:r>
          </w:p>
        </w:tc>
        <w:tc>
          <w:tcPr>
            <w:tcW w:w="683" w:type="dxa"/>
            <w:tcBorders>
              <w:top w:val="single" w:sz="8" w:space="0" w:color="auto"/>
              <w:left w:val="nil"/>
              <w:bottom w:val="single" w:sz="8" w:space="0" w:color="auto"/>
              <w:right w:val="nil"/>
            </w:tcBorders>
            <w:shd w:val="clear" w:color="000000" w:fill="BFBFBF"/>
            <w:vAlign w:val="center"/>
            <w:hideMark/>
          </w:tcPr>
          <w:p w:rsidR="00C16CFE" w:rsidRDefault="00C16CFE">
            <w:pPr>
              <w:jc w:val="center"/>
              <w:rPr>
                <w:rFonts w:ascii="Calibri" w:hAnsi="Calibri"/>
                <w:b/>
                <w:bCs/>
                <w:color w:val="000000"/>
                <w:sz w:val="20"/>
                <w:szCs w:val="20"/>
              </w:rPr>
            </w:pPr>
            <w:r>
              <w:rPr>
                <w:rFonts w:ascii="Calibri" w:hAnsi="Calibri"/>
                <w:b/>
                <w:bCs/>
                <w:color w:val="000000"/>
                <w:sz w:val="20"/>
                <w:szCs w:val="20"/>
              </w:rPr>
              <w:t>No. in 2012-13</w:t>
            </w:r>
          </w:p>
        </w:tc>
        <w:tc>
          <w:tcPr>
            <w:tcW w:w="856" w:type="dxa"/>
            <w:tcBorders>
              <w:top w:val="single" w:sz="8" w:space="0" w:color="auto"/>
              <w:left w:val="single" w:sz="12" w:space="0" w:color="auto"/>
              <w:bottom w:val="single" w:sz="8" w:space="0" w:color="auto"/>
              <w:right w:val="single" w:sz="8" w:space="0" w:color="auto"/>
            </w:tcBorders>
            <w:shd w:val="clear" w:color="000000" w:fill="BFBFBF"/>
            <w:vAlign w:val="center"/>
            <w:hideMark/>
          </w:tcPr>
          <w:p w:rsidR="00C16CFE" w:rsidRDefault="00C16CFE">
            <w:pPr>
              <w:jc w:val="center"/>
              <w:rPr>
                <w:rFonts w:ascii="Calibri" w:hAnsi="Calibri"/>
                <w:b/>
                <w:bCs/>
                <w:color w:val="000000"/>
                <w:sz w:val="20"/>
                <w:szCs w:val="20"/>
              </w:rPr>
            </w:pPr>
            <w:r>
              <w:rPr>
                <w:rFonts w:ascii="Calibri" w:hAnsi="Calibri"/>
                <w:b/>
                <w:bCs/>
                <w:color w:val="000000"/>
                <w:sz w:val="20"/>
                <w:szCs w:val="20"/>
              </w:rPr>
              <w:t>Percent in 2007-08</w:t>
            </w:r>
          </w:p>
        </w:tc>
        <w:tc>
          <w:tcPr>
            <w:tcW w:w="856" w:type="dxa"/>
            <w:tcBorders>
              <w:top w:val="single" w:sz="8" w:space="0" w:color="auto"/>
              <w:left w:val="nil"/>
              <w:bottom w:val="single" w:sz="8" w:space="0" w:color="auto"/>
              <w:right w:val="single" w:sz="8" w:space="0" w:color="auto"/>
            </w:tcBorders>
            <w:shd w:val="clear" w:color="000000" w:fill="BFBFBF"/>
            <w:vAlign w:val="center"/>
            <w:hideMark/>
          </w:tcPr>
          <w:p w:rsidR="00C16CFE" w:rsidRDefault="00C16CFE">
            <w:pPr>
              <w:jc w:val="center"/>
              <w:rPr>
                <w:rFonts w:ascii="Calibri" w:hAnsi="Calibri"/>
                <w:b/>
                <w:bCs/>
                <w:color w:val="000000"/>
                <w:sz w:val="20"/>
                <w:szCs w:val="20"/>
              </w:rPr>
            </w:pPr>
            <w:r>
              <w:rPr>
                <w:rFonts w:ascii="Calibri" w:hAnsi="Calibri"/>
                <w:b/>
                <w:bCs/>
                <w:color w:val="000000"/>
                <w:sz w:val="20"/>
                <w:szCs w:val="20"/>
              </w:rPr>
              <w:t>Percent in 2008-09</w:t>
            </w:r>
          </w:p>
        </w:tc>
        <w:tc>
          <w:tcPr>
            <w:tcW w:w="856" w:type="dxa"/>
            <w:tcBorders>
              <w:top w:val="single" w:sz="8" w:space="0" w:color="auto"/>
              <w:left w:val="nil"/>
              <w:bottom w:val="single" w:sz="8" w:space="0" w:color="auto"/>
              <w:right w:val="single" w:sz="8" w:space="0" w:color="auto"/>
            </w:tcBorders>
            <w:shd w:val="clear" w:color="000000" w:fill="BFBFBF"/>
            <w:vAlign w:val="center"/>
            <w:hideMark/>
          </w:tcPr>
          <w:p w:rsidR="00C16CFE" w:rsidRDefault="00C16CFE">
            <w:pPr>
              <w:jc w:val="center"/>
              <w:rPr>
                <w:rFonts w:ascii="Calibri" w:hAnsi="Calibri"/>
                <w:b/>
                <w:bCs/>
                <w:color w:val="000000"/>
                <w:sz w:val="20"/>
                <w:szCs w:val="20"/>
              </w:rPr>
            </w:pPr>
            <w:r>
              <w:rPr>
                <w:rFonts w:ascii="Calibri" w:hAnsi="Calibri"/>
                <w:b/>
                <w:bCs/>
                <w:color w:val="000000"/>
                <w:sz w:val="20"/>
                <w:szCs w:val="20"/>
              </w:rPr>
              <w:t>Percent in 2009-10</w:t>
            </w:r>
          </w:p>
        </w:tc>
        <w:tc>
          <w:tcPr>
            <w:tcW w:w="856" w:type="dxa"/>
            <w:tcBorders>
              <w:top w:val="single" w:sz="8" w:space="0" w:color="auto"/>
              <w:left w:val="nil"/>
              <w:bottom w:val="single" w:sz="8" w:space="0" w:color="auto"/>
              <w:right w:val="single" w:sz="8" w:space="0" w:color="auto"/>
            </w:tcBorders>
            <w:shd w:val="clear" w:color="000000" w:fill="BFBFBF"/>
            <w:vAlign w:val="center"/>
            <w:hideMark/>
          </w:tcPr>
          <w:p w:rsidR="00C16CFE" w:rsidRDefault="00C16CFE">
            <w:pPr>
              <w:jc w:val="center"/>
              <w:rPr>
                <w:rFonts w:ascii="Calibri" w:hAnsi="Calibri"/>
                <w:b/>
                <w:bCs/>
                <w:color w:val="000000"/>
                <w:sz w:val="20"/>
                <w:szCs w:val="20"/>
              </w:rPr>
            </w:pPr>
            <w:r>
              <w:rPr>
                <w:rFonts w:ascii="Calibri" w:hAnsi="Calibri"/>
                <w:b/>
                <w:bCs/>
                <w:color w:val="000000"/>
                <w:sz w:val="20"/>
                <w:szCs w:val="20"/>
              </w:rPr>
              <w:t>Percent in 2010-11</w:t>
            </w:r>
          </w:p>
        </w:tc>
        <w:tc>
          <w:tcPr>
            <w:tcW w:w="856" w:type="dxa"/>
            <w:tcBorders>
              <w:top w:val="single" w:sz="8" w:space="0" w:color="auto"/>
              <w:left w:val="nil"/>
              <w:bottom w:val="single" w:sz="8" w:space="0" w:color="auto"/>
              <w:right w:val="single" w:sz="8" w:space="0" w:color="auto"/>
            </w:tcBorders>
            <w:shd w:val="clear" w:color="000000" w:fill="BFBFBF"/>
            <w:vAlign w:val="center"/>
            <w:hideMark/>
          </w:tcPr>
          <w:p w:rsidR="00C16CFE" w:rsidRDefault="00C16CFE">
            <w:pPr>
              <w:jc w:val="center"/>
              <w:rPr>
                <w:rFonts w:ascii="Calibri" w:hAnsi="Calibri"/>
                <w:b/>
                <w:bCs/>
                <w:color w:val="000000"/>
                <w:sz w:val="20"/>
                <w:szCs w:val="20"/>
              </w:rPr>
            </w:pPr>
            <w:r>
              <w:rPr>
                <w:rFonts w:ascii="Calibri" w:hAnsi="Calibri"/>
                <w:b/>
                <w:bCs/>
                <w:color w:val="000000"/>
                <w:sz w:val="20"/>
                <w:szCs w:val="20"/>
              </w:rPr>
              <w:t>Percent in 2011-12</w:t>
            </w:r>
          </w:p>
        </w:tc>
        <w:tc>
          <w:tcPr>
            <w:tcW w:w="856" w:type="dxa"/>
            <w:tcBorders>
              <w:top w:val="single" w:sz="8" w:space="0" w:color="auto"/>
              <w:left w:val="nil"/>
              <w:bottom w:val="single" w:sz="8" w:space="0" w:color="auto"/>
              <w:right w:val="single" w:sz="8" w:space="0" w:color="auto"/>
            </w:tcBorders>
            <w:shd w:val="clear" w:color="000000" w:fill="BFBFBF"/>
            <w:vAlign w:val="center"/>
            <w:hideMark/>
          </w:tcPr>
          <w:p w:rsidR="00C16CFE" w:rsidRDefault="00C16CFE">
            <w:pPr>
              <w:jc w:val="center"/>
              <w:rPr>
                <w:rFonts w:ascii="Calibri" w:hAnsi="Calibri"/>
                <w:b/>
                <w:bCs/>
                <w:color w:val="000000"/>
                <w:sz w:val="20"/>
                <w:szCs w:val="20"/>
              </w:rPr>
            </w:pPr>
            <w:r>
              <w:rPr>
                <w:rFonts w:ascii="Calibri" w:hAnsi="Calibri"/>
                <w:b/>
                <w:bCs/>
                <w:color w:val="000000"/>
                <w:sz w:val="20"/>
                <w:szCs w:val="20"/>
              </w:rPr>
              <w:t>Percent in 2012-13</w:t>
            </w:r>
          </w:p>
        </w:tc>
      </w:tr>
      <w:tr w:rsidR="00C16CFE" w:rsidTr="00C16CFE">
        <w:trPr>
          <w:trHeight w:val="315"/>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C16CFE" w:rsidRDefault="00C16CFE">
            <w:pPr>
              <w:rPr>
                <w:rFonts w:ascii="Calibri" w:hAnsi="Calibri"/>
                <w:b/>
                <w:bCs/>
                <w:color w:val="000000"/>
                <w:sz w:val="20"/>
                <w:szCs w:val="20"/>
              </w:rPr>
            </w:pPr>
            <w:r>
              <w:rPr>
                <w:rFonts w:ascii="Calibri" w:hAnsi="Calibri"/>
                <w:b/>
                <w:bCs/>
                <w:color w:val="000000"/>
                <w:sz w:val="20"/>
                <w:szCs w:val="20"/>
              </w:rPr>
              <w:t>Unknown</w:t>
            </w:r>
          </w:p>
        </w:tc>
        <w:tc>
          <w:tcPr>
            <w:tcW w:w="740"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226</w:t>
            </w:r>
          </w:p>
        </w:tc>
        <w:tc>
          <w:tcPr>
            <w:tcW w:w="740"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233</w:t>
            </w:r>
          </w:p>
        </w:tc>
        <w:tc>
          <w:tcPr>
            <w:tcW w:w="740"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305</w:t>
            </w:r>
          </w:p>
        </w:tc>
        <w:tc>
          <w:tcPr>
            <w:tcW w:w="683" w:type="dxa"/>
            <w:tcBorders>
              <w:top w:val="nil"/>
              <w:left w:val="nil"/>
              <w:bottom w:val="single" w:sz="8" w:space="0" w:color="auto"/>
              <w:right w:val="single" w:sz="8" w:space="0" w:color="auto"/>
            </w:tcBorders>
            <w:shd w:val="clear" w:color="auto" w:fill="auto"/>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434</w:t>
            </w:r>
          </w:p>
        </w:tc>
        <w:tc>
          <w:tcPr>
            <w:tcW w:w="740"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316</w:t>
            </w:r>
          </w:p>
        </w:tc>
        <w:tc>
          <w:tcPr>
            <w:tcW w:w="683" w:type="dxa"/>
            <w:tcBorders>
              <w:top w:val="nil"/>
              <w:left w:val="nil"/>
              <w:bottom w:val="single" w:sz="8" w:space="0" w:color="auto"/>
              <w:right w:val="single" w:sz="12" w:space="0" w:color="auto"/>
            </w:tcBorders>
            <w:shd w:val="clear" w:color="auto" w:fill="auto"/>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340</w:t>
            </w:r>
          </w:p>
        </w:tc>
        <w:tc>
          <w:tcPr>
            <w:tcW w:w="856"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w:t>
            </w:r>
          </w:p>
        </w:tc>
        <w:tc>
          <w:tcPr>
            <w:tcW w:w="856"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w:t>
            </w:r>
          </w:p>
        </w:tc>
        <w:tc>
          <w:tcPr>
            <w:tcW w:w="856"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w:t>
            </w:r>
          </w:p>
        </w:tc>
        <w:tc>
          <w:tcPr>
            <w:tcW w:w="856" w:type="dxa"/>
            <w:tcBorders>
              <w:top w:val="nil"/>
              <w:left w:val="nil"/>
              <w:bottom w:val="single" w:sz="8" w:space="0" w:color="auto"/>
              <w:right w:val="single" w:sz="8" w:space="0" w:color="auto"/>
            </w:tcBorders>
            <w:shd w:val="clear" w:color="auto" w:fill="auto"/>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w:t>
            </w:r>
          </w:p>
        </w:tc>
        <w:tc>
          <w:tcPr>
            <w:tcW w:w="856" w:type="dxa"/>
            <w:tcBorders>
              <w:top w:val="nil"/>
              <w:left w:val="nil"/>
              <w:bottom w:val="single" w:sz="8" w:space="0" w:color="auto"/>
              <w:right w:val="single" w:sz="8" w:space="0" w:color="auto"/>
            </w:tcBorders>
            <w:shd w:val="clear" w:color="auto" w:fill="auto"/>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w:t>
            </w:r>
          </w:p>
        </w:tc>
        <w:tc>
          <w:tcPr>
            <w:tcW w:w="856" w:type="dxa"/>
            <w:tcBorders>
              <w:top w:val="nil"/>
              <w:left w:val="nil"/>
              <w:bottom w:val="single" w:sz="8" w:space="0" w:color="auto"/>
              <w:right w:val="single" w:sz="8" w:space="0" w:color="auto"/>
            </w:tcBorders>
            <w:shd w:val="clear" w:color="auto" w:fill="auto"/>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w:t>
            </w:r>
          </w:p>
        </w:tc>
      </w:tr>
      <w:tr w:rsidR="00C16CFE" w:rsidTr="00C16CFE">
        <w:trPr>
          <w:trHeight w:val="525"/>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C16CFE" w:rsidRDefault="00C16CFE">
            <w:pPr>
              <w:rPr>
                <w:rFonts w:ascii="Calibri" w:hAnsi="Calibri"/>
                <w:b/>
                <w:bCs/>
                <w:color w:val="000000"/>
                <w:sz w:val="20"/>
                <w:szCs w:val="20"/>
              </w:rPr>
            </w:pPr>
            <w:r>
              <w:rPr>
                <w:rFonts w:ascii="Calibri" w:hAnsi="Calibri"/>
                <w:b/>
                <w:bCs/>
                <w:color w:val="000000"/>
                <w:sz w:val="20"/>
                <w:szCs w:val="20"/>
              </w:rPr>
              <w:t>1- Mostly School-Day Teachers</w:t>
            </w:r>
          </w:p>
        </w:tc>
        <w:tc>
          <w:tcPr>
            <w:tcW w:w="740"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3796</w:t>
            </w:r>
          </w:p>
        </w:tc>
        <w:tc>
          <w:tcPr>
            <w:tcW w:w="740"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3369</w:t>
            </w:r>
          </w:p>
        </w:tc>
        <w:tc>
          <w:tcPr>
            <w:tcW w:w="740"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3348</w:t>
            </w:r>
          </w:p>
        </w:tc>
        <w:tc>
          <w:tcPr>
            <w:tcW w:w="683" w:type="dxa"/>
            <w:tcBorders>
              <w:top w:val="nil"/>
              <w:left w:val="nil"/>
              <w:bottom w:val="single" w:sz="8" w:space="0" w:color="auto"/>
              <w:right w:val="single" w:sz="8" w:space="0" w:color="auto"/>
            </w:tcBorders>
            <w:shd w:val="clear" w:color="auto" w:fill="auto"/>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3646</w:t>
            </w:r>
          </w:p>
        </w:tc>
        <w:tc>
          <w:tcPr>
            <w:tcW w:w="740"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3760</w:t>
            </w:r>
          </w:p>
        </w:tc>
        <w:tc>
          <w:tcPr>
            <w:tcW w:w="683" w:type="dxa"/>
            <w:tcBorders>
              <w:top w:val="nil"/>
              <w:left w:val="nil"/>
              <w:bottom w:val="single" w:sz="8" w:space="0" w:color="auto"/>
              <w:right w:val="single" w:sz="12" w:space="0" w:color="auto"/>
            </w:tcBorders>
            <w:shd w:val="clear" w:color="auto" w:fill="auto"/>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3382</w:t>
            </w:r>
          </w:p>
        </w:tc>
        <w:tc>
          <w:tcPr>
            <w:tcW w:w="856"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43.90%</w:t>
            </w:r>
          </w:p>
        </w:tc>
        <w:tc>
          <w:tcPr>
            <w:tcW w:w="856"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39.90%</w:t>
            </w:r>
          </w:p>
        </w:tc>
        <w:tc>
          <w:tcPr>
            <w:tcW w:w="856"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38.10%</w:t>
            </w:r>
          </w:p>
        </w:tc>
        <w:tc>
          <w:tcPr>
            <w:tcW w:w="856" w:type="dxa"/>
            <w:tcBorders>
              <w:top w:val="nil"/>
              <w:left w:val="nil"/>
              <w:bottom w:val="single" w:sz="8" w:space="0" w:color="auto"/>
              <w:right w:val="single" w:sz="8" w:space="0" w:color="auto"/>
            </w:tcBorders>
            <w:shd w:val="clear" w:color="auto" w:fill="auto"/>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38.00%</w:t>
            </w:r>
          </w:p>
        </w:tc>
        <w:tc>
          <w:tcPr>
            <w:tcW w:w="856"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38.80%</w:t>
            </w:r>
          </w:p>
        </w:tc>
        <w:tc>
          <w:tcPr>
            <w:tcW w:w="856" w:type="dxa"/>
            <w:tcBorders>
              <w:top w:val="nil"/>
              <w:left w:val="nil"/>
              <w:bottom w:val="single" w:sz="8" w:space="0" w:color="auto"/>
              <w:right w:val="single" w:sz="8" w:space="0" w:color="auto"/>
            </w:tcBorders>
            <w:shd w:val="clear" w:color="auto" w:fill="auto"/>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36.20%</w:t>
            </w:r>
          </w:p>
        </w:tc>
      </w:tr>
      <w:tr w:rsidR="00C16CFE" w:rsidTr="00C16CFE">
        <w:trPr>
          <w:trHeight w:val="78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C16CFE" w:rsidRDefault="00C16CFE">
            <w:pPr>
              <w:rPr>
                <w:rFonts w:ascii="Calibri" w:hAnsi="Calibri"/>
                <w:b/>
                <w:bCs/>
                <w:color w:val="000000"/>
                <w:sz w:val="20"/>
                <w:szCs w:val="20"/>
              </w:rPr>
            </w:pPr>
            <w:r>
              <w:rPr>
                <w:rFonts w:ascii="Calibri" w:hAnsi="Calibri"/>
                <w:b/>
                <w:bCs/>
                <w:color w:val="000000"/>
                <w:sz w:val="20"/>
                <w:szCs w:val="20"/>
              </w:rPr>
              <w:t>2-Mostly College Students, School-Day Teachers</w:t>
            </w:r>
          </w:p>
        </w:tc>
        <w:tc>
          <w:tcPr>
            <w:tcW w:w="740"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854</w:t>
            </w:r>
          </w:p>
        </w:tc>
        <w:tc>
          <w:tcPr>
            <w:tcW w:w="740"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992</w:t>
            </w:r>
          </w:p>
        </w:tc>
        <w:tc>
          <w:tcPr>
            <w:tcW w:w="740"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1035</w:t>
            </w:r>
          </w:p>
        </w:tc>
        <w:tc>
          <w:tcPr>
            <w:tcW w:w="683" w:type="dxa"/>
            <w:tcBorders>
              <w:top w:val="nil"/>
              <w:left w:val="nil"/>
              <w:bottom w:val="single" w:sz="8" w:space="0" w:color="auto"/>
              <w:right w:val="single" w:sz="8" w:space="0" w:color="auto"/>
            </w:tcBorders>
            <w:shd w:val="clear" w:color="auto" w:fill="auto"/>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1103</w:t>
            </w:r>
          </w:p>
        </w:tc>
        <w:tc>
          <w:tcPr>
            <w:tcW w:w="740"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1058</w:t>
            </w:r>
          </w:p>
        </w:tc>
        <w:tc>
          <w:tcPr>
            <w:tcW w:w="683" w:type="dxa"/>
            <w:tcBorders>
              <w:top w:val="nil"/>
              <w:left w:val="nil"/>
              <w:bottom w:val="single" w:sz="8" w:space="0" w:color="auto"/>
              <w:right w:val="single" w:sz="12" w:space="0" w:color="auto"/>
            </w:tcBorders>
            <w:shd w:val="clear" w:color="auto" w:fill="auto"/>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963</w:t>
            </w:r>
          </w:p>
        </w:tc>
        <w:tc>
          <w:tcPr>
            <w:tcW w:w="856"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9.90%</w:t>
            </w:r>
          </w:p>
        </w:tc>
        <w:tc>
          <w:tcPr>
            <w:tcW w:w="856"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11.70%</w:t>
            </w:r>
          </w:p>
        </w:tc>
        <w:tc>
          <w:tcPr>
            <w:tcW w:w="856"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11.80%</w:t>
            </w:r>
          </w:p>
        </w:tc>
        <w:tc>
          <w:tcPr>
            <w:tcW w:w="856" w:type="dxa"/>
            <w:tcBorders>
              <w:top w:val="nil"/>
              <w:left w:val="nil"/>
              <w:bottom w:val="single" w:sz="8" w:space="0" w:color="auto"/>
              <w:right w:val="single" w:sz="8" w:space="0" w:color="auto"/>
            </w:tcBorders>
            <w:shd w:val="clear" w:color="auto" w:fill="auto"/>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11.50%</w:t>
            </w:r>
          </w:p>
        </w:tc>
        <w:tc>
          <w:tcPr>
            <w:tcW w:w="856"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10.90%</w:t>
            </w:r>
          </w:p>
        </w:tc>
        <w:tc>
          <w:tcPr>
            <w:tcW w:w="856" w:type="dxa"/>
            <w:tcBorders>
              <w:top w:val="nil"/>
              <w:left w:val="nil"/>
              <w:bottom w:val="single" w:sz="8" w:space="0" w:color="auto"/>
              <w:right w:val="single" w:sz="8" w:space="0" w:color="auto"/>
            </w:tcBorders>
            <w:shd w:val="clear" w:color="auto" w:fill="auto"/>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10.30%</w:t>
            </w:r>
          </w:p>
        </w:tc>
      </w:tr>
      <w:tr w:rsidR="00C16CFE" w:rsidTr="00C16CFE">
        <w:trPr>
          <w:trHeight w:val="129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C16CFE" w:rsidRDefault="00C16CFE">
            <w:pPr>
              <w:rPr>
                <w:rFonts w:ascii="Calibri" w:hAnsi="Calibri"/>
                <w:b/>
                <w:bCs/>
                <w:color w:val="000000"/>
                <w:sz w:val="20"/>
                <w:szCs w:val="20"/>
              </w:rPr>
            </w:pPr>
            <w:r>
              <w:rPr>
                <w:rFonts w:ascii="Calibri" w:hAnsi="Calibri"/>
                <w:b/>
                <w:bCs/>
                <w:color w:val="000000"/>
                <w:sz w:val="20"/>
                <w:szCs w:val="20"/>
              </w:rPr>
              <w:t>3-Mostly Other Non-School-Day Staff without College, School-Day Teachers</w:t>
            </w:r>
          </w:p>
        </w:tc>
        <w:tc>
          <w:tcPr>
            <w:tcW w:w="740"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694</w:t>
            </w:r>
          </w:p>
        </w:tc>
        <w:tc>
          <w:tcPr>
            <w:tcW w:w="740"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689</w:t>
            </w:r>
          </w:p>
        </w:tc>
        <w:tc>
          <w:tcPr>
            <w:tcW w:w="740"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714</w:t>
            </w:r>
          </w:p>
        </w:tc>
        <w:tc>
          <w:tcPr>
            <w:tcW w:w="683" w:type="dxa"/>
            <w:tcBorders>
              <w:top w:val="nil"/>
              <w:left w:val="nil"/>
              <w:bottom w:val="single" w:sz="8" w:space="0" w:color="auto"/>
              <w:right w:val="single" w:sz="8" w:space="0" w:color="auto"/>
            </w:tcBorders>
            <w:shd w:val="clear" w:color="auto" w:fill="auto"/>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807</w:t>
            </w:r>
          </w:p>
        </w:tc>
        <w:tc>
          <w:tcPr>
            <w:tcW w:w="740"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797</w:t>
            </w:r>
          </w:p>
        </w:tc>
        <w:tc>
          <w:tcPr>
            <w:tcW w:w="683" w:type="dxa"/>
            <w:tcBorders>
              <w:top w:val="nil"/>
              <w:left w:val="nil"/>
              <w:bottom w:val="single" w:sz="8" w:space="0" w:color="auto"/>
              <w:right w:val="single" w:sz="12" w:space="0" w:color="auto"/>
            </w:tcBorders>
            <w:shd w:val="clear" w:color="auto" w:fill="auto"/>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847</w:t>
            </w:r>
          </w:p>
        </w:tc>
        <w:tc>
          <w:tcPr>
            <w:tcW w:w="856"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8.00%</w:t>
            </w:r>
          </w:p>
        </w:tc>
        <w:tc>
          <w:tcPr>
            <w:tcW w:w="856"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8.20%</w:t>
            </w:r>
          </w:p>
        </w:tc>
        <w:tc>
          <w:tcPr>
            <w:tcW w:w="856"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8.10%</w:t>
            </w:r>
          </w:p>
        </w:tc>
        <w:tc>
          <w:tcPr>
            <w:tcW w:w="856" w:type="dxa"/>
            <w:tcBorders>
              <w:top w:val="nil"/>
              <w:left w:val="nil"/>
              <w:bottom w:val="single" w:sz="8" w:space="0" w:color="auto"/>
              <w:right w:val="single" w:sz="8" w:space="0" w:color="auto"/>
            </w:tcBorders>
            <w:shd w:val="clear" w:color="auto" w:fill="auto"/>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8.40%</w:t>
            </w:r>
          </w:p>
        </w:tc>
        <w:tc>
          <w:tcPr>
            <w:tcW w:w="856"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8.20%</w:t>
            </w:r>
          </w:p>
        </w:tc>
        <w:tc>
          <w:tcPr>
            <w:tcW w:w="856" w:type="dxa"/>
            <w:tcBorders>
              <w:top w:val="nil"/>
              <w:left w:val="nil"/>
              <w:bottom w:val="single" w:sz="8" w:space="0" w:color="auto"/>
              <w:right w:val="single" w:sz="8" w:space="0" w:color="auto"/>
            </w:tcBorders>
            <w:shd w:val="clear" w:color="auto" w:fill="auto"/>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9.10%</w:t>
            </w:r>
          </w:p>
        </w:tc>
      </w:tr>
      <w:tr w:rsidR="00C16CFE" w:rsidTr="00C16CFE">
        <w:trPr>
          <w:trHeight w:val="1035"/>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C16CFE" w:rsidRDefault="00C16CFE">
            <w:pPr>
              <w:rPr>
                <w:rFonts w:ascii="Calibri" w:hAnsi="Calibri"/>
                <w:b/>
                <w:bCs/>
                <w:color w:val="000000"/>
                <w:sz w:val="20"/>
                <w:szCs w:val="20"/>
              </w:rPr>
            </w:pPr>
            <w:r>
              <w:rPr>
                <w:rFonts w:ascii="Calibri" w:hAnsi="Calibri"/>
                <w:b/>
                <w:bCs/>
                <w:color w:val="000000"/>
                <w:sz w:val="20"/>
                <w:szCs w:val="20"/>
              </w:rPr>
              <w:t>4-Mostly Non-Teaching School-Day Staff, School-Day Teachers</w:t>
            </w:r>
          </w:p>
        </w:tc>
        <w:tc>
          <w:tcPr>
            <w:tcW w:w="740"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2618</w:t>
            </w:r>
          </w:p>
        </w:tc>
        <w:tc>
          <w:tcPr>
            <w:tcW w:w="740"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2589</w:t>
            </w:r>
          </w:p>
        </w:tc>
        <w:tc>
          <w:tcPr>
            <w:tcW w:w="740"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2846</w:t>
            </w:r>
          </w:p>
        </w:tc>
        <w:tc>
          <w:tcPr>
            <w:tcW w:w="683" w:type="dxa"/>
            <w:tcBorders>
              <w:top w:val="nil"/>
              <w:left w:val="nil"/>
              <w:bottom w:val="single" w:sz="8" w:space="0" w:color="auto"/>
              <w:right w:val="single" w:sz="8" w:space="0" w:color="auto"/>
            </w:tcBorders>
            <w:shd w:val="clear" w:color="auto" w:fill="auto"/>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3054</w:t>
            </w:r>
          </w:p>
        </w:tc>
        <w:tc>
          <w:tcPr>
            <w:tcW w:w="740"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3040</w:t>
            </w:r>
          </w:p>
        </w:tc>
        <w:tc>
          <w:tcPr>
            <w:tcW w:w="683" w:type="dxa"/>
            <w:tcBorders>
              <w:top w:val="nil"/>
              <w:left w:val="nil"/>
              <w:bottom w:val="single" w:sz="8" w:space="0" w:color="auto"/>
              <w:right w:val="single" w:sz="12" w:space="0" w:color="auto"/>
            </w:tcBorders>
            <w:shd w:val="clear" w:color="auto" w:fill="auto"/>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3022</w:t>
            </w:r>
          </w:p>
        </w:tc>
        <w:tc>
          <w:tcPr>
            <w:tcW w:w="856"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30.30%</w:t>
            </w:r>
          </w:p>
        </w:tc>
        <w:tc>
          <w:tcPr>
            <w:tcW w:w="856"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30.70%</w:t>
            </w:r>
          </w:p>
        </w:tc>
        <w:tc>
          <w:tcPr>
            <w:tcW w:w="856"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32.40%</w:t>
            </w:r>
          </w:p>
        </w:tc>
        <w:tc>
          <w:tcPr>
            <w:tcW w:w="856" w:type="dxa"/>
            <w:tcBorders>
              <w:top w:val="nil"/>
              <w:left w:val="nil"/>
              <w:bottom w:val="single" w:sz="8" w:space="0" w:color="auto"/>
              <w:right w:val="single" w:sz="8" w:space="0" w:color="auto"/>
            </w:tcBorders>
            <w:shd w:val="clear" w:color="auto" w:fill="auto"/>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31.80%</w:t>
            </w:r>
          </w:p>
        </w:tc>
        <w:tc>
          <w:tcPr>
            <w:tcW w:w="856"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31.30%</w:t>
            </w:r>
          </w:p>
        </w:tc>
        <w:tc>
          <w:tcPr>
            <w:tcW w:w="856" w:type="dxa"/>
            <w:tcBorders>
              <w:top w:val="nil"/>
              <w:left w:val="nil"/>
              <w:bottom w:val="single" w:sz="8" w:space="0" w:color="auto"/>
              <w:right w:val="single" w:sz="8" w:space="0" w:color="auto"/>
            </w:tcBorders>
            <w:shd w:val="clear" w:color="auto" w:fill="auto"/>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32.30%</w:t>
            </w:r>
          </w:p>
        </w:tc>
      </w:tr>
      <w:tr w:rsidR="00C16CFE" w:rsidTr="00C16CFE">
        <w:trPr>
          <w:trHeight w:val="780"/>
        </w:trPr>
        <w:tc>
          <w:tcPr>
            <w:tcW w:w="1620" w:type="dxa"/>
            <w:tcBorders>
              <w:top w:val="nil"/>
              <w:left w:val="single" w:sz="8" w:space="0" w:color="auto"/>
              <w:bottom w:val="single" w:sz="8" w:space="0" w:color="auto"/>
              <w:right w:val="single" w:sz="8" w:space="0" w:color="auto"/>
            </w:tcBorders>
            <w:shd w:val="clear" w:color="auto" w:fill="auto"/>
            <w:vAlign w:val="center"/>
            <w:hideMark/>
          </w:tcPr>
          <w:p w:rsidR="00C16CFE" w:rsidRDefault="00C16CFE">
            <w:pPr>
              <w:rPr>
                <w:rFonts w:ascii="Calibri" w:hAnsi="Calibri"/>
                <w:b/>
                <w:bCs/>
                <w:color w:val="000000"/>
                <w:sz w:val="20"/>
                <w:szCs w:val="20"/>
              </w:rPr>
            </w:pPr>
            <w:r>
              <w:rPr>
                <w:rFonts w:ascii="Calibri" w:hAnsi="Calibri"/>
                <w:b/>
                <w:bCs/>
                <w:color w:val="000000"/>
                <w:sz w:val="20"/>
                <w:szCs w:val="20"/>
              </w:rPr>
              <w:t>5-Mostly YD Workers, Other Staff</w:t>
            </w:r>
          </w:p>
        </w:tc>
        <w:tc>
          <w:tcPr>
            <w:tcW w:w="740"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678</w:t>
            </w:r>
          </w:p>
        </w:tc>
        <w:tc>
          <w:tcPr>
            <w:tcW w:w="740"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806</w:t>
            </w:r>
          </w:p>
        </w:tc>
        <w:tc>
          <w:tcPr>
            <w:tcW w:w="740"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848</w:t>
            </w:r>
          </w:p>
        </w:tc>
        <w:tc>
          <w:tcPr>
            <w:tcW w:w="683" w:type="dxa"/>
            <w:tcBorders>
              <w:top w:val="nil"/>
              <w:left w:val="nil"/>
              <w:bottom w:val="single" w:sz="8" w:space="0" w:color="auto"/>
              <w:right w:val="single" w:sz="8" w:space="0" w:color="auto"/>
            </w:tcBorders>
            <w:shd w:val="clear" w:color="auto" w:fill="auto"/>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988</w:t>
            </w:r>
          </w:p>
        </w:tc>
        <w:tc>
          <w:tcPr>
            <w:tcW w:w="740"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1048</w:t>
            </w:r>
          </w:p>
        </w:tc>
        <w:tc>
          <w:tcPr>
            <w:tcW w:w="683" w:type="dxa"/>
            <w:tcBorders>
              <w:top w:val="nil"/>
              <w:left w:val="nil"/>
              <w:bottom w:val="single" w:sz="8" w:space="0" w:color="auto"/>
              <w:right w:val="single" w:sz="12" w:space="0" w:color="auto"/>
            </w:tcBorders>
            <w:shd w:val="clear" w:color="auto" w:fill="auto"/>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1129</w:t>
            </w:r>
          </w:p>
        </w:tc>
        <w:tc>
          <w:tcPr>
            <w:tcW w:w="856"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7.80%</w:t>
            </w:r>
          </w:p>
        </w:tc>
        <w:tc>
          <w:tcPr>
            <w:tcW w:w="856"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9.50%</w:t>
            </w:r>
          </w:p>
        </w:tc>
        <w:tc>
          <w:tcPr>
            <w:tcW w:w="856"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9.60%</w:t>
            </w:r>
          </w:p>
        </w:tc>
        <w:tc>
          <w:tcPr>
            <w:tcW w:w="856" w:type="dxa"/>
            <w:tcBorders>
              <w:top w:val="nil"/>
              <w:left w:val="nil"/>
              <w:bottom w:val="single" w:sz="8" w:space="0" w:color="auto"/>
              <w:right w:val="single" w:sz="8" w:space="0" w:color="auto"/>
            </w:tcBorders>
            <w:shd w:val="clear" w:color="auto" w:fill="auto"/>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10.30%</w:t>
            </w:r>
          </w:p>
        </w:tc>
        <w:tc>
          <w:tcPr>
            <w:tcW w:w="856" w:type="dxa"/>
            <w:tcBorders>
              <w:top w:val="nil"/>
              <w:left w:val="nil"/>
              <w:bottom w:val="single" w:sz="8" w:space="0" w:color="auto"/>
              <w:right w:val="single" w:sz="8" w:space="0" w:color="auto"/>
            </w:tcBorders>
            <w:shd w:val="clear" w:color="auto" w:fill="auto"/>
            <w:noWrap/>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10.80%</w:t>
            </w:r>
          </w:p>
        </w:tc>
        <w:tc>
          <w:tcPr>
            <w:tcW w:w="856" w:type="dxa"/>
            <w:tcBorders>
              <w:top w:val="nil"/>
              <w:left w:val="nil"/>
              <w:bottom w:val="single" w:sz="8" w:space="0" w:color="auto"/>
              <w:right w:val="single" w:sz="8" w:space="0" w:color="auto"/>
            </w:tcBorders>
            <w:shd w:val="clear" w:color="auto" w:fill="auto"/>
            <w:vAlign w:val="center"/>
            <w:hideMark/>
          </w:tcPr>
          <w:p w:rsidR="00C16CFE" w:rsidRDefault="00C16CFE">
            <w:pPr>
              <w:jc w:val="center"/>
              <w:rPr>
                <w:rFonts w:ascii="Calibri" w:hAnsi="Calibri"/>
                <w:color w:val="000000"/>
                <w:sz w:val="20"/>
                <w:szCs w:val="20"/>
              </w:rPr>
            </w:pPr>
            <w:r>
              <w:rPr>
                <w:rFonts w:ascii="Calibri" w:hAnsi="Calibri"/>
                <w:color w:val="000000"/>
                <w:sz w:val="20"/>
                <w:szCs w:val="20"/>
              </w:rPr>
              <w:t>12.10%</w:t>
            </w:r>
          </w:p>
        </w:tc>
      </w:tr>
    </w:tbl>
    <w:p w:rsidR="00C16CFE" w:rsidRPr="00F456AA" w:rsidRDefault="00C16CFE" w:rsidP="00F456AA">
      <w:pPr>
        <w:jc w:val="center"/>
        <w:rPr>
          <w:b/>
        </w:rPr>
      </w:pPr>
    </w:p>
    <w:p w:rsidR="00856B7B" w:rsidRPr="00D07AC9" w:rsidRDefault="00856B7B" w:rsidP="00856B7B">
      <w:pPr>
        <w:rPr>
          <w:rFonts w:ascii="Calibri" w:hAnsi="Calibri"/>
          <w:sz w:val="20"/>
          <w:szCs w:val="20"/>
          <w:highlight w:val="yellow"/>
        </w:rPr>
      </w:pPr>
    </w:p>
    <w:p w:rsidR="007E61F0" w:rsidRPr="005E5D60" w:rsidRDefault="007E61F0" w:rsidP="00615E0F">
      <w:pPr>
        <w:pStyle w:val="Caption"/>
        <w:spacing w:after="120"/>
        <w:jc w:val="left"/>
        <w:rPr>
          <w:b w:val="0"/>
          <w:highlight w:val="red"/>
        </w:rPr>
      </w:pPr>
      <w:r w:rsidRPr="00C53186">
        <w:rPr>
          <w:b w:val="0"/>
        </w:rPr>
        <w:lastRenderedPageBreak/>
        <w:t>T</w:t>
      </w:r>
      <w:r w:rsidR="00990BF6" w:rsidRPr="00C53186">
        <w:rPr>
          <w:b w:val="0"/>
        </w:rPr>
        <w:t>he overall distribution of center</w:t>
      </w:r>
      <w:r w:rsidR="00EE5302" w:rsidRPr="00C53186">
        <w:rPr>
          <w:b w:val="0"/>
        </w:rPr>
        <w:t>s</w:t>
      </w:r>
      <w:r w:rsidR="00990BF6" w:rsidRPr="00C53186">
        <w:rPr>
          <w:b w:val="0"/>
        </w:rPr>
        <w:t xml:space="preserve"> across each of the categories identif</w:t>
      </w:r>
      <w:r w:rsidR="00034938" w:rsidRPr="00C53186">
        <w:rPr>
          <w:b w:val="0"/>
        </w:rPr>
        <w:t>ied in</w:t>
      </w:r>
      <w:r w:rsidR="0048775D" w:rsidRPr="00C53186">
        <w:rPr>
          <w:b w:val="0"/>
        </w:rPr>
        <w:t xml:space="preserve"> Figure 3</w:t>
      </w:r>
      <w:r w:rsidR="00034938" w:rsidRPr="00C53186">
        <w:rPr>
          <w:b w:val="0"/>
        </w:rPr>
        <w:t xml:space="preserve"> </w:t>
      </w:r>
      <w:r w:rsidR="00EE5302" w:rsidRPr="00C53186">
        <w:rPr>
          <w:b w:val="0"/>
        </w:rPr>
        <w:t xml:space="preserve">was </w:t>
      </w:r>
      <w:r w:rsidR="00990BF6" w:rsidRPr="00C53186">
        <w:rPr>
          <w:b w:val="0"/>
        </w:rPr>
        <w:t xml:space="preserve">consistent across the </w:t>
      </w:r>
      <w:r w:rsidR="00723B47" w:rsidRPr="00C53186">
        <w:rPr>
          <w:b w:val="0"/>
        </w:rPr>
        <w:t>2007-</w:t>
      </w:r>
      <w:r w:rsidR="005254C8" w:rsidRPr="00C53186">
        <w:rPr>
          <w:b w:val="0"/>
        </w:rPr>
        <w:t>08</w:t>
      </w:r>
      <w:r w:rsidR="00615E0F" w:rsidRPr="00C53186">
        <w:rPr>
          <w:b w:val="0"/>
        </w:rPr>
        <w:t>, 2008-09</w:t>
      </w:r>
      <w:r w:rsidR="009550D9" w:rsidRPr="00C53186">
        <w:rPr>
          <w:b w:val="0"/>
        </w:rPr>
        <w:t>, 2009-10</w:t>
      </w:r>
      <w:r w:rsidR="0048775D" w:rsidRPr="00C53186">
        <w:rPr>
          <w:b w:val="0"/>
        </w:rPr>
        <w:t>, 2010-11</w:t>
      </w:r>
      <w:r w:rsidRPr="00C53186">
        <w:rPr>
          <w:b w:val="0"/>
        </w:rPr>
        <w:t>, 2011-12</w:t>
      </w:r>
      <w:r w:rsidR="00ED01FC" w:rsidRPr="00C53186">
        <w:rPr>
          <w:b w:val="0"/>
        </w:rPr>
        <w:t>, and 2012-13</w:t>
      </w:r>
      <w:r w:rsidR="00990BF6" w:rsidRPr="00C53186">
        <w:rPr>
          <w:b w:val="0"/>
        </w:rPr>
        <w:t xml:space="preserve"> reporting periods. </w:t>
      </w:r>
      <w:r w:rsidR="00BE49CE" w:rsidRPr="00333260">
        <w:rPr>
          <w:b w:val="0"/>
        </w:rPr>
        <w:t>Here again</w:t>
      </w:r>
      <w:r w:rsidR="00990BF6" w:rsidRPr="00333260">
        <w:rPr>
          <w:b w:val="0"/>
        </w:rPr>
        <w:t>,</w:t>
      </w:r>
      <w:r w:rsidR="00BE49CE" w:rsidRPr="00333260">
        <w:rPr>
          <w:b w:val="0"/>
        </w:rPr>
        <w:t xml:space="preserve"> an effort </w:t>
      </w:r>
      <w:r w:rsidR="00625750" w:rsidRPr="00333260">
        <w:rPr>
          <w:b w:val="0"/>
        </w:rPr>
        <w:t xml:space="preserve">also </w:t>
      </w:r>
      <w:r w:rsidR="00BE49CE" w:rsidRPr="00333260">
        <w:rPr>
          <w:b w:val="0"/>
        </w:rPr>
        <w:t>was made to explore how likely it was that</w:t>
      </w:r>
      <w:r w:rsidR="00990BF6" w:rsidRPr="00333260">
        <w:rPr>
          <w:b w:val="0"/>
        </w:rPr>
        <w:t xml:space="preserve"> a center would move from one cluster to another between </w:t>
      </w:r>
      <w:r w:rsidR="00C35E12" w:rsidRPr="00333260">
        <w:rPr>
          <w:b w:val="0"/>
        </w:rPr>
        <w:t xml:space="preserve">the </w:t>
      </w:r>
      <w:r w:rsidR="00990BF6" w:rsidRPr="00333260">
        <w:rPr>
          <w:b w:val="0"/>
        </w:rPr>
        <w:t>years</w:t>
      </w:r>
      <w:r w:rsidR="00ED01FC" w:rsidRPr="00333260">
        <w:rPr>
          <w:b w:val="0"/>
        </w:rPr>
        <w:t xml:space="preserve"> (beginning with 2009-10). </w:t>
      </w:r>
      <w:r w:rsidR="00BE49CE" w:rsidRPr="00333260">
        <w:rPr>
          <w:b w:val="0"/>
        </w:rPr>
        <w:t xml:space="preserve">In this case, it was found that </w:t>
      </w:r>
      <w:r w:rsidR="008B2E5E">
        <w:rPr>
          <w:b w:val="0"/>
        </w:rPr>
        <w:t>45</w:t>
      </w:r>
      <w:r w:rsidR="008B2E5E" w:rsidRPr="00333260">
        <w:rPr>
          <w:b w:val="0"/>
        </w:rPr>
        <w:t xml:space="preserve"> </w:t>
      </w:r>
      <w:r w:rsidR="00990BF6" w:rsidRPr="00333260">
        <w:rPr>
          <w:b w:val="0"/>
        </w:rPr>
        <w:t>percent of centers moved from</w:t>
      </w:r>
      <w:r w:rsidR="00ED01FC" w:rsidRPr="00333260">
        <w:rPr>
          <w:b w:val="0"/>
        </w:rPr>
        <w:t xml:space="preserve"> one cluster to another </w:t>
      </w:r>
      <w:proofErr w:type="gramStart"/>
      <w:r w:rsidR="00ED01FC" w:rsidRPr="00333260">
        <w:rPr>
          <w:b w:val="0"/>
        </w:rPr>
        <w:t xml:space="preserve">between </w:t>
      </w:r>
      <w:r w:rsidR="00990BF6" w:rsidRPr="00333260">
        <w:rPr>
          <w:b w:val="0"/>
        </w:rPr>
        <w:t>200</w:t>
      </w:r>
      <w:r w:rsidR="005E5D60" w:rsidRPr="00333260">
        <w:rPr>
          <w:b w:val="0"/>
        </w:rPr>
        <w:t>9</w:t>
      </w:r>
      <w:r w:rsidR="00DA4C06" w:rsidRPr="00333260">
        <w:rPr>
          <w:b w:val="0"/>
        </w:rPr>
        <w:t>–</w:t>
      </w:r>
      <w:r w:rsidR="005E5D60" w:rsidRPr="00333260">
        <w:rPr>
          <w:b w:val="0"/>
        </w:rPr>
        <w:t>10</w:t>
      </w:r>
      <w:proofErr w:type="gramEnd"/>
      <w:r w:rsidR="00990BF6" w:rsidRPr="00333260">
        <w:rPr>
          <w:b w:val="0"/>
        </w:rPr>
        <w:t xml:space="preserve"> and </w:t>
      </w:r>
      <w:r w:rsidR="005254C8" w:rsidRPr="00333260">
        <w:rPr>
          <w:b w:val="0"/>
        </w:rPr>
        <w:t>20</w:t>
      </w:r>
      <w:r w:rsidR="0048775D" w:rsidRPr="00333260">
        <w:rPr>
          <w:b w:val="0"/>
        </w:rPr>
        <w:t>1</w:t>
      </w:r>
      <w:r w:rsidR="005E5D60" w:rsidRPr="00333260">
        <w:rPr>
          <w:b w:val="0"/>
        </w:rPr>
        <w:t>2</w:t>
      </w:r>
      <w:r w:rsidR="005254C8" w:rsidRPr="00333260">
        <w:rPr>
          <w:b w:val="0"/>
        </w:rPr>
        <w:t>–</w:t>
      </w:r>
      <w:r w:rsidR="00C02E53" w:rsidRPr="00333260">
        <w:rPr>
          <w:b w:val="0"/>
        </w:rPr>
        <w:t>1</w:t>
      </w:r>
      <w:r w:rsidR="005E5D60" w:rsidRPr="00333260">
        <w:rPr>
          <w:b w:val="0"/>
        </w:rPr>
        <w:t>3</w:t>
      </w:r>
      <w:r w:rsidR="00C35E12" w:rsidRPr="00333260">
        <w:rPr>
          <w:b w:val="0"/>
        </w:rPr>
        <w:t>,</w:t>
      </w:r>
      <w:r w:rsidR="00AF5FA3" w:rsidRPr="00333260">
        <w:rPr>
          <w:b w:val="0"/>
        </w:rPr>
        <w:t xml:space="preserve"> </w:t>
      </w:r>
      <w:r w:rsidR="008B2E5E">
        <w:rPr>
          <w:b w:val="0"/>
        </w:rPr>
        <w:t>43</w:t>
      </w:r>
      <w:r w:rsidR="00AF5FA3" w:rsidRPr="00333260">
        <w:rPr>
          <w:b w:val="0"/>
        </w:rPr>
        <w:t xml:space="preserve"> percent of centers moved from one cluster to another between 20</w:t>
      </w:r>
      <w:r w:rsidR="005E5D60" w:rsidRPr="00333260">
        <w:rPr>
          <w:b w:val="0"/>
        </w:rPr>
        <w:t>10</w:t>
      </w:r>
      <w:r w:rsidR="00AF5FA3" w:rsidRPr="00333260">
        <w:rPr>
          <w:b w:val="0"/>
        </w:rPr>
        <w:t>-</w:t>
      </w:r>
      <w:r w:rsidRPr="00333260">
        <w:rPr>
          <w:b w:val="0"/>
        </w:rPr>
        <w:t>1</w:t>
      </w:r>
      <w:r w:rsidR="005E5D60" w:rsidRPr="00333260">
        <w:rPr>
          <w:b w:val="0"/>
        </w:rPr>
        <w:t>1</w:t>
      </w:r>
      <w:r w:rsidR="00AF5FA3" w:rsidRPr="00333260">
        <w:rPr>
          <w:b w:val="0"/>
        </w:rPr>
        <w:t xml:space="preserve"> and 20</w:t>
      </w:r>
      <w:r w:rsidR="0048775D" w:rsidRPr="00333260">
        <w:rPr>
          <w:b w:val="0"/>
        </w:rPr>
        <w:t>1</w:t>
      </w:r>
      <w:r w:rsidR="005E5D60" w:rsidRPr="00333260">
        <w:rPr>
          <w:b w:val="0"/>
        </w:rPr>
        <w:t>2</w:t>
      </w:r>
      <w:r w:rsidR="00AF5FA3" w:rsidRPr="00333260">
        <w:rPr>
          <w:b w:val="0"/>
        </w:rPr>
        <w:t>-</w:t>
      </w:r>
      <w:r w:rsidR="00F31CAD" w:rsidRPr="00333260">
        <w:rPr>
          <w:b w:val="0"/>
        </w:rPr>
        <w:t>1</w:t>
      </w:r>
      <w:r w:rsidR="005E5D60" w:rsidRPr="00333260">
        <w:rPr>
          <w:b w:val="0"/>
        </w:rPr>
        <w:t>3</w:t>
      </w:r>
      <w:r w:rsidR="00525197" w:rsidRPr="00333260">
        <w:rPr>
          <w:b w:val="0"/>
        </w:rPr>
        <w:t xml:space="preserve">, and </w:t>
      </w:r>
      <w:r w:rsidR="008B2E5E">
        <w:rPr>
          <w:b w:val="0"/>
        </w:rPr>
        <w:t>36</w:t>
      </w:r>
      <w:r w:rsidR="00525197" w:rsidRPr="00333260">
        <w:rPr>
          <w:b w:val="0"/>
        </w:rPr>
        <w:t xml:space="preserve"> percent of centers moved from on</w:t>
      </w:r>
      <w:r w:rsidRPr="00333260">
        <w:rPr>
          <w:b w:val="0"/>
        </w:rPr>
        <w:t>e cluster to another betwee</w:t>
      </w:r>
      <w:r w:rsidR="005E5D60" w:rsidRPr="00333260">
        <w:rPr>
          <w:b w:val="0"/>
        </w:rPr>
        <w:t>n 2011</w:t>
      </w:r>
      <w:r w:rsidR="0048775D" w:rsidRPr="00333260">
        <w:rPr>
          <w:b w:val="0"/>
        </w:rPr>
        <w:t>-1</w:t>
      </w:r>
      <w:r w:rsidR="005E5D60" w:rsidRPr="00333260">
        <w:rPr>
          <w:b w:val="0"/>
        </w:rPr>
        <w:t>2</w:t>
      </w:r>
      <w:r w:rsidR="00525197" w:rsidRPr="00333260">
        <w:rPr>
          <w:b w:val="0"/>
        </w:rPr>
        <w:t xml:space="preserve"> and 20</w:t>
      </w:r>
      <w:r w:rsidR="0048775D" w:rsidRPr="00333260">
        <w:rPr>
          <w:b w:val="0"/>
        </w:rPr>
        <w:t>1</w:t>
      </w:r>
      <w:r w:rsidR="005E5D60" w:rsidRPr="00333260">
        <w:rPr>
          <w:b w:val="0"/>
        </w:rPr>
        <w:t>2</w:t>
      </w:r>
      <w:r w:rsidR="00525197" w:rsidRPr="00333260">
        <w:rPr>
          <w:b w:val="0"/>
        </w:rPr>
        <w:t>-</w:t>
      </w:r>
      <w:r w:rsidR="00F31CAD" w:rsidRPr="00333260">
        <w:rPr>
          <w:b w:val="0"/>
        </w:rPr>
        <w:t>1</w:t>
      </w:r>
      <w:r w:rsidR="005E5D60" w:rsidRPr="00333260">
        <w:rPr>
          <w:b w:val="0"/>
        </w:rPr>
        <w:t>3</w:t>
      </w:r>
      <w:r w:rsidR="00AF5FA3" w:rsidRPr="00333260">
        <w:rPr>
          <w:b w:val="0"/>
        </w:rPr>
        <w:t>.</w:t>
      </w:r>
      <w:r w:rsidR="00913470" w:rsidRPr="00333260">
        <w:rPr>
          <w:b w:val="0"/>
        </w:rPr>
        <w:t xml:space="preserve"> </w:t>
      </w:r>
    </w:p>
    <w:p w:rsidR="004D5829" w:rsidRPr="000831A2" w:rsidRDefault="004D5829">
      <w:pPr>
        <w:rPr>
          <w:b/>
          <w:sz w:val="28"/>
          <w:szCs w:val="28"/>
        </w:rPr>
      </w:pPr>
      <w:bookmarkStart w:id="33" w:name="_Toc248907005"/>
    </w:p>
    <w:p w:rsidR="00990BF6" w:rsidRPr="000831A2" w:rsidRDefault="00990BF6" w:rsidP="00A50F56">
      <w:pPr>
        <w:pStyle w:val="Heading2"/>
      </w:pPr>
      <w:bookmarkStart w:id="34" w:name="_Toc446063955"/>
      <w:r w:rsidRPr="000831A2">
        <w:t>Grade Level Served</w:t>
      </w:r>
      <w:bookmarkEnd w:id="33"/>
      <w:bookmarkEnd w:id="34"/>
    </w:p>
    <w:p w:rsidR="00990BF6" w:rsidRPr="000831A2" w:rsidRDefault="00990BF6">
      <w:pPr>
        <w:rPr>
          <w:b/>
        </w:rPr>
      </w:pPr>
    </w:p>
    <w:p w:rsidR="00687506" w:rsidRPr="000831A2" w:rsidRDefault="007D51EF">
      <w:r w:rsidRPr="000831A2">
        <w:t>This section provides an overview of the extent to which 21st CCLC programs served students from each grade level.</w:t>
      </w:r>
    </w:p>
    <w:p w:rsidR="005C5B42" w:rsidRPr="00D07AC9" w:rsidRDefault="005C5B42">
      <w:pPr>
        <w:rPr>
          <w:highlight w:val="yellow"/>
        </w:rPr>
      </w:pPr>
    </w:p>
    <w:p w:rsidR="00D073A7" w:rsidRPr="000831A2" w:rsidRDefault="00D073A7" w:rsidP="00A50F56">
      <w:pPr>
        <w:pStyle w:val="Heading3"/>
      </w:pPr>
      <w:bookmarkStart w:id="35" w:name="_Toc248907006"/>
      <w:bookmarkStart w:id="36" w:name="_Toc446063956"/>
      <w:r w:rsidRPr="000831A2">
        <w:t>Students and Grade Level</w:t>
      </w:r>
      <w:bookmarkEnd w:id="35"/>
      <w:bookmarkEnd w:id="36"/>
    </w:p>
    <w:p w:rsidR="004F0020" w:rsidRPr="000831A2" w:rsidRDefault="004F0020"/>
    <w:p w:rsidR="00453E30" w:rsidRPr="000831A2" w:rsidRDefault="006251FD">
      <w:r>
        <w:t xml:space="preserve">Table </w:t>
      </w:r>
      <w:r w:rsidR="00B8721C">
        <w:t>1</w:t>
      </w:r>
      <w:r>
        <w:t>0</w:t>
      </w:r>
      <w:r w:rsidR="004F0020" w:rsidRPr="000831A2">
        <w:t xml:space="preserve"> </w:t>
      </w:r>
      <w:r w:rsidR="00A44909" w:rsidRPr="000831A2">
        <w:t>shows the number of students served per grade level in 20</w:t>
      </w:r>
      <w:r w:rsidR="00373EF3" w:rsidRPr="000831A2">
        <w:t>1</w:t>
      </w:r>
      <w:r w:rsidR="000831A2" w:rsidRPr="000831A2">
        <w:t>2</w:t>
      </w:r>
      <w:r w:rsidR="006A38C9" w:rsidRPr="000831A2">
        <w:t>-</w:t>
      </w:r>
      <w:r w:rsidR="00A1228E" w:rsidRPr="000831A2">
        <w:t>1</w:t>
      </w:r>
      <w:r w:rsidR="000831A2" w:rsidRPr="000831A2">
        <w:t>3</w:t>
      </w:r>
      <w:r w:rsidR="007D51EF" w:rsidRPr="000831A2">
        <w:t xml:space="preserve">. </w:t>
      </w:r>
      <w:r w:rsidR="009A5FD0" w:rsidRPr="000831A2">
        <w:t>T</w:t>
      </w:r>
      <w:r w:rsidR="00A44909" w:rsidRPr="000831A2">
        <w:t xml:space="preserve">he distribution </w:t>
      </w:r>
      <w:r w:rsidR="00A5504D">
        <w:t>is broad with grades three through seven</w:t>
      </w:r>
      <w:r w:rsidR="00A44909" w:rsidRPr="000831A2">
        <w:t xml:space="preserve"> having the highest total</w:t>
      </w:r>
      <w:r w:rsidR="007D51EF" w:rsidRPr="000831A2">
        <w:t xml:space="preserve"> number of students attending. </w:t>
      </w:r>
      <w:r w:rsidR="00A5504D">
        <w:t>Students from e</w:t>
      </w:r>
      <w:r w:rsidR="00A44909" w:rsidRPr="000831A2">
        <w:t xml:space="preserve">ach </w:t>
      </w:r>
      <w:r w:rsidR="00A5504D">
        <w:t>of the</w:t>
      </w:r>
      <w:r w:rsidR="00A44909" w:rsidRPr="000831A2">
        <w:t>se grad</w:t>
      </w:r>
      <w:r w:rsidR="007D51EF" w:rsidRPr="000831A2">
        <w:t xml:space="preserve">es account for </w:t>
      </w:r>
      <w:r w:rsidR="00EE6425" w:rsidRPr="000831A2">
        <w:t>approximately</w:t>
      </w:r>
      <w:r w:rsidR="007D51EF" w:rsidRPr="000831A2">
        <w:t xml:space="preserve"> </w:t>
      </w:r>
      <w:r w:rsidR="00A5504D">
        <w:t>nine</w:t>
      </w:r>
      <w:r w:rsidR="007D51EF" w:rsidRPr="000831A2">
        <w:t xml:space="preserve"> percent of all student attendees. </w:t>
      </w:r>
      <w:r w:rsidR="00A44909" w:rsidRPr="000831A2">
        <w:t xml:space="preserve">Students who attend programming for 30 days or more are </w:t>
      </w:r>
      <w:r w:rsidR="00A5504D">
        <w:t xml:space="preserve">categorized in PPICS as </w:t>
      </w:r>
      <w:r w:rsidR="00A44909" w:rsidRPr="000831A2">
        <w:rPr>
          <w:i/>
        </w:rPr>
        <w:t>regular attendee</w:t>
      </w:r>
      <w:r w:rsidR="009A5FD0" w:rsidRPr="000831A2">
        <w:rPr>
          <w:i/>
        </w:rPr>
        <w:t>s</w:t>
      </w:r>
      <w:r w:rsidR="007D51EF" w:rsidRPr="000831A2">
        <w:t xml:space="preserve">. </w:t>
      </w:r>
      <w:r w:rsidR="00A44909" w:rsidRPr="000831A2">
        <w:t>As shown in</w:t>
      </w:r>
      <w:r>
        <w:t xml:space="preserve"> Table </w:t>
      </w:r>
      <w:r w:rsidR="00B8721C">
        <w:t>1</w:t>
      </w:r>
      <w:r>
        <w:t>0</w:t>
      </w:r>
      <w:r w:rsidR="00A5504D">
        <w:t>, grades two through six</w:t>
      </w:r>
      <w:r w:rsidR="00A44909" w:rsidRPr="000831A2">
        <w:t xml:space="preserve"> have the highest number of regular attendees with each </w:t>
      </w:r>
      <w:r w:rsidR="00467F64" w:rsidRPr="000831A2">
        <w:t xml:space="preserve">grade level </w:t>
      </w:r>
      <w:r w:rsidR="007D51EF" w:rsidRPr="000831A2">
        <w:t xml:space="preserve">accounting for over </w:t>
      </w:r>
      <w:r w:rsidR="00A5504D">
        <w:t>nine</w:t>
      </w:r>
      <w:r w:rsidR="007D51EF" w:rsidRPr="000831A2">
        <w:t xml:space="preserve"> percent</w:t>
      </w:r>
      <w:r w:rsidR="00A44909" w:rsidRPr="000831A2">
        <w:t xml:space="preserve"> of all regular attendees.</w:t>
      </w:r>
    </w:p>
    <w:p w:rsidR="00453E30" w:rsidRPr="00D07AC9" w:rsidRDefault="00453E30">
      <w:pPr>
        <w:rPr>
          <w:highlight w:val="yellow"/>
        </w:rPr>
      </w:pPr>
    </w:p>
    <w:p w:rsidR="00350565" w:rsidRPr="00D07AC9" w:rsidRDefault="00350565">
      <w:pPr>
        <w:rPr>
          <w:b/>
          <w:bCs/>
          <w:szCs w:val="20"/>
          <w:highlight w:val="yellow"/>
        </w:rPr>
      </w:pPr>
      <w:bookmarkStart w:id="37" w:name="_Ref248834056"/>
      <w:r w:rsidRPr="00D07AC9">
        <w:rPr>
          <w:highlight w:val="yellow"/>
        </w:rPr>
        <w:br w:type="page"/>
      </w:r>
    </w:p>
    <w:p w:rsidR="00453E30" w:rsidRDefault="00453E30" w:rsidP="006807A4">
      <w:pPr>
        <w:pStyle w:val="Caption"/>
        <w:spacing w:after="120"/>
      </w:pPr>
      <w:proofErr w:type="gramStart"/>
      <w:r w:rsidRPr="00F86BF0">
        <w:lastRenderedPageBreak/>
        <w:t>Table</w:t>
      </w:r>
      <w:bookmarkEnd w:id="37"/>
      <w:r w:rsidR="006251FD">
        <w:t xml:space="preserve"> </w:t>
      </w:r>
      <w:r w:rsidR="00F217BF">
        <w:t>1</w:t>
      </w:r>
      <w:r w:rsidR="006251FD">
        <w:t>0</w:t>
      </w:r>
      <w:r w:rsidR="00EB5317" w:rsidRPr="00F86BF0">
        <w:t>.</w:t>
      </w:r>
      <w:proofErr w:type="gramEnd"/>
      <w:r w:rsidRPr="00F86BF0">
        <w:t xml:space="preserve"> </w:t>
      </w:r>
      <w:r w:rsidR="00935651" w:rsidRPr="00F86BF0">
        <w:t>Students p</w:t>
      </w:r>
      <w:r w:rsidRPr="00F86BF0">
        <w:t>er Grade Level in 20</w:t>
      </w:r>
      <w:r w:rsidR="00851385">
        <w:t>12</w:t>
      </w:r>
      <w:r w:rsidR="006A38C9" w:rsidRPr="00F86BF0">
        <w:t>-</w:t>
      </w:r>
      <w:r w:rsidR="00C70B65" w:rsidRPr="00F86BF0">
        <w:t>1</w:t>
      </w:r>
      <w:r w:rsidR="00F86BF0" w:rsidRPr="00F86BF0">
        <w:t>3</w:t>
      </w:r>
    </w:p>
    <w:tbl>
      <w:tblPr>
        <w:tblW w:w="9286" w:type="dxa"/>
        <w:tblInd w:w="93" w:type="dxa"/>
        <w:tblLook w:val="04A0" w:firstRow="1" w:lastRow="0" w:firstColumn="1" w:lastColumn="0" w:noHBand="0" w:noVBand="1"/>
      </w:tblPr>
      <w:tblGrid>
        <w:gridCol w:w="1254"/>
        <w:gridCol w:w="1791"/>
        <w:gridCol w:w="2225"/>
        <w:gridCol w:w="1791"/>
        <w:gridCol w:w="2225"/>
      </w:tblGrid>
      <w:tr w:rsidR="00B25FD5" w:rsidTr="00B25FD5">
        <w:trPr>
          <w:trHeight w:val="1556"/>
        </w:trPr>
        <w:tc>
          <w:tcPr>
            <w:tcW w:w="1254" w:type="dxa"/>
            <w:tcBorders>
              <w:top w:val="single" w:sz="8" w:space="0" w:color="auto"/>
              <w:left w:val="single" w:sz="8" w:space="0" w:color="auto"/>
              <w:bottom w:val="single" w:sz="8" w:space="0" w:color="auto"/>
              <w:right w:val="single" w:sz="8" w:space="0" w:color="auto"/>
            </w:tcBorders>
            <w:shd w:val="clear" w:color="000000" w:fill="595959"/>
            <w:noWrap/>
            <w:vAlign w:val="center"/>
            <w:hideMark/>
          </w:tcPr>
          <w:p w:rsidR="00B25FD5" w:rsidRDefault="00B25FD5">
            <w:pPr>
              <w:jc w:val="center"/>
              <w:rPr>
                <w:rFonts w:ascii="Calibri" w:hAnsi="Calibri"/>
                <w:b/>
                <w:bCs/>
                <w:color w:val="FFFFFF"/>
                <w:sz w:val="22"/>
                <w:szCs w:val="22"/>
              </w:rPr>
            </w:pPr>
            <w:r>
              <w:rPr>
                <w:rFonts w:ascii="Calibri" w:hAnsi="Calibri"/>
                <w:b/>
                <w:bCs/>
                <w:color w:val="FFFFFF"/>
                <w:sz w:val="22"/>
                <w:szCs w:val="22"/>
              </w:rPr>
              <w:t>Grade Level</w:t>
            </w:r>
          </w:p>
        </w:tc>
        <w:tc>
          <w:tcPr>
            <w:tcW w:w="1791" w:type="dxa"/>
            <w:tcBorders>
              <w:top w:val="single" w:sz="8" w:space="0" w:color="auto"/>
              <w:left w:val="nil"/>
              <w:bottom w:val="single" w:sz="8" w:space="0" w:color="auto"/>
              <w:right w:val="single" w:sz="8" w:space="0" w:color="auto"/>
            </w:tcBorders>
            <w:shd w:val="clear" w:color="000000" w:fill="BFBFBF"/>
            <w:vAlign w:val="center"/>
            <w:hideMark/>
          </w:tcPr>
          <w:p w:rsidR="00B25FD5" w:rsidRDefault="00B25FD5" w:rsidP="00B25FD5">
            <w:pPr>
              <w:jc w:val="center"/>
              <w:rPr>
                <w:rFonts w:ascii="Calibri" w:hAnsi="Calibri"/>
                <w:b/>
                <w:bCs/>
                <w:color w:val="000000"/>
                <w:sz w:val="20"/>
                <w:szCs w:val="20"/>
              </w:rPr>
            </w:pPr>
            <w:r>
              <w:rPr>
                <w:rFonts w:ascii="Calibri" w:hAnsi="Calibri"/>
                <w:b/>
                <w:bCs/>
                <w:color w:val="000000"/>
                <w:sz w:val="20"/>
                <w:szCs w:val="20"/>
              </w:rPr>
              <w:t>(Total of Students Attendees) Number of Students</w:t>
            </w:r>
          </w:p>
        </w:tc>
        <w:tc>
          <w:tcPr>
            <w:tcW w:w="2225" w:type="dxa"/>
            <w:tcBorders>
              <w:top w:val="single" w:sz="8" w:space="0" w:color="auto"/>
              <w:left w:val="nil"/>
              <w:bottom w:val="single" w:sz="8" w:space="0" w:color="auto"/>
              <w:right w:val="single" w:sz="8" w:space="0" w:color="auto"/>
            </w:tcBorders>
            <w:shd w:val="clear" w:color="000000" w:fill="BFBFBF"/>
            <w:vAlign w:val="center"/>
            <w:hideMark/>
          </w:tcPr>
          <w:p w:rsidR="00B25FD5" w:rsidRDefault="00B25FD5">
            <w:pPr>
              <w:jc w:val="center"/>
              <w:rPr>
                <w:rFonts w:ascii="Calibri" w:hAnsi="Calibri"/>
                <w:b/>
                <w:bCs/>
                <w:color w:val="000000"/>
                <w:sz w:val="20"/>
                <w:szCs w:val="20"/>
              </w:rPr>
            </w:pPr>
            <w:r>
              <w:rPr>
                <w:rFonts w:ascii="Calibri" w:hAnsi="Calibri" w:cs="Arial"/>
                <w:b/>
                <w:bCs/>
                <w:color w:val="000000"/>
                <w:sz w:val="20"/>
                <w:szCs w:val="20"/>
              </w:rPr>
              <w:t>(Total of Students Attendees) Percent of Students</w:t>
            </w:r>
          </w:p>
        </w:tc>
        <w:tc>
          <w:tcPr>
            <w:tcW w:w="1791" w:type="dxa"/>
            <w:tcBorders>
              <w:top w:val="single" w:sz="8" w:space="0" w:color="auto"/>
              <w:left w:val="nil"/>
              <w:bottom w:val="single" w:sz="8" w:space="0" w:color="auto"/>
              <w:right w:val="single" w:sz="8" w:space="0" w:color="auto"/>
            </w:tcBorders>
            <w:shd w:val="clear" w:color="000000" w:fill="BFBFBF"/>
            <w:vAlign w:val="center"/>
            <w:hideMark/>
          </w:tcPr>
          <w:p w:rsidR="00B25FD5" w:rsidRDefault="00B25FD5" w:rsidP="00B25FD5">
            <w:pPr>
              <w:jc w:val="center"/>
              <w:rPr>
                <w:rFonts w:ascii="Calibri" w:hAnsi="Calibri"/>
                <w:b/>
                <w:bCs/>
                <w:color w:val="000000"/>
                <w:sz w:val="20"/>
                <w:szCs w:val="20"/>
              </w:rPr>
            </w:pPr>
            <w:r>
              <w:rPr>
                <w:rFonts w:ascii="Calibri" w:hAnsi="Calibri" w:cs="Arial"/>
                <w:b/>
                <w:bCs/>
                <w:color w:val="000000"/>
                <w:sz w:val="20"/>
                <w:szCs w:val="20"/>
              </w:rPr>
              <w:t>(Total Regular Students Attendees) Number of Students</w:t>
            </w:r>
          </w:p>
        </w:tc>
        <w:tc>
          <w:tcPr>
            <w:tcW w:w="2225" w:type="dxa"/>
            <w:tcBorders>
              <w:top w:val="single" w:sz="8" w:space="0" w:color="auto"/>
              <w:left w:val="nil"/>
              <w:bottom w:val="single" w:sz="8" w:space="0" w:color="auto"/>
              <w:right w:val="single" w:sz="8" w:space="0" w:color="auto"/>
            </w:tcBorders>
            <w:shd w:val="clear" w:color="000000" w:fill="BFBFBF"/>
            <w:vAlign w:val="center"/>
            <w:hideMark/>
          </w:tcPr>
          <w:p w:rsidR="00B25FD5" w:rsidRDefault="00B25FD5" w:rsidP="00B25FD5">
            <w:pPr>
              <w:jc w:val="center"/>
              <w:rPr>
                <w:rFonts w:ascii="Calibri" w:hAnsi="Calibri"/>
                <w:b/>
                <w:bCs/>
                <w:color w:val="000000"/>
                <w:sz w:val="20"/>
                <w:szCs w:val="20"/>
              </w:rPr>
            </w:pPr>
            <w:r>
              <w:rPr>
                <w:rFonts w:ascii="Calibri" w:hAnsi="Calibri" w:cs="Arial"/>
                <w:b/>
                <w:bCs/>
                <w:color w:val="000000"/>
                <w:sz w:val="20"/>
                <w:szCs w:val="20"/>
              </w:rPr>
              <w:t>(Total Regular Students Attendees) Percent of Students</w:t>
            </w:r>
          </w:p>
        </w:tc>
      </w:tr>
      <w:tr w:rsidR="00B25FD5" w:rsidTr="00B25FD5">
        <w:trPr>
          <w:trHeight w:val="317"/>
        </w:trPr>
        <w:tc>
          <w:tcPr>
            <w:tcW w:w="1254" w:type="dxa"/>
            <w:tcBorders>
              <w:top w:val="nil"/>
              <w:left w:val="single" w:sz="8" w:space="0" w:color="auto"/>
              <w:bottom w:val="single" w:sz="8" w:space="0" w:color="auto"/>
              <w:right w:val="single" w:sz="8" w:space="0" w:color="auto"/>
            </w:tcBorders>
            <w:shd w:val="clear" w:color="auto" w:fill="auto"/>
            <w:noWrap/>
            <w:vAlign w:val="center"/>
            <w:hideMark/>
          </w:tcPr>
          <w:p w:rsidR="00B25FD5" w:rsidRDefault="00B25FD5" w:rsidP="00B25FD5">
            <w:pPr>
              <w:jc w:val="right"/>
              <w:rPr>
                <w:rFonts w:ascii="Calibri" w:hAnsi="Calibri"/>
                <w:b/>
                <w:bCs/>
                <w:color w:val="000000"/>
                <w:sz w:val="22"/>
                <w:szCs w:val="22"/>
              </w:rPr>
            </w:pPr>
            <w:r>
              <w:rPr>
                <w:rFonts w:ascii="Calibri" w:hAnsi="Calibri" w:cs="Arial"/>
                <w:b/>
                <w:bCs/>
                <w:color w:val="000000"/>
                <w:sz w:val="22"/>
                <w:szCs w:val="22"/>
              </w:rPr>
              <w:t>Pre-K</w:t>
            </w:r>
          </w:p>
        </w:tc>
        <w:tc>
          <w:tcPr>
            <w:tcW w:w="1791" w:type="dxa"/>
            <w:tcBorders>
              <w:top w:val="nil"/>
              <w:left w:val="nil"/>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olor w:val="000000"/>
                <w:sz w:val="22"/>
                <w:szCs w:val="22"/>
              </w:rPr>
              <w:t>7,391</w:t>
            </w:r>
          </w:p>
        </w:tc>
        <w:tc>
          <w:tcPr>
            <w:tcW w:w="2225" w:type="dxa"/>
            <w:tcBorders>
              <w:top w:val="nil"/>
              <w:left w:val="nil"/>
              <w:bottom w:val="single" w:sz="8" w:space="0" w:color="auto"/>
              <w:right w:val="nil"/>
            </w:tcBorders>
            <w:shd w:val="clear" w:color="auto" w:fill="auto"/>
            <w:noWrap/>
            <w:vAlign w:val="center"/>
            <w:hideMark/>
          </w:tcPr>
          <w:p w:rsidR="00B25FD5" w:rsidRDefault="00B25FD5" w:rsidP="00B25FD5">
            <w:pPr>
              <w:jc w:val="right"/>
              <w:rPr>
                <w:rFonts w:ascii="Calibri" w:hAnsi="Calibri"/>
                <w:color w:val="000000"/>
                <w:sz w:val="22"/>
                <w:szCs w:val="22"/>
              </w:rPr>
            </w:pPr>
            <w:r>
              <w:rPr>
                <w:rFonts w:ascii="Calibri" w:hAnsi="Calibri" w:cs="Calibri"/>
                <w:color w:val="000000"/>
                <w:sz w:val="22"/>
                <w:szCs w:val="22"/>
              </w:rPr>
              <w:t>0.4%</w:t>
            </w:r>
          </w:p>
        </w:tc>
        <w:tc>
          <w:tcPr>
            <w:tcW w:w="1791" w:type="dxa"/>
            <w:tcBorders>
              <w:top w:val="nil"/>
              <w:left w:val="single" w:sz="12" w:space="0" w:color="auto"/>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olor w:val="000000"/>
                <w:sz w:val="22"/>
                <w:szCs w:val="22"/>
              </w:rPr>
              <w:t>3,753</w:t>
            </w:r>
          </w:p>
        </w:tc>
        <w:tc>
          <w:tcPr>
            <w:tcW w:w="2225" w:type="dxa"/>
            <w:tcBorders>
              <w:top w:val="nil"/>
              <w:left w:val="nil"/>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0.4%</w:t>
            </w:r>
          </w:p>
        </w:tc>
      </w:tr>
      <w:tr w:rsidR="00B25FD5" w:rsidTr="00B25FD5">
        <w:trPr>
          <w:trHeight w:val="317"/>
        </w:trPr>
        <w:tc>
          <w:tcPr>
            <w:tcW w:w="1254" w:type="dxa"/>
            <w:tcBorders>
              <w:top w:val="nil"/>
              <w:left w:val="single" w:sz="8" w:space="0" w:color="auto"/>
              <w:bottom w:val="single" w:sz="8" w:space="0" w:color="auto"/>
              <w:right w:val="single" w:sz="8" w:space="0" w:color="auto"/>
            </w:tcBorders>
            <w:shd w:val="clear" w:color="auto" w:fill="auto"/>
            <w:noWrap/>
            <w:vAlign w:val="center"/>
            <w:hideMark/>
          </w:tcPr>
          <w:p w:rsidR="00B25FD5" w:rsidRDefault="00B25FD5" w:rsidP="00B25FD5">
            <w:pPr>
              <w:jc w:val="right"/>
              <w:rPr>
                <w:rFonts w:ascii="Calibri" w:hAnsi="Calibri"/>
                <w:b/>
                <w:bCs/>
                <w:color w:val="000000"/>
                <w:sz w:val="22"/>
                <w:szCs w:val="22"/>
              </w:rPr>
            </w:pPr>
            <w:r>
              <w:rPr>
                <w:rFonts w:ascii="Calibri" w:hAnsi="Calibri" w:cs="Arial"/>
                <w:b/>
                <w:bCs/>
                <w:color w:val="000000"/>
                <w:sz w:val="22"/>
                <w:szCs w:val="22"/>
              </w:rPr>
              <w:t>K</w:t>
            </w:r>
          </w:p>
        </w:tc>
        <w:tc>
          <w:tcPr>
            <w:tcW w:w="1791" w:type="dxa"/>
            <w:tcBorders>
              <w:top w:val="nil"/>
              <w:left w:val="nil"/>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olor w:val="000000"/>
                <w:sz w:val="22"/>
                <w:szCs w:val="22"/>
              </w:rPr>
              <w:t>69,827</w:t>
            </w:r>
          </w:p>
        </w:tc>
        <w:tc>
          <w:tcPr>
            <w:tcW w:w="2225" w:type="dxa"/>
            <w:tcBorders>
              <w:top w:val="nil"/>
              <w:left w:val="nil"/>
              <w:bottom w:val="single" w:sz="8" w:space="0" w:color="auto"/>
              <w:right w:val="nil"/>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4.2%</w:t>
            </w:r>
          </w:p>
        </w:tc>
        <w:tc>
          <w:tcPr>
            <w:tcW w:w="1791" w:type="dxa"/>
            <w:tcBorders>
              <w:top w:val="nil"/>
              <w:left w:val="single" w:sz="12" w:space="0" w:color="auto"/>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olor w:val="000000"/>
                <w:sz w:val="22"/>
                <w:szCs w:val="22"/>
              </w:rPr>
              <w:t>44,096</w:t>
            </w:r>
          </w:p>
        </w:tc>
        <w:tc>
          <w:tcPr>
            <w:tcW w:w="2225" w:type="dxa"/>
            <w:tcBorders>
              <w:top w:val="nil"/>
              <w:left w:val="nil"/>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5.1%</w:t>
            </w:r>
          </w:p>
        </w:tc>
      </w:tr>
      <w:tr w:rsidR="00B25FD5" w:rsidTr="00B25FD5">
        <w:trPr>
          <w:trHeight w:val="317"/>
        </w:trPr>
        <w:tc>
          <w:tcPr>
            <w:tcW w:w="1254" w:type="dxa"/>
            <w:tcBorders>
              <w:top w:val="nil"/>
              <w:left w:val="single" w:sz="8" w:space="0" w:color="auto"/>
              <w:bottom w:val="single" w:sz="8" w:space="0" w:color="auto"/>
              <w:right w:val="single" w:sz="8" w:space="0" w:color="auto"/>
            </w:tcBorders>
            <w:shd w:val="clear" w:color="auto" w:fill="auto"/>
            <w:noWrap/>
            <w:vAlign w:val="center"/>
            <w:hideMark/>
          </w:tcPr>
          <w:p w:rsidR="00B25FD5" w:rsidRDefault="00B25FD5" w:rsidP="00B25FD5">
            <w:pPr>
              <w:jc w:val="right"/>
              <w:rPr>
                <w:rFonts w:ascii="Calibri" w:hAnsi="Calibri"/>
                <w:b/>
                <w:bCs/>
                <w:color w:val="000000"/>
                <w:sz w:val="22"/>
                <w:szCs w:val="22"/>
              </w:rPr>
            </w:pPr>
            <w:r>
              <w:rPr>
                <w:rFonts w:ascii="Calibri" w:hAnsi="Calibri" w:cs="Arial"/>
                <w:b/>
                <w:bCs/>
                <w:color w:val="000000"/>
                <w:sz w:val="22"/>
                <w:szCs w:val="22"/>
              </w:rPr>
              <w:t>1st</w:t>
            </w:r>
          </w:p>
        </w:tc>
        <w:tc>
          <w:tcPr>
            <w:tcW w:w="1791" w:type="dxa"/>
            <w:tcBorders>
              <w:top w:val="nil"/>
              <w:left w:val="nil"/>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olor w:val="000000"/>
                <w:sz w:val="22"/>
                <w:szCs w:val="22"/>
              </w:rPr>
              <w:t>109,281</w:t>
            </w:r>
          </w:p>
        </w:tc>
        <w:tc>
          <w:tcPr>
            <w:tcW w:w="2225" w:type="dxa"/>
            <w:tcBorders>
              <w:top w:val="nil"/>
              <w:left w:val="nil"/>
              <w:bottom w:val="single" w:sz="8" w:space="0" w:color="auto"/>
              <w:right w:val="nil"/>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6.5%</w:t>
            </w:r>
          </w:p>
        </w:tc>
        <w:tc>
          <w:tcPr>
            <w:tcW w:w="1791" w:type="dxa"/>
            <w:tcBorders>
              <w:top w:val="nil"/>
              <w:left w:val="single" w:sz="12" w:space="0" w:color="auto"/>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olor w:val="000000"/>
                <w:sz w:val="22"/>
                <w:szCs w:val="22"/>
              </w:rPr>
              <w:t>71,565</w:t>
            </w:r>
          </w:p>
        </w:tc>
        <w:tc>
          <w:tcPr>
            <w:tcW w:w="2225" w:type="dxa"/>
            <w:tcBorders>
              <w:top w:val="nil"/>
              <w:left w:val="nil"/>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8.3%</w:t>
            </w:r>
          </w:p>
        </w:tc>
      </w:tr>
      <w:tr w:rsidR="00B25FD5" w:rsidTr="00B25FD5">
        <w:trPr>
          <w:trHeight w:val="317"/>
        </w:trPr>
        <w:tc>
          <w:tcPr>
            <w:tcW w:w="1254" w:type="dxa"/>
            <w:tcBorders>
              <w:top w:val="nil"/>
              <w:left w:val="single" w:sz="8" w:space="0" w:color="auto"/>
              <w:bottom w:val="single" w:sz="8" w:space="0" w:color="auto"/>
              <w:right w:val="single" w:sz="8" w:space="0" w:color="auto"/>
            </w:tcBorders>
            <w:shd w:val="clear" w:color="auto" w:fill="auto"/>
            <w:noWrap/>
            <w:vAlign w:val="center"/>
            <w:hideMark/>
          </w:tcPr>
          <w:p w:rsidR="00B25FD5" w:rsidRDefault="00B25FD5" w:rsidP="00B25FD5">
            <w:pPr>
              <w:jc w:val="right"/>
              <w:rPr>
                <w:rFonts w:ascii="Calibri" w:hAnsi="Calibri"/>
                <w:b/>
                <w:bCs/>
                <w:color w:val="000000"/>
                <w:sz w:val="22"/>
                <w:szCs w:val="22"/>
              </w:rPr>
            </w:pPr>
            <w:r>
              <w:rPr>
                <w:rFonts w:ascii="Calibri" w:hAnsi="Calibri" w:cs="Arial"/>
                <w:b/>
                <w:bCs/>
                <w:color w:val="000000"/>
                <w:sz w:val="22"/>
                <w:szCs w:val="22"/>
              </w:rPr>
              <w:t>2nd</w:t>
            </w:r>
          </w:p>
        </w:tc>
        <w:tc>
          <w:tcPr>
            <w:tcW w:w="1791" w:type="dxa"/>
            <w:tcBorders>
              <w:top w:val="nil"/>
              <w:left w:val="nil"/>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olor w:val="000000"/>
                <w:sz w:val="22"/>
                <w:szCs w:val="22"/>
              </w:rPr>
              <w:t>125,323</w:t>
            </w:r>
          </w:p>
        </w:tc>
        <w:tc>
          <w:tcPr>
            <w:tcW w:w="2225" w:type="dxa"/>
            <w:tcBorders>
              <w:top w:val="nil"/>
              <w:left w:val="nil"/>
              <w:bottom w:val="single" w:sz="8" w:space="0" w:color="auto"/>
              <w:right w:val="nil"/>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7.5%</w:t>
            </w:r>
          </w:p>
        </w:tc>
        <w:tc>
          <w:tcPr>
            <w:tcW w:w="1791" w:type="dxa"/>
            <w:tcBorders>
              <w:top w:val="nil"/>
              <w:left w:val="single" w:sz="12" w:space="0" w:color="auto"/>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olor w:val="000000"/>
                <w:sz w:val="22"/>
                <w:szCs w:val="22"/>
              </w:rPr>
              <w:t>83,967</w:t>
            </w:r>
          </w:p>
        </w:tc>
        <w:tc>
          <w:tcPr>
            <w:tcW w:w="2225" w:type="dxa"/>
            <w:tcBorders>
              <w:top w:val="nil"/>
              <w:left w:val="nil"/>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9.8%</w:t>
            </w:r>
          </w:p>
        </w:tc>
      </w:tr>
      <w:tr w:rsidR="00B25FD5" w:rsidTr="00B25FD5">
        <w:trPr>
          <w:trHeight w:val="317"/>
        </w:trPr>
        <w:tc>
          <w:tcPr>
            <w:tcW w:w="1254" w:type="dxa"/>
            <w:tcBorders>
              <w:top w:val="nil"/>
              <w:left w:val="single" w:sz="8" w:space="0" w:color="auto"/>
              <w:bottom w:val="single" w:sz="8" w:space="0" w:color="auto"/>
              <w:right w:val="single" w:sz="8" w:space="0" w:color="auto"/>
            </w:tcBorders>
            <w:shd w:val="clear" w:color="auto" w:fill="auto"/>
            <w:noWrap/>
            <w:vAlign w:val="center"/>
            <w:hideMark/>
          </w:tcPr>
          <w:p w:rsidR="00B25FD5" w:rsidRDefault="00B25FD5" w:rsidP="00B25FD5">
            <w:pPr>
              <w:jc w:val="right"/>
              <w:rPr>
                <w:rFonts w:ascii="Calibri" w:hAnsi="Calibri"/>
                <w:b/>
                <w:bCs/>
                <w:color w:val="000000"/>
                <w:sz w:val="22"/>
                <w:szCs w:val="22"/>
              </w:rPr>
            </w:pPr>
            <w:r>
              <w:rPr>
                <w:rFonts w:ascii="Calibri" w:hAnsi="Calibri" w:cs="Arial"/>
                <w:b/>
                <w:bCs/>
                <w:color w:val="000000"/>
                <w:sz w:val="22"/>
                <w:szCs w:val="22"/>
              </w:rPr>
              <w:t>3rd</w:t>
            </w:r>
          </w:p>
        </w:tc>
        <w:tc>
          <w:tcPr>
            <w:tcW w:w="1791" w:type="dxa"/>
            <w:tcBorders>
              <w:top w:val="nil"/>
              <w:left w:val="nil"/>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olor w:val="000000"/>
                <w:sz w:val="22"/>
                <w:szCs w:val="22"/>
              </w:rPr>
              <w:t>147,636</w:t>
            </w:r>
          </w:p>
        </w:tc>
        <w:tc>
          <w:tcPr>
            <w:tcW w:w="2225" w:type="dxa"/>
            <w:tcBorders>
              <w:top w:val="nil"/>
              <w:left w:val="nil"/>
              <w:bottom w:val="single" w:sz="8" w:space="0" w:color="auto"/>
              <w:right w:val="nil"/>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8.8%</w:t>
            </w:r>
          </w:p>
        </w:tc>
        <w:tc>
          <w:tcPr>
            <w:tcW w:w="1791" w:type="dxa"/>
            <w:tcBorders>
              <w:top w:val="nil"/>
              <w:left w:val="single" w:sz="12" w:space="0" w:color="auto"/>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olor w:val="000000"/>
                <w:sz w:val="22"/>
                <w:szCs w:val="22"/>
              </w:rPr>
              <w:t>98,939</w:t>
            </w:r>
          </w:p>
        </w:tc>
        <w:tc>
          <w:tcPr>
            <w:tcW w:w="2225" w:type="dxa"/>
            <w:tcBorders>
              <w:top w:val="nil"/>
              <w:left w:val="nil"/>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11.5%</w:t>
            </w:r>
          </w:p>
        </w:tc>
      </w:tr>
      <w:tr w:rsidR="00B25FD5" w:rsidTr="00B25FD5">
        <w:trPr>
          <w:trHeight w:val="317"/>
        </w:trPr>
        <w:tc>
          <w:tcPr>
            <w:tcW w:w="1254" w:type="dxa"/>
            <w:tcBorders>
              <w:top w:val="nil"/>
              <w:left w:val="single" w:sz="8" w:space="0" w:color="auto"/>
              <w:bottom w:val="single" w:sz="8" w:space="0" w:color="auto"/>
              <w:right w:val="single" w:sz="8" w:space="0" w:color="auto"/>
            </w:tcBorders>
            <w:shd w:val="clear" w:color="auto" w:fill="auto"/>
            <w:noWrap/>
            <w:vAlign w:val="center"/>
            <w:hideMark/>
          </w:tcPr>
          <w:p w:rsidR="00B25FD5" w:rsidRDefault="00B25FD5" w:rsidP="00B25FD5">
            <w:pPr>
              <w:jc w:val="right"/>
              <w:rPr>
                <w:rFonts w:ascii="Calibri" w:hAnsi="Calibri"/>
                <w:b/>
                <w:bCs/>
                <w:color w:val="000000"/>
                <w:sz w:val="22"/>
                <w:szCs w:val="22"/>
              </w:rPr>
            </w:pPr>
            <w:r>
              <w:rPr>
                <w:rFonts w:ascii="Calibri" w:hAnsi="Calibri" w:cs="Arial"/>
                <w:b/>
                <w:bCs/>
                <w:color w:val="000000"/>
                <w:sz w:val="22"/>
                <w:szCs w:val="22"/>
              </w:rPr>
              <w:t>4th</w:t>
            </w:r>
          </w:p>
        </w:tc>
        <w:tc>
          <w:tcPr>
            <w:tcW w:w="1791" w:type="dxa"/>
            <w:tcBorders>
              <w:top w:val="nil"/>
              <w:left w:val="nil"/>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olor w:val="000000"/>
                <w:sz w:val="22"/>
                <w:szCs w:val="22"/>
              </w:rPr>
              <w:t>150,008</w:t>
            </w:r>
          </w:p>
        </w:tc>
        <w:tc>
          <w:tcPr>
            <w:tcW w:w="2225" w:type="dxa"/>
            <w:tcBorders>
              <w:top w:val="nil"/>
              <w:left w:val="nil"/>
              <w:bottom w:val="single" w:sz="8" w:space="0" w:color="auto"/>
              <w:right w:val="nil"/>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9.0%</w:t>
            </w:r>
          </w:p>
        </w:tc>
        <w:tc>
          <w:tcPr>
            <w:tcW w:w="1791" w:type="dxa"/>
            <w:tcBorders>
              <w:top w:val="nil"/>
              <w:left w:val="single" w:sz="12" w:space="0" w:color="auto"/>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olor w:val="000000"/>
                <w:sz w:val="22"/>
                <w:szCs w:val="22"/>
              </w:rPr>
              <w:t>97,911</w:t>
            </w:r>
          </w:p>
        </w:tc>
        <w:tc>
          <w:tcPr>
            <w:tcW w:w="2225" w:type="dxa"/>
            <w:tcBorders>
              <w:top w:val="nil"/>
              <w:left w:val="nil"/>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11.4%</w:t>
            </w:r>
          </w:p>
        </w:tc>
      </w:tr>
      <w:tr w:rsidR="00B25FD5" w:rsidTr="00B25FD5">
        <w:trPr>
          <w:trHeight w:val="317"/>
        </w:trPr>
        <w:tc>
          <w:tcPr>
            <w:tcW w:w="1254" w:type="dxa"/>
            <w:tcBorders>
              <w:top w:val="nil"/>
              <w:left w:val="single" w:sz="8" w:space="0" w:color="auto"/>
              <w:bottom w:val="single" w:sz="8" w:space="0" w:color="auto"/>
              <w:right w:val="single" w:sz="8" w:space="0" w:color="auto"/>
            </w:tcBorders>
            <w:shd w:val="clear" w:color="auto" w:fill="auto"/>
            <w:noWrap/>
            <w:vAlign w:val="center"/>
            <w:hideMark/>
          </w:tcPr>
          <w:p w:rsidR="00B25FD5" w:rsidRDefault="00B25FD5" w:rsidP="00B25FD5">
            <w:pPr>
              <w:jc w:val="right"/>
              <w:rPr>
                <w:rFonts w:ascii="Calibri" w:hAnsi="Calibri"/>
                <w:b/>
                <w:bCs/>
                <w:color w:val="000000"/>
                <w:sz w:val="22"/>
                <w:szCs w:val="22"/>
              </w:rPr>
            </w:pPr>
            <w:r>
              <w:rPr>
                <w:rFonts w:ascii="Calibri" w:hAnsi="Calibri" w:cs="Arial"/>
                <w:b/>
                <w:bCs/>
                <w:color w:val="000000"/>
                <w:sz w:val="22"/>
                <w:szCs w:val="22"/>
              </w:rPr>
              <w:t>5th</w:t>
            </w:r>
          </w:p>
        </w:tc>
        <w:tc>
          <w:tcPr>
            <w:tcW w:w="1791" w:type="dxa"/>
            <w:tcBorders>
              <w:top w:val="nil"/>
              <w:left w:val="nil"/>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olor w:val="000000"/>
                <w:sz w:val="22"/>
                <w:szCs w:val="22"/>
              </w:rPr>
              <w:t>146,600</w:t>
            </w:r>
          </w:p>
        </w:tc>
        <w:tc>
          <w:tcPr>
            <w:tcW w:w="2225" w:type="dxa"/>
            <w:tcBorders>
              <w:top w:val="nil"/>
              <w:left w:val="nil"/>
              <w:bottom w:val="single" w:sz="8" w:space="0" w:color="auto"/>
              <w:right w:val="nil"/>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8.7%</w:t>
            </w:r>
          </w:p>
        </w:tc>
        <w:tc>
          <w:tcPr>
            <w:tcW w:w="1791" w:type="dxa"/>
            <w:tcBorders>
              <w:top w:val="nil"/>
              <w:left w:val="single" w:sz="12" w:space="0" w:color="auto"/>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olor w:val="000000"/>
                <w:sz w:val="22"/>
                <w:szCs w:val="22"/>
              </w:rPr>
              <w:t>91,945</w:t>
            </w:r>
          </w:p>
        </w:tc>
        <w:tc>
          <w:tcPr>
            <w:tcW w:w="2225" w:type="dxa"/>
            <w:tcBorders>
              <w:top w:val="nil"/>
              <w:left w:val="nil"/>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10.7%</w:t>
            </w:r>
          </w:p>
        </w:tc>
      </w:tr>
      <w:tr w:rsidR="00B25FD5" w:rsidTr="00B25FD5">
        <w:trPr>
          <w:trHeight w:val="317"/>
        </w:trPr>
        <w:tc>
          <w:tcPr>
            <w:tcW w:w="1254" w:type="dxa"/>
            <w:tcBorders>
              <w:top w:val="nil"/>
              <w:left w:val="single" w:sz="8" w:space="0" w:color="auto"/>
              <w:bottom w:val="single" w:sz="8" w:space="0" w:color="auto"/>
              <w:right w:val="single" w:sz="8" w:space="0" w:color="auto"/>
            </w:tcBorders>
            <w:shd w:val="clear" w:color="auto" w:fill="auto"/>
            <w:noWrap/>
            <w:vAlign w:val="center"/>
            <w:hideMark/>
          </w:tcPr>
          <w:p w:rsidR="00B25FD5" w:rsidRDefault="00B25FD5" w:rsidP="00B25FD5">
            <w:pPr>
              <w:jc w:val="right"/>
              <w:rPr>
                <w:rFonts w:ascii="Calibri" w:hAnsi="Calibri"/>
                <w:b/>
                <w:bCs/>
                <w:color w:val="000000"/>
                <w:sz w:val="22"/>
                <w:szCs w:val="22"/>
              </w:rPr>
            </w:pPr>
            <w:r>
              <w:rPr>
                <w:rFonts w:ascii="Calibri" w:hAnsi="Calibri" w:cs="Arial"/>
                <w:b/>
                <w:bCs/>
                <w:color w:val="000000"/>
                <w:sz w:val="22"/>
                <w:szCs w:val="22"/>
              </w:rPr>
              <w:t>6th</w:t>
            </w:r>
          </w:p>
        </w:tc>
        <w:tc>
          <w:tcPr>
            <w:tcW w:w="1791" w:type="dxa"/>
            <w:tcBorders>
              <w:top w:val="nil"/>
              <w:left w:val="nil"/>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olor w:val="000000"/>
                <w:sz w:val="22"/>
                <w:szCs w:val="22"/>
              </w:rPr>
              <w:t>165,038</w:t>
            </w:r>
          </w:p>
        </w:tc>
        <w:tc>
          <w:tcPr>
            <w:tcW w:w="2225" w:type="dxa"/>
            <w:tcBorders>
              <w:top w:val="nil"/>
              <w:left w:val="nil"/>
              <w:bottom w:val="single" w:sz="8" w:space="0" w:color="auto"/>
              <w:right w:val="nil"/>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9.9%</w:t>
            </w:r>
          </w:p>
        </w:tc>
        <w:tc>
          <w:tcPr>
            <w:tcW w:w="1791" w:type="dxa"/>
            <w:tcBorders>
              <w:top w:val="nil"/>
              <w:left w:val="single" w:sz="12" w:space="0" w:color="auto"/>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olor w:val="000000"/>
                <w:sz w:val="22"/>
                <w:szCs w:val="22"/>
              </w:rPr>
              <w:t>90,055</w:t>
            </w:r>
          </w:p>
        </w:tc>
        <w:tc>
          <w:tcPr>
            <w:tcW w:w="2225" w:type="dxa"/>
            <w:tcBorders>
              <w:top w:val="nil"/>
              <w:left w:val="nil"/>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10.5%</w:t>
            </w:r>
          </w:p>
        </w:tc>
      </w:tr>
      <w:tr w:rsidR="00B25FD5" w:rsidTr="00B25FD5">
        <w:trPr>
          <w:trHeight w:val="317"/>
        </w:trPr>
        <w:tc>
          <w:tcPr>
            <w:tcW w:w="1254" w:type="dxa"/>
            <w:tcBorders>
              <w:top w:val="nil"/>
              <w:left w:val="single" w:sz="8" w:space="0" w:color="auto"/>
              <w:bottom w:val="single" w:sz="8" w:space="0" w:color="auto"/>
              <w:right w:val="single" w:sz="8" w:space="0" w:color="auto"/>
            </w:tcBorders>
            <w:shd w:val="clear" w:color="auto" w:fill="auto"/>
            <w:noWrap/>
            <w:vAlign w:val="center"/>
            <w:hideMark/>
          </w:tcPr>
          <w:p w:rsidR="00B25FD5" w:rsidRDefault="00B25FD5" w:rsidP="00B25FD5">
            <w:pPr>
              <w:jc w:val="right"/>
              <w:rPr>
                <w:rFonts w:ascii="Calibri" w:hAnsi="Calibri"/>
                <w:b/>
                <w:bCs/>
                <w:color w:val="000000"/>
                <w:sz w:val="22"/>
                <w:szCs w:val="22"/>
              </w:rPr>
            </w:pPr>
            <w:r>
              <w:rPr>
                <w:rFonts w:ascii="Calibri" w:hAnsi="Calibri" w:cs="Arial"/>
                <w:b/>
                <w:bCs/>
                <w:color w:val="000000"/>
                <w:sz w:val="22"/>
                <w:szCs w:val="22"/>
              </w:rPr>
              <w:t>7th</w:t>
            </w:r>
          </w:p>
        </w:tc>
        <w:tc>
          <w:tcPr>
            <w:tcW w:w="1791" w:type="dxa"/>
            <w:tcBorders>
              <w:top w:val="nil"/>
              <w:left w:val="nil"/>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olor w:val="000000"/>
                <w:sz w:val="22"/>
                <w:szCs w:val="22"/>
              </w:rPr>
              <w:t>146,128</w:t>
            </w:r>
          </w:p>
        </w:tc>
        <w:tc>
          <w:tcPr>
            <w:tcW w:w="2225" w:type="dxa"/>
            <w:tcBorders>
              <w:top w:val="nil"/>
              <w:left w:val="nil"/>
              <w:bottom w:val="single" w:sz="8" w:space="0" w:color="auto"/>
              <w:right w:val="nil"/>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8.7%</w:t>
            </w:r>
          </w:p>
        </w:tc>
        <w:tc>
          <w:tcPr>
            <w:tcW w:w="1791" w:type="dxa"/>
            <w:tcBorders>
              <w:top w:val="nil"/>
              <w:left w:val="single" w:sz="12" w:space="0" w:color="auto"/>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olor w:val="000000"/>
                <w:sz w:val="22"/>
                <w:szCs w:val="22"/>
              </w:rPr>
              <w:t>70,544</w:t>
            </w:r>
          </w:p>
        </w:tc>
        <w:tc>
          <w:tcPr>
            <w:tcW w:w="2225" w:type="dxa"/>
            <w:tcBorders>
              <w:top w:val="nil"/>
              <w:left w:val="nil"/>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8.2%</w:t>
            </w:r>
          </w:p>
        </w:tc>
      </w:tr>
      <w:tr w:rsidR="00B25FD5" w:rsidTr="00B25FD5">
        <w:trPr>
          <w:trHeight w:val="317"/>
        </w:trPr>
        <w:tc>
          <w:tcPr>
            <w:tcW w:w="1254" w:type="dxa"/>
            <w:tcBorders>
              <w:top w:val="nil"/>
              <w:left w:val="single" w:sz="8" w:space="0" w:color="auto"/>
              <w:bottom w:val="single" w:sz="8" w:space="0" w:color="auto"/>
              <w:right w:val="single" w:sz="8" w:space="0" w:color="auto"/>
            </w:tcBorders>
            <w:shd w:val="clear" w:color="auto" w:fill="auto"/>
            <w:noWrap/>
            <w:vAlign w:val="center"/>
            <w:hideMark/>
          </w:tcPr>
          <w:p w:rsidR="00B25FD5" w:rsidRDefault="00B25FD5" w:rsidP="00B25FD5">
            <w:pPr>
              <w:jc w:val="right"/>
              <w:rPr>
                <w:rFonts w:ascii="Calibri" w:hAnsi="Calibri"/>
                <w:b/>
                <w:bCs/>
                <w:color w:val="000000"/>
                <w:sz w:val="22"/>
                <w:szCs w:val="22"/>
              </w:rPr>
            </w:pPr>
            <w:r>
              <w:rPr>
                <w:rFonts w:ascii="Calibri" w:hAnsi="Calibri" w:cs="Arial"/>
                <w:b/>
                <w:bCs/>
                <w:color w:val="000000"/>
                <w:sz w:val="22"/>
                <w:szCs w:val="22"/>
              </w:rPr>
              <w:t>8th</w:t>
            </w:r>
          </w:p>
        </w:tc>
        <w:tc>
          <w:tcPr>
            <w:tcW w:w="1791" w:type="dxa"/>
            <w:tcBorders>
              <w:top w:val="nil"/>
              <w:left w:val="nil"/>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olor w:val="000000"/>
                <w:sz w:val="22"/>
                <w:szCs w:val="22"/>
              </w:rPr>
              <w:t>125,416</w:t>
            </w:r>
          </w:p>
        </w:tc>
        <w:tc>
          <w:tcPr>
            <w:tcW w:w="2225" w:type="dxa"/>
            <w:tcBorders>
              <w:top w:val="nil"/>
              <w:left w:val="nil"/>
              <w:bottom w:val="single" w:sz="8" w:space="0" w:color="auto"/>
              <w:right w:val="nil"/>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7.5%</w:t>
            </w:r>
          </w:p>
        </w:tc>
        <w:tc>
          <w:tcPr>
            <w:tcW w:w="1791" w:type="dxa"/>
            <w:tcBorders>
              <w:top w:val="nil"/>
              <w:left w:val="single" w:sz="12" w:space="0" w:color="auto"/>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olor w:val="000000"/>
                <w:sz w:val="22"/>
                <w:szCs w:val="22"/>
              </w:rPr>
              <w:t>57,427</w:t>
            </w:r>
          </w:p>
        </w:tc>
        <w:tc>
          <w:tcPr>
            <w:tcW w:w="2225" w:type="dxa"/>
            <w:tcBorders>
              <w:top w:val="nil"/>
              <w:left w:val="nil"/>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6.7%</w:t>
            </w:r>
          </w:p>
        </w:tc>
      </w:tr>
      <w:tr w:rsidR="00B25FD5" w:rsidTr="00B25FD5">
        <w:trPr>
          <w:trHeight w:val="317"/>
        </w:trPr>
        <w:tc>
          <w:tcPr>
            <w:tcW w:w="1254" w:type="dxa"/>
            <w:tcBorders>
              <w:top w:val="nil"/>
              <w:left w:val="single" w:sz="8" w:space="0" w:color="auto"/>
              <w:bottom w:val="single" w:sz="8" w:space="0" w:color="auto"/>
              <w:right w:val="single" w:sz="8" w:space="0" w:color="auto"/>
            </w:tcBorders>
            <w:shd w:val="clear" w:color="auto" w:fill="auto"/>
            <w:noWrap/>
            <w:vAlign w:val="center"/>
            <w:hideMark/>
          </w:tcPr>
          <w:p w:rsidR="00B25FD5" w:rsidRDefault="00B25FD5" w:rsidP="00B25FD5">
            <w:pPr>
              <w:jc w:val="right"/>
              <w:rPr>
                <w:rFonts w:ascii="Calibri" w:hAnsi="Calibri"/>
                <w:b/>
                <w:bCs/>
                <w:color w:val="000000"/>
                <w:sz w:val="22"/>
                <w:szCs w:val="22"/>
              </w:rPr>
            </w:pPr>
            <w:r>
              <w:rPr>
                <w:rFonts w:ascii="Calibri" w:hAnsi="Calibri" w:cs="Arial"/>
                <w:b/>
                <w:bCs/>
                <w:color w:val="000000"/>
                <w:sz w:val="22"/>
                <w:szCs w:val="22"/>
              </w:rPr>
              <w:t>9th</w:t>
            </w:r>
          </w:p>
        </w:tc>
        <w:tc>
          <w:tcPr>
            <w:tcW w:w="1791" w:type="dxa"/>
            <w:tcBorders>
              <w:top w:val="nil"/>
              <w:left w:val="nil"/>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olor w:val="000000"/>
                <w:sz w:val="22"/>
                <w:szCs w:val="22"/>
              </w:rPr>
              <w:t>134,064</w:t>
            </w:r>
          </w:p>
        </w:tc>
        <w:tc>
          <w:tcPr>
            <w:tcW w:w="2225" w:type="dxa"/>
            <w:tcBorders>
              <w:top w:val="nil"/>
              <w:left w:val="nil"/>
              <w:bottom w:val="single" w:sz="8" w:space="0" w:color="auto"/>
              <w:right w:val="nil"/>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8.0%</w:t>
            </w:r>
          </w:p>
        </w:tc>
        <w:tc>
          <w:tcPr>
            <w:tcW w:w="1791" w:type="dxa"/>
            <w:tcBorders>
              <w:top w:val="nil"/>
              <w:left w:val="single" w:sz="12" w:space="0" w:color="auto"/>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olor w:val="000000"/>
                <w:sz w:val="22"/>
                <w:szCs w:val="22"/>
              </w:rPr>
              <w:t>39,505</w:t>
            </w:r>
          </w:p>
        </w:tc>
        <w:tc>
          <w:tcPr>
            <w:tcW w:w="2225" w:type="dxa"/>
            <w:tcBorders>
              <w:top w:val="nil"/>
              <w:left w:val="nil"/>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4.6%</w:t>
            </w:r>
          </w:p>
        </w:tc>
      </w:tr>
      <w:tr w:rsidR="00B25FD5" w:rsidTr="00B25FD5">
        <w:trPr>
          <w:trHeight w:val="317"/>
        </w:trPr>
        <w:tc>
          <w:tcPr>
            <w:tcW w:w="1254" w:type="dxa"/>
            <w:tcBorders>
              <w:top w:val="nil"/>
              <w:left w:val="single" w:sz="8" w:space="0" w:color="auto"/>
              <w:bottom w:val="single" w:sz="8" w:space="0" w:color="auto"/>
              <w:right w:val="single" w:sz="8" w:space="0" w:color="auto"/>
            </w:tcBorders>
            <w:shd w:val="clear" w:color="auto" w:fill="auto"/>
            <w:noWrap/>
            <w:vAlign w:val="center"/>
            <w:hideMark/>
          </w:tcPr>
          <w:p w:rsidR="00B25FD5" w:rsidRDefault="00B25FD5" w:rsidP="00B25FD5">
            <w:pPr>
              <w:jc w:val="right"/>
              <w:rPr>
                <w:rFonts w:ascii="Calibri" w:hAnsi="Calibri"/>
                <w:b/>
                <w:bCs/>
                <w:color w:val="000000"/>
                <w:sz w:val="22"/>
                <w:szCs w:val="22"/>
              </w:rPr>
            </w:pPr>
            <w:r>
              <w:rPr>
                <w:rFonts w:ascii="Calibri" w:hAnsi="Calibri" w:cs="Arial"/>
                <w:b/>
                <w:bCs/>
                <w:color w:val="000000"/>
                <w:sz w:val="22"/>
                <w:szCs w:val="22"/>
              </w:rPr>
              <w:t>10th</w:t>
            </w:r>
          </w:p>
        </w:tc>
        <w:tc>
          <w:tcPr>
            <w:tcW w:w="1791" w:type="dxa"/>
            <w:tcBorders>
              <w:top w:val="nil"/>
              <w:left w:val="nil"/>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olor w:val="000000"/>
                <w:sz w:val="22"/>
                <w:szCs w:val="22"/>
              </w:rPr>
              <w:t>123,437</w:t>
            </w:r>
          </w:p>
        </w:tc>
        <w:tc>
          <w:tcPr>
            <w:tcW w:w="2225" w:type="dxa"/>
            <w:tcBorders>
              <w:top w:val="nil"/>
              <w:left w:val="nil"/>
              <w:bottom w:val="single" w:sz="8" w:space="0" w:color="auto"/>
              <w:right w:val="nil"/>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7.4%</w:t>
            </w:r>
          </w:p>
        </w:tc>
        <w:tc>
          <w:tcPr>
            <w:tcW w:w="1791" w:type="dxa"/>
            <w:tcBorders>
              <w:top w:val="nil"/>
              <w:left w:val="single" w:sz="12" w:space="0" w:color="auto"/>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olor w:val="000000"/>
                <w:sz w:val="22"/>
                <w:szCs w:val="22"/>
              </w:rPr>
              <w:t>37,633</w:t>
            </w:r>
          </w:p>
        </w:tc>
        <w:tc>
          <w:tcPr>
            <w:tcW w:w="2225" w:type="dxa"/>
            <w:tcBorders>
              <w:top w:val="nil"/>
              <w:left w:val="nil"/>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4.4%</w:t>
            </w:r>
          </w:p>
        </w:tc>
      </w:tr>
      <w:tr w:rsidR="00B25FD5" w:rsidTr="00B25FD5">
        <w:trPr>
          <w:trHeight w:val="317"/>
        </w:trPr>
        <w:tc>
          <w:tcPr>
            <w:tcW w:w="1254" w:type="dxa"/>
            <w:tcBorders>
              <w:top w:val="nil"/>
              <w:left w:val="single" w:sz="8" w:space="0" w:color="auto"/>
              <w:bottom w:val="single" w:sz="8" w:space="0" w:color="auto"/>
              <w:right w:val="single" w:sz="8" w:space="0" w:color="auto"/>
            </w:tcBorders>
            <w:shd w:val="clear" w:color="auto" w:fill="auto"/>
            <w:noWrap/>
            <w:vAlign w:val="center"/>
            <w:hideMark/>
          </w:tcPr>
          <w:p w:rsidR="00B25FD5" w:rsidRDefault="00B25FD5" w:rsidP="00B25FD5">
            <w:pPr>
              <w:jc w:val="right"/>
              <w:rPr>
                <w:rFonts w:ascii="Calibri" w:hAnsi="Calibri"/>
                <w:b/>
                <w:bCs/>
                <w:color w:val="000000"/>
                <w:sz w:val="22"/>
                <w:szCs w:val="22"/>
              </w:rPr>
            </w:pPr>
            <w:r>
              <w:rPr>
                <w:rFonts w:ascii="Calibri" w:hAnsi="Calibri" w:cs="Arial"/>
                <w:b/>
                <w:bCs/>
                <w:color w:val="000000"/>
                <w:sz w:val="22"/>
                <w:szCs w:val="22"/>
              </w:rPr>
              <w:t>11th</w:t>
            </w:r>
          </w:p>
        </w:tc>
        <w:tc>
          <w:tcPr>
            <w:tcW w:w="1791" w:type="dxa"/>
            <w:tcBorders>
              <w:top w:val="nil"/>
              <w:left w:val="nil"/>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olor w:val="000000"/>
                <w:sz w:val="22"/>
                <w:szCs w:val="22"/>
              </w:rPr>
              <w:t>117,242</w:t>
            </w:r>
          </w:p>
        </w:tc>
        <w:tc>
          <w:tcPr>
            <w:tcW w:w="2225" w:type="dxa"/>
            <w:tcBorders>
              <w:top w:val="nil"/>
              <w:left w:val="nil"/>
              <w:bottom w:val="single" w:sz="8" w:space="0" w:color="auto"/>
              <w:right w:val="nil"/>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7.0%</w:t>
            </w:r>
          </w:p>
        </w:tc>
        <w:tc>
          <w:tcPr>
            <w:tcW w:w="1791" w:type="dxa"/>
            <w:tcBorders>
              <w:top w:val="nil"/>
              <w:left w:val="single" w:sz="12" w:space="0" w:color="auto"/>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olor w:val="000000"/>
                <w:sz w:val="22"/>
                <w:szCs w:val="22"/>
              </w:rPr>
              <w:t>37,222</w:t>
            </w:r>
          </w:p>
        </w:tc>
        <w:tc>
          <w:tcPr>
            <w:tcW w:w="2225" w:type="dxa"/>
            <w:tcBorders>
              <w:top w:val="nil"/>
              <w:left w:val="nil"/>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4.3%</w:t>
            </w:r>
          </w:p>
        </w:tc>
      </w:tr>
      <w:tr w:rsidR="00B25FD5" w:rsidTr="00B25FD5">
        <w:trPr>
          <w:trHeight w:val="317"/>
        </w:trPr>
        <w:tc>
          <w:tcPr>
            <w:tcW w:w="1254" w:type="dxa"/>
            <w:tcBorders>
              <w:top w:val="nil"/>
              <w:left w:val="single" w:sz="8" w:space="0" w:color="auto"/>
              <w:bottom w:val="single" w:sz="8" w:space="0" w:color="auto"/>
              <w:right w:val="single" w:sz="8" w:space="0" w:color="auto"/>
            </w:tcBorders>
            <w:shd w:val="clear" w:color="auto" w:fill="auto"/>
            <w:noWrap/>
            <w:vAlign w:val="center"/>
            <w:hideMark/>
          </w:tcPr>
          <w:p w:rsidR="00B25FD5" w:rsidRDefault="00B25FD5" w:rsidP="00B25FD5">
            <w:pPr>
              <w:jc w:val="right"/>
              <w:rPr>
                <w:rFonts w:ascii="Calibri" w:hAnsi="Calibri"/>
                <w:b/>
                <w:bCs/>
                <w:color w:val="000000"/>
                <w:sz w:val="22"/>
                <w:szCs w:val="22"/>
              </w:rPr>
            </w:pPr>
            <w:r>
              <w:rPr>
                <w:rFonts w:ascii="Calibri" w:hAnsi="Calibri" w:cs="Arial"/>
                <w:b/>
                <w:bCs/>
                <w:color w:val="000000"/>
                <w:sz w:val="22"/>
                <w:szCs w:val="22"/>
              </w:rPr>
              <w:t>12th</w:t>
            </w:r>
          </w:p>
        </w:tc>
        <w:tc>
          <w:tcPr>
            <w:tcW w:w="1791" w:type="dxa"/>
            <w:tcBorders>
              <w:top w:val="nil"/>
              <w:left w:val="nil"/>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olor w:val="000000"/>
                <w:sz w:val="22"/>
                <w:szCs w:val="22"/>
              </w:rPr>
              <w:t>108,104</w:t>
            </w:r>
          </w:p>
        </w:tc>
        <w:tc>
          <w:tcPr>
            <w:tcW w:w="2225" w:type="dxa"/>
            <w:tcBorders>
              <w:top w:val="nil"/>
              <w:left w:val="nil"/>
              <w:bottom w:val="single" w:sz="8" w:space="0" w:color="auto"/>
              <w:right w:val="nil"/>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6.5%</w:t>
            </w:r>
          </w:p>
        </w:tc>
        <w:tc>
          <w:tcPr>
            <w:tcW w:w="1791" w:type="dxa"/>
            <w:tcBorders>
              <w:top w:val="nil"/>
              <w:left w:val="single" w:sz="12" w:space="0" w:color="auto"/>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olor w:val="000000"/>
                <w:sz w:val="22"/>
                <w:szCs w:val="22"/>
              </w:rPr>
              <w:t>32,584</w:t>
            </w:r>
          </w:p>
        </w:tc>
        <w:tc>
          <w:tcPr>
            <w:tcW w:w="2225" w:type="dxa"/>
            <w:tcBorders>
              <w:top w:val="nil"/>
              <w:left w:val="nil"/>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3.8%</w:t>
            </w:r>
          </w:p>
        </w:tc>
      </w:tr>
      <w:tr w:rsidR="00B25FD5" w:rsidTr="00B25FD5">
        <w:trPr>
          <w:trHeight w:val="317"/>
        </w:trPr>
        <w:tc>
          <w:tcPr>
            <w:tcW w:w="1254" w:type="dxa"/>
            <w:tcBorders>
              <w:top w:val="nil"/>
              <w:left w:val="single" w:sz="8" w:space="0" w:color="auto"/>
              <w:bottom w:val="single" w:sz="8" w:space="0" w:color="auto"/>
              <w:right w:val="single" w:sz="8" w:space="0" w:color="auto"/>
            </w:tcBorders>
            <w:shd w:val="clear" w:color="auto" w:fill="auto"/>
            <w:noWrap/>
            <w:vAlign w:val="center"/>
            <w:hideMark/>
          </w:tcPr>
          <w:p w:rsidR="00B25FD5" w:rsidRDefault="00B25FD5" w:rsidP="00B25FD5">
            <w:pPr>
              <w:jc w:val="right"/>
              <w:rPr>
                <w:rFonts w:ascii="Calibri" w:hAnsi="Calibri"/>
                <w:color w:val="000000"/>
                <w:sz w:val="22"/>
                <w:szCs w:val="22"/>
              </w:rPr>
            </w:pPr>
            <w:r>
              <w:rPr>
                <w:rFonts w:ascii="Calibri" w:hAnsi="Calibri"/>
                <w:color w:val="000000"/>
                <w:sz w:val="22"/>
                <w:szCs w:val="22"/>
              </w:rPr>
              <w:t> </w:t>
            </w:r>
            <w:r w:rsidRPr="00F86BF0">
              <w:rPr>
                <w:rFonts w:ascii="Calibri" w:hAnsi="Calibri" w:cs="Arial"/>
                <w:b/>
                <w:bCs/>
                <w:sz w:val="22"/>
                <w:szCs w:val="22"/>
              </w:rPr>
              <w:t>Total</w:t>
            </w:r>
            <w:r w:rsidRPr="00F86BF0">
              <w:rPr>
                <w:rStyle w:val="FootnoteReference"/>
                <w:rFonts w:ascii="Calibri" w:hAnsi="Calibri" w:cs="Arial"/>
                <w:b/>
                <w:bCs/>
                <w:sz w:val="22"/>
                <w:szCs w:val="22"/>
              </w:rPr>
              <w:footnoteReference w:id="4"/>
            </w:r>
          </w:p>
        </w:tc>
        <w:tc>
          <w:tcPr>
            <w:tcW w:w="1791" w:type="dxa"/>
            <w:tcBorders>
              <w:top w:val="nil"/>
              <w:left w:val="nil"/>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1,675,495</w:t>
            </w:r>
          </w:p>
        </w:tc>
        <w:tc>
          <w:tcPr>
            <w:tcW w:w="2225" w:type="dxa"/>
            <w:tcBorders>
              <w:top w:val="nil"/>
              <w:left w:val="nil"/>
              <w:bottom w:val="single" w:sz="8" w:space="0" w:color="auto"/>
              <w:right w:val="nil"/>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100.0%</w:t>
            </w:r>
          </w:p>
        </w:tc>
        <w:tc>
          <w:tcPr>
            <w:tcW w:w="1791" w:type="dxa"/>
            <w:tcBorders>
              <w:top w:val="nil"/>
              <w:left w:val="single" w:sz="12" w:space="0" w:color="auto"/>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857,146</w:t>
            </w:r>
          </w:p>
        </w:tc>
        <w:tc>
          <w:tcPr>
            <w:tcW w:w="2225" w:type="dxa"/>
            <w:tcBorders>
              <w:top w:val="nil"/>
              <w:left w:val="nil"/>
              <w:bottom w:val="single" w:sz="8" w:space="0" w:color="auto"/>
              <w:right w:val="single" w:sz="8" w:space="0" w:color="auto"/>
            </w:tcBorders>
            <w:shd w:val="clear" w:color="auto" w:fill="auto"/>
            <w:noWrap/>
            <w:vAlign w:val="center"/>
            <w:hideMark/>
          </w:tcPr>
          <w:p w:rsidR="00B25FD5" w:rsidRDefault="00B25FD5">
            <w:pPr>
              <w:jc w:val="right"/>
              <w:rPr>
                <w:rFonts w:ascii="Calibri" w:hAnsi="Calibri"/>
                <w:color w:val="000000"/>
                <w:sz w:val="22"/>
                <w:szCs w:val="22"/>
              </w:rPr>
            </w:pPr>
            <w:r>
              <w:rPr>
                <w:rFonts w:ascii="Calibri" w:hAnsi="Calibri" w:cs="Calibri"/>
                <w:color w:val="000000"/>
                <w:sz w:val="22"/>
                <w:szCs w:val="22"/>
              </w:rPr>
              <w:t>100.0%</w:t>
            </w:r>
          </w:p>
        </w:tc>
      </w:tr>
    </w:tbl>
    <w:p w:rsidR="006F4E92" w:rsidRPr="006F4E92" w:rsidRDefault="006F4E92" w:rsidP="006F4E92"/>
    <w:p w:rsidR="00A770EF" w:rsidRPr="00D07AC9" w:rsidRDefault="00A770EF">
      <w:pPr>
        <w:rPr>
          <w:highlight w:val="yellow"/>
        </w:rPr>
      </w:pPr>
    </w:p>
    <w:p w:rsidR="00687506" w:rsidRPr="000831A2" w:rsidRDefault="00D073A7" w:rsidP="00A50F56">
      <w:pPr>
        <w:pStyle w:val="Heading3"/>
      </w:pPr>
      <w:bookmarkStart w:id="38" w:name="_Toc248907007"/>
      <w:bookmarkStart w:id="39" w:name="_Toc446063957"/>
      <w:r w:rsidRPr="000831A2">
        <w:t>Centers and Grade Level</w:t>
      </w:r>
      <w:bookmarkEnd w:id="38"/>
      <w:bookmarkEnd w:id="39"/>
    </w:p>
    <w:p w:rsidR="00216EBF" w:rsidRPr="000831A2" w:rsidRDefault="00216EBF" w:rsidP="003161B9">
      <w:pPr>
        <w:pStyle w:val="SHeading3"/>
      </w:pPr>
    </w:p>
    <w:p w:rsidR="00990BF6" w:rsidRPr="000831A2" w:rsidRDefault="00990BF6">
      <w:r w:rsidRPr="000831A2">
        <w:t xml:space="preserve">Using data collected in PPICS related to the grade level of students attending a center, centers were classified as: 1) </w:t>
      </w:r>
      <w:r w:rsidRPr="000831A2">
        <w:rPr>
          <w:i/>
        </w:rPr>
        <w:t>Elementary Only</w:t>
      </w:r>
      <w:r w:rsidRPr="000831A2">
        <w:t xml:space="preserve">, defined as centers serving students up to Grade 6; 2) </w:t>
      </w:r>
      <w:r w:rsidRPr="000831A2">
        <w:rPr>
          <w:i/>
        </w:rPr>
        <w:t>Elementary/Middle</w:t>
      </w:r>
      <w:r w:rsidRPr="000831A2">
        <w:t xml:space="preserve">, defined as centers serving students up to Grade 8; 3) </w:t>
      </w:r>
      <w:r w:rsidRPr="000831A2">
        <w:rPr>
          <w:i/>
        </w:rPr>
        <w:t>Middle Only</w:t>
      </w:r>
      <w:r w:rsidRPr="000831A2">
        <w:t>, defined as centers serving students in Grades 5</w:t>
      </w:r>
      <w:r w:rsidR="00AA6109" w:rsidRPr="000831A2">
        <w:t>–</w:t>
      </w:r>
      <w:r w:rsidRPr="000831A2">
        <w:t xml:space="preserve">8; </w:t>
      </w:r>
      <w:r w:rsidR="00A672F4" w:rsidRPr="000831A2">
        <w:t xml:space="preserve">4) </w:t>
      </w:r>
      <w:r w:rsidR="00A672F4" w:rsidRPr="000831A2">
        <w:rPr>
          <w:i/>
        </w:rPr>
        <w:t>Middle</w:t>
      </w:r>
      <w:r w:rsidR="00AA6109" w:rsidRPr="000831A2">
        <w:rPr>
          <w:i/>
        </w:rPr>
        <w:t>/</w:t>
      </w:r>
      <w:r w:rsidR="00A672F4" w:rsidRPr="000831A2">
        <w:rPr>
          <w:i/>
        </w:rPr>
        <w:t>High</w:t>
      </w:r>
      <w:r w:rsidR="00A672F4" w:rsidRPr="000831A2">
        <w:t>, defined as centers serving students in Grades 5</w:t>
      </w:r>
      <w:r w:rsidR="00AA6109" w:rsidRPr="000831A2">
        <w:t>–</w:t>
      </w:r>
      <w:r w:rsidR="00A672F4" w:rsidRPr="000831A2">
        <w:t xml:space="preserve">12; </w:t>
      </w:r>
      <w:r w:rsidRPr="000831A2">
        <w:t xml:space="preserve">and </w:t>
      </w:r>
      <w:r w:rsidR="00AA6109" w:rsidRPr="000831A2">
        <w:t>5</w:t>
      </w:r>
      <w:r w:rsidRPr="000831A2">
        <w:t xml:space="preserve">) </w:t>
      </w:r>
      <w:r w:rsidRPr="000831A2">
        <w:rPr>
          <w:i/>
        </w:rPr>
        <w:t>High Only</w:t>
      </w:r>
      <w:r w:rsidR="00AA6109" w:rsidRPr="000831A2">
        <w:t>, defined as</w:t>
      </w:r>
      <w:r w:rsidRPr="000831A2">
        <w:t xml:space="preserve"> centers serving students in Grades 9</w:t>
      </w:r>
      <w:r w:rsidR="00AA6109" w:rsidRPr="000831A2">
        <w:t>–</w:t>
      </w:r>
      <w:r w:rsidRPr="000831A2">
        <w:t xml:space="preserve">12. A </w:t>
      </w:r>
      <w:r w:rsidR="00A672F4" w:rsidRPr="000831A2">
        <w:t xml:space="preserve">sixth </w:t>
      </w:r>
      <w:proofErr w:type="gramStart"/>
      <w:r w:rsidRPr="000831A2">
        <w:rPr>
          <w:i/>
        </w:rPr>
        <w:t>Other</w:t>
      </w:r>
      <w:proofErr w:type="gramEnd"/>
      <w:r w:rsidRPr="000831A2">
        <w:t xml:space="preserve"> category includes centers that did not fit one of the other </w:t>
      </w:r>
      <w:r w:rsidR="00A672F4" w:rsidRPr="000831A2">
        <w:t xml:space="preserve">five </w:t>
      </w:r>
      <w:r w:rsidRPr="000831A2">
        <w:t xml:space="preserve">categories, </w:t>
      </w:r>
      <w:r w:rsidR="007C3D12" w:rsidRPr="000831A2">
        <w:t xml:space="preserve">including centers </w:t>
      </w:r>
      <w:r w:rsidR="00A672F4" w:rsidRPr="000831A2">
        <w:t xml:space="preserve">that </w:t>
      </w:r>
      <w:r w:rsidR="007C3D12" w:rsidRPr="000831A2">
        <w:t>served students in elementary, middle, and high school grades.</w:t>
      </w:r>
      <w:r w:rsidR="006807A4" w:rsidRPr="000831A2">
        <w:t xml:space="preserve"> </w:t>
      </w:r>
      <w:r w:rsidR="00FA3B2A" w:rsidRPr="000831A2">
        <w:t xml:space="preserve">Only the grade level of students considered </w:t>
      </w:r>
      <w:r w:rsidR="00FA3B2A" w:rsidRPr="000831A2">
        <w:rPr>
          <w:i/>
        </w:rPr>
        <w:t>regular attendees</w:t>
      </w:r>
      <w:r w:rsidR="00FA3B2A" w:rsidRPr="000831A2">
        <w:t xml:space="preserve"> were used for the category assignments in this report.</w:t>
      </w:r>
    </w:p>
    <w:p w:rsidR="007C3D12" w:rsidRPr="00D07AC9" w:rsidRDefault="007C3D12" w:rsidP="00EE6425">
      <w:pPr>
        <w:rPr>
          <w:highlight w:val="yellow"/>
        </w:rPr>
      </w:pPr>
    </w:p>
    <w:p w:rsidR="000D4CAA" w:rsidRDefault="003161B9" w:rsidP="000D4CAA">
      <w:pPr>
        <w:pStyle w:val="Caption"/>
        <w:jc w:val="left"/>
        <w:rPr>
          <w:b w:val="0"/>
        </w:rPr>
      </w:pPr>
      <w:r w:rsidRPr="00270C99">
        <w:rPr>
          <w:b w:val="0"/>
        </w:rPr>
        <w:t>As shown in</w:t>
      </w:r>
      <w:r w:rsidR="00EE6425" w:rsidRPr="00270C99">
        <w:rPr>
          <w:b w:val="0"/>
        </w:rPr>
        <w:t xml:space="preserve"> Figure 4</w:t>
      </w:r>
      <w:r w:rsidR="003E778F">
        <w:rPr>
          <w:b w:val="0"/>
        </w:rPr>
        <w:t xml:space="preserve"> and Table </w:t>
      </w:r>
      <w:r w:rsidR="00B8721C">
        <w:rPr>
          <w:b w:val="0"/>
        </w:rPr>
        <w:t>1</w:t>
      </w:r>
      <w:r w:rsidR="006251FD">
        <w:rPr>
          <w:b w:val="0"/>
        </w:rPr>
        <w:t>1</w:t>
      </w:r>
      <w:r w:rsidR="00990BF6" w:rsidRPr="00270C99">
        <w:rPr>
          <w:b w:val="0"/>
        </w:rPr>
        <w:t xml:space="preserve">, </w:t>
      </w:r>
      <w:bookmarkStart w:id="40" w:name="_Toc248907008"/>
      <w:r w:rsidR="006643D7" w:rsidRPr="00270C99">
        <w:rPr>
          <w:b w:val="0"/>
        </w:rPr>
        <w:t>59 percent</w:t>
      </w:r>
      <w:r w:rsidR="002E1A93" w:rsidRPr="00270C99">
        <w:rPr>
          <w:b w:val="0"/>
        </w:rPr>
        <w:t xml:space="preserve"> to 6</w:t>
      </w:r>
      <w:r w:rsidR="00270C99" w:rsidRPr="00270C99">
        <w:rPr>
          <w:b w:val="0"/>
        </w:rPr>
        <w:t>5</w:t>
      </w:r>
      <w:r w:rsidR="002E1A93" w:rsidRPr="00270C99">
        <w:rPr>
          <w:b w:val="0"/>
        </w:rPr>
        <w:t xml:space="preserve"> percent of centers from 200</w:t>
      </w:r>
      <w:r w:rsidR="000831A2" w:rsidRPr="00270C99">
        <w:rPr>
          <w:b w:val="0"/>
        </w:rPr>
        <w:t>7</w:t>
      </w:r>
      <w:r w:rsidR="002E1A93" w:rsidRPr="00270C99">
        <w:rPr>
          <w:b w:val="0"/>
        </w:rPr>
        <w:t>-</w:t>
      </w:r>
      <w:r w:rsidR="000831A2" w:rsidRPr="00270C99">
        <w:rPr>
          <w:b w:val="0"/>
        </w:rPr>
        <w:t>08</w:t>
      </w:r>
      <w:r w:rsidR="006643D7" w:rsidRPr="00270C99">
        <w:rPr>
          <w:b w:val="0"/>
        </w:rPr>
        <w:t xml:space="preserve"> to 201</w:t>
      </w:r>
      <w:r w:rsidR="000831A2" w:rsidRPr="00270C99">
        <w:rPr>
          <w:b w:val="0"/>
        </w:rPr>
        <w:t>2-13</w:t>
      </w:r>
      <w:r w:rsidR="006643D7" w:rsidRPr="00270C99">
        <w:rPr>
          <w:b w:val="0"/>
        </w:rPr>
        <w:t xml:space="preserve"> served elementary students in some capacity, 19 percent to 21 percent of centers exclusively served middle school students, and</w:t>
      </w:r>
      <w:r w:rsidR="00E9216E">
        <w:rPr>
          <w:b w:val="0"/>
        </w:rPr>
        <w:t xml:space="preserve"> eight</w:t>
      </w:r>
      <w:r w:rsidR="00270C99" w:rsidRPr="00270C99">
        <w:rPr>
          <w:b w:val="0"/>
        </w:rPr>
        <w:t xml:space="preserve"> percent to 13</w:t>
      </w:r>
      <w:r w:rsidR="006643D7" w:rsidRPr="00270C99">
        <w:rPr>
          <w:b w:val="0"/>
        </w:rPr>
        <w:t xml:space="preserve"> percent exclusively served high school students.</w:t>
      </w:r>
    </w:p>
    <w:p w:rsidR="000D4CAA" w:rsidRDefault="000D4CAA">
      <w:pPr>
        <w:rPr>
          <w:bCs/>
          <w:szCs w:val="20"/>
        </w:rPr>
      </w:pPr>
      <w:r>
        <w:rPr>
          <w:b/>
        </w:rPr>
        <w:br w:type="page"/>
      </w:r>
    </w:p>
    <w:p w:rsidR="009F31AE" w:rsidRDefault="000D4CAA" w:rsidP="000D4CAA">
      <w:pPr>
        <w:pStyle w:val="Caption"/>
        <w:jc w:val="left"/>
      </w:pPr>
      <w:r>
        <w:lastRenderedPageBreak/>
        <w:t xml:space="preserve"> </w:t>
      </w:r>
    </w:p>
    <w:p w:rsidR="009447B1" w:rsidRPr="00F86BF0" w:rsidRDefault="009447B1" w:rsidP="009447B1">
      <w:pPr>
        <w:pStyle w:val="Caption"/>
      </w:pPr>
      <w:proofErr w:type="gramStart"/>
      <w:r w:rsidRPr="00F86BF0">
        <w:t xml:space="preserve">Figure </w:t>
      </w:r>
      <w:r w:rsidR="00C94DB1" w:rsidRPr="00F86BF0">
        <w:fldChar w:fldCharType="begin"/>
      </w:r>
      <w:r w:rsidR="00676242" w:rsidRPr="00F86BF0">
        <w:instrText xml:space="preserve"> SEQ Figure \* ARABIC </w:instrText>
      </w:r>
      <w:r w:rsidR="00C94DB1" w:rsidRPr="00F86BF0">
        <w:fldChar w:fldCharType="separate"/>
      </w:r>
      <w:r w:rsidR="00A50F56">
        <w:rPr>
          <w:noProof/>
        </w:rPr>
        <w:t>4</w:t>
      </w:r>
      <w:r w:rsidR="00C94DB1" w:rsidRPr="00F86BF0">
        <w:rPr>
          <w:noProof/>
        </w:rPr>
        <w:fldChar w:fldCharType="end"/>
      </w:r>
      <w:r w:rsidRPr="00F86BF0">
        <w:t>.</w:t>
      </w:r>
      <w:proofErr w:type="gramEnd"/>
      <w:r w:rsidRPr="00F86BF0">
        <w:t xml:space="preserve"> Number of 21st CCLCs by Grade Level S</w:t>
      </w:r>
      <w:r w:rsidR="002E1A93" w:rsidRPr="00F86BF0">
        <w:t xml:space="preserve">erved </w:t>
      </w:r>
      <w:r w:rsidR="002E1A93" w:rsidRPr="00F86BF0">
        <w:br/>
        <w:t>During the 2007-</w:t>
      </w:r>
      <w:r w:rsidRPr="00F86BF0">
        <w:t>08, 2008-09, 2009-10,</w:t>
      </w:r>
      <w:r w:rsidR="00D3680A" w:rsidRPr="00F86BF0">
        <w:t xml:space="preserve"> </w:t>
      </w:r>
      <w:r w:rsidRPr="00F86BF0">
        <w:t>2010-11</w:t>
      </w:r>
      <w:r w:rsidR="00D3680A" w:rsidRPr="00F86BF0">
        <w:t>, 2011-12</w:t>
      </w:r>
      <w:r w:rsidR="00E514E2" w:rsidRPr="00F86BF0">
        <w:t>, and 2012-13</w:t>
      </w:r>
      <w:r w:rsidRPr="00F86BF0">
        <w:t xml:space="preserve"> Reporting Periods</w:t>
      </w:r>
    </w:p>
    <w:p w:rsidR="00816D7F" w:rsidRDefault="00B25FD5" w:rsidP="009F2AFE">
      <w:r>
        <w:object w:dxaOrig="11684" w:dyaOrig="4967" w14:anchorId="6C3AB9DC">
          <v:shape id="_x0000_i1028" type="#_x0000_t75" alt="Figure 4. Number of 21st CCLCs by Grade Level Served &#10;During the 2007-08, 2008-09, 2009-10, 2010-11, 2011-12, and 2012-13 Reporting Periods&#10;" style="width:435pt;height:183.75pt" o:ole="">
            <v:imagedata r:id="rId17" o:title=""/>
          </v:shape>
          <o:OLEObject Type="Embed" ProgID="Excel.Sheet.12" ShapeID="_x0000_i1028" DrawAspect="Content" ObjectID="_1520163630" r:id="rId18"/>
        </w:object>
      </w:r>
    </w:p>
    <w:p w:rsidR="008B6360" w:rsidRPr="00F86BF0" w:rsidRDefault="008B6360" w:rsidP="009F2AFE"/>
    <w:p w:rsidR="00816D7F" w:rsidRDefault="00F6177E" w:rsidP="00F6177E">
      <w:pPr>
        <w:jc w:val="center"/>
        <w:rPr>
          <w:b/>
        </w:rPr>
      </w:pPr>
      <w:proofErr w:type="gramStart"/>
      <w:r w:rsidRPr="00F6177E">
        <w:rPr>
          <w:b/>
        </w:rPr>
        <w:t xml:space="preserve">Table </w:t>
      </w:r>
      <w:r w:rsidR="00F217BF">
        <w:rPr>
          <w:b/>
        </w:rPr>
        <w:t>1</w:t>
      </w:r>
      <w:r w:rsidR="006251FD">
        <w:rPr>
          <w:b/>
        </w:rPr>
        <w:t>1</w:t>
      </w:r>
      <w:r w:rsidRPr="00F6177E">
        <w:rPr>
          <w:b/>
        </w:rPr>
        <w:t>.</w:t>
      </w:r>
      <w:proofErr w:type="gramEnd"/>
      <w:r w:rsidRPr="00F6177E">
        <w:rPr>
          <w:b/>
        </w:rPr>
        <w:t xml:space="preserve"> Number and Percent of 21</w:t>
      </w:r>
      <w:r w:rsidRPr="00F6177E">
        <w:rPr>
          <w:b/>
          <w:vertAlign w:val="superscript"/>
        </w:rPr>
        <w:t>st</w:t>
      </w:r>
      <w:r w:rsidRPr="00F6177E">
        <w:rPr>
          <w:b/>
        </w:rPr>
        <w:t xml:space="preserve"> CCLCs by Grade Level Served During the 2007-08, 2008-09, 2009-10, 2010-11, 2011-12, and 2012-13 Reporting Periods</w:t>
      </w:r>
    </w:p>
    <w:tbl>
      <w:tblPr>
        <w:tblW w:w="11231" w:type="dxa"/>
        <w:tblInd w:w="-773" w:type="dxa"/>
        <w:tblLayout w:type="fixed"/>
        <w:tblLook w:val="04A0" w:firstRow="1" w:lastRow="0" w:firstColumn="1" w:lastColumn="0" w:noHBand="0" w:noVBand="1"/>
      </w:tblPr>
      <w:tblGrid>
        <w:gridCol w:w="1022"/>
        <w:gridCol w:w="806"/>
        <w:gridCol w:w="789"/>
        <w:gridCol w:w="717"/>
        <w:gridCol w:w="787"/>
        <w:gridCol w:w="737"/>
        <w:gridCol w:w="793"/>
        <w:gridCol w:w="989"/>
        <w:gridCol w:w="991"/>
        <w:gridCol w:w="900"/>
        <w:gridCol w:w="900"/>
        <w:gridCol w:w="900"/>
        <w:gridCol w:w="900"/>
      </w:tblGrid>
      <w:tr w:rsidR="00D05FA3" w:rsidTr="003B6C73">
        <w:trPr>
          <w:trHeight w:val="545"/>
        </w:trPr>
        <w:tc>
          <w:tcPr>
            <w:tcW w:w="1022" w:type="dxa"/>
            <w:tcBorders>
              <w:top w:val="single" w:sz="8" w:space="0" w:color="auto"/>
              <w:left w:val="single" w:sz="8" w:space="0" w:color="auto"/>
              <w:bottom w:val="single" w:sz="8" w:space="0" w:color="auto"/>
              <w:right w:val="single" w:sz="8" w:space="0" w:color="auto"/>
            </w:tcBorders>
            <w:shd w:val="clear" w:color="000000" w:fill="595959"/>
            <w:noWrap/>
            <w:vAlign w:val="center"/>
            <w:hideMark/>
          </w:tcPr>
          <w:p w:rsidR="00B25FD5" w:rsidRDefault="00B25FD5">
            <w:pPr>
              <w:jc w:val="center"/>
              <w:rPr>
                <w:rFonts w:ascii="Calibri" w:hAnsi="Calibri"/>
                <w:b/>
                <w:bCs/>
                <w:color w:val="FFFFFF"/>
                <w:sz w:val="20"/>
                <w:szCs w:val="20"/>
              </w:rPr>
            </w:pPr>
            <w:r>
              <w:rPr>
                <w:rFonts w:ascii="Calibri" w:hAnsi="Calibri"/>
                <w:b/>
                <w:bCs/>
                <w:color w:val="FFFFFF"/>
                <w:sz w:val="20"/>
                <w:szCs w:val="20"/>
              </w:rPr>
              <w:t>Grade Level</w:t>
            </w:r>
          </w:p>
        </w:tc>
        <w:tc>
          <w:tcPr>
            <w:tcW w:w="806" w:type="dxa"/>
            <w:tcBorders>
              <w:top w:val="single" w:sz="8" w:space="0" w:color="auto"/>
              <w:left w:val="nil"/>
              <w:bottom w:val="single" w:sz="8" w:space="0" w:color="auto"/>
              <w:right w:val="single" w:sz="8" w:space="0" w:color="auto"/>
            </w:tcBorders>
            <w:shd w:val="clear" w:color="000000" w:fill="BFBFBF"/>
            <w:vAlign w:val="center"/>
            <w:hideMark/>
          </w:tcPr>
          <w:p w:rsidR="00B25FD5" w:rsidRDefault="00B25FD5">
            <w:pPr>
              <w:jc w:val="center"/>
              <w:rPr>
                <w:rFonts w:ascii="Calibri" w:hAnsi="Calibri"/>
                <w:b/>
                <w:bCs/>
                <w:color w:val="000000"/>
                <w:sz w:val="20"/>
                <w:szCs w:val="20"/>
              </w:rPr>
            </w:pPr>
            <w:r>
              <w:rPr>
                <w:rFonts w:ascii="Calibri" w:hAnsi="Calibri"/>
                <w:b/>
                <w:bCs/>
                <w:color w:val="000000"/>
                <w:sz w:val="20"/>
                <w:szCs w:val="20"/>
              </w:rPr>
              <w:t>No. in 2007-08</w:t>
            </w:r>
          </w:p>
        </w:tc>
        <w:tc>
          <w:tcPr>
            <w:tcW w:w="789" w:type="dxa"/>
            <w:tcBorders>
              <w:top w:val="single" w:sz="8" w:space="0" w:color="auto"/>
              <w:left w:val="nil"/>
              <w:bottom w:val="single" w:sz="8" w:space="0" w:color="auto"/>
              <w:right w:val="single" w:sz="8" w:space="0" w:color="auto"/>
            </w:tcBorders>
            <w:shd w:val="clear" w:color="000000" w:fill="BFBFBF"/>
            <w:vAlign w:val="center"/>
            <w:hideMark/>
          </w:tcPr>
          <w:p w:rsidR="00B25FD5" w:rsidRDefault="00B25FD5">
            <w:pPr>
              <w:jc w:val="center"/>
              <w:rPr>
                <w:rFonts w:ascii="Calibri" w:hAnsi="Calibri"/>
                <w:b/>
                <w:bCs/>
                <w:color w:val="000000"/>
                <w:sz w:val="20"/>
                <w:szCs w:val="20"/>
              </w:rPr>
            </w:pPr>
            <w:r>
              <w:rPr>
                <w:rFonts w:ascii="Calibri" w:hAnsi="Calibri"/>
                <w:b/>
                <w:bCs/>
                <w:color w:val="000000"/>
                <w:sz w:val="20"/>
                <w:szCs w:val="20"/>
              </w:rPr>
              <w:t>No. in 2008-09</w:t>
            </w:r>
          </w:p>
        </w:tc>
        <w:tc>
          <w:tcPr>
            <w:tcW w:w="717" w:type="dxa"/>
            <w:tcBorders>
              <w:top w:val="single" w:sz="8" w:space="0" w:color="auto"/>
              <w:left w:val="nil"/>
              <w:bottom w:val="single" w:sz="8" w:space="0" w:color="auto"/>
              <w:right w:val="single" w:sz="8" w:space="0" w:color="auto"/>
            </w:tcBorders>
            <w:shd w:val="clear" w:color="000000" w:fill="BFBFBF"/>
            <w:vAlign w:val="center"/>
            <w:hideMark/>
          </w:tcPr>
          <w:p w:rsidR="00B25FD5" w:rsidRDefault="00B25FD5">
            <w:pPr>
              <w:jc w:val="center"/>
              <w:rPr>
                <w:rFonts w:ascii="Calibri" w:hAnsi="Calibri"/>
                <w:b/>
                <w:bCs/>
                <w:color w:val="000000"/>
                <w:sz w:val="20"/>
                <w:szCs w:val="20"/>
              </w:rPr>
            </w:pPr>
            <w:r>
              <w:rPr>
                <w:rFonts w:ascii="Calibri" w:hAnsi="Calibri"/>
                <w:b/>
                <w:bCs/>
                <w:color w:val="000000"/>
                <w:sz w:val="20"/>
                <w:szCs w:val="20"/>
              </w:rPr>
              <w:t>No. in 2009-10</w:t>
            </w:r>
          </w:p>
        </w:tc>
        <w:tc>
          <w:tcPr>
            <w:tcW w:w="787" w:type="dxa"/>
            <w:tcBorders>
              <w:top w:val="single" w:sz="8" w:space="0" w:color="auto"/>
              <w:left w:val="nil"/>
              <w:bottom w:val="single" w:sz="8" w:space="0" w:color="auto"/>
              <w:right w:val="single" w:sz="8" w:space="0" w:color="auto"/>
            </w:tcBorders>
            <w:shd w:val="clear" w:color="000000" w:fill="BFBFBF"/>
            <w:vAlign w:val="center"/>
            <w:hideMark/>
          </w:tcPr>
          <w:p w:rsidR="00B25FD5" w:rsidRDefault="00B25FD5">
            <w:pPr>
              <w:jc w:val="center"/>
              <w:rPr>
                <w:rFonts w:ascii="Calibri" w:hAnsi="Calibri"/>
                <w:b/>
                <w:bCs/>
                <w:color w:val="000000"/>
                <w:sz w:val="20"/>
                <w:szCs w:val="20"/>
              </w:rPr>
            </w:pPr>
            <w:r>
              <w:rPr>
                <w:rFonts w:ascii="Calibri" w:hAnsi="Calibri"/>
                <w:b/>
                <w:bCs/>
                <w:color w:val="000000"/>
                <w:sz w:val="20"/>
                <w:szCs w:val="20"/>
              </w:rPr>
              <w:t>No. in 2010-11</w:t>
            </w:r>
          </w:p>
        </w:tc>
        <w:tc>
          <w:tcPr>
            <w:tcW w:w="737" w:type="dxa"/>
            <w:tcBorders>
              <w:top w:val="single" w:sz="8" w:space="0" w:color="auto"/>
              <w:left w:val="nil"/>
              <w:bottom w:val="single" w:sz="8" w:space="0" w:color="auto"/>
              <w:right w:val="single" w:sz="8" w:space="0" w:color="auto"/>
            </w:tcBorders>
            <w:shd w:val="clear" w:color="000000" w:fill="BFBFBF"/>
            <w:vAlign w:val="center"/>
            <w:hideMark/>
          </w:tcPr>
          <w:p w:rsidR="00B25FD5" w:rsidRDefault="00B25FD5">
            <w:pPr>
              <w:jc w:val="center"/>
              <w:rPr>
                <w:rFonts w:ascii="Calibri" w:hAnsi="Calibri"/>
                <w:b/>
                <w:bCs/>
                <w:color w:val="000000"/>
                <w:sz w:val="20"/>
                <w:szCs w:val="20"/>
              </w:rPr>
            </w:pPr>
            <w:r>
              <w:rPr>
                <w:rFonts w:ascii="Calibri" w:hAnsi="Calibri"/>
                <w:b/>
                <w:bCs/>
                <w:color w:val="000000"/>
                <w:sz w:val="20"/>
                <w:szCs w:val="20"/>
              </w:rPr>
              <w:t>No. in 2011-12</w:t>
            </w:r>
          </w:p>
        </w:tc>
        <w:tc>
          <w:tcPr>
            <w:tcW w:w="793" w:type="dxa"/>
            <w:tcBorders>
              <w:top w:val="single" w:sz="8" w:space="0" w:color="auto"/>
              <w:left w:val="nil"/>
              <w:bottom w:val="single" w:sz="8" w:space="0" w:color="auto"/>
              <w:right w:val="single" w:sz="18" w:space="0" w:color="auto"/>
            </w:tcBorders>
            <w:shd w:val="clear" w:color="000000" w:fill="BFBFBF"/>
            <w:vAlign w:val="center"/>
            <w:hideMark/>
          </w:tcPr>
          <w:p w:rsidR="00B25FD5" w:rsidRDefault="00B25FD5">
            <w:pPr>
              <w:jc w:val="center"/>
              <w:rPr>
                <w:rFonts w:ascii="Calibri" w:hAnsi="Calibri"/>
                <w:b/>
                <w:bCs/>
                <w:color w:val="000000"/>
                <w:sz w:val="20"/>
                <w:szCs w:val="20"/>
              </w:rPr>
            </w:pPr>
            <w:r>
              <w:rPr>
                <w:rFonts w:ascii="Calibri" w:hAnsi="Calibri"/>
                <w:b/>
                <w:bCs/>
                <w:color w:val="000000"/>
                <w:sz w:val="20"/>
                <w:szCs w:val="20"/>
              </w:rPr>
              <w:t>No. in 2012-13</w:t>
            </w:r>
          </w:p>
        </w:tc>
        <w:tc>
          <w:tcPr>
            <w:tcW w:w="989" w:type="dxa"/>
            <w:tcBorders>
              <w:top w:val="single" w:sz="8" w:space="0" w:color="auto"/>
              <w:left w:val="single" w:sz="18" w:space="0" w:color="auto"/>
              <w:bottom w:val="single" w:sz="8" w:space="0" w:color="auto"/>
              <w:right w:val="single" w:sz="8" w:space="0" w:color="auto"/>
            </w:tcBorders>
            <w:shd w:val="clear" w:color="000000" w:fill="BFBFBF"/>
            <w:vAlign w:val="center"/>
            <w:hideMark/>
          </w:tcPr>
          <w:p w:rsidR="00B25FD5" w:rsidRDefault="00B25FD5">
            <w:pPr>
              <w:jc w:val="center"/>
              <w:rPr>
                <w:rFonts w:ascii="Calibri" w:hAnsi="Calibri"/>
                <w:b/>
                <w:bCs/>
                <w:color w:val="000000"/>
                <w:sz w:val="20"/>
                <w:szCs w:val="20"/>
              </w:rPr>
            </w:pPr>
            <w:r>
              <w:rPr>
                <w:rFonts w:ascii="Calibri" w:hAnsi="Calibri"/>
                <w:b/>
                <w:bCs/>
                <w:color w:val="000000"/>
                <w:sz w:val="20"/>
                <w:szCs w:val="20"/>
              </w:rPr>
              <w:t>Percent in 2007-08</w:t>
            </w:r>
          </w:p>
        </w:tc>
        <w:tc>
          <w:tcPr>
            <w:tcW w:w="991" w:type="dxa"/>
            <w:tcBorders>
              <w:top w:val="single" w:sz="8" w:space="0" w:color="auto"/>
              <w:left w:val="nil"/>
              <w:bottom w:val="single" w:sz="8" w:space="0" w:color="auto"/>
              <w:right w:val="single" w:sz="8" w:space="0" w:color="auto"/>
            </w:tcBorders>
            <w:shd w:val="clear" w:color="000000" w:fill="BFBFBF"/>
            <w:vAlign w:val="center"/>
            <w:hideMark/>
          </w:tcPr>
          <w:p w:rsidR="00B25FD5" w:rsidRDefault="00B25FD5">
            <w:pPr>
              <w:jc w:val="center"/>
              <w:rPr>
                <w:rFonts w:ascii="Calibri" w:hAnsi="Calibri"/>
                <w:b/>
                <w:bCs/>
                <w:color w:val="000000"/>
                <w:sz w:val="20"/>
                <w:szCs w:val="20"/>
              </w:rPr>
            </w:pPr>
            <w:r>
              <w:rPr>
                <w:rFonts w:ascii="Calibri" w:hAnsi="Calibri"/>
                <w:b/>
                <w:bCs/>
                <w:color w:val="000000"/>
                <w:sz w:val="20"/>
                <w:szCs w:val="20"/>
              </w:rPr>
              <w:t>Percent in 2008-09</w:t>
            </w:r>
          </w:p>
        </w:tc>
        <w:tc>
          <w:tcPr>
            <w:tcW w:w="900" w:type="dxa"/>
            <w:tcBorders>
              <w:top w:val="single" w:sz="8" w:space="0" w:color="auto"/>
              <w:left w:val="nil"/>
              <w:bottom w:val="single" w:sz="8" w:space="0" w:color="auto"/>
              <w:right w:val="single" w:sz="8" w:space="0" w:color="auto"/>
            </w:tcBorders>
            <w:shd w:val="clear" w:color="000000" w:fill="BFBFBF"/>
            <w:vAlign w:val="center"/>
            <w:hideMark/>
          </w:tcPr>
          <w:p w:rsidR="00B25FD5" w:rsidRDefault="00B25FD5">
            <w:pPr>
              <w:jc w:val="center"/>
              <w:rPr>
                <w:rFonts w:ascii="Calibri" w:hAnsi="Calibri"/>
                <w:b/>
                <w:bCs/>
                <w:color w:val="000000"/>
                <w:sz w:val="20"/>
                <w:szCs w:val="20"/>
              </w:rPr>
            </w:pPr>
            <w:r>
              <w:rPr>
                <w:rFonts w:ascii="Calibri" w:hAnsi="Calibri"/>
                <w:b/>
                <w:bCs/>
                <w:color w:val="000000"/>
                <w:sz w:val="20"/>
                <w:szCs w:val="20"/>
              </w:rPr>
              <w:t>Percent in 2009-10</w:t>
            </w:r>
          </w:p>
        </w:tc>
        <w:tc>
          <w:tcPr>
            <w:tcW w:w="900" w:type="dxa"/>
            <w:tcBorders>
              <w:top w:val="single" w:sz="8" w:space="0" w:color="auto"/>
              <w:left w:val="nil"/>
              <w:bottom w:val="single" w:sz="8" w:space="0" w:color="auto"/>
              <w:right w:val="single" w:sz="8" w:space="0" w:color="auto"/>
            </w:tcBorders>
            <w:shd w:val="clear" w:color="000000" w:fill="BFBFBF"/>
            <w:vAlign w:val="center"/>
            <w:hideMark/>
          </w:tcPr>
          <w:p w:rsidR="00B25FD5" w:rsidRDefault="00B25FD5">
            <w:pPr>
              <w:jc w:val="center"/>
              <w:rPr>
                <w:rFonts w:ascii="Calibri" w:hAnsi="Calibri"/>
                <w:b/>
                <w:bCs/>
                <w:color w:val="000000"/>
                <w:sz w:val="20"/>
                <w:szCs w:val="20"/>
              </w:rPr>
            </w:pPr>
            <w:r>
              <w:rPr>
                <w:rFonts w:ascii="Calibri" w:hAnsi="Calibri"/>
                <w:b/>
                <w:bCs/>
                <w:color w:val="000000"/>
                <w:sz w:val="20"/>
                <w:szCs w:val="20"/>
              </w:rPr>
              <w:t>Percent in 2010-11</w:t>
            </w:r>
          </w:p>
        </w:tc>
        <w:tc>
          <w:tcPr>
            <w:tcW w:w="900" w:type="dxa"/>
            <w:tcBorders>
              <w:top w:val="single" w:sz="8" w:space="0" w:color="auto"/>
              <w:left w:val="nil"/>
              <w:bottom w:val="single" w:sz="8" w:space="0" w:color="auto"/>
              <w:right w:val="single" w:sz="8" w:space="0" w:color="auto"/>
            </w:tcBorders>
            <w:shd w:val="clear" w:color="000000" w:fill="BFBFBF"/>
            <w:vAlign w:val="center"/>
            <w:hideMark/>
          </w:tcPr>
          <w:p w:rsidR="00B25FD5" w:rsidRDefault="00B25FD5">
            <w:pPr>
              <w:jc w:val="center"/>
              <w:rPr>
                <w:rFonts w:ascii="Calibri" w:hAnsi="Calibri"/>
                <w:b/>
                <w:bCs/>
                <w:color w:val="000000"/>
                <w:sz w:val="20"/>
                <w:szCs w:val="20"/>
              </w:rPr>
            </w:pPr>
            <w:r>
              <w:rPr>
                <w:rFonts w:ascii="Calibri" w:hAnsi="Calibri"/>
                <w:b/>
                <w:bCs/>
                <w:color w:val="000000"/>
                <w:sz w:val="20"/>
                <w:szCs w:val="20"/>
              </w:rPr>
              <w:t>Percent in 2011-12</w:t>
            </w:r>
          </w:p>
        </w:tc>
        <w:tc>
          <w:tcPr>
            <w:tcW w:w="900" w:type="dxa"/>
            <w:tcBorders>
              <w:top w:val="single" w:sz="8" w:space="0" w:color="auto"/>
              <w:left w:val="nil"/>
              <w:bottom w:val="single" w:sz="8" w:space="0" w:color="auto"/>
              <w:right w:val="single" w:sz="8" w:space="0" w:color="auto"/>
            </w:tcBorders>
            <w:shd w:val="clear" w:color="000000" w:fill="BFBFBF"/>
            <w:vAlign w:val="center"/>
            <w:hideMark/>
          </w:tcPr>
          <w:p w:rsidR="00B25FD5" w:rsidRDefault="00B25FD5">
            <w:pPr>
              <w:jc w:val="center"/>
              <w:rPr>
                <w:rFonts w:ascii="Calibri" w:hAnsi="Calibri"/>
                <w:b/>
                <w:bCs/>
                <w:color w:val="000000"/>
                <w:sz w:val="20"/>
                <w:szCs w:val="20"/>
              </w:rPr>
            </w:pPr>
            <w:r>
              <w:rPr>
                <w:rFonts w:ascii="Calibri" w:hAnsi="Calibri"/>
                <w:b/>
                <w:bCs/>
                <w:color w:val="000000"/>
                <w:sz w:val="20"/>
                <w:szCs w:val="20"/>
              </w:rPr>
              <w:t>Percent in 2012-13</w:t>
            </w:r>
          </w:p>
        </w:tc>
      </w:tr>
      <w:tr w:rsidR="00D05FA3" w:rsidTr="003B6C73">
        <w:trPr>
          <w:trHeight w:val="328"/>
        </w:trPr>
        <w:tc>
          <w:tcPr>
            <w:tcW w:w="1022" w:type="dxa"/>
            <w:tcBorders>
              <w:top w:val="nil"/>
              <w:left w:val="single" w:sz="8" w:space="0" w:color="auto"/>
              <w:bottom w:val="single" w:sz="8" w:space="0" w:color="auto"/>
              <w:right w:val="single" w:sz="8" w:space="0" w:color="auto"/>
            </w:tcBorders>
            <w:shd w:val="clear" w:color="auto" w:fill="auto"/>
            <w:noWrap/>
            <w:vAlign w:val="center"/>
            <w:hideMark/>
          </w:tcPr>
          <w:p w:rsidR="00B25FD5" w:rsidRDefault="00B25FD5">
            <w:pPr>
              <w:rPr>
                <w:rFonts w:ascii="Calibri" w:hAnsi="Calibri"/>
                <w:b/>
                <w:bCs/>
                <w:color w:val="000000"/>
                <w:sz w:val="20"/>
                <w:szCs w:val="20"/>
              </w:rPr>
            </w:pPr>
            <w:r>
              <w:rPr>
                <w:rFonts w:ascii="Calibri" w:hAnsi="Calibri"/>
                <w:b/>
                <w:bCs/>
                <w:color w:val="000000"/>
                <w:sz w:val="20"/>
                <w:szCs w:val="20"/>
              </w:rPr>
              <w:t>Unknown</w:t>
            </w:r>
          </w:p>
        </w:tc>
        <w:tc>
          <w:tcPr>
            <w:tcW w:w="806"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1,022</w:t>
            </w:r>
          </w:p>
        </w:tc>
        <w:tc>
          <w:tcPr>
            <w:tcW w:w="789"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467</w:t>
            </w:r>
          </w:p>
        </w:tc>
        <w:tc>
          <w:tcPr>
            <w:tcW w:w="717"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478</w:t>
            </w:r>
          </w:p>
        </w:tc>
        <w:tc>
          <w:tcPr>
            <w:tcW w:w="787" w:type="dxa"/>
            <w:tcBorders>
              <w:top w:val="nil"/>
              <w:left w:val="nil"/>
              <w:bottom w:val="single" w:sz="8" w:space="0" w:color="auto"/>
              <w:right w:val="single" w:sz="8" w:space="0" w:color="auto"/>
            </w:tcBorders>
            <w:shd w:val="clear" w:color="auto" w:fill="auto"/>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563</w:t>
            </w:r>
          </w:p>
        </w:tc>
        <w:tc>
          <w:tcPr>
            <w:tcW w:w="737"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449</w:t>
            </w:r>
          </w:p>
        </w:tc>
        <w:tc>
          <w:tcPr>
            <w:tcW w:w="793" w:type="dxa"/>
            <w:tcBorders>
              <w:top w:val="nil"/>
              <w:left w:val="nil"/>
              <w:bottom w:val="single" w:sz="8" w:space="0" w:color="auto"/>
              <w:right w:val="single" w:sz="18" w:space="0" w:color="auto"/>
            </w:tcBorders>
            <w:shd w:val="clear" w:color="auto" w:fill="auto"/>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497</w:t>
            </w:r>
          </w:p>
        </w:tc>
        <w:tc>
          <w:tcPr>
            <w:tcW w:w="989"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w:t>
            </w:r>
          </w:p>
        </w:tc>
        <w:tc>
          <w:tcPr>
            <w:tcW w:w="991"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w:t>
            </w:r>
          </w:p>
        </w:tc>
        <w:tc>
          <w:tcPr>
            <w:tcW w:w="900"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w:t>
            </w:r>
          </w:p>
        </w:tc>
        <w:tc>
          <w:tcPr>
            <w:tcW w:w="900" w:type="dxa"/>
            <w:tcBorders>
              <w:top w:val="nil"/>
              <w:left w:val="nil"/>
              <w:bottom w:val="single" w:sz="8" w:space="0" w:color="auto"/>
              <w:right w:val="single" w:sz="8" w:space="0" w:color="auto"/>
            </w:tcBorders>
            <w:shd w:val="clear" w:color="auto" w:fill="auto"/>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w:t>
            </w:r>
          </w:p>
        </w:tc>
        <w:tc>
          <w:tcPr>
            <w:tcW w:w="900" w:type="dxa"/>
            <w:tcBorders>
              <w:top w:val="nil"/>
              <w:left w:val="nil"/>
              <w:bottom w:val="single" w:sz="8" w:space="0" w:color="auto"/>
              <w:right w:val="single" w:sz="8" w:space="0" w:color="auto"/>
            </w:tcBorders>
            <w:shd w:val="clear" w:color="auto" w:fill="auto"/>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w:t>
            </w:r>
          </w:p>
        </w:tc>
        <w:tc>
          <w:tcPr>
            <w:tcW w:w="900" w:type="dxa"/>
            <w:tcBorders>
              <w:top w:val="nil"/>
              <w:left w:val="nil"/>
              <w:bottom w:val="single" w:sz="8" w:space="0" w:color="auto"/>
              <w:right w:val="single" w:sz="8" w:space="0" w:color="auto"/>
            </w:tcBorders>
            <w:shd w:val="clear" w:color="auto" w:fill="auto"/>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w:t>
            </w:r>
          </w:p>
        </w:tc>
      </w:tr>
      <w:tr w:rsidR="00D05FA3" w:rsidTr="003B6C73">
        <w:trPr>
          <w:trHeight w:val="328"/>
        </w:trPr>
        <w:tc>
          <w:tcPr>
            <w:tcW w:w="1022" w:type="dxa"/>
            <w:tcBorders>
              <w:top w:val="nil"/>
              <w:left w:val="single" w:sz="8" w:space="0" w:color="auto"/>
              <w:bottom w:val="single" w:sz="8" w:space="0" w:color="auto"/>
              <w:right w:val="single" w:sz="8" w:space="0" w:color="auto"/>
            </w:tcBorders>
            <w:shd w:val="clear" w:color="auto" w:fill="auto"/>
            <w:noWrap/>
            <w:vAlign w:val="center"/>
            <w:hideMark/>
          </w:tcPr>
          <w:p w:rsidR="00B25FD5" w:rsidRDefault="00B25FD5">
            <w:pPr>
              <w:rPr>
                <w:rFonts w:ascii="Calibri" w:hAnsi="Calibri"/>
                <w:b/>
                <w:bCs/>
                <w:color w:val="000000"/>
                <w:sz w:val="20"/>
                <w:szCs w:val="20"/>
              </w:rPr>
            </w:pPr>
            <w:r>
              <w:rPr>
                <w:rFonts w:ascii="Calibri" w:hAnsi="Calibri"/>
                <w:b/>
                <w:bCs/>
                <w:color w:val="000000"/>
                <w:sz w:val="20"/>
                <w:szCs w:val="20"/>
              </w:rPr>
              <w:t>Elem Only</w:t>
            </w:r>
          </w:p>
        </w:tc>
        <w:tc>
          <w:tcPr>
            <w:tcW w:w="806"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4,325</w:t>
            </w:r>
          </w:p>
        </w:tc>
        <w:tc>
          <w:tcPr>
            <w:tcW w:w="789"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4,310</w:t>
            </w:r>
          </w:p>
        </w:tc>
        <w:tc>
          <w:tcPr>
            <w:tcW w:w="717"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4,319</w:t>
            </w:r>
          </w:p>
        </w:tc>
        <w:tc>
          <w:tcPr>
            <w:tcW w:w="787" w:type="dxa"/>
            <w:tcBorders>
              <w:top w:val="nil"/>
              <w:left w:val="nil"/>
              <w:bottom w:val="single" w:sz="8" w:space="0" w:color="auto"/>
              <w:right w:val="single" w:sz="8" w:space="0" w:color="auto"/>
            </w:tcBorders>
            <w:shd w:val="clear" w:color="auto" w:fill="auto"/>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4,678</w:t>
            </w:r>
          </w:p>
        </w:tc>
        <w:tc>
          <w:tcPr>
            <w:tcW w:w="737"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4,740</w:t>
            </w:r>
          </w:p>
        </w:tc>
        <w:tc>
          <w:tcPr>
            <w:tcW w:w="793" w:type="dxa"/>
            <w:tcBorders>
              <w:top w:val="nil"/>
              <w:left w:val="nil"/>
              <w:bottom w:val="single" w:sz="8" w:space="0" w:color="auto"/>
              <w:right w:val="single" w:sz="18" w:space="0" w:color="auto"/>
            </w:tcBorders>
            <w:shd w:val="clear" w:color="auto" w:fill="auto"/>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4,554</w:t>
            </w:r>
          </w:p>
        </w:tc>
        <w:tc>
          <w:tcPr>
            <w:tcW w:w="989"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55.10%</w:t>
            </w:r>
          </w:p>
        </w:tc>
        <w:tc>
          <w:tcPr>
            <w:tcW w:w="991"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52.50%</w:t>
            </w:r>
          </w:p>
        </w:tc>
        <w:tc>
          <w:tcPr>
            <w:tcW w:w="900"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50.00%</w:t>
            </w:r>
          </w:p>
        </w:tc>
        <w:tc>
          <w:tcPr>
            <w:tcW w:w="900" w:type="dxa"/>
            <w:tcBorders>
              <w:top w:val="nil"/>
              <w:left w:val="nil"/>
              <w:bottom w:val="single" w:sz="8" w:space="0" w:color="auto"/>
              <w:right w:val="single" w:sz="8" w:space="0" w:color="auto"/>
            </w:tcBorders>
            <w:shd w:val="clear" w:color="auto" w:fill="auto"/>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49.40%</w:t>
            </w:r>
          </w:p>
        </w:tc>
        <w:tc>
          <w:tcPr>
            <w:tcW w:w="900"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49.30%</w:t>
            </w:r>
          </w:p>
        </w:tc>
        <w:tc>
          <w:tcPr>
            <w:tcW w:w="900" w:type="dxa"/>
            <w:tcBorders>
              <w:top w:val="nil"/>
              <w:left w:val="nil"/>
              <w:bottom w:val="single" w:sz="8" w:space="0" w:color="auto"/>
              <w:right w:val="single" w:sz="8" w:space="0" w:color="auto"/>
            </w:tcBorders>
            <w:shd w:val="clear" w:color="auto" w:fill="auto"/>
            <w:vAlign w:val="center"/>
            <w:hideMark/>
          </w:tcPr>
          <w:p w:rsidR="00B25FD5" w:rsidRDefault="00B25FD5">
            <w:pPr>
              <w:jc w:val="center"/>
              <w:rPr>
                <w:rFonts w:ascii="Calibri" w:hAnsi="Calibri"/>
                <w:color w:val="000000"/>
                <w:sz w:val="20"/>
                <w:szCs w:val="20"/>
              </w:rPr>
            </w:pPr>
            <w:r>
              <w:rPr>
                <w:rFonts w:ascii="Calibri" w:hAnsi="Calibri" w:cs="Calibri"/>
                <w:color w:val="000000"/>
                <w:sz w:val="20"/>
                <w:szCs w:val="20"/>
              </w:rPr>
              <w:t>49.10%</w:t>
            </w:r>
          </w:p>
        </w:tc>
      </w:tr>
      <w:tr w:rsidR="00D05FA3" w:rsidTr="003B6C73">
        <w:trPr>
          <w:trHeight w:val="328"/>
        </w:trPr>
        <w:tc>
          <w:tcPr>
            <w:tcW w:w="1022" w:type="dxa"/>
            <w:tcBorders>
              <w:top w:val="nil"/>
              <w:left w:val="single" w:sz="8" w:space="0" w:color="auto"/>
              <w:bottom w:val="single" w:sz="8" w:space="0" w:color="auto"/>
              <w:right w:val="single" w:sz="8" w:space="0" w:color="auto"/>
            </w:tcBorders>
            <w:shd w:val="clear" w:color="auto" w:fill="auto"/>
            <w:noWrap/>
            <w:vAlign w:val="center"/>
            <w:hideMark/>
          </w:tcPr>
          <w:p w:rsidR="00B25FD5" w:rsidRDefault="00B25FD5">
            <w:pPr>
              <w:rPr>
                <w:rFonts w:ascii="Calibri" w:hAnsi="Calibri"/>
                <w:b/>
                <w:bCs/>
                <w:color w:val="000000"/>
                <w:sz w:val="20"/>
                <w:szCs w:val="20"/>
              </w:rPr>
            </w:pPr>
            <w:r>
              <w:rPr>
                <w:rFonts w:ascii="Calibri" w:hAnsi="Calibri"/>
                <w:b/>
                <w:bCs/>
                <w:color w:val="000000"/>
                <w:sz w:val="20"/>
                <w:szCs w:val="20"/>
              </w:rPr>
              <w:t>Elem-Mid</w:t>
            </w:r>
          </w:p>
        </w:tc>
        <w:tc>
          <w:tcPr>
            <w:tcW w:w="806"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770</w:t>
            </w:r>
          </w:p>
        </w:tc>
        <w:tc>
          <w:tcPr>
            <w:tcW w:w="789"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848</w:t>
            </w:r>
          </w:p>
        </w:tc>
        <w:tc>
          <w:tcPr>
            <w:tcW w:w="717"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930</w:t>
            </w:r>
          </w:p>
        </w:tc>
        <w:tc>
          <w:tcPr>
            <w:tcW w:w="787" w:type="dxa"/>
            <w:tcBorders>
              <w:top w:val="nil"/>
              <w:left w:val="nil"/>
              <w:bottom w:val="single" w:sz="8" w:space="0" w:color="auto"/>
              <w:right w:val="single" w:sz="8" w:space="0" w:color="auto"/>
            </w:tcBorders>
            <w:shd w:val="clear" w:color="auto" w:fill="auto"/>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965</w:t>
            </w:r>
          </w:p>
        </w:tc>
        <w:tc>
          <w:tcPr>
            <w:tcW w:w="737"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1,012</w:t>
            </w:r>
          </w:p>
        </w:tc>
        <w:tc>
          <w:tcPr>
            <w:tcW w:w="793" w:type="dxa"/>
            <w:tcBorders>
              <w:top w:val="nil"/>
              <w:left w:val="nil"/>
              <w:bottom w:val="single" w:sz="8" w:space="0" w:color="auto"/>
              <w:right w:val="single" w:sz="18" w:space="0" w:color="auto"/>
            </w:tcBorders>
            <w:shd w:val="clear" w:color="auto" w:fill="auto"/>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928</w:t>
            </w:r>
          </w:p>
        </w:tc>
        <w:tc>
          <w:tcPr>
            <w:tcW w:w="989"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9.80%</w:t>
            </w:r>
          </w:p>
        </w:tc>
        <w:tc>
          <w:tcPr>
            <w:tcW w:w="991"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10.30%</w:t>
            </w:r>
          </w:p>
        </w:tc>
        <w:tc>
          <w:tcPr>
            <w:tcW w:w="900"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10.80%</w:t>
            </w:r>
          </w:p>
        </w:tc>
        <w:tc>
          <w:tcPr>
            <w:tcW w:w="900" w:type="dxa"/>
            <w:tcBorders>
              <w:top w:val="nil"/>
              <w:left w:val="nil"/>
              <w:bottom w:val="single" w:sz="8" w:space="0" w:color="auto"/>
              <w:right w:val="single" w:sz="8" w:space="0" w:color="auto"/>
            </w:tcBorders>
            <w:shd w:val="clear" w:color="auto" w:fill="auto"/>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10.20%</w:t>
            </w:r>
          </w:p>
        </w:tc>
        <w:tc>
          <w:tcPr>
            <w:tcW w:w="900"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10.50%</w:t>
            </w:r>
          </w:p>
        </w:tc>
        <w:tc>
          <w:tcPr>
            <w:tcW w:w="900" w:type="dxa"/>
            <w:tcBorders>
              <w:top w:val="nil"/>
              <w:left w:val="nil"/>
              <w:bottom w:val="single" w:sz="8" w:space="0" w:color="auto"/>
              <w:right w:val="single" w:sz="8" w:space="0" w:color="auto"/>
            </w:tcBorders>
            <w:shd w:val="clear" w:color="auto" w:fill="auto"/>
            <w:vAlign w:val="center"/>
            <w:hideMark/>
          </w:tcPr>
          <w:p w:rsidR="00B25FD5" w:rsidRDefault="00B25FD5">
            <w:pPr>
              <w:jc w:val="center"/>
              <w:rPr>
                <w:rFonts w:ascii="Calibri" w:hAnsi="Calibri"/>
                <w:color w:val="000000"/>
                <w:sz w:val="20"/>
                <w:szCs w:val="20"/>
              </w:rPr>
            </w:pPr>
            <w:r>
              <w:rPr>
                <w:rFonts w:ascii="Calibri" w:hAnsi="Calibri" w:cs="Calibri"/>
                <w:color w:val="000000"/>
                <w:sz w:val="20"/>
                <w:szCs w:val="20"/>
              </w:rPr>
              <w:t>10.00%</w:t>
            </w:r>
          </w:p>
        </w:tc>
      </w:tr>
      <w:tr w:rsidR="00D05FA3" w:rsidTr="003B6C73">
        <w:trPr>
          <w:trHeight w:val="328"/>
        </w:trPr>
        <w:tc>
          <w:tcPr>
            <w:tcW w:w="1022" w:type="dxa"/>
            <w:tcBorders>
              <w:top w:val="nil"/>
              <w:left w:val="single" w:sz="8" w:space="0" w:color="auto"/>
              <w:bottom w:val="single" w:sz="8" w:space="0" w:color="auto"/>
              <w:right w:val="single" w:sz="8" w:space="0" w:color="auto"/>
            </w:tcBorders>
            <w:shd w:val="clear" w:color="auto" w:fill="auto"/>
            <w:noWrap/>
            <w:vAlign w:val="center"/>
            <w:hideMark/>
          </w:tcPr>
          <w:p w:rsidR="00B25FD5" w:rsidRDefault="00B25FD5">
            <w:pPr>
              <w:rPr>
                <w:rFonts w:ascii="Calibri" w:hAnsi="Calibri"/>
                <w:b/>
                <w:bCs/>
                <w:color w:val="000000"/>
                <w:sz w:val="20"/>
                <w:szCs w:val="20"/>
              </w:rPr>
            </w:pPr>
            <w:r>
              <w:rPr>
                <w:rFonts w:ascii="Calibri" w:hAnsi="Calibri"/>
                <w:b/>
                <w:bCs/>
                <w:color w:val="000000"/>
                <w:sz w:val="20"/>
                <w:szCs w:val="20"/>
              </w:rPr>
              <w:t>Mid Only</w:t>
            </w:r>
          </w:p>
        </w:tc>
        <w:tc>
          <w:tcPr>
            <w:tcW w:w="806"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1,501</w:t>
            </w:r>
          </w:p>
        </w:tc>
        <w:tc>
          <w:tcPr>
            <w:tcW w:w="789"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1,654</w:t>
            </w:r>
          </w:p>
        </w:tc>
        <w:tc>
          <w:tcPr>
            <w:tcW w:w="717"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1,764</w:t>
            </w:r>
          </w:p>
        </w:tc>
        <w:tc>
          <w:tcPr>
            <w:tcW w:w="787" w:type="dxa"/>
            <w:tcBorders>
              <w:top w:val="nil"/>
              <w:left w:val="nil"/>
              <w:bottom w:val="single" w:sz="8" w:space="0" w:color="auto"/>
              <w:right w:val="single" w:sz="8" w:space="0" w:color="auto"/>
            </w:tcBorders>
            <w:shd w:val="clear" w:color="auto" w:fill="auto"/>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1,989</w:t>
            </w:r>
          </w:p>
        </w:tc>
        <w:tc>
          <w:tcPr>
            <w:tcW w:w="737"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1,914</w:t>
            </w:r>
          </w:p>
        </w:tc>
        <w:tc>
          <w:tcPr>
            <w:tcW w:w="793" w:type="dxa"/>
            <w:tcBorders>
              <w:top w:val="nil"/>
              <w:left w:val="nil"/>
              <w:bottom w:val="single" w:sz="8" w:space="0" w:color="auto"/>
              <w:right w:val="single" w:sz="18" w:space="0" w:color="auto"/>
            </w:tcBorders>
            <w:shd w:val="clear" w:color="auto" w:fill="auto"/>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1,896</w:t>
            </w:r>
          </w:p>
        </w:tc>
        <w:tc>
          <w:tcPr>
            <w:tcW w:w="989"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19.10%</w:t>
            </w:r>
          </w:p>
        </w:tc>
        <w:tc>
          <w:tcPr>
            <w:tcW w:w="991"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20.10%</w:t>
            </w:r>
          </w:p>
        </w:tc>
        <w:tc>
          <w:tcPr>
            <w:tcW w:w="900"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20.40%</w:t>
            </w:r>
          </w:p>
        </w:tc>
        <w:tc>
          <w:tcPr>
            <w:tcW w:w="900" w:type="dxa"/>
            <w:tcBorders>
              <w:top w:val="nil"/>
              <w:left w:val="nil"/>
              <w:bottom w:val="single" w:sz="8" w:space="0" w:color="auto"/>
              <w:right w:val="single" w:sz="8" w:space="0" w:color="auto"/>
            </w:tcBorders>
            <w:shd w:val="clear" w:color="auto" w:fill="auto"/>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21.00%</w:t>
            </w:r>
          </w:p>
        </w:tc>
        <w:tc>
          <w:tcPr>
            <w:tcW w:w="900"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19.90%</w:t>
            </w:r>
          </w:p>
        </w:tc>
        <w:tc>
          <w:tcPr>
            <w:tcW w:w="900" w:type="dxa"/>
            <w:tcBorders>
              <w:top w:val="nil"/>
              <w:left w:val="nil"/>
              <w:bottom w:val="single" w:sz="8" w:space="0" w:color="auto"/>
              <w:right w:val="single" w:sz="8" w:space="0" w:color="auto"/>
            </w:tcBorders>
            <w:shd w:val="clear" w:color="auto" w:fill="auto"/>
            <w:vAlign w:val="center"/>
            <w:hideMark/>
          </w:tcPr>
          <w:p w:rsidR="00B25FD5" w:rsidRDefault="00B25FD5">
            <w:pPr>
              <w:jc w:val="center"/>
              <w:rPr>
                <w:rFonts w:ascii="Calibri" w:hAnsi="Calibri"/>
                <w:color w:val="000000"/>
                <w:sz w:val="20"/>
                <w:szCs w:val="20"/>
              </w:rPr>
            </w:pPr>
            <w:r>
              <w:rPr>
                <w:rFonts w:ascii="Calibri" w:hAnsi="Calibri" w:cs="Calibri"/>
                <w:color w:val="000000"/>
                <w:sz w:val="20"/>
                <w:szCs w:val="20"/>
              </w:rPr>
              <w:t>20.40%</w:t>
            </w:r>
          </w:p>
        </w:tc>
      </w:tr>
      <w:tr w:rsidR="00D05FA3" w:rsidTr="003B6C73">
        <w:trPr>
          <w:trHeight w:val="328"/>
        </w:trPr>
        <w:tc>
          <w:tcPr>
            <w:tcW w:w="1022" w:type="dxa"/>
            <w:tcBorders>
              <w:top w:val="nil"/>
              <w:left w:val="single" w:sz="8" w:space="0" w:color="auto"/>
              <w:bottom w:val="single" w:sz="8" w:space="0" w:color="auto"/>
              <w:right w:val="single" w:sz="8" w:space="0" w:color="auto"/>
            </w:tcBorders>
            <w:shd w:val="clear" w:color="auto" w:fill="auto"/>
            <w:noWrap/>
            <w:vAlign w:val="center"/>
            <w:hideMark/>
          </w:tcPr>
          <w:p w:rsidR="00B25FD5" w:rsidRDefault="00B25FD5">
            <w:pPr>
              <w:rPr>
                <w:rFonts w:ascii="Calibri" w:hAnsi="Calibri"/>
                <w:b/>
                <w:bCs/>
                <w:color w:val="000000"/>
                <w:sz w:val="20"/>
                <w:szCs w:val="20"/>
              </w:rPr>
            </w:pPr>
            <w:r>
              <w:rPr>
                <w:rFonts w:ascii="Calibri" w:hAnsi="Calibri"/>
                <w:b/>
                <w:bCs/>
                <w:color w:val="000000"/>
                <w:sz w:val="20"/>
                <w:szCs w:val="20"/>
              </w:rPr>
              <w:t>Mid-High</w:t>
            </w:r>
          </w:p>
        </w:tc>
        <w:tc>
          <w:tcPr>
            <w:tcW w:w="806"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282</w:t>
            </w:r>
          </w:p>
        </w:tc>
        <w:tc>
          <w:tcPr>
            <w:tcW w:w="789"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298</w:t>
            </w:r>
          </w:p>
        </w:tc>
        <w:tc>
          <w:tcPr>
            <w:tcW w:w="717"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306</w:t>
            </w:r>
          </w:p>
        </w:tc>
        <w:tc>
          <w:tcPr>
            <w:tcW w:w="787" w:type="dxa"/>
            <w:tcBorders>
              <w:top w:val="nil"/>
              <w:left w:val="nil"/>
              <w:bottom w:val="single" w:sz="8" w:space="0" w:color="auto"/>
              <w:right w:val="single" w:sz="8" w:space="0" w:color="auto"/>
            </w:tcBorders>
            <w:shd w:val="clear" w:color="auto" w:fill="auto"/>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388</w:t>
            </w:r>
          </w:p>
        </w:tc>
        <w:tc>
          <w:tcPr>
            <w:tcW w:w="737"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451</w:t>
            </w:r>
          </w:p>
        </w:tc>
        <w:tc>
          <w:tcPr>
            <w:tcW w:w="793" w:type="dxa"/>
            <w:tcBorders>
              <w:top w:val="nil"/>
              <w:left w:val="nil"/>
              <w:bottom w:val="single" w:sz="8" w:space="0" w:color="auto"/>
              <w:right w:val="single" w:sz="18" w:space="0" w:color="auto"/>
            </w:tcBorders>
            <w:shd w:val="clear" w:color="auto" w:fill="auto"/>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426</w:t>
            </w:r>
          </w:p>
        </w:tc>
        <w:tc>
          <w:tcPr>
            <w:tcW w:w="989"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3.60%</w:t>
            </w:r>
          </w:p>
        </w:tc>
        <w:tc>
          <w:tcPr>
            <w:tcW w:w="991"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3.60%</w:t>
            </w:r>
          </w:p>
        </w:tc>
        <w:tc>
          <w:tcPr>
            <w:tcW w:w="900"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3.50%</w:t>
            </w:r>
          </w:p>
        </w:tc>
        <w:tc>
          <w:tcPr>
            <w:tcW w:w="900" w:type="dxa"/>
            <w:tcBorders>
              <w:top w:val="nil"/>
              <w:left w:val="nil"/>
              <w:bottom w:val="single" w:sz="8" w:space="0" w:color="auto"/>
              <w:right w:val="single" w:sz="8" w:space="0" w:color="auto"/>
            </w:tcBorders>
            <w:shd w:val="clear" w:color="auto" w:fill="auto"/>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4.10%</w:t>
            </w:r>
          </w:p>
        </w:tc>
        <w:tc>
          <w:tcPr>
            <w:tcW w:w="900"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4.70%</w:t>
            </w:r>
          </w:p>
        </w:tc>
        <w:tc>
          <w:tcPr>
            <w:tcW w:w="900" w:type="dxa"/>
            <w:tcBorders>
              <w:top w:val="nil"/>
              <w:left w:val="nil"/>
              <w:bottom w:val="single" w:sz="8" w:space="0" w:color="auto"/>
              <w:right w:val="single" w:sz="8" w:space="0" w:color="auto"/>
            </w:tcBorders>
            <w:shd w:val="clear" w:color="auto" w:fill="auto"/>
            <w:vAlign w:val="center"/>
            <w:hideMark/>
          </w:tcPr>
          <w:p w:rsidR="00B25FD5" w:rsidRDefault="00B25FD5">
            <w:pPr>
              <w:jc w:val="center"/>
              <w:rPr>
                <w:rFonts w:ascii="Calibri" w:hAnsi="Calibri"/>
                <w:color w:val="000000"/>
                <w:sz w:val="20"/>
                <w:szCs w:val="20"/>
              </w:rPr>
            </w:pPr>
            <w:r>
              <w:rPr>
                <w:rFonts w:ascii="Calibri" w:hAnsi="Calibri" w:cs="Calibri"/>
                <w:color w:val="000000"/>
                <w:sz w:val="20"/>
                <w:szCs w:val="20"/>
              </w:rPr>
              <w:t>4.60%</w:t>
            </w:r>
          </w:p>
        </w:tc>
      </w:tr>
      <w:tr w:rsidR="00D05FA3" w:rsidTr="003B6C73">
        <w:trPr>
          <w:trHeight w:val="328"/>
        </w:trPr>
        <w:tc>
          <w:tcPr>
            <w:tcW w:w="1022" w:type="dxa"/>
            <w:tcBorders>
              <w:top w:val="nil"/>
              <w:left w:val="single" w:sz="8" w:space="0" w:color="auto"/>
              <w:bottom w:val="single" w:sz="8" w:space="0" w:color="auto"/>
              <w:right w:val="single" w:sz="8" w:space="0" w:color="auto"/>
            </w:tcBorders>
            <w:shd w:val="clear" w:color="auto" w:fill="auto"/>
            <w:noWrap/>
            <w:vAlign w:val="center"/>
            <w:hideMark/>
          </w:tcPr>
          <w:p w:rsidR="00B25FD5" w:rsidRDefault="00B25FD5">
            <w:pPr>
              <w:rPr>
                <w:rFonts w:ascii="Calibri" w:hAnsi="Calibri"/>
                <w:b/>
                <w:bCs/>
                <w:color w:val="000000"/>
                <w:sz w:val="20"/>
                <w:szCs w:val="20"/>
              </w:rPr>
            </w:pPr>
            <w:r>
              <w:rPr>
                <w:rFonts w:ascii="Calibri" w:hAnsi="Calibri"/>
                <w:b/>
                <w:bCs/>
                <w:color w:val="000000"/>
                <w:sz w:val="20"/>
                <w:szCs w:val="20"/>
              </w:rPr>
              <w:t>High Only</w:t>
            </w:r>
          </w:p>
        </w:tc>
        <w:tc>
          <w:tcPr>
            <w:tcW w:w="806"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643</w:t>
            </w:r>
          </w:p>
        </w:tc>
        <w:tc>
          <w:tcPr>
            <w:tcW w:w="789"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824</w:t>
            </w:r>
          </w:p>
        </w:tc>
        <w:tc>
          <w:tcPr>
            <w:tcW w:w="717"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1,020</w:t>
            </w:r>
          </w:p>
        </w:tc>
        <w:tc>
          <w:tcPr>
            <w:tcW w:w="787" w:type="dxa"/>
            <w:tcBorders>
              <w:top w:val="nil"/>
              <w:left w:val="nil"/>
              <w:bottom w:val="single" w:sz="8" w:space="0" w:color="auto"/>
              <w:right w:val="single" w:sz="8" w:space="0" w:color="auto"/>
            </w:tcBorders>
            <w:shd w:val="clear" w:color="auto" w:fill="auto"/>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1,172</w:t>
            </w:r>
          </w:p>
        </w:tc>
        <w:tc>
          <w:tcPr>
            <w:tcW w:w="737"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1,176</w:t>
            </w:r>
          </w:p>
        </w:tc>
        <w:tc>
          <w:tcPr>
            <w:tcW w:w="793" w:type="dxa"/>
            <w:tcBorders>
              <w:top w:val="nil"/>
              <w:left w:val="nil"/>
              <w:bottom w:val="single" w:sz="8" w:space="0" w:color="auto"/>
              <w:right w:val="single" w:sz="18" w:space="0" w:color="auto"/>
            </w:tcBorders>
            <w:shd w:val="clear" w:color="auto" w:fill="auto"/>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1,187</w:t>
            </w:r>
          </w:p>
        </w:tc>
        <w:tc>
          <w:tcPr>
            <w:tcW w:w="989"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8.20%</w:t>
            </w:r>
          </w:p>
        </w:tc>
        <w:tc>
          <w:tcPr>
            <w:tcW w:w="991"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10.00%</w:t>
            </w:r>
          </w:p>
        </w:tc>
        <w:tc>
          <w:tcPr>
            <w:tcW w:w="900"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11.80%</w:t>
            </w:r>
          </w:p>
        </w:tc>
        <w:tc>
          <w:tcPr>
            <w:tcW w:w="900" w:type="dxa"/>
            <w:tcBorders>
              <w:top w:val="nil"/>
              <w:left w:val="nil"/>
              <w:bottom w:val="single" w:sz="8" w:space="0" w:color="auto"/>
              <w:right w:val="single" w:sz="8" w:space="0" w:color="auto"/>
            </w:tcBorders>
            <w:shd w:val="clear" w:color="auto" w:fill="auto"/>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12.40%</w:t>
            </w:r>
          </w:p>
        </w:tc>
        <w:tc>
          <w:tcPr>
            <w:tcW w:w="900"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12.20%</w:t>
            </w:r>
          </w:p>
        </w:tc>
        <w:tc>
          <w:tcPr>
            <w:tcW w:w="900" w:type="dxa"/>
            <w:tcBorders>
              <w:top w:val="nil"/>
              <w:left w:val="nil"/>
              <w:bottom w:val="single" w:sz="8" w:space="0" w:color="auto"/>
              <w:right w:val="single" w:sz="8" w:space="0" w:color="auto"/>
            </w:tcBorders>
            <w:shd w:val="clear" w:color="auto" w:fill="auto"/>
            <w:vAlign w:val="center"/>
            <w:hideMark/>
          </w:tcPr>
          <w:p w:rsidR="00B25FD5" w:rsidRDefault="00B25FD5">
            <w:pPr>
              <w:jc w:val="center"/>
              <w:rPr>
                <w:rFonts w:ascii="Calibri" w:hAnsi="Calibri"/>
                <w:color w:val="000000"/>
                <w:sz w:val="20"/>
                <w:szCs w:val="20"/>
              </w:rPr>
            </w:pPr>
            <w:r>
              <w:rPr>
                <w:rFonts w:ascii="Calibri" w:hAnsi="Calibri" w:cs="Calibri"/>
                <w:color w:val="000000"/>
                <w:sz w:val="20"/>
                <w:szCs w:val="20"/>
              </w:rPr>
              <w:t>12.80%</w:t>
            </w:r>
          </w:p>
        </w:tc>
      </w:tr>
      <w:tr w:rsidR="00D05FA3" w:rsidTr="003B6C73">
        <w:trPr>
          <w:trHeight w:val="328"/>
        </w:trPr>
        <w:tc>
          <w:tcPr>
            <w:tcW w:w="1022" w:type="dxa"/>
            <w:tcBorders>
              <w:top w:val="nil"/>
              <w:left w:val="single" w:sz="8" w:space="0" w:color="auto"/>
              <w:bottom w:val="single" w:sz="8" w:space="0" w:color="auto"/>
              <w:right w:val="single" w:sz="8" w:space="0" w:color="auto"/>
            </w:tcBorders>
            <w:shd w:val="clear" w:color="auto" w:fill="auto"/>
            <w:noWrap/>
            <w:vAlign w:val="center"/>
            <w:hideMark/>
          </w:tcPr>
          <w:p w:rsidR="00B25FD5" w:rsidRDefault="00B25FD5">
            <w:pPr>
              <w:rPr>
                <w:rFonts w:ascii="Calibri" w:hAnsi="Calibri"/>
                <w:b/>
                <w:bCs/>
                <w:color w:val="000000"/>
                <w:sz w:val="20"/>
                <w:szCs w:val="20"/>
              </w:rPr>
            </w:pPr>
            <w:r>
              <w:rPr>
                <w:rFonts w:ascii="Calibri" w:hAnsi="Calibri"/>
                <w:b/>
                <w:bCs/>
                <w:color w:val="000000"/>
                <w:sz w:val="20"/>
                <w:szCs w:val="20"/>
              </w:rPr>
              <w:t xml:space="preserve">Other </w:t>
            </w:r>
          </w:p>
        </w:tc>
        <w:tc>
          <w:tcPr>
            <w:tcW w:w="806"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326</w:t>
            </w:r>
          </w:p>
        </w:tc>
        <w:tc>
          <w:tcPr>
            <w:tcW w:w="789"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279</w:t>
            </w:r>
          </w:p>
        </w:tc>
        <w:tc>
          <w:tcPr>
            <w:tcW w:w="717"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295</w:t>
            </w:r>
          </w:p>
        </w:tc>
        <w:tc>
          <w:tcPr>
            <w:tcW w:w="787" w:type="dxa"/>
            <w:tcBorders>
              <w:top w:val="nil"/>
              <w:left w:val="nil"/>
              <w:bottom w:val="single" w:sz="8" w:space="0" w:color="auto"/>
              <w:right w:val="single" w:sz="8" w:space="0" w:color="auto"/>
            </w:tcBorders>
            <w:shd w:val="clear" w:color="auto" w:fill="auto"/>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279</w:t>
            </w:r>
          </w:p>
        </w:tc>
        <w:tc>
          <w:tcPr>
            <w:tcW w:w="737"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322</w:t>
            </w:r>
          </w:p>
        </w:tc>
        <w:tc>
          <w:tcPr>
            <w:tcW w:w="793" w:type="dxa"/>
            <w:tcBorders>
              <w:top w:val="nil"/>
              <w:left w:val="nil"/>
              <w:bottom w:val="single" w:sz="8" w:space="0" w:color="auto"/>
              <w:right w:val="single" w:sz="18" w:space="0" w:color="auto"/>
            </w:tcBorders>
            <w:shd w:val="clear" w:color="auto" w:fill="auto"/>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293</w:t>
            </w:r>
          </w:p>
        </w:tc>
        <w:tc>
          <w:tcPr>
            <w:tcW w:w="989"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4.20%</w:t>
            </w:r>
          </w:p>
        </w:tc>
        <w:tc>
          <w:tcPr>
            <w:tcW w:w="991"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3.40%</w:t>
            </w:r>
          </w:p>
        </w:tc>
        <w:tc>
          <w:tcPr>
            <w:tcW w:w="900"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3.40%</w:t>
            </w:r>
          </w:p>
        </w:tc>
        <w:tc>
          <w:tcPr>
            <w:tcW w:w="900" w:type="dxa"/>
            <w:tcBorders>
              <w:top w:val="nil"/>
              <w:left w:val="nil"/>
              <w:bottom w:val="single" w:sz="8" w:space="0" w:color="auto"/>
              <w:right w:val="single" w:sz="8" w:space="0" w:color="auto"/>
            </w:tcBorders>
            <w:shd w:val="clear" w:color="auto" w:fill="auto"/>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2.90%</w:t>
            </w:r>
          </w:p>
        </w:tc>
        <w:tc>
          <w:tcPr>
            <w:tcW w:w="900" w:type="dxa"/>
            <w:tcBorders>
              <w:top w:val="nil"/>
              <w:left w:val="nil"/>
              <w:bottom w:val="single" w:sz="8" w:space="0" w:color="auto"/>
              <w:right w:val="single" w:sz="8" w:space="0" w:color="auto"/>
            </w:tcBorders>
            <w:shd w:val="clear" w:color="auto" w:fill="auto"/>
            <w:noWrap/>
            <w:vAlign w:val="center"/>
            <w:hideMark/>
          </w:tcPr>
          <w:p w:rsidR="00B25FD5" w:rsidRDefault="00B25FD5">
            <w:pPr>
              <w:jc w:val="center"/>
              <w:rPr>
                <w:rFonts w:ascii="Calibri" w:hAnsi="Calibri"/>
                <w:color w:val="000000"/>
                <w:sz w:val="20"/>
                <w:szCs w:val="20"/>
              </w:rPr>
            </w:pPr>
            <w:r>
              <w:rPr>
                <w:rFonts w:ascii="Calibri" w:hAnsi="Calibri"/>
                <w:color w:val="000000"/>
                <w:sz w:val="20"/>
                <w:szCs w:val="20"/>
              </w:rPr>
              <w:t>3.30%</w:t>
            </w:r>
          </w:p>
        </w:tc>
        <w:tc>
          <w:tcPr>
            <w:tcW w:w="900" w:type="dxa"/>
            <w:tcBorders>
              <w:top w:val="nil"/>
              <w:left w:val="nil"/>
              <w:bottom w:val="single" w:sz="8" w:space="0" w:color="auto"/>
              <w:right w:val="single" w:sz="8" w:space="0" w:color="auto"/>
            </w:tcBorders>
            <w:shd w:val="clear" w:color="auto" w:fill="auto"/>
            <w:vAlign w:val="center"/>
            <w:hideMark/>
          </w:tcPr>
          <w:p w:rsidR="00B25FD5" w:rsidRDefault="00B25FD5">
            <w:pPr>
              <w:jc w:val="center"/>
              <w:rPr>
                <w:rFonts w:ascii="Calibri" w:hAnsi="Calibri"/>
                <w:color w:val="000000"/>
                <w:sz w:val="20"/>
                <w:szCs w:val="20"/>
              </w:rPr>
            </w:pPr>
            <w:r>
              <w:rPr>
                <w:rFonts w:ascii="Calibri" w:hAnsi="Calibri" w:cs="Calibri"/>
                <w:color w:val="000000"/>
                <w:sz w:val="20"/>
                <w:szCs w:val="20"/>
              </w:rPr>
              <w:t>3.20%</w:t>
            </w:r>
          </w:p>
        </w:tc>
      </w:tr>
    </w:tbl>
    <w:p w:rsidR="00B25FD5" w:rsidRPr="00F6177E" w:rsidRDefault="00B25FD5" w:rsidP="00F6177E">
      <w:pPr>
        <w:jc w:val="center"/>
        <w:rPr>
          <w:b/>
        </w:rPr>
      </w:pPr>
    </w:p>
    <w:p w:rsidR="00E514E2" w:rsidRDefault="00E514E2" w:rsidP="007E60FD">
      <w:pPr>
        <w:pStyle w:val="SHeading2"/>
        <w:rPr>
          <w:highlight w:val="yellow"/>
        </w:rPr>
      </w:pPr>
    </w:p>
    <w:p w:rsidR="00626B51" w:rsidRPr="00761A78" w:rsidRDefault="00626B51">
      <w:pPr>
        <w:rPr>
          <w:b/>
          <w:sz w:val="20"/>
          <w:szCs w:val="20"/>
          <w:highlight w:val="yellow"/>
        </w:rPr>
      </w:pPr>
      <w:bookmarkStart w:id="41" w:name="_Toc248907009"/>
      <w:bookmarkEnd w:id="40"/>
      <w:r w:rsidRPr="00761A78">
        <w:rPr>
          <w:sz w:val="20"/>
          <w:szCs w:val="20"/>
          <w:highlight w:val="yellow"/>
        </w:rPr>
        <w:br w:type="page"/>
      </w:r>
    </w:p>
    <w:p w:rsidR="00990BF6" w:rsidRPr="00D61567" w:rsidRDefault="00990BF6" w:rsidP="00A50F56">
      <w:pPr>
        <w:pStyle w:val="Heading1"/>
      </w:pPr>
      <w:bookmarkStart w:id="42" w:name="_Toc446063958"/>
      <w:r w:rsidRPr="00D61567">
        <w:lastRenderedPageBreak/>
        <w:t>Section 2</w:t>
      </w:r>
      <w:r w:rsidR="00A92D15" w:rsidRPr="00D61567">
        <w:t>:</w:t>
      </w:r>
      <w:r w:rsidRPr="00D61567">
        <w:t xml:space="preserve"> Performance on the GPRA Indicators</w:t>
      </w:r>
      <w:bookmarkEnd w:id="41"/>
      <w:bookmarkEnd w:id="42"/>
    </w:p>
    <w:p w:rsidR="00990BF6" w:rsidRPr="00D61567" w:rsidRDefault="00990BF6"/>
    <w:p w:rsidR="00990BF6" w:rsidRPr="00D61567" w:rsidRDefault="00990BF6">
      <w:r w:rsidRPr="00D61567">
        <w:t>In addition to collecting information on the operational characteristics of 21st CCLC programs, a primary purpose of PPICS is to collect</w:t>
      </w:r>
      <w:r w:rsidR="004322F6" w:rsidRPr="00D61567">
        <w:t xml:space="preserve"> data to inform performance in </w:t>
      </w:r>
      <w:r w:rsidRPr="00D61567">
        <w:t>meeting the GPRA indicators established for the program. The GPRA</w:t>
      </w:r>
      <w:r w:rsidR="00D03C78" w:rsidRPr="00D61567">
        <w:t xml:space="preserve"> indicators, outlined in </w:t>
      </w:r>
      <w:r w:rsidR="00174B5B" w:rsidRPr="00D61567">
        <w:fldChar w:fldCharType="begin"/>
      </w:r>
      <w:r w:rsidR="00174B5B" w:rsidRPr="00D61567">
        <w:instrText xml:space="preserve"> REF _Ref240449512 \h  \* MERGEFORMAT </w:instrText>
      </w:r>
      <w:r w:rsidR="00174B5B" w:rsidRPr="00D61567">
        <w:fldChar w:fldCharType="separate"/>
      </w:r>
      <w:r w:rsidR="00A50F56" w:rsidRPr="00D61567">
        <w:t>Table</w:t>
      </w:r>
      <w:r w:rsidR="00174B5B" w:rsidRPr="00D61567">
        <w:fldChar w:fldCharType="end"/>
      </w:r>
      <w:r w:rsidR="00883143" w:rsidRPr="00D61567">
        <w:t xml:space="preserve"> </w:t>
      </w:r>
      <w:r w:rsidR="00B8721C">
        <w:t>12</w:t>
      </w:r>
      <w:r w:rsidRPr="00D61567">
        <w:t xml:space="preserve">, are a primary tool by which ED evaluates the effectiveness and efficiency of 21st CCLCs operating nationwide relative to two primary objectives defined for the program. </w:t>
      </w:r>
    </w:p>
    <w:p w:rsidR="004B00E9" w:rsidRPr="00D61567" w:rsidRDefault="004B00E9"/>
    <w:p w:rsidR="00990BF6" w:rsidRPr="00D61567" w:rsidRDefault="00990BF6" w:rsidP="00F914EC">
      <w:pPr>
        <w:numPr>
          <w:ilvl w:val="0"/>
          <w:numId w:val="11"/>
        </w:numPr>
        <w:spacing w:before="120"/>
      </w:pPr>
      <w:r w:rsidRPr="00D61567">
        <w:rPr>
          <w:bCs/>
        </w:rPr>
        <w:t>Participants in 21st Century Community Learning Center programs will demonstrate educational and social benefits and exhibit positive behavioral changes (</w:t>
      </w:r>
      <w:r w:rsidR="00B6024A" w:rsidRPr="00D61567">
        <w:rPr>
          <w:bCs/>
        </w:rPr>
        <w:t xml:space="preserve">indicators </w:t>
      </w:r>
      <w:r w:rsidRPr="00D61567">
        <w:rPr>
          <w:bCs/>
        </w:rPr>
        <w:t>1.1 to 1.14)</w:t>
      </w:r>
      <w:r w:rsidR="00B6024A" w:rsidRPr="00D61567">
        <w:rPr>
          <w:bCs/>
        </w:rPr>
        <w:t>.</w:t>
      </w:r>
    </w:p>
    <w:p w:rsidR="000D4CAA" w:rsidRPr="000D4CAA" w:rsidRDefault="00990BF6" w:rsidP="000D4CAA">
      <w:pPr>
        <w:numPr>
          <w:ilvl w:val="0"/>
          <w:numId w:val="11"/>
        </w:numPr>
        <w:spacing w:before="120"/>
      </w:pPr>
      <w:r w:rsidRPr="00D61567">
        <w:rPr>
          <w:bCs/>
        </w:rPr>
        <w:t xml:space="preserve">21st Century Community Learning Centers will </w:t>
      </w:r>
      <w:r w:rsidR="00391F32" w:rsidRPr="00D61567">
        <w:rPr>
          <w:bCs/>
        </w:rPr>
        <w:t>develop afterschool activities and educational opportunities that consider</w:t>
      </w:r>
      <w:r w:rsidR="00A34E41" w:rsidRPr="00D61567">
        <w:rPr>
          <w:bCs/>
        </w:rPr>
        <w:t xml:space="preserve"> the best practices identified through</w:t>
      </w:r>
      <w:r w:rsidR="00391F32" w:rsidRPr="00D61567">
        <w:rPr>
          <w:bCs/>
        </w:rPr>
        <w:t xml:space="preserve"> </w:t>
      </w:r>
      <w:r w:rsidR="00A34E41" w:rsidRPr="00D61567">
        <w:rPr>
          <w:bCs/>
        </w:rPr>
        <w:t>research fi</w:t>
      </w:r>
      <w:r w:rsidR="00391F32" w:rsidRPr="00D61567">
        <w:rPr>
          <w:bCs/>
        </w:rPr>
        <w:t xml:space="preserve">ndings </w:t>
      </w:r>
      <w:r w:rsidR="00A34E41" w:rsidRPr="00D61567">
        <w:rPr>
          <w:bCs/>
        </w:rPr>
        <w:t xml:space="preserve">and other data that lead to </w:t>
      </w:r>
      <w:r w:rsidRPr="00D61567">
        <w:rPr>
          <w:bCs/>
        </w:rPr>
        <w:t>high-quality enrichment opportunities that positively affect student outcomes</w:t>
      </w:r>
      <w:r w:rsidR="00883143" w:rsidRPr="00D61567">
        <w:rPr>
          <w:bCs/>
        </w:rPr>
        <w:t xml:space="preserve"> (i.e., use</w:t>
      </w:r>
      <w:r w:rsidR="00A34E41" w:rsidRPr="00D61567">
        <w:rPr>
          <w:bCs/>
        </w:rPr>
        <w:t xml:space="preserve"> highly qualified staff; offer afterschool programs every day and on weekends; structure afterschool curriculum on school-based curriculum, etc.).</w:t>
      </w:r>
    </w:p>
    <w:p w:rsidR="000347C4" w:rsidRPr="00D61567" w:rsidRDefault="000D4CAA" w:rsidP="000D4CAA">
      <w:pPr>
        <w:spacing w:before="120"/>
      </w:pPr>
      <w:r w:rsidRPr="00D61567">
        <w:t xml:space="preserve"> </w:t>
      </w:r>
      <w:r w:rsidR="000347C4" w:rsidRPr="00D61567">
        <w:t xml:space="preserve">Also, in addition to the </w:t>
      </w:r>
      <w:r w:rsidR="0014423B" w:rsidRPr="00D61567">
        <w:t xml:space="preserve">indicators identified in Table </w:t>
      </w:r>
      <w:r w:rsidR="00B8721C">
        <w:t>12</w:t>
      </w:r>
      <w:r w:rsidR="000347C4" w:rsidRPr="00D61567">
        <w:t>, it is important to note that ED has established a series of efficiency indicators for the program as well, which are assessed using information collected directly by ED outside the domain of PPICS. These efficiency indicators relate to the formal processes employed by ED program staff to monitor SEA implementation of the program:</w:t>
      </w:r>
    </w:p>
    <w:p w:rsidR="000347C4" w:rsidRPr="00D61567" w:rsidRDefault="000347C4" w:rsidP="000347C4"/>
    <w:p w:rsidR="000347C4" w:rsidRPr="00D61567" w:rsidRDefault="000347C4" w:rsidP="000347C4">
      <w:pPr>
        <w:numPr>
          <w:ilvl w:val="0"/>
          <w:numId w:val="21"/>
        </w:numPr>
        <w:spacing w:after="120"/>
        <w:ind w:left="778"/>
      </w:pPr>
      <w:r w:rsidRPr="00D61567">
        <w:t xml:space="preserve">The average number of days it takes the Department to submit the final monitoring report to an SEA after the conclusion of a site visit.  </w:t>
      </w:r>
    </w:p>
    <w:p w:rsidR="000347C4" w:rsidRPr="00D61567" w:rsidRDefault="000347C4" w:rsidP="000347C4">
      <w:pPr>
        <w:numPr>
          <w:ilvl w:val="0"/>
          <w:numId w:val="21"/>
        </w:numPr>
      </w:pPr>
      <w:r w:rsidRPr="00D61567">
        <w:t>The average number of weeks a State takes to resolve compliance findings in a monitoring visit report.</w:t>
      </w:r>
    </w:p>
    <w:p w:rsidR="000347C4" w:rsidRPr="00D61567" w:rsidRDefault="000347C4" w:rsidP="000347C4"/>
    <w:p w:rsidR="000347C4" w:rsidRPr="00D61567" w:rsidRDefault="000347C4" w:rsidP="000347C4">
      <w:r w:rsidRPr="00D61567">
        <w:t>Information related to ED and SEA performance relative to these measures is not provided in this report.</w:t>
      </w:r>
    </w:p>
    <w:p w:rsidR="000347C4" w:rsidRPr="00D61567" w:rsidRDefault="000347C4"/>
    <w:p w:rsidR="00990BF6" w:rsidRPr="00D61567" w:rsidRDefault="00A92D15">
      <w:r w:rsidRPr="00D61567">
        <w:rPr>
          <w:bCs/>
        </w:rPr>
        <w:t>T</w:t>
      </w:r>
      <w:r w:rsidR="00472617" w:rsidRPr="00D61567">
        <w:rPr>
          <w:bCs/>
        </w:rPr>
        <w:t>his section of the report</w:t>
      </w:r>
      <w:r w:rsidR="00990BF6" w:rsidRPr="00D61567">
        <w:rPr>
          <w:bCs/>
        </w:rPr>
        <w:t xml:space="preserve"> </w:t>
      </w:r>
      <w:r w:rsidR="00990BF6" w:rsidRPr="00D61567">
        <w:t>provide</w:t>
      </w:r>
      <w:r w:rsidRPr="00D61567">
        <w:t>s</w:t>
      </w:r>
      <w:r w:rsidR="00990BF6" w:rsidRPr="00D61567">
        <w:t xml:space="preserve"> a summary of the status of the performance indicators based on data collected as part of the </w:t>
      </w:r>
      <w:r w:rsidR="005254C8" w:rsidRPr="00D61567">
        <w:t>20</w:t>
      </w:r>
      <w:r w:rsidR="00A32E48" w:rsidRPr="00D61567">
        <w:t>1</w:t>
      </w:r>
      <w:r w:rsidR="00D61567" w:rsidRPr="00D61567">
        <w:t>2</w:t>
      </w:r>
      <w:r w:rsidR="002E1A93" w:rsidRPr="00D61567">
        <w:t>-</w:t>
      </w:r>
      <w:r w:rsidR="00CE11AB" w:rsidRPr="00D61567">
        <w:t>1</w:t>
      </w:r>
      <w:r w:rsidR="00D61567" w:rsidRPr="00D61567">
        <w:t>3</w:t>
      </w:r>
      <w:r w:rsidR="00472617" w:rsidRPr="00D61567">
        <w:t xml:space="preserve"> APR</w:t>
      </w:r>
      <w:r w:rsidR="005856C0" w:rsidRPr="00D61567">
        <w:t xml:space="preserve"> and</w:t>
      </w:r>
      <w:r w:rsidR="00990BF6" w:rsidRPr="00D61567">
        <w:t xml:space="preserve"> discuss</w:t>
      </w:r>
      <w:r w:rsidRPr="00D61567">
        <w:t>es</w:t>
      </w:r>
      <w:r w:rsidR="00990BF6" w:rsidRPr="00D61567">
        <w:t xml:space="preserve"> how performance relative to these indicators</w:t>
      </w:r>
      <w:r w:rsidR="00A32E48" w:rsidRPr="00D61567">
        <w:t xml:space="preserve"> has varied across the past </w:t>
      </w:r>
      <w:r w:rsidR="00990BF6" w:rsidRPr="00D61567">
        <w:t>reporting periods.</w:t>
      </w:r>
    </w:p>
    <w:p w:rsidR="00B05221" w:rsidRPr="00D61567" w:rsidRDefault="00B05221">
      <w:r w:rsidRPr="00D61567">
        <w:br w:type="page"/>
      </w:r>
    </w:p>
    <w:p w:rsidR="00990BF6" w:rsidRPr="00D61567" w:rsidRDefault="00990BF6"/>
    <w:p w:rsidR="00990BF6" w:rsidRPr="00D61567" w:rsidRDefault="00803A81" w:rsidP="00120D46">
      <w:pPr>
        <w:pStyle w:val="Caption"/>
        <w:spacing w:after="120"/>
      </w:pPr>
      <w:bookmarkStart w:id="43" w:name="_Ref240449512"/>
      <w:proofErr w:type="gramStart"/>
      <w:r w:rsidRPr="00D61567">
        <w:t>Table</w:t>
      </w:r>
      <w:bookmarkEnd w:id="43"/>
      <w:r w:rsidR="006251FD">
        <w:t xml:space="preserve"> </w:t>
      </w:r>
      <w:r w:rsidR="00F217BF">
        <w:t>12</w:t>
      </w:r>
      <w:r w:rsidRPr="00D61567">
        <w:t>.</w:t>
      </w:r>
      <w:proofErr w:type="gramEnd"/>
      <w:r w:rsidRPr="00D61567">
        <w:t xml:space="preserve"> </w:t>
      </w:r>
      <w:r w:rsidR="00990BF6" w:rsidRPr="00D61567">
        <w:t>21st CCLC GPRA Performance Indicators</w:t>
      </w:r>
    </w:p>
    <w:tbl>
      <w:tblPr>
        <w:tblW w:w="8650" w:type="dxa"/>
        <w:jc w:val="center"/>
        <w:tblCellSpacing w:w="0" w:type="dxa"/>
        <w:tblBorders>
          <w:top w:val="single" w:sz="4" w:space="0" w:color="000000"/>
          <w:left w:val="single" w:sz="4" w:space="0" w:color="000000"/>
          <w:bottom w:val="single" w:sz="4" w:space="0" w:color="000000"/>
          <w:right w:val="single" w:sz="4" w:space="0" w:color="000000"/>
          <w:insideH w:val="single" w:sz="6" w:space="0" w:color="000000"/>
          <w:insideV w:val="single" w:sz="4" w:space="0" w:color="000000"/>
        </w:tblBorders>
        <w:tblCellMar>
          <w:left w:w="0" w:type="dxa"/>
          <w:right w:w="0" w:type="dxa"/>
        </w:tblCellMar>
        <w:tblLook w:val="0000" w:firstRow="0" w:lastRow="0" w:firstColumn="0" w:lastColumn="0" w:noHBand="0" w:noVBand="0"/>
      </w:tblPr>
      <w:tblGrid>
        <w:gridCol w:w="8650"/>
      </w:tblGrid>
      <w:tr w:rsidR="00990BF6" w:rsidRPr="00D61567">
        <w:trPr>
          <w:trHeight w:val="700"/>
          <w:tblHeader/>
          <w:tblCellSpacing w:w="0" w:type="dxa"/>
          <w:jc w:val="center"/>
        </w:trPr>
        <w:tc>
          <w:tcPr>
            <w:tcW w:w="8650" w:type="dxa"/>
            <w:tcBorders>
              <w:top w:val="single" w:sz="4" w:space="0" w:color="000000"/>
              <w:bottom w:val="single" w:sz="6" w:space="0" w:color="000000"/>
            </w:tcBorders>
            <w:shd w:val="clear" w:color="auto" w:fill="CCCCCC"/>
            <w:vAlign w:val="center"/>
          </w:tcPr>
          <w:p w:rsidR="00990BF6" w:rsidRPr="00D61567" w:rsidRDefault="00990BF6" w:rsidP="003073AD">
            <w:pPr>
              <w:spacing w:before="40" w:after="40"/>
              <w:jc w:val="center"/>
              <w:rPr>
                <w:sz w:val="22"/>
                <w:szCs w:val="22"/>
              </w:rPr>
            </w:pPr>
            <w:r w:rsidRPr="00D61567">
              <w:rPr>
                <w:b/>
                <w:bCs/>
                <w:sz w:val="22"/>
                <w:szCs w:val="22"/>
              </w:rPr>
              <w:t>GPRA Performance Indicator</w:t>
            </w:r>
            <w:r w:rsidR="009C6506" w:rsidRPr="00D61567">
              <w:rPr>
                <w:b/>
                <w:bCs/>
                <w:sz w:val="22"/>
                <w:szCs w:val="22"/>
              </w:rPr>
              <w:t>s</w:t>
            </w:r>
          </w:p>
        </w:tc>
      </w:tr>
      <w:tr w:rsidR="00990BF6" w:rsidRPr="00D61567" w:rsidTr="00662090">
        <w:trPr>
          <w:trHeight w:val="72"/>
          <w:tblCellSpacing w:w="0" w:type="dxa"/>
          <w:jc w:val="center"/>
        </w:trPr>
        <w:tc>
          <w:tcPr>
            <w:tcW w:w="8650" w:type="dxa"/>
            <w:vAlign w:val="center"/>
          </w:tcPr>
          <w:p w:rsidR="00990BF6" w:rsidRPr="00D61567" w:rsidRDefault="00990BF6" w:rsidP="003073AD">
            <w:pPr>
              <w:spacing w:before="40" w:after="40"/>
              <w:ind w:left="216"/>
              <w:rPr>
                <w:sz w:val="22"/>
                <w:szCs w:val="22"/>
              </w:rPr>
            </w:pPr>
            <w:r w:rsidRPr="00D61567">
              <w:rPr>
                <w:rStyle w:val="ed-reports-ppp-measuretitle1"/>
                <w:rFonts w:ascii="Times New Roman" w:hAnsi="Times New Roman" w:cs="Times New Roman"/>
                <w:sz w:val="22"/>
                <w:szCs w:val="22"/>
              </w:rPr>
              <w:t xml:space="preserve">Measure 1.1 of 14: </w:t>
            </w:r>
            <w:r w:rsidRPr="00D61567">
              <w:rPr>
                <w:rStyle w:val="ed-reports-ppp-measuredesc1"/>
                <w:rFonts w:ascii="Times New Roman" w:hAnsi="Times New Roman" w:cs="Times New Roman"/>
                <w:sz w:val="22"/>
                <w:szCs w:val="22"/>
              </w:rPr>
              <w:t xml:space="preserve">The percentage of </w:t>
            </w:r>
            <w:r w:rsidRPr="00D61567">
              <w:rPr>
                <w:rStyle w:val="ed-reports-ppp-measuredesc1"/>
                <w:rFonts w:ascii="Times New Roman" w:hAnsi="Times New Roman" w:cs="Times New Roman"/>
                <w:i/>
                <w:sz w:val="22"/>
                <w:szCs w:val="22"/>
              </w:rPr>
              <w:t>elementary</w:t>
            </w:r>
            <w:r w:rsidRPr="00D61567">
              <w:rPr>
                <w:rStyle w:val="ed-reports-ppp-measuredesc1"/>
                <w:rFonts w:ascii="Times New Roman" w:hAnsi="Times New Roman" w:cs="Times New Roman"/>
                <w:sz w:val="22"/>
                <w:szCs w:val="22"/>
              </w:rPr>
              <w:t xml:space="preserve"> 21st Century regular program participants whose mathematics grades improved from fall to spring.</w:t>
            </w:r>
            <w:r w:rsidR="00481775" w:rsidRPr="00D61567">
              <w:rPr>
                <w:rStyle w:val="ed-reports-ppp-measuredesc1"/>
                <w:rFonts w:ascii="Times New Roman" w:hAnsi="Times New Roman" w:cs="Times New Roman"/>
                <w:sz w:val="22"/>
                <w:szCs w:val="22"/>
              </w:rPr>
              <w:t xml:space="preserve"> </w:t>
            </w:r>
            <w:r w:rsidRPr="00D61567">
              <w:rPr>
                <w:rStyle w:val="ed-reports-ppp-measuredesc1"/>
                <w:rFonts w:ascii="Times New Roman" w:hAnsi="Times New Roman" w:cs="Times New Roman"/>
                <w:sz w:val="22"/>
                <w:szCs w:val="22"/>
              </w:rPr>
              <w:t> </w:t>
            </w:r>
          </w:p>
        </w:tc>
      </w:tr>
      <w:tr w:rsidR="00990BF6" w:rsidRPr="00D61567">
        <w:trPr>
          <w:trHeight w:val="630"/>
          <w:tblCellSpacing w:w="0" w:type="dxa"/>
          <w:jc w:val="center"/>
        </w:trPr>
        <w:tc>
          <w:tcPr>
            <w:tcW w:w="8650" w:type="dxa"/>
            <w:vAlign w:val="center"/>
          </w:tcPr>
          <w:p w:rsidR="00990BF6" w:rsidRPr="00D61567" w:rsidRDefault="00990BF6" w:rsidP="003073AD">
            <w:pPr>
              <w:spacing w:before="40" w:after="40"/>
              <w:ind w:left="216"/>
              <w:rPr>
                <w:sz w:val="22"/>
                <w:szCs w:val="22"/>
              </w:rPr>
            </w:pPr>
            <w:r w:rsidRPr="00D61567">
              <w:rPr>
                <w:rStyle w:val="ed-reports-ppp-measuretitle1"/>
                <w:rFonts w:ascii="Times New Roman" w:hAnsi="Times New Roman" w:cs="Times New Roman"/>
                <w:sz w:val="22"/>
                <w:szCs w:val="22"/>
              </w:rPr>
              <w:t xml:space="preserve">Measure 1.2 of 14: </w:t>
            </w:r>
            <w:r w:rsidRPr="00D61567">
              <w:rPr>
                <w:rStyle w:val="ed-reports-ppp-measuredesc1"/>
                <w:rFonts w:ascii="Times New Roman" w:hAnsi="Times New Roman" w:cs="Times New Roman"/>
                <w:sz w:val="22"/>
                <w:szCs w:val="22"/>
              </w:rPr>
              <w:t xml:space="preserve">The percentage of </w:t>
            </w:r>
            <w:r w:rsidRPr="00D61567">
              <w:rPr>
                <w:rStyle w:val="ed-reports-ppp-measuredesc1"/>
                <w:rFonts w:ascii="Times New Roman" w:hAnsi="Times New Roman" w:cs="Times New Roman"/>
                <w:i/>
                <w:sz w:val="22"/>
                <w:szCs w:val="22"/>
              </w:rPr>
              <w:t xml:space="preserve">middle </w:t>
            </w:r>
            <w:r w:rsidR="007F0CCC" w:rsidRPr="00D61567">
              <w:rPr>
                <w:rStyle w:val="ed-reports-ppp-measuredesc1"/>
                <w:rFonts w:ascii="Times New Roman" w:hAnsi="Times New Roman" w:cs="Times New Roman"/>
                <w:i/>
                <w:sz w:val="22"/>
                <w:szCs w:val="22"/>
              </w:rPr>
              <w:t xml:space="preserve">and </w:t>
            </w:r>
            <w:r w:rsidRPr="00D61567">
              <w:rPr>
                <w:rStyle w:val="ed-reports-ppp-measuredesc1"/>
                <w:rFonts w:ascii="Times New Roman" w:hAnsi="Times New Roman" w:cs="Times New Roman"/>
                <w:i/>
                <w:sz w:val="22"/>
                <w:szCs w:val="22"/>
              </w:rPr>
              <w:t>high school</w:t>
            </w:r>
            <w:r w:rsidRPr="00D61567">
              <w:rPr>
                <w:rStyle w:val="ed-reports-ppp-measuredesc1"/>
                <w:rFonts w:ascii="Times New Roman" w:hAnsi="Times New Roman" w:cs="Times New Roman"/>
                <w:sz w:val="22"/>
                <w:szCs w:val="22"/>
              </w:rPr>
              <w:t xml:space="preserve"> 21st Century regular program participants whose mathematics grades improved from fall to spring.</w:t>
            </w:r>
            <w:r w:rsidR="00481775" w:rsidRPr="00D61567">
              <w:rPr>
                <w:rStyle w:val="ed-reports-ppp-measuredesc1"/>
                <w:rFonts w:ascii="Times New Roman" w:hAnsi="Times New Roman" w:cs="Times New Roman"/>
                <w:sz w:val="22"/>
                <w:szCs w:val="22"/>
              </w:rPr>
              <w:t xml:space="preserve"> </w:t>
            </w:r>
            <w:r w:rsidRPr="00D61567">
              <w:rPr>
                <w:rStyle w:val="ed-reports-ppp-measuredesc1"/>
                <w:rFonts w:ascii="Times New Roman" w:hAnsi="Times New Roman" w:cs="Times New Roman"/>
                <w:sz w:val="22"/>
                <w:szCs w:val="22"/>
              </w:rPr>
              <w:t> </w:t>
            </w:r>
          </w:p>
        </w:tc>
      </w:tr>
      <w:tr w:rsidR="00990BF6" w:rsidRPr="00D61567">
        <w:trPr>
          <w:trHeight w:val="630"/>
          <w:tblCellSpacing w:w="0" w:type="dxa"/>
          <w:jc w:val="center"/>
        </w:trPr>
        <w:tc>
          <w:tcPr>
            <w:tcW w:w="8650" w:type="dxa"/>
            <w:vAlign w:val="center"/>
          </w:tcPr>
          <w:p w:rsidR="00990BF6" w:rsidRPr="00D61567" w:rsidRDefault="00990BF6" w:rsidP="003073AD">
            <w:pPr>
              <w:spacing w:before="40" w:after="40"/>
              <w:ind w:left="216"/>
              <w:rPr>
                <w:sz w:val="22"/>
                <w:szCs w:val="22"/>
              </w:rPr>
            </w:pPr>
            <w:r w:rsidRPr="00D61567">
              <w:rPr>
                <w:rStyle w:val="ed-reports-ppp-measuretitle1"/>
                <w:rFonts w:ascii="Times New Roman" w:hAnsi="Times New Roman" w:cs="Times New Roman"/>
                <w:sz w:val="22"/>
                <w:szCs w:val="22"/>
              </w:rPr>
              <w:t xml:space="preserve">Measure 1.3 of 14: </w:t>
            </w:r>
            <w:r w:rsidRPr="00D61567">
              <w:rPr>
                <w:rStyle w:val="ed-reports-ppp-measuredesc1"/>
                <w:rFonts w:ascii="Times New Roman" w:hAnsi="Times New Roman" w:cs="Times New Roman"/>
                <w:sz w:val="22"/>
                <w:szCs w:val="22"/>
              </w:rPr>
              <w:t xml:space="preserve">The percentage of </w:t>
            </w:r>
            <w:r w:rsidRPr="00D61567">
              <w:rPr>
                <w:rStyle w:val="ed-reports-ppp-measuredesc1"/>
                <w:rFonts w:ascii="Times New Roman" w:hAnsi="Times New Roman" w:cs="Times New Roman"/>
                <w:i/>
                <w:sz w:val="22"/>
                <w:szCs w:val="22"/>
              </w:rPr>
              <w:t>all</w:t>
            </w:r>
            <w:r w:rsidRPr="00D61567">
              <w:rPr>
                <w:rStyle w:val="ed-reports-ppp-measuredesc1"/>
                <w:rFonts w:ascii="Times New Roman" w:hAnsi="Times New Roman" w:cs="Times New Roman"/>
                <w:sz w:val="22"/>
                <w:szCs w:val="22"/>
              </w:rPr>
              <w:t xml:space="preserve"> 21st Century regular program participants whose mathematics grades improved from fall to spring.</w:t>
            </w:r>
          </w:p>
        </w:tc>
      </w:tr>
      <w:tr w:rsidR="00990BF6" w:rsidRPr="00D61567">
        <w:trPr>
          <w:trHeight w:val="630"/>
          <w:tblCellSpacing w:w="0" w:type="dxa"/>
          <w:jc w:val="center"/>
        </w:trPr>
        <w:tc>
          <w:tcPr>
            <w:tcW w:w="8650" w:type="dxa"/>
            <w:vAlign w:val="center"/>
          </w:tcPr>
          <w:p w:rsidR="00990BF6" w:rsidRPr="00D61567" w:rsidRDefault="00990BF6" w:rsidP="003073AD">
            <w:pPr>
              <w:spacing w:before="40" w:after="40"/>
              <w:ind w:left="216"/>
              <w:rPr>
                <w:sz w:val="22"/>
                <w:szCs w:val="22"/>
              </w:rPr>
            </w:pPr>
            <w:r w:rsidRPr="00D61567">
              <w:rPr>
                <w:rStyle w:val="ed-reports-ppp-measuretitle1"/>
                <w:rFonts w:ascii="Times New Roman" w:hAnsi="Times New Roman" w:cs="Times New Roman"/>
                <w:sz w:val="22"/>
                <w:szCs w:val="22"/>
              </w:rPr>
              <w:t xml:space="preserve">Measure 1.4 of 14: </w:t>
            </w:r>
            <w:r w:rsidRPr="00D61567">
              <w:rPr>
                <w:rStyle w:val="ed-reports-ppp-measuredesc1"/>
                <w:rFonts w:ascii="Times New Roman" w:hAnsi="Times New Roman" w:cs="Times New Roman"/>
                <w:sz w:val="22"/>
                <w:szCs w:val="22"/>
              </w:rPr>
              <w:t xml:space="preserve">The percentage of </w:t>
            </w:r>
            <w:r w:rsidRPr="00D61567">
              <w:rPr>
                <w:rStyle w:val="ed-reports-ppp-measuredesc1"/>
                <w:rFonts w:ascii="Times New Roman" w:hAnsi="Times New Roman" w:cs="Times New Roman"/>
                <w:i/>
                <w:sz w:val="22"/>
                <w:szCs w:val="22"/>
              </w:rPr>
              <w:t xml:space="preserve">elementary </w:t>
            </w:r>
            <w:r w:rsidRPr="00D61567">
              <w:rPr>
                <w:rStyle w:val="ed-reports-ppp-measuredesc1"/>
                <w:rFonts w:ascii="Times New Roman" w:hAnsi="Times New Roman" w:cs="Times New Roman"/>
                <w:sz w:val="22"/>
                <w:szCs w:val="22"/>
              </w:rPr>
              <w:t>21st Century regular program participants whose English grades improved from fall to spring.</w:t>
            </w:r>
            <w:r w:rsidR="00481775" w:rsidRPr="00D61567">
              <w:rPr>
                <w:rStyle w:val="ed-reports-ppp-measuredesc1"/>
                <w:rFonts w:ascii="Times New Roman" w:hAnsi="Times New Roman" w:cs="Times New Roman"/>
                <w:sz w:val="22"/>
                <w:szCs w:val="22"/>
              </w:rPr>
              <w:t xml:space="preserve"> </w:t>
            </w:r>
            <w:r w:rsidRPr="00D61567">
              <w:rPr>
                <w:rStyle w:val="ed-reports-ppp-measuredesc1"/>
                <w:rFonts w:ascii="Times New Roman" w:hAnsi="Times New Roman" w:cs="Times New Roman"/>
                <w:sz w:val="22"/>
                <w:szCs w:val="22"/>
              </w:rPr>
              <w:t> </w:t>
            </w:r>
          </w:p>
        </w:tc>
      </w:tr>
      <w:tr w:rsidR="00990BF6" w:rsidRPr="00D61567">
        <w:trPr>
          <w:trHeight w:val="630"/>
          <w:tblCellSpacing w:w="0" w:type="dxa"/>
          <w:jc w:val="center"/>
        </w:trPr>
        <w:tc>
          <w:tcPr>
            <w:tcW w:w="8650" w:type="dxa"/>
            <w:vAlign w:val="center"/>
          </w:tcPr>
          <w:p w:rsidR="00990BF6" w:rsidRPr="00D61567" w:rsidRDefault="00990BF6" w:rsidP="003073AD">
            <w:pPr>
              <w:spacing w:before="40" w:after="40"/>
              <w:ind w:left="216"/>
              <w:rPr>
                <w:sz w:val="22"/>
                <w:szCs w:val="22"/>
              </w:rPr>
            </w:pPr>
            <w:r w:rsidRPr="00D61567">
              <w:rPr>
                <w:rStyle w:val="ed-reports-ppp-measuretitle1"/>
                <w:rFonts w:ascii="Times New Roman" w:hAnsi="Times New Roman" w:cs="Times New Roman"/>
                <w:sz w:val="22"/>
                <w:szCs w:val="22"/>
              </w:rPr>
              <w:t xml:space="preserve">Measure 1.5 of 14: </w:t>
            </w:r>
            <w:r w:rsidRPr="00D61567">
              <w:rPr>
                <w:rStyle w:val="ed-reports-ppp-measuredesc1"/>
                <w:rFonts w:ascii="Times New Roman" w:hAnsi="Times New Roman" w:cs="Times New Roman"/>
                <w:sz w:val="22"/>
                <w:szCs w:val="22"/>
              </w:rPr>
              <w:t xml:space="preserve">The percentage of </w:t>
            </w:r>
            <w:r w:rsidRPr="00D61567">
              <w:rPr>
                <w:rStyle w:val="ed-reports-ppp-measuredesc1"/>
                <w:rFonts w:ascii="Times New Roman" w:hAnsi="Times New Roman" w:cs="Times New Roman"/>
                <w:i/>
                <w:sz w:val="22"/>
                <w:szCs w:val="22"/>
              </w:rPr>
              <w:t xml:space="preserve">middle </w:t>
            </w:r>
            <w:r w:rsidR="00B6024A" w:rsidRPr="00D61567">
              <w:rPr>
                <w:rStyle w:val="ed-reports-ppp-measuredesc1"/>
                <w:rFonts w:ascii="Times New Roman" w:hAnsi="Times New Roman" w:cs="Times New Roman"/>
                <w:i/>
                <w:sz w:val="22"/>
                <w:szCs w:val="22"/>
              </w:rPr>
              <w:t xml:space="preserve">and </w:t>
            </w:r>
            <w:r w:rsidRPr="00D61567">
              <w:rPr>
                <w:rStyle w:val="ed-reports-ppp-measuredesc1"/>
                <w:rFonts w:ascii="Times New Roman" w:hAnsi="Times New Roman" w:cs="Times New Roman"/>
                <w:i/>
                <w:sz w:val="22"/>
                <w:szCs w:val="22"/>
              </w:rPr>
              <w:t>high school</w:t>
            </w:r>
            <w:r w:rsidRPr="00D61567">
              <w:rPr>
                <w:rStyle w:val="ed-reports-ppp-measuredesc1"/>
                <w:rFonts w:ascii="Times New Roman" w:hAnsi="Times New Roman" w:cs="Times New Roman"/>
                <w:sz w:val="22"/>
                <w:szCs w:val="22"/>
              </w:rPr>
              <w:t xml:space="preserve"> 21st Century regular program participants whose English grades improved from fall to spring.</w:t>
            </w:r>
            <w:r w:rsidR="00481775" w:rsidRPr="00D61567">
              <w:rPr>
                <w:rStyle w:val="ed-reports-ppp-measuredesc1"/>
                <w:rFonts w:ascii="Times New Roman" w:hAnsi="Times New Roman" w:cs="Times New Roman"/>
                <w:sz w:val="22"/>
                <w:szCs w:val="22"/>
              </w:rPr>
              <w:t xml:space="preserve"> </w:t>
            </w:r>
            <w:r w:rsidRPr="00D61567">
              <w:rPr>
                <w:rStyle w:val="ed-reports-ppp-measuredesc1"/>
                <w:rFonts w:ascii="Times New Roman" w:hAnsi="Times New Roman" w:cs="Times New Roman"/>
                <w:sz w:val="22"/>
                <w:szCs w:val="22"/>
              </w:rPr>
              <w:t> </w:t>
            </w:r>
          </w:p>
        </w:tc>
      </w:tr>
      <w:tr w:rsidR="00990BF6" w:rsidRPr="00D61567">
        <w:trPr>
          <w:trHeight w:val="630"/>
          <w:tblCellSpacing w:w="0" w:type="dxa"/>
          <w:jc w:val="center"/>
        </w:trPr>
        <w:tc>
          <w:tcPr>
            <w:tcW w:w="8650" w:type="dxa"/>
            <w:vAlign w:val="center"/>
          </w:tcPr>
          <w:p w:rsidR="00990BF6" w:rsidRPr="00D61567" w:rsidRDefault="00990BF6" w:rsidP="003073AD">
            <w:pPr>
              <w:spacing w:before="40" w:after="40"/>
              <w:ind w:left="216"/>
              <w:rPr>
                <w:sz w:val="22"/>
                <w:szCs w:val="22"/>
              </w:rPr>
            </w:pPr>
            <w:r w:rsidRPr="00D61567">
              <w:rPr>
                <w:rStyle w:val="ed-reports-ppp-measuretitle1"/>
                <w:rFonts w:ascii="Times New Roman" w:hAnsi="Times New Roman" w:cs="Times New Roman"/>
                <w:sz w:val="22"/>
                <w:szCs w:val="22"/>
              </w:rPr>
              <w:t xml:space="preserve">Measure 1.6 of 14: </w:t>
            </w:r>
            <w:r w:rsidRPr="00D61567">
              <w:rPr>
                <w:rStyle w:val="ed-reports-ppp-measuredesc1"/>
                <w:rFonts w:ascii="Times New Roman" w:hAnsi="Times New Roman" w:cs="Times New Roman"/>
                <w:sz w:val="22"/>
                <w:szCs w:val="22"/>
              </w:rPr>
              <w:t xml:space="preserve">The percentage of </w:t>
            </w:r>
            <w:r w:rsidRPr="00D61567">
              <w:rPr>
                <w:rStyle w:val="ed-reports-ppp-measuredesc1"/>
                <w:rFonts w:ascii="Times New Roman" w:hAnsi="Times New Roman" w:cs="Times New Roman"/>
                <w:i/>
                <w:sz w:val="22"/>
                <w:szCs w:val="22"/>
              </w:rPr>
              <w:t>all</w:t>
            </w:r>
            <w:r w:rsidRPr="00D61567">
              <w:rPr>
                <w:rStyle w:val="ed-reports-ppp-measuredesc1"/>
                <w:rFonts w:ascii="Times New Roman" w:hAnsi="Times New Roman" w:cs="Times New Roman"/>
                <w:sz w:val="22"/>
                <w:szCs w:val="22"/>
              </w:rPr>
              <w:t xml:space="preserve"> 21st Century regular program participants whose English grades improved from fall to spring.</w:t>
            </w:r>
            <w:r w:rsidR="00481775" w:rsidRPr="00D61567">
              <w:rPr>
                <w:rStyle w:val="ed-reports-ppp-measuredesc1"/>
                <w:rFonts w:ascii="Times New Roman" w:hAnsi="Times New Roman" w:cs="Times New Roman"/>
                <w:sz w:val="22"/>
                <w:szCs w:val="22"/>
              </w:rPr>
              <w:t xml:space="preserve"> </w:t>
            </w:r>
            <w:r w:rsidRPr="00D61567">
              <w:rPr>
                <w:rStyle w:val="ed-reports-ppp-measuredesc1"/>
                <w:rFonts w:ascii="Times New Roman" w:hAnsi="Times New Roman" w:cs="Times New Roman"/>
                <w:sz w:val="22"/>
                <w:szCs w:val="22"/>
              </w:rPr>
              <w:t> </w:t>
            </w:r>
          </w:p>
        </w:tc>
      </w:tr>
      <w:tr w:rsidR="00990BF6" w:rsidRPr="00D61567">
        <w:trPr>
          <w:trHeight w:val="630"/>
          <w:tblCellSpacing w:w="0" w:type="dxa"/>
          <w:jc w:val="center"/>
        </w:trPr>
        <w:tc>
          <w:tcPr>
            <w:tcW w:w="8650" w:type="dxa"/>
            <w:vAlign w:val="center"/>
          </w:tcPr>
          <w:p w:rsidR="00990BF6" w:rsidRPr="00D61567" w:rsidRDefault="00990BF6" w:rsidP="003073AD">
            <w:pPr>
              <w:spacing w:before="40" w:after="40"/>
              <w:ind w:left="216"/>
              <w:rPr>
                <w:sz w:val="22"/>
                <w:szCs w:val="22"/>
              </w:rPr>
            </w:pPr>
            <w:r w:rsidRPr="00D61567">
              <w:rPr>
                <w:rStyle w:val="ed-reports-ppp-measuretitle1"/>
                <w:rFonts w:ascii="Times New Roman" w:hAnsi="Times New Roman" w:cs="Times New Roman"/>
                <w:sz w:val="22"/>
                <w:szCs w:val="22"/>
              </w:rPr>
              <w:t xml:space="preserve">Measure 1.7 of 14: </w:t>
            </w:r>
            <w:r w:rsidRPr="00D61567">
              <w:rPr>
                <w:rStyle w:val="ed-reports-ppp-measuredesc1"/>
                <w:rFonts w:ascii="Times New Roman" w:hAnsi="Times New Roman" w:cs="Times New Roman"/>
                <w:sz w:val="22"/>
                <w:szCs w:val="22"/>
              </w:rPr>
              <w:t xml:space="preserve">The percentage of </w:t>
            </w:r>
            <w:r w:rsidRPr="00D61567">
              <w:rPr>
                <w:rStyle w:val="ed-reports-ppp-measuredesc1"/>
                <w:rFonts w:ascii="Times New Roman" w:hAnsi="Times New Roman" w:cs="Times New Roman"/>
                <w:i/>
                <w:sz w:val="22"/>
                <w:szCs w:val="22"/>
              </w:rPr>
              <w:t>elementary</w:t>
            </w:r>
            <w:r w:rsidRPr="00D61567">
              <w:rPr>
                <w:rStyle w:val="ed-reports-ppp-measuredesc1"/>
                <w:rFonts w:ascii="Times New Roman" w:hAnsi="Times New Roman" w:cs="Times New Roman"/>
                <w:sz w:val="22"/>
                <w:szCs w:val="22"/>
              </w:rPr>
              <w:t xml:space="preserve"> 21st Century regular program participants who improve from not proficient to proficient or above in reading on state assessments.</w:t>
            </w:r>
            <w:r w:rsidR="00481775" w:rsidRPr="00D61567">
              <w:rPr>
                <w:rStyle w:val="ed-reports-ppp-measuredesc1"/>
                <w:rFonts w:ascii="Times New Roman" w:hAnsi="Times New Roman" w:cs="Times New Roman"/>
                <w:sz w:val="22"/>
                <w:szCs w:val="22"/>
              </w:rPr>
              <w:t xml:space="preserve"> </w:t>
            </w:r>
            <w:r w:rsidRPr="00D61567">
              <w:rPr>
                <w:rStyle w:val="ed-reports-ppp-measuredesc1"/>
                <w:rFonts w:ascii="Times New Roman" w:hAnsi="Times New Roman" w:cs="Times New Roman"/>
                <w:sz w:val="22"/>
                <w:szCs w:val="22"/>
              </w:rPr>
              <w:t> </w:t>
            </w:r>
          </w:p>
        </w:tc>
      </w:tr>
      <w:tr w:rsidR="00990BF6" w:rsidRPr="00D61567">
        <w:trPr>
          <w:trHeight w:val="630"/>
          <w:tblCellSpacing w:w="0" w:type="dxa"/>
          <w:jc w:val="center"/>
        </w:trPr>
        <w:tc>
          <w:tcPr>
            <w:tcW w:w="8650" w:type="dxa"/>
            <w:tcBorders>
              <w:top w:val="single" w:sz="6" w:space="0" w:color="000000"/>
              <w:left w:val="single" w:sz="4" w:space="0" w:color="000000"/>
              <w:bottom w:val="single" w:sz="6" w:space="0" w:color="000000"/>
              <w:right w:val="single" w:sz="4" w:space="0" w:color="000000"/>
            </w:tcBorders>
            <w:vAlign w:val="center"/>
          </w:tcPr>
          <w:p w:rsidR="00990BF6" w:rsidRPr="00D61567" w:rsidRDefault="00990BF6" w:rsidP="003073AD">
            <w:pPr>
              <w:spacing w:before="40" w:after="40"/>
              <w:ind w:left="216"/>
              <w:rPr>
                <w:b/>
                <w:bCs/>
                <w:sz w:val="22"/>
                <w:szCs w:val="22"/>
              </w:rPr>
            </w:pPr>
            <w:r w:rsidRPr="00D61567">
              <w:rPr>
                <w:rStyle w:val="ed-reports-ppp-measuretitle1"/>
                <w:rFonts w:ascii="Times New Roman" w:hAnsi="Times New Roman" w:cs="Times New Roman"/>
                <w:sz w:val="22"/>
                <w:szCs w:val="22"/>
              </w:rPr>
              <w:t xml:space="preserve">Measure 1.8 of 14: </w:t>
            </w:r>
            <w:r w:rsidRPr="00D61567">
              <w:rPr>
                <w:rStyle w:val="ed-reports-ppp-measuredesc1"/>
                <w:rFonts w:ascii="Times New Roman" w:hAnsi="Times New Roman" w:cs="Times New Roman"/>
                <w:sz w:val="22"/>
                <w:szCs w:val="22"/>
              </w:rPr>
              <w:t xml:space="preserve">The percentage of </w:t>
            </w:r>
            <w:r w:rsidRPr="00D61567">
              <w:rPr>
                <w:rStyle w:val="ed-reports-ppp-measuredesc1"/>
                <w:rFonts w:ascii="Times New Roman" w:hAnsi="Times New Roman" w:cs="Times New Roman"/>
                <w:i/>
                <w:sz w:val="22"/>
                <w:szCs w:val="22"/>
              </w:rPr>
              <w:t>middle</w:t>
            </w:r>
            <w:r w:rsidR="00B6024A" w:rsidRPr="00D61567">
              <w:rPr>
                <w:rStyle w:val="ed-reports-ppp-measuredesc1"/>
                <w:rFonts w:ascii="Times New Roman" w:hAnsi="Times New Roman" w:cs="Times New Roman"/>
                <w:i/>
                <w:sz w:val="22"/>
                <w:szCs w:val="22"/>
              </w:rPr>
              <w:t xml:space="preserve"> and </w:t>
            </w:r>
            <w:r w:rsidRPr="00D61567">
              <w:rPr>
                <w:rStyle w:val="ed-reports-ppp-measuredesc1"/>
                <w:rFonts w:ascii="Times New Roman" w:hAnsi="Times New Roman" w:cs="Times New Roman"/>
                <w:i/>
                <w:sz w:val="22"/>
                <w:szCs w:val="22"/>
              </w:rPr>
              <w:t>high school</w:t>
            </w:r>
            <w:r w:rsidRPr="00D61567">
              <w:rPr>
                <w:rStyle w:val="ed-reports-ppp-measuredesc1"/>
                <w:rFonts w:ascii="Times New Roman" w:hAnsi="Times New Roman" w:cs="Times New Roman"/>
                <w:sz w:val="22"/>
                <w:szCs w:val="22"/>
              </w:rPr>
              <w:t xml:space="preserve"> 21st Century regular program participants who improve from not proficient to proficient or above in mathematics on state assessments.</w:t>
            </w:r>
            <w:r w:rsidR="00481775" w:rsidRPr="00D61567">
              <w:rPr>
                <w:rStyle w:val="ed-reports-ppp-measuredesc1"/>
                <w:rFonts w:ascii="Times New Roman" w:hAnsi="Times New Roman" w:cs="Times New Roman"/>
                <w:sz w:val="22"/>
                <w:szCs w:val="22"/>
              </w:rPr>
              <w:t xml:space="preserve"> </w:t>
            </w:r>
            <w:r w:rsidRPr="00D61567">
              <w:rPr>
                <w:rStyle w:val="ed-reports-ppp-measuredesc1"/>
                <w:rFonts w:ascii="Times New Roman" w:hAnsi="Times New Roman" w:cs="Times New Roman"/>
                <w:sz w:val="22"/>
                <w:szCs w:val="22"/>
              </w:rPr>
              <w:t> </w:t>
            </w:r>
          </w:p>
        </w:tc>
      </w:tr>
      <w:tr w:rsidR="00990BF6" w:rsidRPr="00D61567">
        <w:trPr>
          <w:trHeight w:val="630"/>
          <w:tblCellSpacing w:w="0" w:type="dxa"/>
          <w:jc w:val="center"/>
        </w:trPr>
        <w:tc>
          <w:tcPr>
            <w:tcW w:w="8650" w:type="dxa"/>
            <w:tcBorders>
              <w:top w:val="single" w:sz="6" w:space="0" w:color="000000"/>
              <w:left w:val="single" w:sz="4" w:space="0" w:color="000000"/>
              <w:bottom w:val="single" w:sz="6" w:space="0" w:color="000000"/>
              <w:right w:val="single" w:sz="4" w:space="0" w:color="000000"/>
            </w:tcBorders>
            <w:vAlign w:val="center"/>
          </w:tcPr>
          <w:p w:rsidR="00990BF6" w:rsidRPr="00D61567" w:rsidRDefault="00990BF6" w:rsidP="003073AD">
            <w:pPr>
              <w:spacing w:before="40" w:after="40"/>
              <w:ind w:left="216"/>
              <w:rPr>
                <w:b/>
                <w:bCs/>
                <w:sz w:val="22"/>
                <w:szCs w:val="22"/>
              </w:rPr>
            </w:pPr>
            <w:r w:rsidRPr="00D61567">
              <w:rPr>
                <w:rStyle w:val="ed-reports-ppp-measuretitle1"/>
                <w:rFonts w:ascii="Times New Roman" w:hAnsi="Times New Roman" w:cs="Times New Roman"/>
                <w:sz w:val="22"/>
                <w:szCs w:val="22"/>
              </w:rPr>
              <w:t xml:space="preserve">Measure 1.9 of 14: </w:t>
            </w:r>
            <w:r w:rsidRPr="00D61567">
              <w:rPr>
                <w:rStyle w:val="ed-reports-ppp-measuredesc1"/>
                <w:rFonts w:ascii="Times New Roman" w:hAnsi="Times New Roman" w:cs="Times New Roman"/>
                <w:sz w:val="22"/>
                <w:szCs w:val="22"/>
              </w:rPr>
              <w:t xml:space="preserve">The percentage of </w:t>
            </w:r>
            <w:r w:rsidRPr="00D61567">
              <w:rPr>
                <w:rStyle w:val="ed-reports-ppp-measuredesc1"/>
                <w:rFonts w:ascii="Times New Roman" w:hAnsi="Times New Roman" w:cs="Times New Roman"/>
                <w:i/>
                <w:sz w:val="22"/>
                <w:szCs w:val="22"/>
              </w:rPr>
              <w:t>elementary</w:t>
            </w:r>
            <w:r w:rsidRPr="00D61567">
              <w:rPr>
                <w:rStyle w:val="ed-reports-ppp-measuredesc1"/>
                <w:rFonts w:ascii="Times New Roman" w:hAnsi="Times New Roman" w:cs="Times New Roman"/>
                <w:sz w:val="22"/>
                <w:szCs w:val="22"/>
              </w:rPr>
              <w:t xml:space="preserve"> 21st Century regular program participants with teacher-reported improvement in homework completion and class participation.</w:t>
            </w:r>
            <w:r w:rsidR="00481775" w:rsidRPr="00D61567">
              <w:rPr>
                <w:rStyle w:val="ed-reports-ppp-measuredesc1"/>
                <w:rFonts w:ascii="Times New Roman" w:hAnsi="Times New Roman" w:cs="Times New Roman"/>
                <w:sz w:val="22"/>
                <w:szCs w:val="22"/>
              </w:rPr>
              <w:t xml:space="preserve"> </w:t>
            </w:r>
            <w:r w:rsidRPr="00D61567">
              <w:rPr>
                <w:rStyle w:val="ed-reports-ppp-measuredesc1"/>
                <w:rFonts w:ascii="Times New Roman" w:hAnsi="Times New Roman" w:cs="Times New Roman"/>
                <w:sz w:val="22"/>
                <w:szCs w:val="22"/>
              </w:rPr>
              <w:t> </w:t>
            </w:r>
          </w:p>
        </w:tc>
      </w:tr>
      <w:tr w:rsidR="00990BF6" w:rsidRPr="00D61567">
        <w:trPr>
          <w:trHeight w:val="630"/>
          <w:tblCellSpacing w:w="0" w:type="dxa"/>
          <w:jc w:val="center"/>
        </w:trPr>
        <w:tc>
          <w:tcPr>
            <w:tcW w:w="8650" w:type="dxa"/>
            <w:tcBorders>
              <w:top w:val="single" w:sz="6" w:space="0" w:color="000000"/>
              <w:left w:val="single" w:sz="4" w:space="0" w:color="000000"/>
              <w:bottom w:val="single" w:sz="6" w:space="0" w:color="000000"/>
              <w:right w:val="single" w:sz="4" w:space="0" w:color="000000"/>
            </w:tcBorders>
            <w:vAlign w:val="center"/>
          </w:tcPr>
          <w:p w:rsidR="00990BF6" w:rsidRPr="00D61567" w:rsidRDefault="00990BF6" w:rsidP="003073AD">
            <w:pPr>
              <w:spacing w:before="40" w:after="40"/>
              <w:ind w:left="216"/>
              <w:rPr>
                <w:b/>
                <w:bCs/>
                <w:sz w:val="22"/>
                <w:szCs w:val="22"/>
              </w:rPr>
            </w:pPr>
            <w:r w:rsidRPr="00D61567">
              <w:rPr>
                <w:rStyle w:val="ed-reports-ppp-measuretitle1"/>
                <w:rFonts w:ascii="Times New Roman" w:hAnsi="Times New Roman" w:cs="Times New Roman"/>
                <w:sz w:val="22"/>
                <w:szCs w:val="22"/>
              </w:rPr>
              <w:t xml:space="preserve">Measure 1.10 of 14: </w:t>
            </w:r>
            <w:r w:rsidRPr="00D61567">
              <w:rPr>
                <w:rStyle w:val="ed-reports-ppp-measuredesc1"/>
                <w:rFonts w:ascii="Times New Roman" w:hAnsi="Times New Roman" w:cs="Times New Roman"/>
                <w:sz w:val="22"/>
                <w:szCs w:val="22"/>
              </w:rPr>
              <w:t xml:space="preserve">The percentage of </w:t>
            </w:r>
            <w:r w:rsidRPr="00D61567">
              <w:rPr>
                <w:rStyle w:val="ed-reports-ppp-measuredesc1"/>
                <w:rFonts w:ascii="Times New Roman" w:hAnsi="Times New Roman" w:cs="Times New Roman"/>
                <w:i/>
                <w:sz w:val="22"/>
                <w:szCs w:val="22"/>
              </w:rPr>
              <w:t>middle and high school</w:t>
            </w:r>
            <w:r w:rsidRPr="00D61567">
              <w:rPr>
                <w:rStyle w:val="ed-reports-ppp-measuredesc1"/>
                <w:rFonts w:ascii="Times New Roman" w:hAnsi="Times New Roman" w:cs="Times New Roman"/>
                <w:sz w:val="22"/>
                <w:szCs w:val="22"/>
              </w:rPr>
              <w:t xml:space="preserve"> 21st Century program participants with teacher-reported improvement in homework completion and class participation.</w:t>
            </w:r>
            <w:r w:rsidR="00481775" w:rsidRPr="00D61567">
              <w:rPr>
                <w:rStyle w:val="ed-reports-ppp-measuredesc1"/>
                <w:rFonts w:ascii="Times New Roman" w:hAnsi="Times New Roman" w:cs="Times New Roman"/>
                <w:sz w:val="22"/>
                <w:szCs w:val="22"/>
              </w:rPr>
              <w:t xml:space="preserve"> </w:t>
            </w:r>
            <w:r w:rsidRPr="00D61567">
              <w:rPr>
                <w:rStyle w:val="ed-reports-ppp-measuredesc1"/>
                <w:rFonts w:ascii="Times New Roman" w:hAnsi="Times New Roman" w:cs="Times New Roman"/>
                <w:sz w:val="22"/>
                <w:szCs w:val="22"/>
              </w:rPr>
              <w:t> </w:t>
            </w:r>
          </w:p>
        </w:tc>
      </w:tr>
      <w:tr w:rsidR="00990BF6" w:rsidRPr="00D61567">
        <w:trPr>
          <w:trHeight w:val="630"/>
          <w:tblCellSpacing w:w="0" w:type="dxa"/>
          <w:jc w:val="center"/>
        </w:trPr>
        <w:tc>
          <w:tcPr>
            <w:tcW w:w="8650" w:type="dxa"/>
            <w:tcBorders>
              <w:top w:val="single" w:sz="6" w:space="0" w:color="000000"/>
              <w:left w:val="single" w:sz="4" w:space="0" w:color="000000"/>
              <w:bottom w:val="single" w:sz="6" w:space="0" w:color="000000"/>
              <w:right w:val="single" w:sz="4" w:space="0" w:color="000000"/>
            </w:tcBorders>
            <w:vAlign w:val="center"/>
          </w:tcPr>
          <w:p w:rsidR="00990BF6" w:rsidRPr="00D61567" w:rsidRDefault="00990BF6" w:rsidP="003073AD">
            <w:pPr>
              <w:spacing w:before="40" w:after="40"/>
              <w:ind w:left="216"/>
              <w:rPr>
                <w:b/>
                <w:bCs/>
                <w:sz w:val="22"/>
                <w:szCs w:val="22"/>
              </w:rPr>
            </w:pPr>
            <w:r w:rsidRPr="00D61567">
              <w:rPr>
                <w:rStyle w:val="ed-reports-ppp-measuretitle1"/>
                <w:rFonts w:ascii="Times New Roman" w:hAnsi="Times New Roman" w:cs="Times New Roman"/>
                <w:sz w:val="22"/>
                <w:szCs w:val="22"/>
              </w:rPr>
              <w:t xml:space="preserve">Measure 1.11 of 14: </w:t>
            </w:r>
            <w:r w:rsidRPr="00D61567">
              <w:rPr>
                <w:rStyle w:val="ed-reports-ppp-measuredesc1"/>
                <w:rFonts w:ascii="Times New Roman" w:hAnsi="Times New Roman" w:cs="Times New Roman"/>
                <w:sz w:val="22"/>
                <w:szCs w:val="22"/>
              </w:rPr>
              <w:t xml:space="preserve">The percentage of </w:t>
            </w:r>
            <w:r w:rsidRPr="00D61567">
              <w:rPr>
                <w:rStyle w:val="ed-reports-ppp-measuredesc1"/>
                <w:rFonts w:ascii="Times New Roman" w:hAnsi="Times New Roman" w:cs="Times New Roman"/>
                <w:i/>
                <w:sz w:val="22"/>
                <w:szCs w:val="22"/>
              </w:rPr>
              <w:t>all</w:t>
            </w:r>
            <w:r w:rsidRPr="00D61567">
              <w:rPr>
                <w:rStyle w:val="ed-reports-ppp-measuredesc1"/>
                <w:rFonts w:ascii="Times New Roman" w:hAnsi="Times New Roman" w:cs="Times New Roman"/>
                <w:sz w:val="22"/>
                <w:szCs w:val="22"/>
              </w:rPr>
              <w:t xml:space="preserve"> 21st Century regular program participants with teacher-reported improvement in homework completion and class participation.</w:t>
            </w:r>
            <w:r w:rsidR="00481775" w:rsidRPr="00D61567">
              <w:rPr>
                <w:rStyle w:val="ed-reports-ppp-measuredesc1"/>
                <w:rFonts w:ascii="Times New Roman" w:hAnsi="Times New Roman" w:cs="Times New Roman"/>
                <w:sz w:val="22"/>
                <w:szCs w:val="22"/>
              </w:rPr>
              <w:t xml:space="preserve"> </w:t>
            </w:r>
            <w:r w:rsidRPr="00D61567">
              <w:rPr>
                <w:rStyle w:val="ed-reports-ppp-measuredesc1"/>
                <w:rFonts w:ascii="Times New Roman" w:hAnsi="Times New Roman" w:cs="Times New Roman"/>
                <w:sz w:val="22"/>
                <w:szCs w:val="22"/>
              </w:rPr>
              <w:t> </w:t>
            </w:r>
          </w:p>
        </w:tc>
      </w:tr>
      <w:tr w:rsidR="00990BF6" w:rsidRPr="00D61567">
        <w:trPr>
          <w:trHeight w:val="630"/>
          <w:tblCellSpacing w:w="0" w:type="dxa"/>
          <w:jc w:val="center"/>
        </w:trPr>
        <w:tc>
          <w:tcPr>
            <w:tcW w:w="8650" w:type="dxa"/>
            <w:tcBorders>
              <w:top w:val="single" w:sz="6" w:space="0" w:color="000000"/>
              <w:left w:val="single" w:sz="4" w:space="0" w:color="000000"/>
              <w:bottom w:val="single" w:sz="6" w:space="0" w:color="000000"/>
              <w:right w:val="single" w:sz="4" w:space="0" w:color="000000"/>
            </w:tcBorders>
            <w:vAlign w:val="center"/>
          </w:tcPr>
          <w:p w:rsidR="00990BF6" w:rsidRPr="00D61567" w:rsidRDefault="00990BF6" w:rsidP="003073AD">
            <w:pPr>
              <w:spacing w:before="40" w:after="40"/>
              <w:ind w:left="216"/>
              <w:rPr>
                <w:b/>
                <w:bCs/>
                <w:sz w:val="22"/>
                <w:szCs w:val="22"/>
              </w:rPr>
            </w:pPr>
            <w:r w:rsidRPr="00D61567">
              <w:rPr>
                <w:rStyle w:val="ed-reports-ppp-measuretitle1"/>
                <w:rFonts w:ascii="Times New Roman" w:hAnsi="Times New Roman" w:cs="Times New Roman"/>
                <w:sz w:val="22"/>
                <w:szCs w:val="22"/>
              </w:rPr>
              <w:t xml:space="preserve">Measure 1.12 of 14: </w:t>
            </w:r>
            <w:r w:rsidRPr="00D61567">
              <w:rPr>
                <w:rStyle w:val="ed-reports-ppp-measuredesc1"/>
                <w:rFonts w:ascii="Times New Roman" w:hAnsi="Times New Roman" w:cs="Times New Roman"/>
                <w:sz w:val="22"/>
                <w:szCs w:val="22"/>
              </w:rPr>
              <w:t xml:space="preserve">The percentage of </w:t>
            </w:r>
            <w:r w:rsidRPr="00D61567">
              <w:rPr>
                <w:rStyle w:val="ed-reports-ppp-measuredesc1"/>
                <w:rFonts w:ascii="Times New Roman" w:hAnsi="Times New Roman" w:cs="Times New Roman"/>
                <w:i/>
                <w:sz w:val="22"/>
                <w:szCs w:val="22"/>
              </w:rPr>
              <w:t>elementary</w:t>
            </w:r>
            <w:r w:rsidRPr="00D61567">
              <w:rPr>
                <w:rStyle w:val="ed-reports-ppp-measuredesc1"/>
                <w:rFonts w:ascii="Times New Roman" w:hAnsi="Times New Roman" w:cs="Times New Roman"/>
                <w:sz w:val="22"/>
                <w:szCs w:val="22"/>
              </w:rPr>
              <w:t xml:space="preserve"> 21st Century participants with teacher-reported improvement in student behavior</w:t>
            </w:r>
          </w:p>
        </w:tc>
      </w:tr>
      <w:tr w:rsidR="00990BF6" w:rsidRPr="00D61567">
        <w:trPr>
          <w:trHeight w:val="630"/>
          <w:tblCellSpacing w:w="0" w:type="dxa"/>
          <w:jc w:val="center"/>
        </w:trPr>
        <w:tc>
          <w:tcPr>
            <w:tcW w:w="8650" w:type="dxa"/>
            <w:tcBorders>
              <w:top w:val="single" w:sz="6" w:space="0" w:color="000000"/>
              <w:left w:val="single" w:sz="4" w:space="0" w:color="000000"/>
              <w:bottom w:val="single" w:sz="6" w:space="0" w:color="000000"/>
              <w:right w:val="single" w:sz="4" w:space="0" w:color="000000"/>
            </w:tcBorders>
            <w:vAlign w:val="center"/>
          </w:tcPr>
          <w:p w:rsidR="00990BF6" w:rsidRPr="00D61567" w:rsidRDefault="00990BF6" w:rsidP="003073AD">
            <w:pPr>
              <w:spacing w:before="40" w:after="40"/>
              <w:ind w:left="216"/>
              <w:rPr>
                <w:b/>
                <w:bCs/>
                <w:sz w:val="22"/>
                <w:szCs w:val="22"/>
              </w:rPr>
            </w:pPr>
            <w:r w:rsidRPr="00D61567">
              <w:rPr>
                <w:rStyle w:val="ed-reports-ppp-measuretitle1"/>
                <w:rFonts w:ascii="Times New Roman" w:hAnsi="Times New Roman" w:cs="Times New Roman"/>
                <w:sz w:val="22"/>
                <w:szCs w:val="22"/>
              </w:rPr>
              <w:t xml:space="preserve">Measure 1.13 of 14: </w:t>
            </w:r>
            <w:r w:rsidRPr="00D61567">
              <w:rPr>
                <w:rStyle w:val="ed-reports-ppp-measuredesc1"/>
                <w:rFonts w:ascii="Times New Roman" w:hAnsi="Times New Roman" w:cs="Times New Roman"/>
                <w:sz w:val="22"/>
                <w:szCs w:val="22"/>
              </w:rPr>
              <w:t xml:space="preserve">The percentage of </w:t>
            </w:r>
            <w:r w:rsidRPr="00D61567">
              <w:rPr>
                <w:rStyle w:val="ed-reports-ppp-measuredesc1"/>
                <w:rFonts w:ascii="Times New Roman" w:hAnsi="Times New Roman" w:cs="Times New Roman"/>
                <w:i/>
                <w:sz w:val="22"/>
                <w:szCs w:val="22"/>
              </w:rPr>
              <w:t>middle and high school</w:t>
            </w:r>
            <w:r w:rsidRPr="00D61567">
              <w:rPr>
                <w:rStyle w:val="ed-reports-ppp-measuredesc1"/>
                <w:rFonts w:ascii="Times New Roman" w:hAnsi="Times New Roman" w:cs="Times New Roman"/>
                <w:sz w:val="22"/>
                <w:szCs w:val="22"/>
              </w:rPr>
              <w:t xml:space="preserve"> 21st Century participants with teacher-reported improvement in student behavior.</w:t>
            </w:r>
            <w:r w:rsidR="00481775" w:rsidRPr="00D61567">
              <w:rPr>
                <w:rStyle w:val="ed-reports-ppp-measuredesc1"/>
                <w:rFonts w:ascii="Times New Roman" w:hAnsi="Times New Roman" w:cs="Times New Roman"/>
                <w:sz w:val="22"/>
                <w:szCs w:val="22"/>
              </w:rPr>
              <w:t xml:space="preserve"> </w:t>
            </w:r>
            <w:r w:rsidRPr="00D61567">
              <w:rPr>
                <w:rStyle w:val="ed-reports-ppp-measuredesc1"/>
                <w:rFonts w:ascii="Times New Roman" w:hAnsi="Times New Roman" w:cs="Times New Roman"/>
                <w:sz w:val="22"/>
                <w:szCs w:val="22"/>
              </w:rPr>
              <w:t> </w:t>
            </w:r>
          </w:p>
        </w:tc>
      </w:tr>
      <w:tr w:rsidR="00990BF6" w:rsidRPr="00D61567">
        <w:trPr>
          <w:trHeight w:val="630"/>
          <w:tblCellSpacing w:w="0" w:type="dxa"/>
          <w:jc w:val="center"/>
        </w:trPr>
        <w:tc>
          <w:tcPr>
            <w:tcW w:w="8650" w:type="dxa"/>
            <w:tcBorders>
              <w:top w:val="single" w:sz="6" w:space="0" w:color="000000"/>
              <w:left w:val="single" w:sz="4" w:space="0" w:color="000000"/>
              <w:bottom w:val="single" w:sz="6" w:space="0" w:color="000000"/>
              <w:right w:val="single" w:sz="4" w:space="0" w:color="000000"/>
            </w:tcBorders>
            <w:vAlign w:val="center"/>
          </w:tcPr>
          <w:p w:rsidR="00990BF6" w:rsidRPr="00D61567" w:rsidRDefault="00990BF6" w:rsidP="003073AD">
            <w:pPr>
              <w:spacing w:before="40" w:after="40"/>
              <w:ind w:left="216"/>
              <w:rPr>
                <w:b/>
                <w:bCs/>
                <w:sz w:val="22"/>
                <w:szCs w:val="22"/>
              </w:rPr>
            </w:pPr>
            <w:r w:rsidRPr="00D61567">
              <w:rPr>
                <w:rStyle w:val="ed-reports-ppp-measuretitle1"/>
                <w:rFonts w:ascii="Times New Roman" w:hAnsi="Times New Roman" w:cs="Times New Roman"/>
                <w:sz w:val="22"/>
                <w:szCs w:val="22"/>
              </w:rPr>
              <w:t xml:space="preserve">Measure 1.14 of 14: </w:t>
            </w:r>
            <w:r w:rsidRPr="00D61567">
              <w:rPr>
                <w:rStyle w:val="ed-reports-ppp-measuredesc1"/>
                <w:rFonts w:ascii="Times New Roman" w:hAnsi="Times New Roman" w:cs="Times New Roman"/>
                <w:sz w:val="22"/>
                <w:szCs w:val="22"/>
              </w:rPr>
              <w:t xml:space="preserve">The percentage of </w:t>
            </w:r>
            <w:r w:rsidRPr="00D61567">
              <w:rPr>
                <w:rStyle w:val="ed-reports-ppp-measuredesc1"/>
                <w:rFonts w:ascii="Times New Roman" w:hAnsi="Times New Roman" w:cs="Times New Roman"/>
                <w:i/>
                <w:sz w:val="22"/>
                <w:szCs w:val="22"/>
              </w:rPr>
              <w:t>all</w:t>
            </w:r>
            <w:r w:rsidRPr="00D61567">
              <w:rPr>
                <w:rStyle w:val="ed-reports-ppp-measuredesc1"/>
                <w:rFonts w:ascii="Times New Roman" w:hAnsi="Times New Roman" w:cs="Times New Roman"/>
                <w:sz w:val="22"/>
                <w:szCs w:val="22"/>
              </w:rPr>
              <w:t xml:space="preserve"> 21st Century participants with teacher-reported improvement in student behavior.</w:t>
            </w:r>
            <w:r w:rsidR="00481775" w:rsidRPr="00D61567">
              <w:rPr>
                <w:rStyle w:val="ed-reports-ppp-measuredesc1"/>
                <w:rFonts w:ascii="Times New Roman" w:hAnsi="Times New Roman" w:cs="Times New Roman"/>
                <w:sz w:val="22"/>
                <w:szCs w:val="22"/>
              </w:rPr>
              <w:t xml:space="preserve"> </w:t>
            </w:r>
            <w:r w:rsidRPr="00D61567">
              <w:rPr>
                <w:rStyle w:val="ed-reports-ppp-measuredesc1"/>
                <w:rFonts w:ascii="Times New Roman" w:hAnsi="Times New Roman" w:cs="Times New Roman"/>
                <w:sz w:val="22"/>
                <w:szCs w:val="22"/>
              </w:rPr>
              <w:t> </w:t>
            </w:r>
          </w:p>
        </w:tc>
      </w:tr>
      <w:tr w:rsidR="00990BF6" w:rsidRPr="00D61567">
        <w:trPr>
          <w:trHeight w:val="630"/>
          <w:tblCellSpacing w:w="0" w:type="dxa"/>
          <w:jc w:val="center"/>
        </w:trPr>
        <w:tc>
          <w:tcPr>
            <w:tcW w:w="8650" w:type="dxa"/>
            <w:tcBorders>
              <w:top w:val="single" w:sz="6" w:space="0" w:color="000000"/>
              <w:left w:val="single" w:sz="4" w:space="0" w:color="000000"/>
              <w:bottom w:val="single" w:sz="4" w:space="0" w:color="000000"/>
              <w:right w:val="single" w:sz="4" w:space="0" w:color="000000"/>
            </w:tcBorders>
            <w:vAlign w:val="center"/>
          </w:tcPr>
          <w:p w:rsidR="00990BF6" w:rsidRPr="00D61567" w:rsidRDefault="00990BF6" w:rsidP="003073AD">
            <w:pPr>
              <w:spacing w:before="40" w:after="40"/>
              <w:ind w:left="216"/>
              <w:rPr>
                <w:b/>
                <w:bCs/>
                <w:sz w:val="22"/>
                <w:szCs w:val="22"/>
              </w:rPr>
            </w:pPr>
            <w:r w:rsidRPr="00D61567">
              <w:rPr>
                <w:rStyle w:val="ed-reports-ppp-measuretitle1"/>
                <w:rFonts w:ascii="Times New Roman" w:hAnsi="Times New Roman" w:cs="Times New Roman"/>
                <w:sz w:val="22"/>
                <w:szCs w:val="22"/>
              </w:rPr>
              <w:t xml:space="preserve">Measure 2.1 of 2: </w:t>
            </w:r>
            <w:r w:rsidRPr="00D61567">
              <w:rPr>
                <w:rStyle w:val="ed-reports-ppp-measuredesc1"/>
                <w:rFonts w:ascii="Times New Roman" w:hAnsi="Times New Roman" w:cs="Times New Roman"/>
                <w:bCs/>
                <w:sz w:val="22"/>
                <w:szCs w:val="22"/>
              </w:rPr>
              <w:t>The percentage of 21st Century Centers reporting emphasis in at least one core academic area.</w:t>
            </w:r>
            <w:r w:rsidR="00481775" w:rsidRPr="00D61567">
              <w:rPr>
                <w:rStyle w:val="ed-reports-ppp-measuredesc1"/>
                <w:rFonts w:ascii="Times New Roman" w:hAnsi="Times New Roman" w:cs="Times New Roman"/>
                <w:b/>
                <w:bCs/>
                <w:sz w:val="22"/>
                <w:szCs w:val="22"/>
              </w:rPr>
              <w:t xml:space="preserve"> </w:t>
            </w:r>
            <w:r w:rsidRPr="00D61567">
              <w:rPr>
                <w:rStyle w:val="ed-reports-ppp-measuredesc1"/>
                <w:rFonts w:ascii="Times New Roman" w:hAnsi="Times New Roman" w:cs="Times New Roman"/>
                <w:b/>
                <w:bCs/>
                <w:sz w:val="22"/>
                <w:szCs w:val="22"/>
              </w:rPr>
              <w:t> </w:t>
            </w:r>
          </w:p>
        </w:tc>
      </w:tr>
      <w:tr w:rsidR="00990BF6" w:rsidRPr="00D07AC9">
        <w:trPr>
          <w:trHeight w:val="630"/>
          <w:tblCellSpacing w:w="0" w:type="dxa"/>
          <w:jc w:val="center"/>
        </w:trPr>
        <w:tc>
          <w:tcPr>
            <w:tcW w:w="8650" w:type="dxa"/>
            <w:tcBorders>
              <w:top w:val="single" w:sz="6" w:space="0" w:color="000000"/>
              <w:left w:val="single" w:sz="4" w:space="0" w:color="000000"/>
              <w:bottom w:val="single" w:sz="4" w:space="0" w:color="000000"/>
              <w:right w:val="single" w:sz="4" w:space="0" w:color="000000"/>
            </w:tcBorders>
            <w:vAlign w:val="center"/>
          </w:tcPr>
          <w:p w:rsidR="00990BF6" w:rsidRPr="00D61567" w:rsidRDefault="00990BF6" w:rsidP="003073AD">
            <w:pPr>
              <w:spacing w:before="40" w:after="40"/>
              <w:ind w:left="216"/>
              <w:rPr>
                <w:b/>
                <w:bCs/>
                <w:sz w:val="22"/>
                <w:szCs w:val="22"/>
              </w:rPr>
            </w:pPr>
            <w:r w:rsidRPr="00D61567">
              <w:rPr>
                <w:rStyle w:val="ed-reports-ppp-measuretitle1"/>
                <w:rFonts w:ascii="Times New Roman" w:hAnsi="Times New Roman" w:cs="Times New Roman"/>
                <w:sz w:val="22"/>
                <w:szCs w:val="22"/>
              </w:rPr>
              <w:t xml:space="preserve">Measure 2.2 of 2: </w:t>
            </w:r>
            <w:r w:rsidRPr="00D61567">
              <w:rPr>
                <w:rStyle w:val="ed-reports-ppp-measuredesc1"/>
                <w:rFonts w:ascii="Times New Roman" w:hAnsi="Times New Roman" w:cs="Times New Roman"/>
                <w:bCs/>
                <w:sz w:val="22"/>
                <w:szCs w:val="22"/>
              </w:rPr>
              <w:t>The percentage of 21st Century Centers offering enrichment and support activities in other areas.</w:t>
            </w:r>
            <w:r w:rsidRPr="00D61567">
              <w:rPr>
                <w:rStyle w:val="ed-reports-ppp-measuredesc1"/>
                <w:rFonts w:ascii="Times New Roman" w:hAnsi="Times New Roman" w:cs="Times New Roman"/>
                <w:b/>
                <w:bCs/>
                <w:sz w:val="22"/>
                <w:szCs w:val="22"/>
              </w:rPr>
              <w:t xml:space="preserve"> </w:t>
            </w:r>
          </w:p>
        </w:tc>
      </w:tr>
    </w:tbl>
    <w:p w:rsidR="00990BF6" w:rsidRPr="00D07AC9" w:rsidRDefault="00990BF6">
      <w:pPr>
        <w:rPr>
          <w:highlight w:val="yellow"/>
        </w:rPr>
      </w:pPr>
    </w:p>
    <w:p w:rsidR="00260CCC" w:rsidRPr="00D07AC9" w:rsidRDefault="00260CCC">
      <w:pPr>
        <w:rPr>
          <w:highlight w:val="yellow"/>
        </w:rPr>
      </w:pPr>
    </w:p>
    <w:p w:rsidR="003A7535" w:rsidRPr="00ED5AA5" w:rsidRDefault="006E6AB6" w:rsidP="00A50F56">
      <w:pPr>
        <w:pStyle w:val="Heading2"/>
      </w:pPr>
      <w:r w:rsidRPr="00D07AC9">
        <w:rPr>
          <w:highlight w:val="yellow"/>
        </w:rPr>
        <w:br w:type="page"/>
      </w:r>
      <w:bookmarkStart w:id="44" w:name="_Toc248907011"/>
      <w:bookmarkStart w:id="45" w:name="_Toc446063959"/>
      <w:bookmarkStart w:id="46" w:name="_Toc248907013"/>
      <w:r w:rsidR="003A7535" w:rsidRPr="00ED5AA5">
        <w:lastRenderedPageBreak/>
        <w:t>GPRA Indicator Results for 201</w:t>
      </w:r>
      <w:r w:rsidR="003A7535">
        <w:t>2-</w:t>
      </w:r>
      <w:r w:rsidR="003A7535" w:rsidRPr="00ED5AA5">
        <w:t>1</w:t>
      </w:r>
      <w:bookmarkEnd w:id="44"/>
      <w:r w:rsidR="003A7535">
        <w:t>3</w:t>
      </w:r>
      <w:bookmarkEnd w:id="45"/>
    </w:p>
    <w:p w:rsidR="003A7535" w:rsidRPr="00ED5AA5" w:rsidRDefault="003A7535" w:rsidP="003A7535">
      <w:pPr>
        <w:rPr>
          <w:b/>
        </w:rPr>
      </w:pPr>
    </w:p>
    <w:p w:rsidR="003A7535" w:rsidRPr="0036101E" w:rsidRDefault="003A7535" w:rsidP="003A7535">
      <w:r w:rsidRPr="0036101E">
        <w:fldChar w:fldCharType="begin"/>
      </w:r>
      <w:r w:rsidRPr="0036101E">
        <w:instrText xml:space="preserve"> REF _Ref240449648 \h  \* MERGEFORMAT </w:instrText>
      </w:r>
      <w:r w:rsidRPr="0036101E">
        <w:fldChar w:fldCharType="separate"/>
      </w:r>
      <w:r w:rsidR="00A50F56" w:rsidRPr="00EA6DAB">
        <w:t>Table</w:t>
      </w:r>
      <w:r w:rsidRPr="0036101E">
        <w:fldChar w:fldCharType="end"/>
      </w:r>
      <w:r w:rsidR="006251FD">
        <w:t xml:space="preserve"> </w:t>
      </w:r>
      <w:r w:rsidR="00F217BF">
        <w:t>13</w:t>
      </w:r>
      <w:r w:rsidR="00F217BF" w:rsidRPr="0036101E">
        <w:t xml:space="preserve"> </w:t>
      </w:r>
      <w:r w:rsidRPr="0036101E">
        <w:t>provides an overall summary of the 21st CCLC program G</w:t>
      </w:r>
      <w:r w:rsidR="00851385">
        <w:t>PRA indicator data for the 2012-</w:t>
      </w:r>
      <w:r w:rsidRPr="0036101E">
        <w:t>13 reporting period along with the performance targets for this period.</w:t>
      </w:r>
      <w:r w:rsidRPr="0036101E">
        <w:rPr>
          <w:rStyle w:val="ed-reports-ppp-measuredesc1"/>
          <w:rFonts w:ascii="Times New Roman" w:hAnsi="Times New Roman" w:cs="Times New Roman"/>
          <w:sz w:val="24"/>
          <w:szCs w:val="24"/>
        </w:rPr>
        <w:t xml:space="preserve"> </w:t>
      </w:r>
      <w:r w:rsidRPr="0036101E">
        <w:t>Note that not all states collect each of the different types of indicator data. See Appendix for more detail.</w:t>
      </w:r>
    </w:p>
    <w:p w:rsidR="003A7535" w:rsidRPr="0036101E" w:rsidRDefault="003A7535" w:rsidP="003A7535"/>
    <w:p w:rsidR="000D4CAA" w:rsidRDefault="003A7535" w:rsidP="003A7535">
      <w:pPr>
        <w:rPr>
          <w:rStyle w:val="ed-reports-ppp-measuredesc1"/>
          <w:rFonts w:ascii="Times New Roman" w:hAnsi="Times New Roman" w:cs="Times New Roman"/>
          <w:sz w:val="24"/>
          <w:szCs w:val="24"/>
        </w:rPr>
      </w:pPr>
      <w:r w:rsidRPr="0036101E">
        <w:t xml:space="preserve">As </w:t>
      </w:r>
      <w:r w:rsidRPr="0036101E">
        <w:fldChar w:fldCharType="begin"/>
      </w:r>
      <w:r w:rsidRPr="0036101E">
        <w:instrText xml:space="preserve"> REF _Ref240449648 \h  \* MERGEFORMAT </w:instrText>
      </w:r>
      <w:r w:rsidRPr="0036101E">
        <w:fldChar w:fldCharType="separate"/>
      </w:r>
      <w:r w:rsidR="00A50F56" w:rsidRPr="00EA6DAB">
        <w:t>Table</w:t>
      </w:r>
      <w:r w:rsidRPr="0036101E">
        <w:fldChar w:fldCharType="end"/>
      </w:r>
      <w:r w:rsidR="006251FD">
        <w:t xml:space="preserve"> </w:t>
      </w:r>
      <w:r w:rsidR="00F217BF">
        <w:t>13</w:t>
      </w:r>
      <w:r w:rsidR="00F217BF" w:rsidRPr="0036101E">
        <w:t xml:space="preserve"> </w:t>
      </w:r>
      <w:r w:rsidRPr="0036101E">
        <w:t>shows, nearly all of the performance targets for the 2012-13 reporting period were not reached. For the range of indicators related to regular attendee improvement in student achievement and behaviors, the indicator showing improvement included t</w:t>
      </w:r>
      <w:r w:rsidRPr="0036101E">
        <w:rPr>
          <w:rStyle w:val="ed-reports-ppp-measuredesc1"/>
          <w:rFonts w:ascii="Times New Roman" w:hAnsi="Times New Roman" w:cs="Times New Roman"/>
          <w:sz w:val="24"/>
          <w:szCs w:val="24"/>
        </w:rPr>
        <w:t>he percentage of middle and high school 21st Century regular program participants who improve from not proficient to proficient or above in mathematics on state assessments.</w:t>
      </w:r>
    </w:p>
    <w:p w:rsidR="003A7535" w:rsidRPr="004319FA" w:rsidRDefault="000D4CAA" w:rsidP="003A7535">
      <w:pPr>
        <w:rPr>
          <w:highlight w:val="yellow"/>
        </w:rPr>
      </w:pPr>
      <w:r w:rsidRPr="004319FA">
        <w:rPr>
          <w:highlight w:val="yellow"/>
        </w:rPr>
        <w:t xml:space="preserve"> </w:t>
      </w:r>
    </w:p>
    <w:p w:rsidR="003A7535" w:rsidRPr="00EA6DAB" w:rsidRDefault="003A7535" w:rsidP="003A7535">
      <w:pPr>
        <w:pStyle w:val="Caption"/>
        <w:spacing w:after="120"/>
      </w:pPr>
      <w:bookmarkStart w:id="47" w:name="_Ref240449648"/>
      <w:proofErr w:type="gramStart"/>
      <w:r w:rsidRPr="00EA6DAB">
        <w:t>Table</w:t>
      </w:r>
      <w:bookmarkEnd w:id="47"/>
      <w:r w:rsidR="006251FD">
        <w:t xml:space="preserve"> </w:t>
      </w:r>
      <w:r w:rsidR="00F217BF">
        <w:t>13</w:t>
      </w:r>
      <w:r w:rsidRPr="00EA6DAB">
        <w:t>.</w:t>
      </w:r>
      <w:proofErr w:type="gramEnd"/>
      <w:r w:rsidRPr="00EA6DAB">
        <w:t xml:space="preserve"> </w:t>
      </w:r>
      <w:r w:rsidRPr="00EA6DAB">
        <w:rPr>
          <w:bCs w:val="0"/>
        </w:rPr>
        <w:t>GPRA Performance Indicators for the 201</w:t>
      </w:r>
      <w:r>
        <w:rPr>
          <w:bCs w:val="0"/>
        </w:rPr>
        <w:t>2-</w:t>
      </w:r>
      <w:r w:rsidRPr="00EA6DAB">
        <w:rPr>
          <w:bCs w:val="0"/>
        </w:rPr>
        <w:t>1</w:t>
      </w:r>
      <w:r>
        <w:rPr>
          <w:bCs w:val="0"/>
        </w:rPr>
        <w:t>3</w:t>
      </w:r>
      <w:r w:rsidRPr="00EA6DAB">
        <w:rPr>
          <w:bCs w:val="0"/>
        </w:rPr>
        <w:t xml:space="preserve"> Reporting Period</w:t>
      </w:r>
    </w:p>
    <w:tbl>
      <w:tblPr>
        <w:tblW w:w="9473" w:type="dxa"/>
        <w:jc w:val="center"/>
        <w:tblCellSpacing w:w="0" w:type="dxa"/>
        <w:tblBorders>
          <w:top w:val="single" w:sz="4" w:space="0" w:color="000000"/>
          <w:left w:val="single" w:sz="4" w:space="0" w:color="000000"/>
          <w:bottom w:val="single" w:sz="4" w:space="0" w:color="000000"/>
          <w:right w:val="single" w:sz="4" w:space="0" w:color="000000"/>
          <w:insideH w:val="single" w:sz="6" w:space="0" w:color="000000"/>
          <w:insideV w:val="single" w:sz="4" w:space="0" w:color="000000"/>
        </w:tblBorders>
        <w:tblCellMar>
          <w:left w:w="0" w:type="dxa"/>
          <w:right w:w="0" w:type="dxa"/>
        </w:tblCellMar>
        <w:tblLook w:val="0000" w:firstRow="0" w:lastRow="0" w:firstColumn="0" w:lastColumn="0" w:noHBand="0" w:noVBand="0"/>
      </w:tblPr>
      <w:tblGrid>
        <w:gridCol w:w="4783"/>
        <w:gridCol w:w="2340"/>
        <w:gridCol w:w="2350"/>
      </w:tblGrid>
      <w:tr w:rsidR="003A7535" w:rsidRPr="004319FA" w:rsidTr="003A7535">
        <w:trPr>
          <w:trHeight w:val="700"/>
          <w:tblHeader/>
          <w:tblCellSpacing w:w="0" w:type="dxa"/>
          <w:jc w:val="center"/>
        </w:trPr>
        <w:tc>
          <w:tcPr>
            <w:tcW w:w="4783" w:type="dxa"/>
            <w:tcBorders>
              <w:top w:val="single" w:sz="4" w:space="0" w:color="000000"/>
              <w:bottom w:val="single" w:sz="6" w:space="0" w:color="000000"/>
            </w:tcBorders>
            <w:shd w:val="clear" w:color="auto" w:fill="D9D9D9" w:themeFill="background1" w:themeFillShade="D9"/>
            <w:vAlign w:val="center"/>
          </w:tcPr>
          <w:p w:rsidR="003A7535" w:rsidRPr="00C44B25" w:rsidRDefault="003A7535" w:rsidP="003A7535">
            <w:pPr>
              <w:keepNext/>
              <w:keepLines/>
              <w:jc w:val="center"/>
              <w:rPr>
                <w:rFonts w:ascii="Calibri" w:hAnsi="Calibri"/>
                <w:sz w:val="20"/>
                <w:szCs w:val="20"/>
              </w:rPr>
            </w:pPr>
            <w:r w:rsidRPr="00C44B25">
              <w:rPr>
                <w:rFonts w:ascii="Calibri" w:hAnsi="Calibri"/>
                <w:b/>
                <w:bCs/>
                <w:sz w:val="20"/>
                <w:szCs w:val="20"/>
              </w:rPr>
              <w:t>GPRA Performance Indicator</w:t>
            </w:r>
          </w:p>
        </w:tc>
        <w:tc>
          <w:tcPr>
            <w:tcW w:w="2340" w:type="dxa"/>
            <w:tcBorders>
              <w:top w:val="single" w:sz="4" w:space="0" w:color="000000"/>
              <w:bottom w:val="single" w:sz="6" w:space="0" w:color="000000"/>
            </w:tcBorders>
            <w:shd w:val="clear" w:color="auto" w:fill="D9D9D9" w:themeFill="background1" w:themeFillShade="D9"/>
            <w:vAlign w:val="center"/>
          </w:tcPr>
          <w:p w:rsidR="003A7535" w:rsidRPr="004319FA" w:rsidRDefault="003A7535" w:rsidP="003A7535">
            <w:pPr>
              <w:keepNext/>
              <w:keepLines/>
              <w:jc w:val="center"/>
              <w:rPr>
                <w:rFonts w:ascii="Calibri" w:hAnsi="Calibri"/>
                <w:sz w:val="20"/>
                <w:szCs w:val="20"/>
                <w:highlight w:val="yellow"/>
              </w:rPr>
            </w:pPr>
            <w:r w:rsidRPr="00360BD2">
              <w:rPr>
                <w:rFonts w:ascii="Calibri" w:hAnsi="Calibri"/>
                <w:b/>
                <w:bCs/>
                <w:sz w:val="20"/>
                <w:szCs w:val="20"/>
              </w:rPr>
              <w:t>Performance Target</w:t>
            </w:r>
          </w:p>
        </w:tc>
        <w:tc>
          <w:tcPr>
            <w:tcW w:w="2350" w:type="dxa"/>
            <w:tcBorders>
              <w:top w:val="single" w:sz="4" w:space="0" w:color="000000"/>
              <w:bottom w:val="single" w:sz="6" w:space="0" w:color="000000"/>
            </w:tcBorders>
            <w:shd w:val="clear" w:color="auto" w:fill="D9D9D9" w:themeFill="background1" w:themeFillShade="D9"/>
            <w:vAlign w:val="center"/>
          </w:tcPr>
          <w:p w:rsidR="003A7535" w:rsidRPr="004319FA" w:rsidRDefault="003A7535" w:rsidP="003A7535">
            <w:pPr>
              <w:keepNext/>
              <w:keepLines/>
              <w:jc w:val="center"/>
              <w:rPr>
                <w:rFonts w:ascii="Calibri" w:hAnsi="Calibri"/>
                <w:b/>
                <w:bCs/>
                <w:sz w:val="20"/>
                <w:szCs w:val="20"/>
                <w:highlight w:val="yellow"/>
              </w:rPr>
            </w:pPr>
            <w:r w:rsidRPr="00EA6DAB">
              <w:rPr>
                <w:rFonts w:ascii="Calibri" w:hAnsi="Calibri"/>
                <w:b/>
                <w:bCs/>
                <w:sz w:val="20"/>
                <w:szCs w:val="20"/>
              </w:rPr>
              <w:t>201</w:t>
            </w:r>
            <w:r>
              <w:rPr>
                <w:rFonts w:ascii="Calibri" w:hAnsi="Calibri"/>
                <w:b/>
                <w:bCs/>
                <w:sz w:val="20"/>
                <w:szCs w:val="20"/>
              </w:rPr>
              <w:t>2</w:t>
            </w:r>
            <w:r w:rsidRPr="00EA6DAB">
              <w:rPr>
                <w:rFonts w:ascii="Calibri" w:hAnsi="Calibri"/>
                <w:b/>
                <w:bCs/>
                <w:sz w:val="20"/>
                <w:szCs w:val="20"/>
              </w:rPr>
              <w:t>–1</w:t>
            </w:r>
            <w:r>
              <w:rPr>
                <w:rFonts w:ascii="Calibri" w:hAnsi="Calibri"/>
                <w:b/>
                <w:bCs/>
                <w:sz w:val="20"/>
                <w:szCs w:val="20"/>
              </w:rPr>
              <w:t>3</w:t>
            </w:r>
            <w:r w:rsidRPr="00EA6DAB">
              <w:rPr>
                <w:rFonts w:ascii="Calibri" w:hAnsi="Calibri"/>
                <w:b/>
                <w:bCs/>
                <w:sz w:val="20"/>
                <w:szCs w:val="20"/>
              </w:rPr>
              <w:t xml:space="preserve"> Reporting Period</w:t>
            </w:r>
          </w:p>
        </w:tc>
      </w:tr>
      <w:tr w:rsidR="003A7535" w:rsidRPr="004319FA" w:rsidTr="003A7535">
        <w:trPr>
          <w:trHeight w:val="630"/>
          <w:tblCellSpacing w:w="0" w:type="dxa"/>
          <w:jc w:val="center"/>
        </w:trPr>
        <w:tc>
          <w:tcPr>
            <w:tcW w:w="4783" w:type="dxa"/>
            <w:shd w:val="clear" w:color="auto" w:fill="auto"/>
            <w:vAlign w:val="center"/>
          </w:tcPr>
          <w:p w:rsidR="003A7535" w:rsidRPr="00C44B25" w:rsidRDefault="003A7535" w:rsidP="003A7535">
            <w:pPr>
              <w:ind w:left="216"/>
              <w:rPr>
                <w:rFonts w:ascii="Calibri" w:hAnsi="Calibri"/>
                <w:sz w:val="20"/>
                <w:szCs w:val="20"/>
              </w:rPr>
            </w:pPr>
            <w:r w:rsidRPr="00C44B25">
              <w:rPr>
                <w:rStyle w:val="ed-reports-ppp-measuretitle1"/>
                <w:rFonts w:ascii="Calibri" w:hAnsi="Calibri"/>
              </w:rPr>
              <w:t xml:space="preserve">Measure 1.1 of 14: </w:t>
            </w:r>
            <w:r w:rsidRPr="00C44B25">
              <w:rPr>
                <w:rStyle w:val="ed-reports-ppp-measuredesc1"/>
                <w:rFonts w:ascii="Calibri" w:hAnsi="Calibri"/>
              </w:rPr>
              <w:t>The percentage of elementary 21st Century regular program participants whose mathematics grades improved from fall to spring.  </w:t>
            </w:r>
          </w:p>
        </w:tc>
        <w:tc>
          <w:tcPr>
            <w:tcW w:w="2340" w:type="dxa"/>
            <w:vAlign w:val="center"/>
          </w:tcPr>
          <w:p w:rsidR="003A7535" w:rsidRPr="002D04C0" w:rsidRDefault="003A7535" w:rsidP="003A7535">
            <w:pPr>
              <w:jc w:val="center"/>
              <w:rPr>
                <w:rFonts w:ascii="Calibri" w:hAnsi="Calibri"/>
              </w:rPr>
            </w:pPr>
            <w:r w:rsidRPr="002D04C0">
              <w:rPr>
                <w:rFonts w:ascii="Calibri" w:hAnsi="Calibri"/>
                <w:sz w:val="20"/>
                <w:szCs w:val="20"/>
              </w:rPr>
              <w:t>47.5%</w:t>
            </w:r>
          </w:p>
        </w:tc>
        <w:tc>
          <w:tcPr>
            <w:tcW w:w="2350" w:type="dxa"/>
            <w:vAlign w:val="center"/>
          </w:tcPr>
          <w:p w:rsidR="003A7535" w:rsidRPr="00CE50DB" w:rsidRDefault="003A7535" w:rsidP="003A7535">
            <w:pPr>
              <w:jc w:val="center"/>
              <w:rPr>
                <w:rFonts w:ascii="Calibri" w:hAnsi="Calibri"/>
                <w:sz w:val="20"/>
                <w:szCs w:val="20"/>
              </w:rPr>
            </w:pPr>
            <w:r w:rsidRPr="00CE50DB">
              <w:rPr>
                <w:rFonts w:ascii="Calibri" w:hAnsi="Calibri"/>
                <w:sz w:val="20"/>
                <w:szCs w:val="20"/>
              </w:rPr>
              <w:t>30.65%</w:t>
            </w:r>
          </w:p>
        </w:tc>
      </w:tr>
      <w:tr w:rsidR="003A7535" w:rsidRPr="004319FA" w:rsidTr="003A7535">
        <w:trPr>
          <w:trHeight w:val="630"/>
          <w:tblCellSpacing w:w="0" w:type="dxa"/>
          <w:jc w:val="center"/>
        </w:trPr>
        <w:tc>
          <w:tcPr>
            <w:tcW w:w="4783" w:type="dxa"/>
            <w:shd w:val="clear" w:color="auto" w:fill="auto"/>
            <w:vAlign w:val="center"/>
          </w:tcPr>
          <w:p w:rsidR="003A7535" w:rsidRPr="00C44B25" w:rsidRDefault="003A7535" w:rsidP="003A7535">
            <w:pPr>
              <w:ind w:left="216"/>
              <w:rPr>
                <w:rFonts w:ascii="Calibri" w:hAnsi="Calibri"/>
                <w:sz w:val="20"/>
                <w:szCs w:val="20"/>
              </w:rPr>
            </w:pPr>
            <w:r w:rsidRPr="00C44B25">
              <w:rPr>
                <w:rStyle w:val="ed-reports-ppp-measuretitle1"/>
                <w:rFonts w:ascii="Calibri" w:hAnsi="Calibri"/>
              </w:rPr>
              <w:t xml:space="preserve">Measure 1.2 of 14: </w:t>
            </w:r>
            <w:r w:rsidRPr="00C44B25">
              <w:rPr>
                <w:rStyle w:val="ed-reports-ppp-measuredesc1"/>
                <w:rFonts w:ascii="Calibri" w:hAnsi="Calibri"/>
              </w:rPr>
              <w:t>The percentage of middle and high school 21st Century regular program participants whose mathematics grades improved from fall to spring.  </w:t>
            </w:r>
          </w:p>
        </w:tc>
        <w:tc>
          <w:tcPr>
            <w:tcW w:w="2340" w:type="dxa"/>
            <w:vAlign w:val="center"/>
          </w:tcPr>
          <w:p w:rsidR="003A7535" w:rsidRPr="002D04C0" w:rsidRDefault="003A7535" w:rsidP="003A7535">
            <w:pPr>
              <w:jc w:val="center"/>
              <w:rPr>
                <w:rFonts w:ascii="Calibri" w:hAnsi="Calibri"/>
              </w:rPr>
            </w:pPr>
            <w:r w:rsidRPr="002D04C0">
              <w:rPr>
                <w:rFonts w:ascii="Calibri" w:hAnsi="Calibri"/>
                <w:sz w:val="20"/>
                <w:szCs w:val="20"/>
              </w:rPr>
              <w:t>47.5%</w:t>
            </w:r>
          </w:p>
        </w:tc>
        <w:tc>
          <w:tcPr>
            <w:tcW w:w="2350" w:type="dxa"/>
            <w:vAlign w:val="center"/>
          </w:tcPr>
          <w:p w:rsidR="003A7535" w:rsidRPr="00EA6DAB" w:rsidRDefault="003A7535" w:rsidP="003A7535">
            <w:pPr>
              <w:jc w:val="center"/>
              <w:rPr>
                <w:rFonts w:ascii="Calibri" w:hAnsi="Calibri"/>
                <w:sz w:val="20"/>
                <w:szCs w:val="20"/>
              </w:rPr>
            </w:pPr>
            <w:r>
              <w:rPr>
                <w:rFonts w:ascii="Calibri" w:hAnsi="Calibri"/>
                <w:sz w:val="20"/>
                <w:szCs w:val="20"/>
              </w:rPr>
              <w:t>30.34%</w:t>
            </w:r>
          </w:p>
        </w:tc>
      </w:tr>
      <w:tr w:rsidR="003A7535" w:rsidRPr="004319FA" w:rsidTr="003A7535">
        <w:trPr>
          <w:trHeight w:val="630"/>
          <w:tblCellSpacing w:w="0" w:type="dxa"/>
          <w:jc w:val="center"/>
        </w:trPr>
        <w:tc>
          <w:tcPr>
            <w:tcW w:w="4783" w:type="dxa"/>
            <w:shd w:val="clear" w:color="auto" w:fill="auto"/>
            <w:vAlign w:val="center"/>
          </w:tcPr>
          <w:p w:rsidR="003A7535" w:rsidRPr="00C44B25" w:rsidRDefault="003A7535" w:rsidP="003A7535">
            <w:pPr>
              <w:ind w:left="216"/>
              <w:rPr>
                <w:rFonts w:ascii="Calibri" w:hAnsi="Calibri"/>
                <w:sz w:val="20"/>
                <w:szCs w:val="20"/>
              </w:rPr>
            </w:pPr>
            <w:r w:rsidRPr="00C44B25">
              <w:rPr>
                <w:rStyle w:val="ed-reports-ppp-measuretitle1"/>
                <w:rFonts w:ascii="Calibri" w:hAnsi="Calibri"/>
              </w:rPr>
              <w:t xml:space="preserve">Measure 1.3 of 14: </w:t>
            </w:r>
            <w:r w:rsidRPr="00C44B25">
              <w:rPr>
                <w:rStyle w:val="ed-reports-ppp-measuredesc1"/>
                <w:rFonts w:ascii="Calibri" w:hAnsi="Calibri"/>
              </w:rPr>
              <w:t>The percentage of all 21st Century regular program participants whose mathematics grades improved from fall to spring.</w:t>
            </w:r>
          </w:p>
        </w:tc>
        <w:tc>
          <w:tcPr>
            <w:tcW w:w="2340" w:type="dxa"/>
            <w:vAlign w:val="center"/>
          </w:tcPr>
          <w:p w:rsidR="003A7535" w:rsidRPr="002D04C0" w:rsidRDefault="003A7535" w:rsidP="003A7535">
            <w:pPr>
              <w:jc w:val="center"/>
              <w:rPr>
                <w:rFonts w:ascii="Calibri" w:hAnsi="Calibri"/>
                <w:sz w:val="20"/>
                <w:szCs w:val="20"/>
              </w:rPr>
            </w:pPr>
            <w:r w:rsidRPr="002D04C0">
              <w:rPr>
                <w:rFonts w:ascii="Calibri" w:hAnsi="Calibri"/>
                <w:sz w:val="20"/>
                <w:szCs w:val="20"/>
              </w:rPr>
              <w:t>47.5%</w:t>
            </w:r>
          </w:p>
        </w:tc>
        <w:tc>
          <w:tcPr>
            <w:tcW w:w="2350" w:type="dxa"/>
            <w:vAlign w:val="center"/>
          </w:tcPr>
          <w:p w:rsidR="003A7535" w:rsidRPr="00EA6DAB" w:rsidRDefault="003A7535" w:rsidP="003A7535">
            <w:pPr>
              <w:jc w:val="center"/>
              <w:rPr>
                <w:rFonts w:ascii="Calibri" w:hAnsi="Calibri"/>
                <w:sz w:val="20"/>
                <w:szCs w:val="20"/>
              </w:rPr>
            </w:pPr>
            <w:r>
              <w:rPr>
                <w:rFonts w:ascii="Calibri" w:hAnsi="Calibri"/>
                <w:sz w:val="20"/>
                <w:szCs w:val="20"/>
              </w:rPr>
              <w:t>30.67%</w:t>
            </w:r>
          </w:p>
        </w:tc>
      </w:tr>
      <w:tr w:rsidR="003A7535" w:rsidRPr="004319FA" w:rsidTr="003A7535">
        <w:trPr>
          <w:trHeight w:val="630"/>
          <w:tblCellSpacing w:w="0" w:type="dxa"/>
          <w:jc w:val="center"/>
        </w:trPr>
        <w:tc>
          <w:tcPr>
            <w:tcW w:w="4783" w:type="dxa"/>
            <w:shd w:val="clear" w:color="auto" w:fill="auto"/>
            <w:vAlign w:val="center"/>
          </w:tcPr>
          <w:p w:rsidR="003A7535" w:rsidRPr="00C44B25" w:rsidRDefault="003A7535" w:rsidP="003A7535">
            <w:pPr>
              <w:ind w:left="216"/>
              <w:rPr>
                <w:rFonts w:ascii="Calibri" w:hAnsi="Calibri"/>
                <w:sz w:val="20"/>
                <w:szCs w:val="20"/>
              </w:rPr>
            </w:pPr>
            <w:r w:rsidRPr="00C44B25">
              <w:rPr>
                <w:rStyle w:val="ed-reports-ppp-measuretitle1"/>
                <w:rFonts w:ascii="Calibri" w:hAnsi="Calibri"/>
              </w:rPr>
              <w:t xml:space="preserve">Measure 1.4 of 14: </w:t>
            </w:r>
            <w:r w:rsidRPr="00C44B25">
              <w:rPr>
                <w:rStyle w:val="ed-reports-ppp-measuredesc1"/>
                <w:rFonts w:ascii="Calibri" w:hAnsi="Calibri"/>
              </w:rPr>
              <w:t>The percentage of elementary 21st Century regular program participants whose English grades improved from fall to spring.  </w:t>
            </w:r>
          </w:p>
        </w:tc>
        <w:tc>
          <w:tcPr>
            <w:tcW w:w="2340" w:type="dxa"/>
            <w:vAlign w:val="center"/>
          </w:tcPr>
          <w:p w:rsidR="003A7535" w:rsidRPr="002D04C0" w:rsidRDefault="003A7535" w:rsidP="003A7535">
            <w:pPr>
              <w:jc w:val="center"/>
              <w:rPr>
                <w:rFonts w:ascii="Calibri" w:hAnsi="Calibri"/>
              </w:rPr>
            </w:pPr>
            <w:r w:rsidRPr="002D04C0">
              <w:rPr>
                <w:rFonts w:ascii="Calibri" w:hAnsi="Calibri"/>
                <w:sz w:val="20"/>
                <w:szCs w:val="20"/>
              </w:rPr>
              <w:t>47.5%</w:t>
            </w:r>
          </w:p>
        </w:tc>
        <w:tc>
          <w:tcPr>
            <w:tcW w:w="2350" w:type="dxa"/>
            <w:vAlign w:val="center"/>
          </w:tcPr>
          <w:p w:rsidR="003A7535" w:rsidRPr="00EA6DAB" w:rsidRDefault="003A7535" w:rsidP="003A7535">
            <w:pPr>
              <w:jc w:val="center"/>
              <w:rPr>
                <w:rFonts w:ascii="Calibri" w:hAnsi="Calibri"/>
                <w:sz w:val="20"/>
                <w:szCs w:val="20"/>
              </w:rPr>
            </w:pPr>
            <w:r>
              <w:rPr>
                <w:rFonts w:ascii="Calibri" w:hAnsi="Calibri"/>
                <w:sz w:val="20"/>
                <w:szCs w:val="20"/>
              </w:rPr>
              <w:t>31.03%</w:t>
            </w:r>
          </w:p>
        </w:tc>
      </w:tr>
      <w:tr w:rsidR="003A7535" w:rsidRPr="004319FA" w:rsidTr="003A7535">
        <w:trPr>
          <w:trHeight w:val="630"/>
          <w:tblCellSpacing w:w="0" w:type="dxa"/>
          <w:jc w:val="center"/>
        </w:trPr>
        <w:tc>
          <w:tcPr>
            <w:tcW w:w="4783" w:type="dxa"/>
            <w:shd w:val="clear" w:color="auto" w:fill="auto"/>
            <w:vAlign w:val="center"/>
          </w:tcPr>
          <w:p w:rsidR="003A7535" w:rsidRPr="00C44B25" w:rsidRDefault="003A7535" w:rsidP="003A7535">
            <w:pPr>
              <w:ind w:left="216"/>
              <w:rPr>
                <w:rFonts w:ascii="Calibri" w:hAnsi="Calibri"/>
                <w:sz w:val="20"/>
                <w:szCs w:val="20"/>
              </w:rPr>
            </w:pPr>
            <w:r w:rsidRPr="00C44B25">
              <w:rPr>
                <w:rStyle w:val="ed-reports-ppp-measuretitle1"/>
                <w:rFonts w:ascii="Calibri" w:hAnsi="Calibri"/>
              </w:rPr>
              <w:t xml:space="preserve">Measure 1.5 of 14: </w:t>
            </w:r>
            <w:r w:rsidRPr="00C44B25">
              <w:rPr>
                <w:rStyle w:val="ed-reports-ppp-measuredesc1"/>
                <w:rFonts w:ascii="Calibri" w:hAnsi="Calibri"/>
              </w:rPr>
              <w:t>The percentage of middle and high school 21st Century regular program participants whose English grades improved from fall to spring.  </w:t>
            </w:r>
          </w:p>
        </w:tc>
        <w:tc>
          <w:tcPr>
            <w:tcW w:w="2340" w:type="dxa"/>
            <w:vAlign w:val="center"/>
          </w:tcPr>
          <w:p w:rsidR="003A7535" w:rsidRPr="002D04C0" w:rsidRDefault="003A7535" w:rsidP="003A7535">
            <w:pPr>
              <w:jc w:val="center"/>
              <w:rPr>
                <w:rFonts w:ascii="Calibri" w:hAnsi="Calibri"/>
              </w:rPr>
            </w:pPr>
            <w:r w:rsidRPr="002D04C0">
              <w:rPr>
                <w:rFonts w:ascii="Calibri" w:hAnsi="Calibri"/>
                <w:sz w:val="20"/>
                <w:szCs w:val="20"/>
              </w:rPr>
              <w:t>47.5%</w:t>
            </w:r>
          </w:p>
        </w:tc>
        <w:tc>
          <w:tcPr>
            <w:tcW w:w="2350" w:type="dxa"/>
            <w:vAlign w:val="center"/>
          </w:tcPr>
          <w:p w:rsidR="003A7535" w:rsidRPr="00EA6DAB" w:rsidRDefault="003A7535" w:rsidP="003A7535">
            <w:pPr>
              <w:jc w:val="center"/>
              <w:rPr>
                <w:rFonts w:ascii="Calibri" w:hAnsi="Calibri"/>
                <w:sz w:val="20"/>
                <w:szCs w:val="20"/>
              </w:rPr>
            </w:pPr>
            <w:r>
              <w:rPr>
                <w:rFonts w:ascii="Calibri" w:hAnsi="Calibri"/>
                <w:sz w:val="20"/>
                <w:szCs w:val="20"/>
              </w:rPr>
              <w:t>30.27%</w:t>
            </w:r>
          </w:p>
        </w:tc>
      </w:tr>
      <w:tr w:rsidR="003A7535" w:rsidRPr="004319FA" w:rsidTr="003A7535">
        <w:trPr>
          <w:trHeight w:val="915"/>
          <w:tblCellSpacing w:w="0" w:type="dxa"/>
          <w:jc w:val="center"/>
        </w:trPr>
        <w:tc>
          <w:tcPr>
            <w:tcW w:w="4783" w:type="dxa"/>
            <w:shd w:val="clear" w:color="auto" w:fill="auto"/>
            <w:vAlign w:val="center"/>
          </w:tcPr>
          <w:p w:rsidR="003A7535" w:rsidRPr="00C44B25" w:rsidRDefault="003A7535" w:rsidP="003A7535">
            <w:pPr>
              <w:ind w:left="216"/>
              <w:rPr>
                <w:rFonts w:ascii="Calibri" w:hAnsi="Calibri"/>
                <w:sz w:val="20"/>
                <w:szCs w:val="20"/>
              </w:rPr>
            </w:pPr>
            <w:r w:rsidRPr="00C44B25">
              <w:rPr>
                <w:rStyle w:val="ed-reports-ppp-measuretitle1"/>
                <w:rFonts w:ascii="Calibri" w:hAnsi="Calibri"/>
              </w:rPr>
              <w:t xml:space="preserve">Measure 1.6 of 14: </w:t>
            </w:r>
            <w:r w:rsidRPr="00C44B25">
              <w:rPr>
                <w:rStyle w:val="ed-reports-ppp-measuredesc1"/>
                <w:rFonts w:ascii="Calibri" w:hAnsi="Calibri"/>
              </w:rPr>
              <w:t>The percentage of all 21st Century regular program participants whose English grades improved from fall to spring.  </w:t>
            </w:r>
          </w:p>
        </w:tc>
        <w:tc>
          <w:tcPr>
            <w:tcW w:w="2340" w:type="dxa"/>
            <w:vAlign w:val="center"/>
          </w:tcPr>
          <w:p w:rsidR="003A7535" w:rsidRPr="002D04C0" w:rsidRDefault="003A7535" w:rsidP="003A7535">
            <w:pPr>
              <w:jc w:val="center"/>
              <w:rPr>
                <w:rFonts w:ascii="Calibri" w:hAnsi="Calibri"/>
                <w:sz w:val="20"/>
                <w:szCs w:val="20"/>
              </w:rPr>
            </w:pPr>
            <w:r w:rsidRPr="002D04C0">
              <w:rPr>
                <w:rFonts w:ascii="Calibri" w:hAnsi="Calibri"/>
                <w:sz w:val="20"/>
                <w:szCs w:val="20"/>
              </w:rPr>
              <w:t>47.5%</w:t>
            </w:r>
          </w:p>
        </w:tc>
        <w:tc>
          <w:tcPr>
            <w:tcW w:w="2350" w:type="dxa"/>
            <w:vAlign w:val="center"/>
          </w:tcPr>
          <w:p w:rsidR="003A7535" w:rsidRPr="00EA6DAB" w:rsidRDefault="003A7535" w:rsidP="003A7535">
            <w:pPr>
              <w:jc w:val="center"/>
              <w:rPr>
                <w:rFonts w:ascii="Calibri" w:hAnsi="Calibri"/>
                <w:sz w:val="20"/>
                <w:szCs w:val="20"/>
              </w:rPr>
            </w:pPr>
            <w:r>
              <w:rPr>
                <w:rFonts w:ascii="Calibri" w:hAnsi="Calibri"/>
                <w:sz w:val="20"/>
                <w:szCs w:val="20"/>
              </w:rPr>
              <w:t>30.97</w:t>
            </w:r>
            <w:r w:rsidRPr="00EA6DAB">
              <w:rPr>
                <w:rFonts w:ascii="Calibri" w:hAnsi="Calibri"/>
                <w:sz w:val="20"/>
                <w:szCs w:val="20"/>
              </w:rPr>
              <w:t>%</w:t>
            </w:r>
          </w:p>
        </w:tc>
      </w:tr>
      <w:tr w:rsidR="003A7535" w:rsidRPr="004319FA" w:rsidTr="003A7535">
        <w:trPr>
          <w:trHeight w:val="630"/>
          <w:tblCellSpacing w:w="0" w:type="dxa"/>
          <w:jc w:val="center"/>
        </w:trPr>
        <w:tc>
          <w:tcPr>
            <w:tcW w:w="4783" w:type="dxa"/>
            <w:shd w:val="clear" w:color="auto" w:fill="auto"/>
            <w:vAlign w:val="center"/>
          </w:tcPr>
          <w:p w:rsidR="003A7535" w:rsidRPr="00C44B25" w:rsidRDefault="003A7535" w:rsidP="003A7535">
            <w:pPr>
              <w:ind w:left="216"/>
              <w:rPr>
                <w:rFonts w:ascii="Calibri" w:hAnsi="Calibri"/>
                <w:sz w:val="20"/>
                <w:szCs w:val="20"/>
              </w:rPr>
            </w:pPr>
            <w:r w:rsidRPr="00C44B25">
              <w:rPr>
                <w:rStyle w:val="ed-reports-ppp-measuretitle1"/>
                <w:rFonts w:ascii="Calibri" w:hAnsi="Calibri"/>
              </w:rPr>
              <w:t xml:space="preserve">Measure 1.7 of 14: </w:t>
            </w:r>
            <w:r w:rsidRPr="00C44B25">
              <w:rPr>
                <w:rStyle w:val="ed-reports-ppp-measuredesc1"/>
                <w:rFonts w:ascii="Calibri" w:hAnsi="Calibri"/>
              </w:rPr>
              <w:t>The percentage of elementary 21st Century regular program participants who improve from not proficient to proficient or above in reading on state assessments.  </w:t>
            </w:r>
          </w:p>
        </w:tc>
        <w:tc>
          <w:tcPr>
            <w:tcW w:w="2340" w:type="dxa"/>
            <w:vAlign w:val="center"/>
          </w:tcPr>
          <w:p w:rsidR="003A7535" w:rsidRPr="002D04C0" w:rsidRDefault="003A7535" w:rsidP="003A7535">
            <w:pPr>
              <w:jc w:val="center"/>
              <w:rPr>
                <w:rFonts w:ascii="Calibri" w:hAnsi="Calibri"/>
              </w:rPr>
            </w:pPr>
            <w:r w:rsidRPr="002D04C0">
              <w:rPr>
                <w:rStyle w:val="ed-reports-ppp-measuretabletext1"/>
                <w:rFonts w:ascii="Calibri" w:hAnsi="Calibri"/>
              </w:rPr>
              <w:t>24%</w:t>
            </w:r>
          </w:p>
        </w:tc>
        <w:tc>
          <w:tcPr>
            <w:tcW w:w="2350" w:type="dxa"/>
            <w:vAlign w:val="center"/>
          </w:tcPr>
          <w:p w:rsidR="003A7535" w:rsidRPr="00EA6DAB" w:rsidRDefault="003A7535" w:rsidP="003A7535">
            <w:pPr>
              <w:jc w:val="center"/>
              <w:rPr>
                <w:rFonts w:ascii="Calibri" w:hAnsi="Calibri"/>
                <w:sz w:val="20"/>
                <w:szCs w:val="20"/>
              </w:rPr>
            </w:pPr>
            <w:r>
              <w:rPr>
                <w:rFonts w:ascii="Calibri" w:hAnsi="Calibri"/>
                <w:sz w:val="20"/>
                <w:szCs w:val="20"/>
              </w:rPr>
              <w:t>20.21</w:t>
            </w:r>
            <w:r w:rsidRPr="00EA6DAB">
              <w:rPr>
                <w:rFonts w:ascii="Calibri" w:hAnsi="Calibri"/>
                <w:sz w:val="20"/>
                <w:szCs w:val="20"/>
              </w:rPr>
              <w:t>%</w:t>
            </w:r>
          </w:p>
        </w:tc>
      </w:tr>
      <w:tr w:rsidR="003A7535" w:rsidRPr="004319FA" w:rsidTr="003A7535">
        <w:trPr>
          <w:trHeight w:val="630"/>
          <w:tblCellSpacing w:w="0" w:type="dxa"/>
          <w:jc w:val="center"/>
        </w:trPr>
        <w:tc>
          <w:tcPr>
            <w:tcW w:w="4783" w:type="dxa"/>
            <w:shd w:val="clear" w:color="auto" w:fill="auto"/>
            <w:vAlign w:val="center"/>
          </w:tcPr>
          <w:p w:rsidR="003A7535" w:rsidRPr="00C44B25" w:rsidRDefault="003A7535" w:rsidP="003A7535">
            <w:pPr>
              <w:ind w:left="216"/>
              <w:rPr>
                <w:rFonts w:ascii="Calibri" w:hAnsi="Calibri"/>
                <w:sz w:val="20"/>
                <w:szCs w:val="20"/>
              </w:rPr>
            </w:pPr>
            <w:r w:rsidRPr="00C44B25">
              <w:rPr>
                <w:rStyle w:val="ed-reports-ppp-measuretitle1"/>
                <w:rFonts w:ascii="Calibri" w:hAnsi="Calibri"/>
              </w:rPr>
              <w:t xml:space="preserve">Measure 1.8 of 14: </w:t>
            </w:r>
            <w:r w:rsidRPr="00C44B25">
              <w:rPr>
                <w:rStyle w:val="ed-reports-ppp-measuredesc1"/>
                <w:rFonts w:ascii="Calibri" w:hAnsi="Calibri"/>
              </w:rPr>
              <w:t>The percentage of middle and high school 21st Century regular program participants who improve from not proficient to proficient or above in mathematics on state assessments.  </w:t>
            </w:r>
          </w:p>
        </w:tc>
        <w:tc>
          <w:tcPr>
            <w:tcW w:w="2340" w:type="dxa"/>
            <w:vAlign w:val="center"/>
          </w:tcPr>
          <w:p w:rsidR="003A7535" w:rsidRPr="002D04C0" w:rsidRDefault="003A7535" w:rsidP="003A7535">
            <w:pPr>
              <w:jc w:val="center"/>
              <w:rPr>
                <w:rFonts w:ascii="Calibri" w:hAnsi="Calibri"/>
              </w:rPr>
            </w:pPr>
            <w:r w:rsidRPr="002D04C0">
              <w:rPr>
                <w:rStyle w:val="ed-reports-ppp-measuretabletext1"/>
                <w:rFonts w:ascii="Calibri" w:hAnsi="Calibri"/>
              </w:rPr>
              <w:t>16%</w:t>
            </w:r>
          </w:p>
        </w:tc>
        <w:tc>
          <w:tcPr>
            <w:tcW w:w="2350" w:type="dxa"/>
            <w:vAlign w:val="center"/>
          </w:tcPr>
          <w:p w:rsidR="003A7535" w:rsidRPr="00EA6DAB" w:rsidRDefault="003A7535" w:rsidP="003A7535">
            <w:pPr>
              <w:jc w:val="center"/>
              <w:rPr>
                <w:rFonts w:ascii="Calibri" w:hAnsi="Calibri"/>
                <w:sz w:val="20"/>
                <w:szCs w:val="20"/>
              </w:rPr>
            </w:pPr>
            <w:r>
              <w:rPr>
                <w:rFonts w:ascii="Calibri" w:hAnsi="Calibri"/>
                <w:sz w:val="20"/>
                <w:szCs w:val="20"/>
              </w:rPr>
              <w:t>17.80</w:t>
            </w:r>
            <w:r w:rsidRPr="00EA6DAB">
              <w:rPr>
                <w:rFonts w:ascii="Calibri" w:hAnsi="Calibri"/>
                <w:sz w:val="20"/>
                <w:szCs w:val="20"/>
              </w:rPr>
              <w:t>%</w:t>
            </w:r>
          </w:p>
        </w:tc>
      </w:tr>
      <w:tr w:rsidR="003A7535" w:rsidRPr="004319FA" w:rsidTr="003A7535">
        <w:trPr>
          <w:trHeight w:val="630"/>
          <w:tblCellSpacing w:w="0" w:type="dxa"/>
          <w:jc w:val="center"/>
        </w:trPr>
        <w:tc>
          <w:tcPr>
            <w:tcW w:w="4783" w:type="dxa"/>
            <w:shd w:val="clear" w:color="auto" w:fill="auto"/>
            <w:vAlign w:val="center"/>
          </w:tcPr>
          <w:p w:rsidR="003A7535" w:rsidRPr="004319FA" w:rsidRDefault="003A7535" w:rsidP="003A7535">
            <w:pPr>
              <w:ind w:left="216"/>
              <w:rPr>
                <w:rFonts w:ascii="Calibri" w:hAnsi="Calibri"/>
                <w:sz w:val="20"/>
                <w:szCs w:val="20"/>
                <w:highlight w:val="yellow"/>
              </w:rPr>
            </w:pPr>
            <w:r w:rsidRPr="00C44B25">
              <w:rPr>
                <w:rStyle w:val="ed-reports-ppp-measuretitle1"/>
                <w:rFonts w:ascii="Calibri" w:hAnsi="Calibri"/>
              </w:rPr>
              <w:t xml:space="preserve">Measure 1.9 of 14: </w:t>
            </w:r>
            <w:r w:rsidRPr="00C44B25">
              <w:rPr>
                <w:rStyle w:val="ed-reports-ppp-measuredesc1"/>
                <w:rFonts w:ascii="Calibri" w:hAnsi="Calibri"/>
              </w:rPr>
              <w:t>The percentage of elementary 21st Century regular program participants with teacher-reported improvement in homework completion and class participation.  </w:t>
            </w:r>
          </w:p>
        </w:tc>
        <w:tc>
          <w:tcPr>
            <w:tcW w:w="2340" w:type="dxa"/>
            <w:vAlign w:val="center"/>
          </w:tcPr>
          <w:p w:rsidR="003A7535" w:rsidRPr="002D04C0" w:rsidRDefault="003A7535" w:rsidP="003A7535">
            <w:pPr>
              <w:jc w:val="center"/>
              <w:rPr>
                <w:rFonts w:ascii="Calibri" w:hAnsi="Calibri"/>
              </w:rPr>
            </w:pPr>
            <w:r w:rsidRPr="002D04C0">
              <w:rPr>
                <w:rFonts w:ascii="Calibri" w:hAnsi="Calibri"/>
                <w:sz w:val="20"/>
                <w:szCs w:val="20"/>
              </w:rPr>
              <w:t>75%</w:t>
            </w:r>
          </w:p>
        </w:tc>
        <w:tc>
          <w:tcPr>
            <w:tcW w:w="2350" w:type="dxa"/>
            <w:vAlign w:val="center"/>
          </w:tcPr>
          <w:p w:rsidR="003A7535" w:rsidRPr="00EA6DAB" w:rsidRDefault="003A7535" w:rsidP="003A7535">
            <w:pPr>
              <w:jc w:val="center"/>
              <w:rPr>
                <w:rFonts w:ascii="Calibri" w:hAnsi="Calibri"/>
                <w:sz w:val="20"/>
                <w:szCs w:val="20"/>
              </w:rPr>
            </w:pPr>
            <w:r>
              <w:rPr>
                <w:rFonts w:ascii="Calibri" w:hAnsi="Calibri"/>
                <w:sz w:val="20"/>
                <w:szCs w:val="20"/>
              </w:rPr>
              <w:t>74.01%</w:t>
            </w:r>
          </w:p>
        </w:tc>
      </w:tr>
      <w:tr w:rsidR="003A7535" w:rsidRPr="004319FA" w:rsidTr="003A7535">
        <w:trPr>
          <w:trHeight w:val="630"/>
          <w:tblCellSpacing w:w="0" w:type="dxa"/>
          <w:jc w:val="center"/>
        </w:trPr>
        <w:tc>
          <w:tcPr>
            <w:tcW w:w="4783" w:type="dxa"/>
            <w:vAlign w:val="center"/>
          </w:tcPr>
          <w:p w:rsidR="003A7535" w:rsidRPr="004319FA" w:rsidRDefault="003A7535" w:rsidP="003A7535">
            <w:pPr>
              <w:ind w:left="216"/>
              <w:rPr>
                <w:rFonts w:ascii="Calibri" w:hAnsi="Calibri"/>
                <w:sz w:val="20"/>
                <w:szCs w:val="20"/>
                <w:highlight w:val="yellow"/>
              </w:rPr>
            </w:pPr>
            <w:r w:rsidRPr="00EA6DAB">
              <w:rPr>
                <w:rStyle w:val="ed-reports-ppp-measuretitle1"/>
                <w:rFonts w:ascii="Calibri" w:hAnsi="Calibri"/>
              </w:rPr>
              <w:lastRenderedPageBreak/>
              <w:t xml:space="preserve">Measure 1.10 of 14: </w:t>
            </w:r>
            <w:r w:rsidRPr="00EA6DAB">
              <w:rPr>
                <w:rStyle w:val="ed-reports-ppp-measuredesc1"/>
                <w:rFonts w:ascii="Calibri" w:hAnsi="Calibri"/>
              </w:rPr>
              <w:t>The percentage of middle and high school 21st Century program participants with teacher-reported improvement in homework completion and class participation.  </w:t>
            </w:r>
          </w:p>
        </w:tc>
        <w:tc>
          <w:tcPr>
            <w:tcW w:w="2340" w:type="dxa"/>
            <w:vAlign w:val="center"/>
          </w:tcPr>
          <w:p w:rsidR="003A7535" w:rsidRPr="002D04C0" w:rsidRDefault="003A7535" w:rsidP="003A7535">
            <w:pPr>
              <w:jc w:val="center"/>
              <w:rPr>
                <w:rFonts w:ascii="Calibri" w:hAnsi="Calibri"/>
              </w:rPr>
            </w:pPr>
            <w:r w:rsidRPr="002D04C0">
              <w:rPr>
                <w:rFonts w:ascii="Calibri" w:hAnsi="Calibri"/>
                <w:sz w:val="20"/>
                <w:szCs w:val="20"/>
              </w:rPr>
              <w:t>75%</w:t>
            </w:r>
          </w:p>
        </w:tc>
        <w:tc>
          <w:tcPr>
            <w:tcW w:w="2350" w:type="dxa"/>
            <w:vAlign w:val="center"/>
          </w:tcPr>
          <w:p w:rsidR="003A7535" w:rsidRPr="00EA6DAB" w:rsidRDefault="003A7535" w:rsidP="003A7535">
            <w:pPr>
              <w:jc w:val="center"/>
              <w:rPr>
                <w:rFonts w:ascii="Calibri" w:hAnsi="Calibri"/>
                <w:sz w:val="20"/>
                <w:szCs w:val="20"/>
              </w:rPr>
            </w:pPr>
            <w:r>
              <w:rPr>
                <w:rFonts w:ascii="Calibri" w:hAnsi="Calibri"/>
                <w:sz w:val="20"/>
                <w:szCs w:val="20"/>
              </w:rPr>
              <w:t>68.88%</w:t>
            </w:r>
          </w:p>
        </w:tc>
      </w:tr>
      <w:tr w:rsidR="003A7535" w:rsidRPr="004319FA" w:rsidTr="003A7535">
        <w:trPr>
          <w:trHeight w:val="915"/>
          <w:tblCellSpacing w:w="0" w:type="dxa"/>
          <w:jc w:val="center"/>
        </w:trPr>
        <w:tc>
          <w:tcPr>
            <w:tcW w:w="4783" w:type="dxa"/>
            <w:vAlign w:val="center"/>
          </w:tcPr>
          <w:p w:rsidR="003A7535" w:rsidRPr="00EA6DAB" w:rsidRDefault="003A7535" w:rsidP="003A7535">
            <w:pPr>
              <w:ind w:left="216"/>
              <w:rPr>
                <w:rFonts w:ascii="Calibri" w:hAnsi="Calibri"/>
                <w:sz w:val="20"/>
                <w:szCs w:val="20"/>
              </w:rPr>
            </w:pPr>
            <w:r w:rsidRPr="00EA6DAB">
              <w:rPr>
                <w:rStyle w:val="ed-reports-ppp-measuretitle1"/>
                <w:rFonts w:ascii="Calibri" w:hAnsi="Calibri"/>
              </w:rPr>
              <w:t xml:space="preserve">Measure 1.11 of 14: </w:t>
            </w:r>
            <w:r w:rsidRPr="00EA6DAB">
              <w:rPr>
                <w:rStyle w:val="ed-reports-ppp-measuredesc1"/>
                <w:rFonts w:ascii="Calibri" w:hAnsi="Calibri"/>
              </w:rPr>
              <w:t>The percentage of all 21st Century regular program participants with teacher-reported improvement in homework completion and class participation.  </w:t>
            </w:r>
          </w:p>
        </w:tc>
        <w:tc>
          <w:tcPr>
            <w:tcW w:w="2340" w:type="dxa"/>
            <w:vAlign w:val="center"/>
          </w:tcPr>
          <w:p w:rsidR="003A7535" w:rsidRPr="002D04C0" w:rsidRDefault="003A7535" w:rsidP="003A7535">
            <w:pPr>
              <w:jc w:val="center"/>
              <w:rPr>
                <w:rFonts w:ascii="Calibri" w:hAnsi="Calibri"/>
                <w:sz w:val="20"/>
                <w:szCs w:val="20"/>
              </w:rPr>
            </w:pPr>
            <w:r w:rsidRPr="002D04C0">
              <w:rPr>
                <w:rFonts w:ascii="Calibri" w:hAnsi="Calibri"/>
                <w:sz w:val="20"/>
                <w:szCs w:val="20"/>
              </w:rPr>
              <w:t>75%</w:t>
            </w:r>
          </w:p>
        </w:tc>
        <w:tc>
          <w:tcPr>
            <w:tcW w:w="2350" w:type="dxa"/>
            <w:vAlign w:val="center"/>
          </w:tcPr>
          <w:p w:rsidR="003A7535" w:rsidRPr="00EA6DAB" w:rsidRDefault="003A7535" w:rsidP="003A7535">
            <w:pPr>
              <w:jc w:val="center"/>
              <w:rPr>
                <w:rFonts w:ascii="Calibri" w:hAnsi="Calibri"/>
                <w:sz w:val="20"/>
                <w:szCs w:val="20"/>
              </w:rPr>
            </w:pPr>
            <w:r>
              <w:rPr>
                <w:rFonts w:ascii="Calibri" w:hAnsi="Calibri"/>
                <w:sz w:val="20"/>
                <w:szCs w:val="20"/>
              </w:rPr>
              <w:t>72.05%</w:t>
            </w:r>
          </w:p>
        </w:tc>
      </w:tr>
      <w:tr w:rsidR="003A7535" w:rsidRPr="004319FA" w:rsidTr="003A7535">
        <w:trPr>
          <w:trHeight w:val="630"/>
          <w:tblCellSpacing w:w="0" w:type="dxa"/>
          <w:jc w:val="center"/>
        </w:trPr>
        <w:tc>
          <w:tcPr>
            <w:tcW w:w="4783" w:type="dxa"/>
            <w:vAlign w:val="center"/>
          </w:tcPr>
          <w:p w:rsidR="003A7535" w:rsidRPr="00EA6DAB" w:rsidRDefault="003A7535" w:rsidP="003A7535">
            <w:pPr>
              <w:ind w:left="216"/>
              <w:rPr>
                <w:rFonts w:ascii="Calibri" w:hAnsi="Calibri"/>
                <w:sz w:val="20"/>
                <w:szCs w:val="20"/>
              </w:rPr>
            </w:pPr>
            <w:r w:rsidRPr="00EA6DAB">
              <w:rPr>
                <w:rStyle w:val="ed-reports-ppp-measuretitle1"/>
                <w:rFonts w:ascii="Calibri" w:hAnsi="Calibri"/>
              </w:rPr>
              <w:t xml:space="preserve">Measure 1.12 of 14: </w:t>
            </w:r>
            <w:r w:rsidRPr="00EA6DAB">
              <w:rPr>
                <w:rStyle w:val="ed-reports-ppp-measuredesc1"/>
                <w:rFonts w:ascii="Calibri" w:hAnsi="Calibri"/>
              </w:rPr>
              <w:t>The percentage of elementary 21st Century participants with teacher-reported improvement in student behavior</w:t>
            </w:r>
          </w:p>
        </w:tc>
        <w:tc>
          <w:tcPr>
            <w:tcW w:w="2340" w:type="dxa"/>
            <w:vAlign w:val="center"/>
          </w:tcPr>
          <w:p w:rsidR="003A7535" w:rsidRPr="002D04C0" w:rsidRDefault="003A7535" w:rsidP="003A7535">
            <w:pPr>
              <w:jc w:val="center"/>
              <w:rPr>
                <w:rFonts w:ascii="Calibri" w:hAnsi="Calibri"/>
              </w:rPr>
            </w:pPr>
            <w:r w:rsidRPr="002D04C0">
              <w:rPr>
                <w:rFonts w:ascii="Calibri" w:hAnsi="Calibri"/>
                <w:sz w:val="20"/>
                <w:szCs w:val="20"/>
              </w:rPr>
              <w:t>75%</w:t>
            </w:r>
          </w:p>
        </w:tc>
        <w:tc>
          <w:tcPr>
            <w:tcW w:w="2350" w:type="dxa"/>
            <w:vAlign w:val="center"/>
          </w:tcPr>
          <w:p w:rsidR="003A7535" w:rsidRPr="00EA6DAB" w:rsidRDefault="003A7535" w:rsidP="003A7535">
            <w:pPr>
              <w:jc w:val="center"/>
              <w:rPr>
                <w:rFonts w:ascii="Calibri" w:hAnsi="Calibri"/>
                <w:sz w:val="20"/>
                <w:szCs w:val="20"/>
              </w:rPr>
            </w:pPr>
            <w:r>
              <w:rPr>
                <w:rFonts w:ascii="Calibri" w:hAnsi="Calibri"/>
                <w:sz w:val="20"/>
                <w:szCs w:val="20"/>
              </w:rPr>
              <w:t>68.51%</w:t>
            </w:r>
          </w:p>
        </w:tc>
      </w:tr>
      <w:tr w:rsidR="003A7535" w:rsidRPr="004319FA" w:rsidTr="003A7535">
        <w:trPr>
          <w:trHeight w:val="630"/>
          <w:tblCellSpacing w:w="0" w:type="dxa"/>
          <w:jc w:val="center"/>
        </w:trPr>
        <w:tc>
          <w:tcPr>
            <w:tcW w:w="4783" w:type="dxa"/>
            <w:vAlign w:val="center"/>
          </w:tcPr>
          <w:p w:rsidR="003A7535" w:rsidRPr="00EA6DAB" w:rsidRDefault="003A7535" w:rsidP="003A7535">
            <w:pPr>
              <w:ind w:left="216"/>
              <w:rPr>
                <w:rFonts w:ascii="Calibri" w:hAnsi="Calibri"/>
                <w:sz w:val="20"/>
                <w:szCs w:val="20"/>
              </w:rPr>
            </w:pPr>
            <w:r w:rsidRPr="00EA6DAB">
              <w:rPr>
                <w:rStyle w:val="ed-reports-ppp-measuretitle1"/>
                <w:rFonts w:ascii="Calibri" w:hAnsi="Calibri"/>
              </w:rPr>
              <w:t xml:space="preserve">Measure 1.13 of 14: </w:t>
            </w:r>
            <w:r w:rsidRPr="00EA6DAB">
              <w:rPr>
                <w:rStyle w:val="ed-reports-ppp-measuredesc1"/>
                <w:rFonts w:ascii="Calibri" w:hAnsi="Calibri"/>
              </w:rPr>
              <w:t>The percentage of middle and high school 21st Century participants with teacher-reported improvement in student behavior.  </w:t>
            </w:r>
          </w:p>
        </w:tc>
        <w:tc>
          <w:tcPr>
            <w:tcW w:w="2340" w:type="dxa"/>
            <w:vAlign w:val="center"/>
          </w:tcPr>
          <w:p w:rsidR="003A7535" w:rsidRPr="002D04C0" w:rsidRDefault="003A7535" w:rsidP="003A7535">
            <w:pPr>
              <w:jc w:val="center"/>
              <w:rPr>
                <w:rFonts w:ascii="Calibri" w:hAnsi="Calibri"/>
              </w:rPr>
            </w:pPr>
            <w:r w:rsidRPr="002D04C0">
              <w:rPr>
                <w:rFonts w:ascii="Calibri" w:hAnsi="Calibri"/>
                <w:sz w:val="20"/>
                <w:szCs w:val="20"/>
              </w:rPr>
              <w:t>75%</w:t>
            </w:r>
          </w:p>
        </w:tc>
        <w:tc>
          <w:tcPr>
            <w:tcW w:w="2350" w:type="dxa"/>
            <w:vAlign w:val="center"/>
          </w:tcPr>
          <w:p w:rsidR="003A7535" w:rsidRPr="00EA6DAB" w:rsidRDefault="003A7535" w:rsidP="003A7535">
            <w:pPr>
              <w:jc w:val="center"/>
              <w:rPr>
                <w:rFonts w:ascii="Calibri" w:hAnsi="Calibri"/>
                <w:sz w:val="20"/>
                <w:szCs w:val="20"/>
              </w:rPr>
            </w:pPr>
            <w:r>
              <w:rPr>
                <w:rFonts w:ascii="Calibri" w:hAnsi="Calibri"/>
                <w:sz w:val="20"/>
                <w:szCs w:val="20"/>
              </w:rPr>
              <w:t>64.16%</w:t>
            </w:r>
          </w:p>
        </w:tc>
      </w:tr>
      <w:tr w:rsidR="003A7535" w:rsidRPr="004319FA" w:rsidTr="003A7535">
        <w:trPr>
          <w:trHeight w:val="915"/>
          <w:tblCellSpacing w:w="0" w:type="dxa"/>
          <w:jc w:val="center"/>
        </w:trPr>
        <w:tc>
          <w:tcPr>
            <w:tcW w:w="4783" w:type="dxa"/>
            <w:vAlign w:val="center"/>
          </w:tcPr>
          <w:p w:rsidR="003A7535" w:rsidRPr="00EA6DAB" w:rsidRDefault="003A7535" w:rsidP="003A7535">
            <w:pPr>
              <w:ind w:left="216"/>
              <w:rPr>
                <w:rFonts w:ascii="Calibri" w:hAnsi="Calibri"/>
                <w:sz w:val="20"/>
                <w:szCs w:val="20"/>
              </w:rPr>
            </w:pPr>
            <w:r w:rsidRPr="00EA6DAB">
              <w:rPr>
                <w:rStyle w:val="ed-reports-ppp-measuretitle1"/>
                <w:rFonts w:ascii="Calibri" w:hAnsi="Calibri"/>
              </w:rPr>
              <w:t xml:space="preserve">Measure 1.14 of 14: </w:t>
            </w:r>
            <w:r w:rsidRPr="00EA6DAB">
              <w:rPr>
                <w:rStyle w:val="ed-reports-ppp-measuredesc1"/>
                <w:rFonts w:ascii="Calibri" w:hAnsi="Calibri"/>
              </w:rPr>
              <w:t>The percentage of all 21st Century participants with teacher-reported improvement in student behavior.  </w:t>
            </w:r>
          </w:p>
        </w:tc>
        <w:tc>
          <w:tcPr>
            <w:tcW w:w="2340" w:type="dxa"/>
            <w:vAlign w:val="center"/>
          </w:tcPr>
          <w:p w:rsidR="003A7535" w:rsidRPr="002D04C0" w:rsidRDefault="003A7535" w:rsidP="003A7535">
            <w:pPr>
              <w:jc w:val="center"/>
              <w:rPr>
                <w:rFonts w:ascii="Calibri" w:hAnsi="Calibri"/>
                <w:sz w:val="20"/>
                <w:szCs w:val="20"/>
              </w:rPr>
            </w:pPr>
            <w:r w:rsidRPr="002D04C0">
              <w:rPr>
                <w:rFonts w:ascii="Calibri" w:hAnsi="Calibri"/>
                <w:sz w:val="20"/>
                <w:szCs w:val="20"/>
              </w:rPr>
              <w:t>75%</w:t>
            </w:r>
          </w:p>
        </w:tc>
        <w:tc>
          <w:tcPr>
            <w:tcW w:w="2350" w:type="dxa"/>
            <w:vAlign w:val="center"/>
          </w:tcPr>
          <w:p w:rsidR="003A7535" w:rsidRPr="00EA6DAB" w:rsidRDefault="003A7535" w:rsidP="003A7535">
            <w:pPr>
              <w:jc w:val="center"/>
              <w:rPr>
                <w:rFonts w:ascii="Calibri" w:hAnsi="Calibri"/>
                <w:sz w:val="20"/>
                <w:szCs w:val="20"/>
              </w:rPr>
            </w:pPr>
            <w:r>
              <w:rPr>
                <w:rFonts w:ascii="Calibri" w:hAnsi="Calibri"/>
                <w:sz w:val="20"/>
                <w:szCs w:val="20"/>
              </w:rPr>
              <w:t>67.06%</w:t>
            </w:r>
          </w:p>
        </w:tc>
      </w:tr>
      <w:tr w:rsidR="003A7535" w:rsidRPr="004319FA" w:rsidTr="003A7535">
        <w:trPr>
          <w:trHeight w:val="915"/>
          <w:tblCellSpacing w:w="0" w:type="dxa"/>
          <w:jc w:val="center"/>
        </w:trPr>
        <w:tc>
          <w:tcPr>
            <w:tcW w:w="4783" w:type="dxa"/>
            <w:tcBorders>
              <w:top w:val="single" w:sz="6" w:space="0" w:color="000000"/>
              <w:left w:val="single" w:sz="4" w:space="0" w:color="000000"/>
              <w:bottom w:val="single" w:sz="6" w:space="0" w:color="000000"/>
              <w:right w:val="single" w:sz="4" w:space="0" w:color="000000"/>
            </w:tcBorders>
            <w:vAlign w:val="center"/>
          </w:tcPr>
          <w:p w:rsidR="003A7535" w:rsidRPr="00EA6DAB" w:rsidRDefault="003A7535" w:rsidP="003A7535">
            <w:pPr>
              <w:ind w:left="216"/>
              <w:rPr>
                <w:rFonts w:ascii="Calibri" w:hAnsi="Calibri"/>
                <w:b/>
                <w:bCs/>
                <w:sz w:val="20"/>
                <w:szCs w:val="20"/>
              </w:rPr>
            </w:pPr>
            <w:r w:rsidRPr="00EA6DAB">
              <w:rPr>
                <w:rStyle w:val="ed-reports-ppp-measuretitle1"/>
                <w:rFonts w:ascii="Calibri" w:hAnsi="Calibri"/>
              </w:rPr>
              <w:t xml:space="preserve">Measure 2.1 of 2: </w:t>
            </w:r>
            <w:r w:rsidRPr="00EA6DAB">
              <w:rPr>
                <w:rStyle w:val="ed-reports-ppp-measuredesc1"/>
                <w:rFonts w:ascii="Calibri" w:hAnsi="Calibri"/>
                <w:bCs/>
              </w:rPr>
              <w:t>The percentage of 21st Century Centers reporting emphasis in at least one core academic area.</w:t>
            </w:r>
            <w:r w:rsidRPr="00EA6DAB">
              <w:rPr>
                <w:rStyle w:val="ed-reports-ppp-measuredesc1"/>
                <w:rFonts w:ascii="Calibri" w:hAnsi="Calibri"/>
                <w:b/>
                <w:bCs/>
              </w:rPr>
              <w:t xml:space="preserve">  </w:t>
            </w:r>
          </w:p>
        </w:tc>
        <w:tc>
          <w:tcPr>
            <w:tcW w:w="2340" w:type="dxa"/>
            <w:tcBorders>
              <w:top w:val="single" w:sz="6" w:space="0" w:color="000000"/>
              <w:left w:val="single" w:sz="4" w:space="0" w:color="000000"/>
              <w:bottom w:val="single" w:sz="6" w:space="0" w:color="000000"/>
              <w:right w:val="single" w:sz="4" w:space="0" w:color="000000"/>
            </w:tcBorders>
            <w:vAlign w:val="center"/>
          </w:tcPr>
          <w:p w:rsidR="003A7535" w:rsidRPr="002D04C0" w:rsidRDefault="003A7535" w:rsidP="003A7535">
            <w:pPr>
              <w:jc w:val="center"/>
              <w:rPr>
                <w:rFonts w:ascii="Calibri" w:hAnsi="Calibri"/>
                <w:sz w:val="20"/>
                <w:szCs w:val="20"/>
              </w:rPr>
            </w:pPr>
            <w:r w:rsidRPr="002D04C0">
              <w:rPr>
                <w:rFonts w:ascii="Calibri" w:hAnsi="Calibri"/>
                <w:sz w:val="20"/>
                <w:szCs w:val="20"/>
              </w:rPr>
              <w:t>100%</w:t>
            </w:r>
          </w:p>
        </w:tc>
        <w:tc>
          <w:tcPr>
            <w:tcW w:w="2350" w:type="dxa"/>
            <w:tcBorders>
              <w:top w:val="single" w:sz="6" w:space="0" w:color="000000"/>
              <w:left w:val="single" w:sz="4" w:space="0" w:color="000000"/>
              <w:bottom w:val="single" w:sz="6" w:space="0" w:color="000000"/>
              <w:right w:val="single" w:sz="4" w:space="0" w:color="000000"/>
            </w:tcBorders>
            <w:vAlign w:val="center"/>
          </w:tcPr>
          <w:p w:rsidR="003A7535" w:rsidRPr="00DA48DB" w:rsidRDefault="003A7535" w:rsidP="003A7535">
            <w:pPr>
              <w:jc w:val="center"/>
              <w:rPr>
                <w:rFonts w:ascii="Calibri" w:hAnsi="Calibri"/>
                <w:sz w:val="20"/>
                <w:szCs w:val="20"/>
              </w:rPr>
            </w:pPr>
            <w:r>
              <w:rPr>
                <w:rFonts w:ascii="Calibri" w:hAnsi="Calibri"/>
                <w:sz w:val="20"/>
                <w:szCs w:val="20"/>
              </w:rPr>
              <w:t>97.40</w:t>
            </w:r>
            <w:r w:rsidRPr="00DA48DB">
              <w:rPr>
                <w:rFonts w:ascii="Calibri" w:hAnsi="Calibri"/>
                <w:sz w:val="20"/>
                <w:szCs w:val="20"/>
              </w:rPr>
              <w:t>%</w:t>
            </w:r>
            <w:r>
              <w:rPr>
                <w:rFonts w:ascii="Calibri" w:hAnsi="Calibri"/>
                <w:sz w:val="20"/>
                <w:szCs w:val="20"/>
              </w:rPr>
              <w:t>*</w:t>
            </w:r>
          </w:p>
        </w:tc>
      </w:tr>
      <w:tr w:rsidR="003A7535" w:rsidRPr="004319FA" w:rsidTr="003A7535">
        <w:trPr>
          <w:trHeight w:val="915"/>
          <w:tblCellSpacing w:w="0" w:type="dxa"/>
          <w:jc w:val="center"/>
        </w:trPr>
        <w:tc>
          <w:tcPr>
            <w:tcW w:w="4783" w:type="dxa"/>
            <w:tcBorders>
              <w:top w:val="single" w:sz="6" w:space="0" w:color="000000"/>
              <w:left w:val="single" w:sz="4" w:space="0" w:color="000000"/>
              <w:bottom w:val="single" w:sz="4" w:space="0" w:color="000000"/>
              <w:right w:val="single" w:sz="4" w:space="0" w:color="000000"/>
            </w:tcBorders>
            <w:vAlign w:val="center"/>
          </w:tcPr>
          <w:p w:rsidR="003A7535" w:rsidRPr="00EA6DAB" w:rsidRDefault="003A7535" w:rsidP="003A7535">
            <w:pPr>
              <w:ind w:left="216"/>
              <w:rPr>
                <w:rFonts w:ascii="Calibri" w:hAnsi="Calibri"/>
                <w:b/>
                <w:bCs/>
                <w:sz w:val="20"/>
                <w:szCs w:val="20"/>
              </w:rPr>
            </w:pPr>
            <w:r w:rsidRPr="00EA6DAB">
              <w:rPr>
                <w:rStyle w:val="ed-reports-ppp-measuretitle1"/>
                <w:rFonts w:ascii="Calibri" w:hAnsi="Calibri"/>
              </w:rPr>
              <w:t xml:space="preserve">Measure 2.2 of 2: </w:t>
            </w:r>
            <w:r w:rsidRPr="00EA6DAB">
              <w:rPr>
                <w:rStyle w:val="ed-reports-ppp-measuredesc1"/>
                <w:rFonts w:ascii="Calibri" w:hAnsi="Calibri"/>
                <w:bCs/>
              </w:rPr>
              <w:t>The percentage of 21st Century Centers offering enrichment and support activities in other areas.</w:t>
            </w:r>
            <w:r w:rsidRPr="00EA6DAB">
              <w:rPr>
                <w:rStyle w:val="ed-reports-ppp-measuredesc1"/>
                <w:rFonts w:ascii="Calibri" w:hAnsi="Calibri"/>
                <w:b/>
                <w:bCs/>
              </w:rPr>
              <w:t xml:space="preserve"> </w:t>
            </w:r>
          </w:p>
        </w:tc>
        <w:tc>
          <w:tcPr>
            <w:tcW w:w="2340" w:type="dxa"/>
            <w:tcBorders>
              <w:top w:val="single" w:sz="6" w:space="0" w:color="000000"/>
              <w:left w:val="single" w:sz="4" w:space="0" w:color="000000"/>
              <w:bottom w:val="single" w:sz="4" w:space="0" w:color="000000"/>
              <w:right w:val="single" w:sz="4" w:space="0" w:color="000000"/>
            </w:tcBorders>
            <w:vAlign w:val="center"/>
          </w:tcPr>
          <w:p w:rsidR="003A7535" w:rsidRPr="002D04C0" w:rsidRDefault="003A7535" w:rsidP="003A7535">
            <w:pPr>
              <w:jc w:val="center"/>
              <w:rPr>
                <w:rFonts w:ascii="Calibri" w:hAnsi="Calibri"/>
                <w:sz w:val="20"/>
                <w:szCs w:val="20"/>
              </w:rPr>
            </w:pPr>
            <w:r w:rsidRPr="002D04C0">
              <w:rPr>
                <w:rFonts w:ascii="Calibri" w:hAnsi="Calibri"/>
                <w:sz w:val="20"/>
                <w:szCs w:val="20"/>
              </w:rPr>
              <w:t>100%</w:t>
            </w:r>
          </w:p>
        </w:tc>
        <w:tc>
          <w:tcPr>
            <w:tcW w:w="2350" w:type="dxa"/>
            <w:tcBorders>
              <w:top w:val="single" w:sz="6" w:space="0" w:color="000000"/>
              <w:left w:val="single" w:sz="4" w:space="0" w:color="000000"/>
              <w:bottom w:val="single" w:sz="4" w:space="0" w:color="000000"/>
              <w:right w:val="single" w:sz="4" w:space="0" w:color="000000"/>
            </w:tcBorders>
            <w:vAlign w:val="center"/>
          </w:tcPr>
          <w:p w:rsidR="003A7535" w:rsidRPr="00DA48DB" w:rsidRDefault="003A7535" w:rsidP="003A7535">
            <w:pPr>
              <w:jc w:val="center"/>
              <w:rPr>
                <w:rFonts w:ascii="Calibri" w:hAnsi="Calibri"/>
                <w:sz w:val="20"/>
                <w:szCs w:val="20"/>
              </w:rPr>
            </w:pPr>
            <w:r>
              <w:rPr>
                <w:rFonts w:ascii="Calibri" w:hAnsi="Calibri"/>
                <w:sz w:val="20"/>
                <w:szCs w:val="20"/>
              </w:rPr>
              <w:t>97.03</w:t>
            </w:r>
            <w:r w:rsidRPr="00DA48DB">
              <w:rPr>
                <w:rFonts w:ascii="Calibri" w:hAnsi="Calibri"/>
                <w:sz w:val="20"/>
                <w:szCs w:val="20"/>
              </w:rPr>
              <w:t>%</w:t>
            </w:r>
            <w:r>
              <w:rPr>
                <w:rFonts w:ascii="Calibri" w:hAnsi="Calibri"/>
                <w:sz w:val="20"/>
                <w:szCs w:val="20"/>
              </w:rPr>
              <w:t>*</w:t>
            </w:r>
          </w:p>
        </w:tc>
      </w:tr>
    </w:tbl>
    <w:p w:rsidR="003A7535" w:rsidRPr="006251FD" w:rsidRDefault="003A7535" w:rsidP="003A7535">
      <w:pPr>
        <w:rPr>
          <w:sz w:val="20"/>
          <w:szCs w:val="20"/>
        </w:rPr>
      </w:pPr>
      <w:r w:rsidRPr="006251FD">
        <w:rPr>
          <w:sz w:val="20"/>
          <w:szCs w:val="20"/>
        </w:rPr>
        <w:t>*Note: The reported percent includes missing students. If missing students are excluded from the denominator, the new percent for measure 2.1 equals 98.81% and the new percent for measure 2.2 equals 98.56%.</w:t>
      </w:r>
    </w:p>
    <w:p w:rsidR="003A7535" w:rsidRPr="006251FD" w:rsidRDefault="003A7535" w:rsidP="003A7535"/>
    <w:p w:rsidR="003A7535" w:rsidRPr="007719F4" w:rsidRDefault="003A7535" w:rsidP="00A50F56">
      <w:pPr>
        <w:pStyle w:val="Heading2"/>
      </w:pPr>
      <w:bookmarkStart w:id="48" w:name="_Toc248907012"/>
      <w:bookmarkStart w:id="49" w:name="_Toc446063960"/>
      <w:r w:rsidRPr="007719F4">
        <w:t>Trends in GPRA Indicator Performance</w:t>
      </w:r>
      <w:bookmarkEnd w:id="48"/>
      <w:bookmarkEnd w:id="49"/>
    </w:p>
    <w:p w:rsidR="003A7535" w:rsidRPr="007719F4" w:rsidRDefault="003A7535" w:rsidP="003A7535"/>
    <w:p w:rsidR="003A7535" w:rsidRPr="007719F4" w:rsidRDefault="003A7535" w:rsidP="003A7535">
      <w:r w:rsidRPr="007719F4">
        <w:t>The 2011</w:t>
      </w:r>
      <w:r>
        <w:t>-</w:t>
      </w:r>
      <w:r w:rsidRPr="007719F4">
        <w:t>12 reporting period represented the</w:t>
      </w:r>
      <w:r>
        <w:t xml:space="preserve"> tenth</w:t>
      </w:r>
      <w:r w:rsidRPr="007719F4">
        <w:t xml:space="preserve"> wave of data collected in PPICS that allowed for an assessment of how well the program was functioning relative to the established GPRA measures for the program. </w:t>
      </w:r>
    </w:p>
    <w:p w:rsidR="003A7535" w:rsidRPr="007719F4" w:rsidRDefault="003A7535" w:rsidP="003A7535"/>
    <w:p w:rsidR="003A7535" w:rsidRPr="007719F4" w:rsidRDefault="003A7535" w:rsidP="003A7535">
      <w:r w:rsidRPr="007719F4">
        <w:fldChar w:fldCharType="begin"/>
      </w:r>
      <w:r w:rsidRPr="007719F4">
        <w:instrText xml:space="preserve"> REF _Ref240449783 \h  \* MERGEFORMAT </w:instrText>
      </w:r>
      <w:r w:rsidRPr="007719F4">
        <w:fldChar w:fldCharType="separate"/>
      </w:r>
      <w:r w:rsidR="00A50F56" w:rsidRPr="00A50F56">
        <w:t>Table</w:t>
      </w:r>
      <w:r w:rsidRPr="007719F4">
        <w:fldChar w:fldCharType="end"/>
      </w:r>
      <w:r w:rsidR="006251FD">
        <w:t xml:space="preserve"> </w:t>
      </w:r>
      <w:r w:rsidR="00B8721C">
        <w:t>14</w:t>
      </w:r>
      <w:r w:rsidR="00B8721C" w:rsidRPr="007719F4">
        <w:t xml:space="preserve"> </w:t>
      </w:r>
      <w:r w:rsidRPr="007719F4">
        <w:t>describes the overall performance of programs (without breakdowns by grade level) by reporting period across each of the GPRA indicator categories. The performance levels, based on attendance gradation for the two reporting periods in which data were collected in this manner, are also</w:t>
      </w:r>
      <w:r w:rsidR="006251FD">
        <w:t xml:space="preserve"> included. Note that in Table </w:t>
      </w:r>
      <w:r w:rsidR="00B8721C">
        <w:t>14</w:t>
      </w:r>
      <w:r w:rsidRPr="007719F4">
        <w:t xml:space="preserve">, two different state assessment-based measures are presented: (1) </w:t>
      </w:r>
      <w:r w:rsidRPr="007719F4">
        <w:rPr>
          <w:i/>
        </w:rPr>
        <w:t xml:space="preserve">Improving </w:t>
      </w:r>
      <w:r w:rsidRPr="007719F4">
        <w:t xml:space="preserve">represents the percentage of regular attendees who scored below proficiency on the assessment taken in the prior year that moved to a higher proficiency category during the reporting period in question, and (2) </w:t>
      </w:r>
      <w:r w:rsidRPr="007719F4">
        <w:rPr>
          <w:i/>
        </w:rPr>
        <w:t>Attaining</w:t>
      </w:r>
      <w:r w:rsidRPr="007719F4">
        <w:t xml:space="preserve"> represents the percentage of regular attendees who moved from below proficiency on the prior year’s assessment to proficiency or above on the assessment taken during the reporting period. The difference between the two measures is that the </w:t>
      </w:r>
      <w:r w:rsidRPr="007719F4">
        <w:rPr>
          <w:i/>
        </w:rPr>
        <w:t xml:space="preserve">Improving </w:t>
      </w:r>
      <w:r w:rsidRPr="007719F4">
        <w:t xml:space="preserve">metric counts regular attendees as having improved even if they did not achieve proficiency based on state standards; the latter measure does not count these </w:t>
      </w:r>
      <w:r w:rsidRPr="007719F4">
        <w:lastRenderedPageBreak/>
        <w:t>students as having improved even though they demonstrated a higher level of performance on the state assessment in question. The GPRA indicator calculation is based on the latter approach.</w:t>
      </w:r>
    </w:p>
    <w:p w:rsidR="003A7535" w:rsidRPr="007719F4" w:rsidRDefault="003A7535" w:rsidP="003A7535"/>
    <w:p w:rsidR="003A7535" w:rsidRPr="00045036" w:rsidRDefault="003A7535" w:rsidP="003A7535">
      <w:pPr>
        <w:rPr>
          <w:highlight w:val="red"/>
        </w:rPr>
      </w:pPr>
      <w:r w:rsidRPr="00F21B33">
        <w:t xml:space="preserve">As shown in </w:t>
      </w:r>
      <w:r w:rsidRPr="00F21B33">
        <w:fldChar w:fldCharType="begin"/>
      </w:r>
      <w:r w:rsidRPr="00F21B33">
        <w:instrText xml:space="preserve"> REF _Ref240449783 \h  \* MERGEFORMAT </w:instrText>
      </w:r>
      <w:r w:rsidRPr="00F21B33">
        <w:fldChar w:fldCharType="separate"/>
      </w:r>
      <w:r w:rsidR="00A50F56" w:rsidRPr="00A50F56">
        <w:t>Table</w:t>
      </w:r>
      <w:r w:rsidRPr="00F21B33">
        <w:fldChar w:fldCharType="end"/>
      </w:r>
      <w:r w:rsidRPr="00F21B33">
        <w:t xml:space="preserve"> </w:t>
      </w:r>
      <w:r w:rsidR="00F217BF">
        <w:t>14</w:t>
      </w:r>
      <w:r w:rsidRPr="00F21B33">
        <w:t>, when the measures are examined without taking into consideration attendance gradation, no apparent trend toward higher levels of program performance is discernable across the reporting per</w:t>
      </w:r>
      <w:r>
        <w:t xml:space="preserve">iods, and in the case of grades, state assessment and </w:t>
      </w:r>
      <w:r w:rsidRPr="007E79A8">
        <w:t>behavioral improvement rates increases are lower in 2012-13 compared to more recent years. Further, when cross-year progress is assessed employing the gradation reporting option, increases are also lower than prior years.</w:t>
      </w:r>
    </w:p>
    <w:p w:rsidR="003A7535" w:rsidRPr="00045036" w:rsidRDefault="003A7535" w:rsidP="003A7535">
      <w:pPr>
        <w:rPr>
          <w:highlight w:val="red"/>
        </w:rPr>
      </w:pPr>
    </w:p>
    <w:p w:rsidR="003A7535" w:rsidRPr="007719F4" w:rsidRDefault="003A7535" w:rsidP="003A7535">
      <w:r w:rsidRPr="007E79A8">
        <w:t xml:space="preserve">Finally, with the exception of the current year, </w:t>
      </w:r>
      <w:r w:rsidRPr="007E79A8">
        <w:fldChar w:fldCharType="begin"/>
      </w:r>
      <w:r w:rsidRPr="007E79A8">
        <w:instrText xml:space="preserve"> REF _Ref240449783 \h  \* MERGEFORMAT </w:instrText>
      </w:r>
      <w:r w:rsidRPr="007E79A8">
        <w:fldChar w:fldCharType="separate"/>
      </w:r>
      <w:r w:rsidR="00A50F56" w:rsidRPr="00A50F56">
        <w:t>Table</w:t>
      </w:r>
      <w:r w:rsidRPr="007E79A8">
        <w:fldChar w:fldCharType="end"/>
      </w:r>
      <w:r w:rsidRPr="007E79A8">
        <w:t xml:space="preserve"> </w:t>
      </w:r>
      <w:r w:rsidR="00F217BF">
        <w:t>14</w:t>
      </w:r>
      <w:r w:rsidRPr="007E79A8">
        <w:t xml:space="preserve"> demonstrates the positive relationship that appears between higher levels of attendance and the percentage of regular attendees witnessing improvement on a given outcome measure type. For example, during the 2005-06 reporting period, approximately 34 percent of regular attendees participating in 21st CCLC programming from 30-59 days that scored below proficiency on the 2005 state assessment in mathematics improved to a higher proficiency level in 2006. For regular attendees participating 90 days or more, this percentage was 46 percent. While not true for 2012-13, this result is largely replicated in 2006-07, 2007-08, 2008-09, 2009-10, 2010-11, and 2011-12 where the gap between the 30-59 day group and the 90 days or more groups was found to be 2 to 12 percentage points. This general finding is consistent across many of the impact categories and reporting periods in which attendance gradation data were collected.</w:t>
      </w:r>
      <w:r w:rsidRPr="007719F4">
        <w:t xml:space="preserve"> </w:t>
      </w:r>
    </w:p>
    <w:p w:rsidR="003A7535" w:rsidRPr="004319FA" w:rsidRDefault="003A7535" w:rsidP="003A7535">
      <w:pPr>
        <w:rPr>
          <w:sz w:val="12"/>
          <w:szCs w:val="12"/>
          <w:highlight w:val="yellow"/>
        </w:rPr>
      </w:pPr>
      <w:r w:rsidRPr="004319FA">
        <w:rPr>
          <w:sz w:val="12"/>
          <w:szCs w:val="12"/>
          <w:highlight w:val="yellow"/>
        </w:rPr>
        <w:br w:type="page"/>
      </w:r>
    </w:p>
    <w:p w:rsidR="003A7535" w:rsidRPr="004319FA" w:rsidRDefault="003A7535" w:rsidP="003A7535">
      <w:pPr>
        <w:rPr>
          <w:sz w:val="12"/>
          <w:szCs w:val="12"/>
          <w:highlight w:val="yellow"/>
        </w:rPr>
      </w:pPr>
    </w:p>
    <w:p w:rsidR="003A7535" w:rsidRPr="00565B6B" w:rsidRDefault="003A7535" w:rsidP="003A7535">
      <w:pPr>
        <w:pStyle w:val="Caption"/>
        <w:rPr>
          <w:color w:val="000000" w:themeColor="text1"/>
          <w:sz w:val="22"/>
          <w:szCs w:val="22"/>
        </w:rPr>
      </w:pPr>
      <w:bookmarkStart w:id="50" w:name="_Ref240449783"/>
      <w:proofErr w:type="gramStart"/>
      <w:r w:rsidRPr="00565B6B">
        <w:rPr>
          <w:color w:val="000000" w:themeColor="text1"/>
        </w:rPr>
        <w:t>Table</w:t>
      </w:r>
      <w:bookmarkEnd w:id="50"/>
      <w:r w:rsidRPr="00565B6B">
        <w:rPr>
          <w:color w:val="000000" w:themeColor="text1"/>
        </w:rPr>
        <w:t xml:space="preserve"> </w:t>
      </w:r>
      <w:r w:rsidR="00F217BF">
        <w:rPr>
          <w:color w:val="000000" w:themeColor="text1"/>
        </w:rPr>
        <w:t>14</w:t>
      </w:r>
      <w:r w:rsidRPr="00565B6B">
        <w:rPr>
          <w:color w:val="000000" w:themeColor="text1"/>
        </w:rPr>
        <w:t>.</w:t>
      </w:r>
      <w:proofErr w:type="gramEnd"/>
      <w:r w:rsidRPr="00565B6B">
        <w:rPr>
          <w:color w:val="000000" w:themeColor="text1"/>
        </w:rPr>
        <w:t xml:space="preserve"> </w:t>
      </w:r>
      <w:r w:rsidRPr="00565B6B">
        <w:rPr>
          <w:color w:val="000000" w:themeColor="text1"/>
          <w:sz w:val="22"/>
          <w:szCs w:val="22"/>
        </w:rPr>
        <w:t xml:space="preserve">Grades, State Assessment Results, and Teacher Survey Results </w:t>
      </w:r>
      <w:proofErr w:type="gramStart"/>
      <w:r w:rsidRPr="00565B6B">
        <w:rPr>
          <w:color w:val="000000" w:themeColor="text1"/>
          <w:sz w:val="22"/>
          <w:szCs w:val="22"/>
        </w:rPr>
        <w:t>Across</w:t>
      </w:r>
      <w:proofErr w:type="gramEnd"/>
      <w:r w:rsidRPr="00565B6B">
        <w:rPr>
          <w:color w:val="000000" w:themeColor="text1"/>
          <w:sz w:val="22"/>
          <w:szCs w:val="22"/>
        </w:rPr>
        <w:t xml:space="preserve"> Years</w:t>
      </w:r>
    </w:p>
    <w:p w:rsidR="00317955" w:rsidRDefault="00317955"/>
    <w:tbl>
      <w:tblPr>
        <w:tblW w:w="11494" w:type="dxa"/>
        <w:jc w:val="center"/>
        <w:tblLook w:val="00A0" w:firstRow="1" w:lastRow="0" w:firstColumn="1" w:lastColumn="0" w:noHBand="0" w:noVBand="0"/>
      </w:tblPr>
      <w:tblGrid>
        <w:gridCol w:w="3600"/>
        <w:gridCol w:w="990"/>
        <w:gridCol w:w="990"/>
        <w:gridCol w:w="1009"/>
        <w:gridCol w:w="971"/>
        <w:gridCol w:w="990"/>
        <w:gridCol w:w="990"/>
        <w:gridCol w:w="990"/>
        <w:gridCol w:w="964"/>
      </w:tblGrid>
      <w:tr w:rsidR="003A7535" w:rsidRPr="00565B6B" w:rsidTr="00317955">
        <w:trPr>
          <w:trHeight w:val="368"/>
          <w:jc w:val="center"/>
        </w:trPr>
        <w:tc>
          <w:tcPr>
            <w:tcW w:w="3600" w:type="dxa"/>
            <w:tcBorders>
              <w:top w:val="single" w:sz="4" w:space="0" w:color="auto"/>
              <w:left w:val="single" w:sz="4" w:space="0" w:color="auto"/>
              <w:bottom w:val="single" w:sz="4" w:space="0" w:color="auto"/>
              <w:right w:val="single" w:sz="4" w:space="0" w:color="auto"/>
            </w:tcBorders>
            <w:shd w:val="clear" w:color="auto" w:fill="CCCCCC"/>
            <w:vAlign w:val="center"/>
          </w:tcPr>
          <w:p w:rsidR="003A7535" w:rsidRPr="00565B6B" w:rsidRDefault="00BA5E7C" w:rsidP="003A7535">
            <w:pPr>
              <w:jc w:val="center"/>
              <w:rPr>
                <w:rFonts w:ascii="Calibri" w:hAnsi="Calibri"/>
                <w:b/>
                <w:bCs/>
                <w:color w:val="000000" w:themeColor="text1"/>
                <w:sz w:val="18"/>
                <w:szCs w:val="18"/>
              </w:rPr>
            </w:pPr>
            <w:bookmarkStart w:id="51" w:name="OLE_LINK1"/>
            <w:bookmarkStart w:id="52" w:name="OLE_LINK3"/>
            <w:r w:rsidRPr="00565B6B">
              <w:rPr>
                <w:rFonts w:ascii="Calibri" w:hAnsi="Calibri"/>
                <w:color w:val="000000" w:themeColor="text1"/>
                <w:sz w:val="22"/>
                <w:szCs w:val="22"/>
              </w:rPr>
              <w:t>Grades</w:t>
            </w:r>
          </w:p>
        </w:tc>
        <w:tc>
          <w:tcPr>
            <w:tcW w:w="990" w:type="dxa"/>
            <w:tcBorders>
              <w:top w:val="single" w:sz="4" w:space="0" w:color="auto"/>
              <w:left w:val="nil"/>
              <w:bottom w:val="single" w:sz="4" w:space="0" w:color="auto"/>
              <w:right w:val="single" w:sz="4" w:space="0" w:color="auto"/>
            </w:tcBorders>
            <w:shd w:val="clear" w:color="auto" w:fill="CCCCCC"/>
          </w:tcPr>
          <w:p w:rsidR="003A7535" w:rsidRPr="00565B6B" w:rsidRDefault="003A7535" w:rsidP="003A7535">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3A7535" w:rsidRPr="00565B6B" w:rsidRDefault="003A7535" w:rsidP="003A7535">
            <w:pPr>
              <w:jc w:val="center"/>
              <w:rPr>
                <w:rFonts w:ascii="Calibri" w:hAnsi="Calibri"/>
                <w:b/>
                <w:bCs/>
                <w:i/>
                <w:iCs/>
                <w:color w:val="000000" w:themeColor="text1"/>
                <w:sz w:val="16"/>
                <w:szCs w:val="16"/>
              </w:rPr>
            </w:pPr>
            <w:r>
              <w:rPr>
                <w:rFonts w:ascii="Calibri" w:hAnsi="Calibri"/>
                <w:b/>
                <w:bCs/>
                <w:i/>
                <w:iCs/>
                <w:color w:val="000000" w:themeColor="text1"/>
                <w:sz w:val="16"/>
                <w:szCs w:val="16"/>
              </w:rPr>
              <w:t>2012–13</w:t>
            </w:r>
          </w:p>
        </w:tc>
        <w:tc>
          <w:tcPr>
            <w:tcW w:w="990" w:type="dxa"/>
            <w:tcBorders>
              <w:top w:val="single" w:sz="4" w:space="0" w:color="auto"/>
              <w:left w:val="single" w:sz="4" w:space="0" w:color="auto"/>
              <w:bottom w:val="single" w:sz="4" w:space="0" w:color="auto"/>
              <w:right w:val="single" w:sz="4" w:space="0" w:color="auto"/>
            </w:tcBorders>
            <w:shd w:val="clear" w:color="auto" w:fill="CCCCCC"/>
          </w:tcPr>
          <w:p w:rsidR="003A7535" w:rsidRPr="00565B6B" w:rsidRDefault="003A7535" w:rsidP="003A7535">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3A7535" w:rsidRPr="00565B6B" w:rsidRDefault="003A7535" w:rsidP="003A7535">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2011–12</w:t>
            </w:r>
          </w:p>
        </w:tc>
        <w:tc>
          <w:tcPr>
            <w:tcW w:w="1009" w:type="dxa"/>
            <w:tcBorders>
              <w:top w:val="single" w:sz="4" w:space="0" w:color="auto"/>
              <w:left w:val="single" w:sz="4" w:space="0" w:color="auto"/>
              <w:bottom w:val="single" w:sz="4" w:space="0" w:color="auto"/>
              <w:right w:val="single" w:sz="4" w:space="0" w:color="auto"/>
            </w:tcBorders>
            <w:shd w:val="clear" w:color="auto" w:fill="CCCCCC"/>
          </w:tcPr>
          <w:p w:rsidR="003A7535" w:rsidRPr="00565B6B" w:rsidRDefault="003A7535" w:rsidP="003A7535">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3A7535" w:rsidRPr="00565B6B" w:rsidRDefault="003A7535" w:rsidP="003A7535">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2010–11</w:t>
            </w:r>
          </w:p>
        </w:tc>
        <w:tc>
          <w:tcPr>
            <w:tcW w:w="971" w:type="dxa"/>
            <w:tcBorders>
              <w:top w:val="single" w:sz="4" w:space="0" w:color="auto"/>
              <w:left w:val="single" w:sz="4" w:space="0" w:color="auto"/>
              <w:bottom w:val="single" w:sz="4" w:space="0" w:color="auto"/>
              <w:right w:val="nil"/>
            </w:tcBorders>
            <w:shd w:val="clear" w:color="auto" w:fill="CCCCCC"/>
            <w:noWrap/>
          </w:tcPr>
          <w:p w:rsidR="003A7535" w:rsidRPr="00565B6B" w:rsidRDefault="003A7535" w:rsidP="003A7535">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3A7535" w:rsidRPr="00565B6B" w:rsidRDefault="003A7535" w:rsidP="003A7535">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2009–10</w:t>
            </w:r>
          </w:p>
        </w:tc>
        <w:tc>
          <w:tcPr>
            <w:tcW w:w="990" w:type="dxa"/>
            <w:tcBorders>
              <w:top w:val="single" w:sz="4" w:space="0" w:color="auto"/>
              <w:left w:val="single" w:sz="4" w:space="0" w:color="auto"/>
              <w:bottom w:val="single" w:sz="4" w:space="0" w:color="auto"/>
            </w:tcBorders>
            <w:shd w:val="clear" w:color="auto" w:fill="CCCCCC"/>
            <w:vAlign w:val="center"/>
          </w:tcPr>
          <w:p w:rsidR="003A7535" w:rsidRPr="00565B6B" w:rsidRDefault="003A7535" w:rsidP="003A7535">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3A7535" w:rsidRPr="00565B6B" w:rsidRDefault="003A7535" w:rsidP="003A7535">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2008–09</w:t>
            </w:r>
          </w:p>
        </w:tc>
        <w:tc>
          <w:tcPr>
            <w:tcW w:w="990" w:type="dxa"/>
            <w:tcBorders>
              <w:top w:val="single" w:sz="4" w:space="0" w:color="auto"/>
              <w:left w:val="single" w:sz="4" w:space="0" w:color="auto"/>
              <w:bottom w:val="single" w:sz="4" w:space="0" w:color="auto"/>
            </w:tcBorders>
            <w:shd w:val="clear" w:color="auto" w:fill="CCCCCC"/>
            <w:vAlign w:val="center"/>
          </w:tcPr>
          <w:p w:rsidR="003A7535" w:rsidRPr="00565B6B" w:rsidRDefault="003A7535" w:rsidP="003A7535">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3A7535" w:rsidRPr="00565B6B" w:rsidRDefault="003A7535" w:rsidP="003A7535">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2007–08</w:t>
            </w:r>
          </w:p>
        </w:tc>
        <w:tc>
          <w:tcPr>
            <w:tcW w:w="990" w:type="dxa"/>
            <w:tcBorders>
              <w:top w:val="single" w:sz="4" w:space="0" w:color="auto"/>
              <w:left w:val="single" w:sz="4" w:space="0" w:color="auto"/>
              <w:bottom w:val="single" w:sz="4" w:space="0" w:color="auto"/>
              <w:right w:val="single" w:sz="4" w:space="0" w:color="auto"/>
            </w:tcBorders>
            <w:shd w:val="clear" w:color="auto" w:fill="CCCCCC"/>
            <w:vAlign w:val="center"/>
          </w:tcPr>
          <w:p w:rsidR="003A7535" w:rsidRPr="00565B6B" w:rsidRDefault="003A7535" w:rsidP="003A7535">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3A7535" w:rsidRPr="00565B6B" w:rsidRDefault="003A7535" w:rsidP="003A7535">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2006–07</w:t>
            </w:r>
          </w:p>
        </w:tc>
        <w:tc>
          <w:tcPr>
            <w:tcW w:w="964" w:type="dxa"/>
            <w:tcBorders>
              <w:top w:val="single" w:sz="4" w:space="0" w:color="auto"/>
              <w:left w:val="single" w:sz="4" w:space="0" w:color="auto"/>
              <w:bottom w:val="single" w:sz="4" w:space="0" w:color="auto"/>
              <w:right w:val="single" w:sz="4" w:space="0" w:color="auto"/>
            </w:tcBorders>
            <w:shd w:val="clear" w:color="auto" w:fill="CCCCCC"/>
            <w:vAlign w:val="center"/>
          </w:tcPr>
          <w:p w:rsidR="003A7535" w:rsidRPr="00565B6B" w:rsidRDefault="003A7535" w:rsidP="003A7535">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3A7535" w:rsidRPr="00565B6B" w:rsidRDefault="003A7535" w:rsidP="003A7535">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2005–06</w:t>
            </w:r>
          </w:p>
        </w:tc>
      </w:tr>
      <w:tr w:rsidR="003A7535" w:rsidRPr="00565B6B" w:rsidTr="00317955">
        <w:trPr>
          <w:trHeight w:val="300"/>
          <w:jc w:val="center"/>
        </w:trPr>
        <w:tc>
          <w:tcPr>
            <w:tcW w:w="3600" w:type="dxa"/>
            <w:tcBorders>
              <w:top w:val="single" w:sz="4" w:space="0" w:color="auto"/>
              <w:left w:val="single" w:sz="4" w:space="0" w:color="auto"/>
              <w:bottom w:val="nil"/>
              <w:right w:val="single" w:sz="4" w:space="0" w:color="auto"/>
            </w:tcBorders>
            <w:noWrap/>
            <w:vAlign w:val="center"/>
          </w:tcPr>
          <w:p w:rsidR="003A7535" w:rsidRPr="00F21B33" w:rsidRDefault="003A7535" w:rsidP="003A7535">
            <w:pPr>
              <w:rPr>
                <w:rFonts w:ascii="Calibri" w:hAnsi="Calibri"/>
                <w:color w:val="000000" w:themeColor="text1"/>
                <w:sz w:val="18"/>
                <w:szCs w:val="18"/>
              </w:rPr>
            </w:pPr>
            <w:r w:rsidRPr="00F21B33">
              <w:rPr>
                <w:rFonts w:ascii="Calibri" w:hAnsi="Calibri"/>
                <w:color w:val="000000" w:themeColor="text1"/>
                <w:sz w:val="18"/>
                <w:szCs w:val="18"/>
              </w:rPr>
              <w:t>Mathematics Grades</w:t>
            </w:r>
          </w:p>
        </w:tc>
        <w:tc>
          <w:tcPr>
            <w:tcW w:w="990" w:type="dxa"/>
            <w:tcBorders>
              <w:top w:val="single" w:sz="4" w:space="0" w:color="auto"/>
              <w:left w:val="nil"/>
              <w:bottom w:val="nil"/>
              <w:right w:val="nil"/>
            </w:tcBorders>
            <w:vAlign w:val="center"/>
          </w:tcPr>
          <w:p w:rsidR="003A7535" w:rsidRPr="00F21B33" w:rsidRDefault="003A7535" w:rsidP="003A7535">
            <w:pPr>
              <w:jc w:val="center"/>
              <w:rPr>
                <w:rFonts w:ascii="Calibri" w:hAnsi="Calibri"/>
                <w:color w:val="000000" w:themeColor="text1"/>
                <w:sz w:val="20"/>
                <w:szCs w:val="20"/>
              </w:rPr>
            </w:pPr>
            <w:r w:rsidRPr="00F21B33">
              <w:rPr>
                <w:rFonts w:ascii="Calibri" w:hAnsi="Calibri"/>
                <w:color w:val="000000" w:themeColor="text1"/>
                <w:sz w:val="20"/>
                <w:szCs w:val="20"/>
              </w:rPr>
              <w:t>31</w:t>
            </w:r>
          </w:p>
        </w:tc>
        <w:tc>
          <w:tcPr>
            <w:tcW w:w="990" w:type="dxa"/>
            <w:tcBorders>
              <w:top w:val="single" w:sz="4" w:space="0" w:color="auto"/>
              <w:left w:val="nil"/>
              <w:bottom w:val="nil"/>
              <w:right w:val="nil"/>
            </w:tcBorders>
            <w:vAlign w:val="center"/>
          </w:tcPr>
          <w:p w:rsidR="003A7535" w:rsidRPr="00F21B33" w:rsidRDefault="003A7535" w:rsidP="003A7535">
            <w:pPr>
              <w:jc w:val="center"/>
              <w:rPr>
                <w:rFonts w:ascii="Calibri" w:hAnsi="Calibri"/>
                <w:color w:val="000000" w:themeColor="text1"/>
                <w:sz w:val="20"/>
                <w:szCs w:val="20"/>
              </w:rPr>
            </w:pPr>
            <w:r w:rsidRPr="00F21B33">
              <w:rPr>
                <w:rFonts w:ascii="Calibri" w:hAnsi="Calibri"/>
                <w:color w:val="000000" w:themeColor="text1"/>
                <w:sz w:val="20"/>
                <w:szCs w:val="20"/>
              </w:rPr>
              <w:t>33</w:t>
            </w:r>
          </w:p>
        </w:tc>
        <w:tc>
          <w:tcPr>
            <w:tcW w:w="1009" w:type="dxa"/>
            <w:tcBorders>
              <w:top w:val="single" w:sz="4" w:space="0" w:color="auto"/>
              <w:left w:val="nil"/>
              <w:bottom w:val="nil"/>
              <w:right w:val="nil"/>
            </w:tcBorders>
            <w:vAlign w:val="center"/>
          </w:tcPr>
          <w:p w:rsidR="003A7535" w:rsidRPr="00F21B33" w:rsidRDefault="003A7535" w:rsidP="003A7535">
            <w:pPr>
              <w:jc w:val="center"/>
              <w:rPr>
                <w:rFonts w:ascii="Calibri" w:hAnsi="Calibri"/>
                <w:color w:val="000000" w:themeColor="text1"/>
                <w:sz w:val="20"/>
                <w:szCs w:val="20"/>
              </w:rPr>
            </w:pPr>
            <w:r w:rsidRPr="00F21B33">
              <w:rPr>
                <w:rFonts w:ascii="Calibri" w:hAnsi="Calibri"/>
                <w:color w:val="000000" w:themeColor="text1"/>
                <w:sz w:val="20"/>
                <w:szCs w:val="20"/>
              </w:rPr>
              <w:t>35</w:t>
            </w:r>
          </w:p>
        </w:tc>
        <w:tc>
          <w:tcPr>
            <w:tcW w:w="971" w:type="dxa"/>
            <w:tcBorders>
              <w:top w:val="single" w:sz="4" w:space="0" w:color="auto"/>
              <w:left w:val="nil"/>
              <w:bottom w:val="nil"/>
              <w:right w:val="nil"/>
            </w:tcBorders>
            <w:noWrap/>
            <w:vAlign w:val="center"/>
          </w:tcPr>
          <w:p w:rsidR="003A7535" w:rsidRPr="00F21B33" w:rsidRDefault="003A7535" w:rsidP="003A7535">
            <w:pPr>
              <w:jc w:val="center"/>
              <w:rPr>
                <w:rFonts w:ascii="Calibri" w:hAnsi="Calibri"/>
                <w:color w:val="000000" w:themeColor="text1"/>
                <w:sz w:val="20"/>
                <w:szCs w:val="20"/>
              </w:rPr>
            </w:pPr>
            <w:r w:rsidRPr="00F21B33">
              <w:rPr>
                <w:rFonts w:ascii="Calibri" w:hAnsi="Calibri"/>
                <w:color w:val="000000" w:themeColor="text1"/>
                <w:sz w:val="20"/>
                <w:szCs w:val="20"/>
              </w:rPr>
              <w:t>36</w:t>
            </w:r>
          </w:p>
        </w:tc>
        <w:tc>
          <w:tcPr>
            <w:tcW w:w="990" w:type="dxa"/>
            <w:tcBorders>
              <w:top w:val="single" w:sz="4" w:space="0" w:color="auto"/>
              <w:left w:val="nil"/>
              <w:bottom w:val="nil"/>
              <w:right w:val="nil"/>
            </w:tcBorders>
            <w:vAlign w:val="center"/>
          </w:tcPr>
          <w:p w:rsidR="003A7535" w:rsidRPr="00F21B33" w:rsidRDefault="003A7535" w:rsidP="003A7535">
            <w:pPr>
              <w:jc w:val="center"/>
              <w:rPr>
                <w:rFonts w:ascii="Calibri" w:hAnsi="Calibri"/>
                <w:color w:val="000000" w:themeColor="text1"/>
                <w:sz w:val="20"/>
                <w:szCs w:val="22"/>
              </w:rPr>
            </w:pPr>
            <w:r w:rsidRPr="00F21B33">
              <w:rPr>
                <w:rFonts w:ascii="Calibri" w:hAnsi="Calibri"/>
                <w:color w:val="000000" w:themeColor="text1"/>
                <w:sz w:val="20"/>
                <w:szCs w:val="22"/>
              </w:rPr>
              <w:t>37</w:t>
            </w:r>
          </w:p>
        </w:tc>
        <w:tc>
          <w:tcPr>
            <w:tcW w:w="990" w:type="dxa"/>
            <w:tcBorders>
              <w:top w:val="single" w:sz="4" w:space="0" w:color="auto"/>
              <w:left w:val="nil"/>
              <w:bottom w:val="nil"/>
              <w:right w:val="nil"/>
            </w:tcBorders>
            <w:vAlign w:val="center"/>
          </w:tcPr>
          <w:p w:rsidR="003A7535" w:rsidRPr="00F21B33" w:rsidRDefault="003A7535" w:rsidP="003A7535">
            <w:pPr>
              <w:jc w:val="center"/>
              <w:rPr>
                <w:rFonts w:ascii="Calibri" w:hAnsi="Calibri"/>
                <w:color w:val="000000" w:themeColor="text1"/>
                <w:sz w:val="20"/>
                <w:szCs w:val="22"/>
              </w:rPr>
            </w:pPr>
            <w:r w:rsidRPr="00F21B33">
              <w:rPr>
                <w:rFonts w:ascii="Calibri" w:hAnsi="Calibri"/>
                <w:color w:val="000000" w:themeColor="text1"/>
                <w:sz w:val="20"/>
                <w:szCs w:val="22"/>
              </w:rPr>
              <w:t>40</w:t>
            </w:r>
          </w:p>
        </w:tc>
        <w:tc>
          <w:tcPr>
            <w:tcW w:w="990" w:type="dxa"/>
            <w:tcBorders>
              <w:top w:val="single" w:sz="4" w:space="0" w:color="auto"/>
              <w:left w:val="nil"/>
              <w:bottom w:val="nil"/>
            </w:tcBorders>
            <w:vAlign w:val="center"/>
          </w:tcPr>
          <w:p w:rsidR="003A7535" w:rsidRPr="00F21B33" w:rsidRDefault="003A7535" w:rsidP="003A7535">
            <w:pPr>
              <w:jc w:val="center"/>
              <w:rPr>
                <w:rFonts w:ascii="Calibri" w:hAnsi="Calibri"/>
                <w:color w:val="000000" w:themeColor="text1"/>
                <w:sz w:val="20"/>
                <w:szCs w:val="22"/>
              </w:rPr>
            </w:pPr>
            <w:r w:rsidRPr="00F21B33">
              <w:rPr>
                <w:rFonts w:ascii="Calibri" w:hAnsi="Calibri"/>
                <w:color w:val="000000" w:themeColor="text1"/>
                <w:sz w:val="20"/>
                <w:szCs w:val="22"/>
              </w:rPr>
              <w:t>41</w:t>
            </w:r>
          </w:p>
        </w:tc>
        <w:tc>
          <w:tcPr>
            <w:tcW w:w="964" w:type="dxa"/>
            <w:tcBorders>
              <w:top w:val="single" w:sz="4" w:space="0" w:color="auto"/>
              <w:right w:val="single" w:sz="4" w:space="0" w:color="auto"/>
            </w:tcBorders>
            <w:vAlign w:val="center"/>
          </w:tcPr>
          <w:p w:rsidR="003A7535" w:rsidRPr="00565B6B" w:rsidRDefault="003A7535" w:rsidP="003A7535">
            <w:pPr>
              <w:jc w:val="center"/>
              <w:rPr>
                <w:rFonts w:ascii="Calibri" w:hAnsi="Calibri"/>
                <w:color w:val="000000" w:themeColor="text1"/>
                <w:sz w:val="20"/>
                <w:szCs w:val="22"/>
              </w:rPr>
            </w:pPr>
            <w:r w:rsidRPr="00565B6B">
              <w:rPr>
                <w:rFonts w:ascii="Calibri" w:hAnsi="Calibri"/>
                <w:color w:val="000000" w:themeColor="text1"/>
                <w:sz w:val="20"/>
                <w:szCs w:val="22"/>
              </w:rPr>
              <w:t>42</w:t>
            </w:r>
          </w:p>
        </w:tc>
      </w:tr>
      <w:tr w:rsidR="003A7535" w:rsidRPr="00565B6B" w:rsidTr="00317955">
        <w:trPr>
          <w:trHeight w:val="300"/>
          <w:jc w:val="center"/>
        </w:trPr>
        <w:tc>
          <w:tcPr>
            <w:tcW w:w="3600" w:type="dxa"/>
            <w:tcBorders>
              <w:top w:val="nil"/>
              <w:left w:val="single" w:sz="4" w:space="0" w:color="auto"/>
              <w:bottom w:val="single" w:sz="4" w:space="0" w:color="auto"/>
              <w:right w:val="single" w:sz="4" w:space="0" w:color="auto"/>
            </w:tcBorders>
            <w:noWrap/>
            <w:vAlign w:val="center"/>
          </w:tcPr>
          <w:p w:rsidR="003A7535" w:rsidRPr="00F21B33" w:rsidRDefault="003A7535" w:rsidP="003A7535">
            <w:pPr>
              <w:rPr>
                <w:rFonts w:ascii="Calibri" w:hAnsi="Calibri"/>
                <w:color w:val="000000" w:themeColor="text1"/>
                <w:sz w:val="18"/>
                <w:szCs w:val="18"/>
              </w:rPr>
            </w:pPr>
            <w:r w:rsidRPr="00F21B33">
              <w:rPr>
                <w:rFonts w:ascii="Calibri" w:hAnsi="Calibri"/>
                <w:color w:val="000000" w:themeColor="text1"/>
                <w:sz w:val="18"/>
                <w:szCs w:val="18"/>
              </w:rPr>
              <w:t>Reading Grades</w:t>
            </w:r>
          </w:p>
        </w:tc>
        <w:tc>
          <w:tcPr>
            <w:tcW w:w="990" w:type="dxa"/>
            <w:tcBorders>
              <w:top w:val="nil"/>
              <w:left w:val="nil"/>
              <w:bottom w:val="single" w:sz="4" w:space="0" w:color="auto"/>
              <w:right w:val="nil"/>
            </w:tcBorders>
            <w:vAlign w:val="center"/>
          </w:tcPr>
          <w:p w:rsidR="003A7535" w:rsidRPr="00F21B33" w:rsidRDefault="003A7535" w:rsidP="003A7535">
            <w:pPr>
              <w:jc w:val="center"/>
              <w:rPr>
                <w:rFonts w:ascii="Calibri" w:hAnsi="Calibri"/>
                <w:color w:val="000000" w:themeColor="text1"/>
                <w:sz w:val="20"/>
                <w:szCs w:val="20"/>
              </w:rPr>
            </w:pPr>
            <w:r w:rsidRPr="00F21B33">
              <w:rPr>
                <w:rFonts w:ascii="Calibri" w:hAnsi="Calibri"/>
                <w:color w:val="000000" w:themeColor="text1"/>
                <w:sz w:val="20"/>
                <w:szCs w:val="20"/>
              </w:rPr>
              <w:t>31</w:t>
            </w:r>
          </w:p>
        </w:tc>
        <w:tc>
          <w:tcPr>
            <w:tcW w:w="990" w:type="dxa"/>
            <w:tcBorders>
              <w:top w:val="nil"/>
              <w:left w:val="nil"/>
              <w:bottom w:val="single" w:sz="4" w:space="0" w:color="auto"/>
              <w:right w:val="nil"/>
            </w:tcBorders>
            <w:vAlign w:val="center"/>
          </w:tcPr>
          <w:p w:rsidR="003A7535" w:rsidRPr="00F21B33" w:rsidRDefault="003A7535" w:rsidP="003A7535">
            <w:pPr>
              <w:jc w:val="center"/>
              <w:rPr>
                <w:rFonts w:ascii="Calibri" w:hAnsi="Calibri"/>
                <w:color w:val="000000" w:themeColor="text1"/>
                <w:sz w:val="20"/>
                <w:szCs w:val="20"/>
              </w:rPr>
            </w:pPr>
            <w:r w:rsidRPr="00F21B33">
              <w:rPr>
                <w:rFonts w:ascii="Calibri" w:hAnsi="Calibri"/>
                <w:color w:val="000000" w:themeColor="text1"/>
                <w:sz w:val="20"/>
                <w:szCs w:val="20"/>
              </w:rPr>
              <w:t>34</w:t>
            </w:r>
          </w:p>
        </w:tc>
        <w:tc>
          <w:tcPr>
            <w:tcW w:w="1009" w:type="dxa"/>
            <w:tcBorders>
              <w:top w:val="nil"/>
              <w:left w:val="nil"/>
              <w:bottom w:val="single" w:sz="4" w:space="0" w:color="auto"/>
              <w:right w:val="nil"/>
            </w:tcBorders>
            <w:vAlign w:val="center"/>
          </w:tcPr>
          <w:p w:rsidR="003A7535" w:rsidRPr="00F21B33" w:rsidRDefault="003A7535" w:rsidP="003A7535">
            <w:pPr>
              <w:jc w:val="center"/>
              <w:rPr>
                <w:rFonts w:ascii="Calibri" w:hAnsi="Calibri"/>
                <w:color w:val="000000" w:themeColor="text1"/>
                <w:sz w:val="20"/>
                <w:szCs w:val="20"/>
              </w:rPr>
            </w:pPr>
            <w:r w:rsidRPr="00F21B33">
              <w:rPr>
                <w:rFonts w:ascii="Calibri" w:hAnsi="Calibri"/>
                <w:color w:val="000000" w:themeColor="text1"/>
                <w:sz w:val="20"/>
                <w:szCs w:val="20"/>
              </w:rPr>
              <w:t>36</w:t>
            </w:r>
          </w:p>
        </w:tc>
        <w:tc>
          <w:tcPr>
            <w:tcW w:w="971" w:type="dxa"/>
            <w:tcBorders>
              <w:top w:val="nil"/>
              <w:left w:val="nil"/>
              <w:bottom w:val="single" w:sz="4" w:space="0" w:color="auto"/>
              <w:right w:val="nil"/>
            </w:tcBorders>
            <w:noWrap/>
            <w:vAlign w:val="center"/>
          </w:tcPr>
          <w:p w:rsidR="003A7535" w:rsidRPr="00F21B33" w:rsidRDefault="003A7535" w:rsidP="003A7535">
            <w:pPr>
              <w:jc w:val="center"/>
              <w:rPr>
                <w:rFonts w:ascii="Calibri" w:hAnsi="Calibri"/>
                <w:color w:val="000000" w:themeColor="text1"/>
                <w:sz w:val="20"/>
                <w:szCs w:val="20"/>
              </w:rPr>
            </w:pPr>
            <w:r w:rsidRPr="00F21B33">
              <w:rPr>
                <w:rFonts w:ascii="Calibri" w:hAnsi="Calibri"/>
                <w:color w:val="000000" w:themeColor="text1"/>
                <w:sz w:val="20"/>
                <w:szCs w:val="20"/>
              </w:rPr>
              <w:t>37</w:t>
            </w:r>
          </w:p>
        </w:tc>
        <w:tc>
          <w:tcPr>
            <w:tcW w:w="990" w:type="dxa"/>
            <w:tcBorders>
              <w:top w:val="nil"/>
              <w:left w:val="nil"/>
              <w:bottom w:val="single" w:sz="4" w:space="0" w:color="auto"/>
              <w:right w:val="nil"/>
            </w:tcBorders>
            <w:vAlign w:val="center"/>
          </w:tcPr>
          <w:p w:rsidR="003A7535" w:rsidRPr="00F21B33" w:rsidRDefault="003A7535" w:rsidP="003A7535">
            <w:pPr>
              <w:jc w:val="center"/>
              <w:rPr>
                <w:rFonts w:ascii="Calibri" w:hAnsi="Calibri"/>
                <w:color w:val="000000" w:themeColor="text1"/>
                <w:sz w:val="20"/>
                <w:szCs w:val="22"/>
              </w:rPr>
            </w:pPr>
            <w:r w:rsidRPr="00F21B33">
              <w:rPr>
                <w:rFonts w:ascii="Calibri" w:hAnsi="Calibri"/>
                <w:color w:val="000000" w:themeColor="text1"/>
                <w:sz w:val="20"/>
                <w:szCs w:val="22"/>
              </w:rPr>
              <w:t>38</w:t>
            </w:r>
          </w:p>
        </w:tc>
        <w:tc>
          <w:tcPr>
            <w:tcW w:w="990" w:type="dxa"/>
            <w:tcBorders>
              <w:top w:val="nil"/>
              <w:left w:val="nil"/>
              <w:bottom w:val="single" w:sz="4" w:space="0" w:color="auto"/>
              <w:right w:val="nil"/>
            </w:tcBorders>
            <w:vAlign w:val="center"/>
          </w:tcPr>
          <w:p w:rsidR="003A7535" w:rsidRPr="00F21B33" w:rsidRDefault="003A7535" w:rsidP="003A7535">
            <w:pPr>
              <w:jc w:val="center"/>
              <w:rPr>
                <w:rFonts w:ascii="Calibri" w:hAnsi="Calibri"/>
                <w:color w:val="000000" w:themeColor="text1"/>
                <w:sz w:val="20"/>
                <w:szCs w:val="22"/>
              </w:rPr>
            </w:pPr>
            <w:r w:rsidRPr="00F21B33">
              <w:rPr>
                <w:rFonts w:ascii="Calibri" w:hAnsi="Calibri"/>
                <w:color w:val="000000" w:themeColor="text1"/>
                <w:sz w:val="20"/>
                <w:szCs w:val="22"/>
              </w:rPr>
              <w:t>42</w:t>
            </w:r>
          </w:p>
        </w:tc>
        <w:tc>
          <w:tcPr>
            <w:tcW w:w="990" w:type="dxa"/>
            <w:tcBorders>
              <w:top w:val="nil"/>
              <w:left w:val="nil"/>
              <w:bottom w:val="single" w:sz="4" w:space="0" w:color="auto"/>
            </w:tcBorders>
            <w:vAlign w:val="center"/>
          </w:tcPr>
          <w:p w:rsidR="003A7535" w:rsidRPr="00F21B33" w:rsidRDefault="003A7535" w:rsidP="003A7535">
            <w:pPr>
              <w:jc w:val="center"/>
              <w:rPr>
                <w:rFonts w:ascii="Calibri" w:hAnsi="Calibri"/>
                <w:color w:val="000000" w:themeColor="text1"/>
                <w:sz w:val="20"/>
                <w:szCs w:val="22"/>
              </w:rPr>
            </w:pPr>
            <w:r w:rsidRPr="00F21B33">
              <w:rPr>
                <w:rFonts w:ascii="Calibri" w:hAnsi="Calibri"/>
                <w:color w:val="000000" w:themeColor="text1"/>
                <w:sz w:val="20"/>
                <w:szCs w:val="22"/>
              </w:rPr>
              <w:t>43</w:t>
            </w:r>
          </w:p>
        </w:tc>
        <w:tc>
          <w:tcPr>
            <w:tcW w:w="964" w:type="dxa"/>
            <w:tcBorders>
              <w:top w:val="nil"/>
              <w:bottom w:val="single" w:sz="4" w:space="0" w:color="auto"/>
              <w:right w:val="single" w:sz="4" w:space="0" w:color="auto"/>
            </w:tcBorders>
            <w:vAlign w:val="center"/>
          </w:tcPr>
          <w:p w:rsidR="003A7535" w:rsidRPr="00565B6B" w:rsidRDefault="003A7535" w:rsidP="003A7535">
            <w:pPr>
              <w:jc w:val="center"/>
              <w:rPr>
                <w:rFonts w:ascii="Calibri" w:hAnsi="Calibri"/>
                <w:color w:val="000000" w:themeColor="text1"/>
                <w:sz w:val="20"/>
                <w:szCs w:val="22"/>
              </w:rPr>
            </w:pPr>
            <w:r w:rsidRPr="00565B6B">
              <w:rPr>
                <w:rFonts w:ascii="Calibri" w:hAnsi="Calibri"/>
                <w:color w:val="000000" w:themeColor="text1"/>
                <w:sz w:val="20"/>
                <w:szCs w:val="22"/>
              </w:rPr>
              <w:t>45</w:t>
            </w:r>
          </w:p>
        </w:tc>
      </w:tr>
      <w:tr w:rsidR="00B13962" w:rsidRPr="00565B6B" w:rsidTr="00317955">
        <w:trPr>
          <w:trHeight w:val="300"/>
          <w:jc w:val="center"/>
        </w:trPr>
        <w:tc>
          <w:tcPr>
            <w:tcW w:w="11494" w:type="dxa"/>
            <w:gridSpan w:val="9"/>
            <w:tcBorders>
              <w:top w:val="single" w:sz="4" w:space="0" w:color="auto"/>
              <w:bottom w:val="single" w:sz="4" w:space="0" w:color="auto"/>
            </w:tcBorders>
          </w:tcPr>
          <w:p w:rsidR="00B13962" w:rsidRPr="00F21B33" w:rsidRDefault="00B13962" w:rsidP="003A7535">
            <w:pPr>
              <w:jc w:val="center"/>
              <w:rPr>
                <w:rFonts w:ascii="Calibri" w:hAnsi="Calibri"/>
                <w:color w:val="000000" w:themeColor="text1"/>
                <w:sz w:val="20"/>
                <w:szCs w:val="20"/>
              </w:rPr>
            </w:pPr>
          </w:p>
        </w:tc>
      </w:tr>
      <w:tr w:rsidR="00225239" w:rsidRPr="00565B6B" w:rsidTr="00317955">
        <w:trPr>
          <w:trHeight w:val="300"/>
          <w:jc w:val="center"/>
        </w:trPr>
        <w:tc>
          <w:tcPr>
            <w:tcW w:w="3600" w:type="dxa"/>
            <w:tcBorders>
              <w:top w:val="single" w:sz="4" w:space="0" w:color="auto"/>
              <w:left w:val="single" w:sz="4" w:space="0" w:color="auto"/>
              <w:right w:val="single" w:sz="4" w:space="0" w:color="auto"/>
            </w:tcBorders>
            <w:shd w:val="clear" w:color="auto" w:fill="D9D9D9" w:themeFill="background1" w:themeFillShade="D9"/>
            <w:noWrap/>
            <w:vAlign w:val="center"/>
          </w:tcPr>
          <w:p w:rsidR="00225239" w:rsidRPr="00565B6B" w:rsidRDefault="00B13962" w:rsidP="00BA5E7C">
            <w:pPr>
              <w:jc w:val="center"/>
              <w:rPr>
                <w:rFonts w:ascii="Calibri" w:hAnsi="Calibri"/>
                <w:b/>
                <w:bCs/>
                <w:color w:val="000000" w:themeColor="text1"/>
                <w:sz w:val="18"/>
                <w:szCs w:val="18"/>
              </w:rPr>
            </w:pPr>
            <w:r w:rsidRPr="00F21B33">
              <w:rPr>
                <w:rFonts w:ascii="Calibri" w:hAnsi="Calibri"/>
                <w:color w:val="000000" w:themeColor="text1"/>
                <w:sz w:val="22"/>
                <w:szCs w:val="22"/>
              </w:rPr>
              <w:t>By Attendance Gradation</w:t>
            </w:r>
          </w:p>
        </w:tc>
        <w:tc>
          <w:tcPr>
            <w:tcW w:w="990" w:type="dxa"/>
            <w:tcBorders>
              <w:top w:val="single" w:sz="4" w:space="0" w:color="auto"/>
              <w:left w:val="nil"/>
              <w:right w:val="nil"/>
            </w:tcBorders>
            <w:shd w:val="clear" w:color="auto" w:fill="D9D9D9" w:themeFill="background1" w:themeFillShade="D9"/>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Pr>
                <w:rFonts w:ascii="Calibri" w:hAnsi="Calibri"/>
                <w:b/>
                <w:bCs/>
                <w:i/>
                <w:iCs/>
                <w:color w:val="000000" w:themeColor="text1"/>
                <w:sz w:val="16"/>
                <w:szCs w:val="16"/>
              </w:rPr>
              <w:t>2012–13</w:t>
            </w:r>
          </w:p>
        </w:tc>
        <w:tc>
          <w:tcPr>
            <w:tcW w:w="990" w:type="dxa"/>
            <w:tcBorders>
              <w:top w:val="single" w:sz="4" w:space="0" w:color="auto"/>
              <w:left w:val="nil"/>
              <w:right w:val="nil"/>
            </w:tcBorders>
            <w:shd w:val="clear" w:color="auto" w:fill="D9D9D9" w:themeFill="background1" w:themeFillShade="D9"/>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2011–12</w:t>
            </w:r>
          </w:p>
        </w:tc>
        <w:tc>
          <w:tcPr>
            <w:tcW w:w="1009" w:type="dxa"/>
            <w:tcBorders>
              <w:top w:val="single" w:sz="4" w:space="0" w:color="auto"/>
              <w:left w:val="nil"/>
              <w:right w:val="nil"/>
            </w:tcBorders>
            <w:shd w:val="clear" w:color="auto" w:fill="D9D9D9" w:themeFill="background1" w:themeFillShade="D9"/>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2010–11</w:t>
            </w:r>
          </w:p>
        </w:tc>
        <w:tc>
          <w:tcPr>
            <w:tcW w:w="971" w:type="dxa"/>
            <w:tcBorders>
              <w:top w:val="single" w:sz="4" w:space="0" w:color="auto"/>
              <w:left w:val="nil"/>
              <w:right w:val="nil"/>
            </w:tcBorders>
            <w:shd w:val="clear" w:color="auto" w:fill="D9D9D9" w:themeFill="background1" w:themeFillShade="D9"/>
            <w:noWrap/>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2009–10</w:t>
            </w:r>
          </w:p>
        </w:tc>
        <w:tc>
          <w:tcPr>
            <w:tcW w:w="990" w:type="dxa"/>
            <w:tcBorders>
              <w:top w:val="single" w:sz="4" w:space="0" w:color="auto"/>
              <w:left w:val="nil"/>
              <w:right w:val="nil"/>
            </w:tcBorders>
            <w:shd w:val="clear" w:color="auto" w:fill="D9D9D9" w:themeFill="background1" w:themeFillShade="D9"/>
            <w:vAlign w:val="center"/>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2008–09</w:t>
            </w:r>
          </w:p>
        </w:tc>
        <w:tc>
          <w:tcPr>
            <w:tcW w:w="990" w:type="dxa"/>
            <w:tcBorders>
              <w:top w:val="single" w:sz="4" w:space="0" w:color="auto"/>
              <w:left w:val="nil"/>
              <w:right w:val="nil"/>
            </w:tcBorders>
            <w:shd w:val="clear" w:color="auto" w:fill="D9D9D9" w:themeFill="background1" w:themeFillShade="D9"/>
            <w:vAlign w:val="center"/>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2007–08</w:t>
            </w:r>
          </w:p>
        </w:tc>
        <w:tc>
          <w:tcPr>
            <w:tcW w:w="990" w:type="dxa"/>
            <w:tcBorders>
              <w:top w:val="single" w:sz="4" w:space="0" w:color="auto"/>
              <w:left w:val="nil"/>
            </w:tcBorders>
            <w:shd w:val="clear" w:color="auto" w:fill="D9D9D9" w:themeFill="background1" w:themeFillShade="D9"/>
            <w:vAlign w:val="center"/>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2006–07</w:t>
            </w:r>
          </w:p>
        </w:tc>
        <w:tc>
          <w:tcPr>
            <w:tcW w:w="964" w:type="dxa"/>
            <w:tcBorders>
              <w:top w:val="single" w:sz="4" w:space="0" w:color="auto"/>
              <w:right w:val="single" w:sz="4" w:space="0" w:color="auto"/>
            </w:tcBorders>
            <w:shd w:val="clear" w:color="auto" w:fill="D9D9D9" w:themeFill="background1" w:themeFillShade="D9"/>
            <w:vAlign w:val="center"/>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2005–06</w:t>
            </w:r>
          </w:p>
        </w:tc>
      </w:tr>
      <w:tr w:rsidR="00225239" w:rsidRPr="00565B6B" w:rsidTr="00317955">
        <w:trPr>
          <w:trHeight w:val="300"/>
          <w:jc w:val="center"/>
        </w:trPr>
        <w:tc>
          <w:tcPr>
            <w:tcW w:w="3600" w:type="dxa"/>
            <w:tcBorders>
              <w:top w:val="single" w:sz="4" w:space="0" w:color="auto"/>
              <w:left w:val="single" w:sz="4" w:space="0" w:color="auto"/>
              <w:right w:val="single" w:sz="4" w:space="0" w:color="auto"/>
            </w:tcBorders>
            <w:noWrap/>
            <w:vAlign w:val="center"/>
          </w:tcPr>
          <w:p w:rsidR="00225239" w:rsidRPr="00F21B33" w:rsidRDefault="00225239" w:rsidP="003A7535">
            <w:pPr>
              <w:rPr>
                <w:rFonts w:ascii="Calibri" w:hAnsi="Calibri"/>
                <w:color w:val="000000" w:themeColor="text1"/>
                <w:sz w:val="18"/>
                <w:szCs w:val="18"/>
              </w:rPr>
            </w:pPr>
            <w:r w:rsidRPr="00F21B33">
              <w:rPr>
                <w:rFonts w:ascii="Calibri" w:hAnsi="Calibri"/>
                <w:color w:val="000000" w:themeColor="text1"/>
                <w:sz w:val="18"/>
                <w:szCs w:val="18"/>
              </w:rPr>
              <w:t>Mathematics Grades (30–59)</w:t>
            </w:r>
          </w:p>
        </w:tc>
        <w:tc>
          <w:tcPr>
            <w:tcW w:w="990" w:type="dxa"/>
            <w:tcBorders>
              <w:top w:val="single" w:sz="4" w:space="0" w:color="auto"/>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30</w:t>
            </w:r>
          </w:p>
        </w:tc>
        <w:tc>
          <w:tcPr>
            <w:tcW w:w="990" w:type="dxa"/>
            <w:tcBorders>
              <w:top w:val="single" w:sz="4" w:space="0" w:color="auto"/>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32</w:t>
            </w:r>
          </w:p>
        </w:tc>
        <w:tc>
          <w:tcPr>
            <w:tcW w:w="1009" w:type="dxa"/>
            <w:tcBorders>
              <w:top w:val="single" w:sz="4" w:space="0" w:color="auto"/>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34</w:t>
            </w:r>
          </w:p>
        </w:tc>
        <w:tc>
          <w:tcPr>
            <w:tcW w:w="971" w:type="dxa"/>
            <w:tcBorders>
              <w:top w:val="single" w:sz="4" w:space="0" w:color="auto"/>
              <w:left w:val="nil"/>
              <w:right w:val="nil"/>
            </w:tcBorders>
            <w:noWrap/>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34</w:t>
            </w:r>
          </w:p>
        </w:tc>
        <w:tc>
          <w:tcPr>
            <w:tcW w:w="990" w:type="dxa"/>
            <w:tcBorders>
              <w:top w:val="single" w:sz="4" w:space="0" w:color="auto"/>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35</w:t>
            </w:r>
          </w:p>
        </w:tc>
        <w:tc>
          <w:tcPr>
            <w:tcW w:w="990" w:type="dxa"/>
            <w:tcBorders>
              <w:top w:val="single" w:sz="4" w:space="0" w:color="auto"/>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37</w:t>
            </w:r>
          </w:p>
        </w:tc>
        <w:tc>
          <w:tcPr>
            <w:tcW w:w="990" w:type="dxa"/>
            <w:tcBorders>
              <w:top w:val="single" w:sz="4" w:space="0" w:color="auto"/>
              <w:lef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39</w:t>
            </w:r>
          </w:p>
        </w:tc>
        <w:tc>
          <w:tcPr>
            <w:tcW w:w="964" w:type="dxa"/>
            <w:tcBorders>
              <w:top w:val="single" w:sz="4" w:space="0" w:color="auto"/>
              <w:right w:val="single" w:sz="4" w:space="0" w:color="auto"/>
            </w:tcBorders>
            <w:vAlign w:val="center"/>
          </w:tcPr>
          <w:p w:rsidR="00225239" w:rsidRPr="00565B6B" w:rsidRDefault="00225239" w:rsidP="003A7535">
            <w:pPr>
              <w:jc w:val="center"/>
              <w:rPr>
                <w:rFonts w:ascii="Calibri" w:hAnsi="Calibri"/>
                <w:color w:val="000000" w:themeColor="text1"/>
                <w:sz w:val="20"/>
                <w:szCs w:val="22"/>
              </w:rPr>
            </w:pPr>
            <w:r w:rsidRPr="00565B6B">
              <w:rPr>
                <w:rFonts w:ascii="Calibri" w:hAnsi="Calibri"/>
                <w:color w:val="000000" w:themeColor="text1"/>
                <w:sz w:val="20"/>
                <w:szCs w:val="22"/>
              </w:rPr>
              <w:t>36</w:t>
            </w:r>
          </w:p>
        </w:tc>
      </w:tr>
      <w:tr w:rsidR="00225239" w:rsidRPr="00565B6B" w:rsidTr="00317955">
        <w:trPr>
          <w:trHeight w:val="300"/>
          <w:jc w:val="center"/>
        </w:trPr>
        <w:tc>
          <w:tcPr>
            <w:tcW w:w="3600" w:type="dxa"/>
            <w:tcBorders>
              <w:top w:val="nil"/>
              <w:left w:val="single" w:sz="4" w:space="0" w:color="auto"/>
              <w:right w:val="single" w:sz="4" w:space="0" w:color="auto"/>
            </w:tcBorders>
            <w:noWrap/>
            <w:vAlign w:val="center"/>
          </w:tcPr>
          <w:p w:rsidR="00225239" w:rsidRPr="00F21B33" w:rsidRDefault="00225239" w:rsidP="003A7535">
            <w:pPr>
              <w:rPr>
                <w:rFonts w:ascii="Calibri" w:hAnsi="Calibri"/>
                <w:color w:val="000000" w:themeColor="text1"/>
                <w:sz w:val="18"/>
                <w:szCs w:val="18"/>
              </w:rPr>
            </w:pPr>
            <w:r w:rsidRPr="00F21B33">
              <w:rPr>
                <w:rFonts w:ascii="Calibri" w:hAnsi="Calibri"/>
                <w:color w:val="000000" w:themeColor="text1"/>
                <w:sz w:val="18"/>
                <w:szCs w:val="18"/>
              </w:rPr>
              <w:t>Mathematics Grades (60–89)</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30</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33</w:t>
            </w:r>
          </w:p>
        </w:tc>
        <w:tc>
          <w:tcPr>
            <w:tcW w:w="1009"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33</w:t>
            </w:r>
          </w:p>
        </w:tc>
        <w:tc>
          <w:tcPr>
            <w:tcW w:w="971" w:type="dxa"/>
            <w:tcBorders>
              <w:top w:val="nil"/>
              <w:left w:val="nil"/>
              <w:right w:val="nil"/>
            </w:tcBorders>
            <w:noWrap/>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36</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35</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39</w:t>
            </w:r>
          </w:p>
        </w:tc>
        <w:tc>
          <w:tcPr>
            <w:tcW w:w="990" w:type="dxa"/>
            <w:tcBorders>
              <w:top w:val="nil"/>
              <w:lef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39</w:t>
            </w:r>
          </w:p>
        </w:tc>
        <w:tc>
          <w:tcPr>
            <w:tcW w:w="964" w:type="dxa"/>
            <w:tcBorders>
              <w:top w:val="nil"/>
              <w:right w:val="single" w:sz="4" w:space="0" w:color="auto"/>
            </w:tcBorders>
            <w:vAlign w:val="center"/>
          </w:tcPr>
          <w:p w:rsidR="00225239" w:rsidRPr="00565B6B" w:rsidRDefault="00225239" w:rsidP="003A7535">
            <w:pPr>
              <w:jc w:val="center"/>
              <w:rPr>
                <w:rFonts w:ascii="Calibri" w:hAnsi="Calibri"/>
                <w:color w:val="000000" w:themeColor="text1"/>
                <w:sz w:val="20"/>
                <w:szCs w:val="22"/>
              </w:rPr>
            </w:pPr>
            <w:r w:rsidRPr="00565B6B">
              <w:rPr>
                <w:rFonts w:ascii="Calibri" w:hAnsi="Calibri"/>
                <w:color w:val="000000" w:themeColor="text1"/>
                <w:sz w:val="20"/>
                <w:szCs w:val="22"/>
              </w:rPr>
              <w:t>39</w:t>
            </w:r>
          </w:p>
        </w:tc>
      </w:tr>
      <w:tr w:rsidR="00225239" w:rsidRPr="00565B6B" w:rsidTr="00317955">
        <w:trPr>
          <w:trHeight w:val="300"/>
          <w:jc w:val="center"/>
        </w:trPr>
        <w:tc>
          <w:tcPr>
            <w:tcW w:w="3600" w:type="dxa"/>
            <w:tcBorders>
              <w:top w:val="nil"/>
              <w:left w:val="single" w:sz="4" w:space="0" w:color="auto"/>
              <w:right w:val="single" w:sz="4" w:space="0" w:color="auto"/>
            </w:tcBorders>
            <w:noWrap/>
            <w:vAlign w:val="center"/>
          </w:tcPr>
          <w:p w:rsidR="00225239" w:rsidRPr="00F21B33" w:rsidRDefault="00225239" w:rsidP="003A7535">
            <w:pPr>
              <w:rPr>
                <w:rFonts w:ascii="Calibri" w:hAnsi="Calibri"/>
                <w:color w:val="000000" w:themeColor="text1"/>
                <w:sz w:val="18"/>
                <w:szCs w:val="18"/>
              </w:rPr>
            </w:pPr>
            <w:r w:rsidRPr="00F21B33">
              <w:rPr>
                <w:rFonts w:ascii="Calibri" w:hAnsi="Calibri"/>
                <w:color w:val="000000" w:themeColor="text1"/>
                <w:sz w:val="18"/>
                <w:szCs w:val="18"/>
              </w:rPr>
              <w:t>Mathematics Grades (90+)</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29</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33</w:t>
            </w:r>
          </w:p>
        </w:tc>
        <w:tc>
          <w:tcPr>
            <w:tcW w:w="1009"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33</w:t>
            </w:r>
          </w:p>
        </w:tc>
        <w:tc>
          <w:tcPr>
            <w:tcW w:w="971" w:type="dxa"/>
            <w:tcBorders>
              <w:top w:val="nil"/>
              <w:left w:val="nil"/>
              <w:right w:val="nil"/>
            </w:tcBorders>
            <w:noWrap/>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36</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35</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40</w:t>
            </w:r>
          </w:p>
        </w:tc>
        <w:tc>
          <w:tcPr>
            <w:tcW w:w="990" w:type="dxa"/>
            <w:tcBorders>
              <w:top w:val="nil"/>
              <w:lef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43</w:t>
            </w:r>
          </w:p>
        </w:tc>
        <w:tc>
          <w:tcPr>
            <w:tcW w:w="964" w:type="dxa"/>
            <w:tcBorders>
              <w:top w:val="nil"/>
              <w:right w:val="single" w:sz="4" w:space="0" w:color="auto"/>
            </w:tcBorders>
            <w:vAlign w:val="center"/>
          </w:tcPr>
          <w:p w:rsidR="00225239" w:rsidRPr="00565B6B" w:rsidRDefault="00225239" w:rsidP="003A7535">
            <w:pPr>
              <w:jc w:val="center"/>
              <w:rPr>
                <w:rFonts w:ascii="Calibri" w:hAnsi="Calibri"/>
                <w:color w:val="000000" w:themeColor="text1"/>
                <w:sz w:val="20"/>
                <w:szCs w:val="22"/>
              </w:rPr>
            </w:pPr>
            <w:r w:rsidRPr="00565B6B">
              <w:rPr>
                <w:rFonts w:ascii="Calibri" w:hAnsi="Calibri"/>
                <w:color w:val="000000" w:themeColor="text1"/>
                <w:sz w:val="20"/>
                <w:szCs w:val="22"/>
              </w:rPr>
              <w:t>40</w:t>
            </w:r>
          </w:p>
        </w:tc>
      </w:tr>
      <w:tr w:rsidR="00225239" w:rsidRPr="00565B6B" w:rsidTr="00317955">
        <w:trPr>
          <w:trHeight w:val="300"/>
          <w:jc w:val="center"/>
        </w:trPr>
        <w:tc>
          <w:tcPr>
            <w:tcW w:w="3600" w:type="dxa"/>
            <w:tcBorders>
              <w:top w:val="nil"/>
              <w:left w:val="single" w:sz="4" w:space="0" w:color="auto"/>
              <w:right w:val="single" w:sz="4" w:space="0" w:color="auto"/>
            </w:tcBorders>
            <w:noWrap/>
            <w:vAlign w:val="center"/>
          </w:tcPr>
          <w:p w:rsidR="00225239" w:rsidRPr="00F21B33" w:rsidRDefault="00225239" w:rsidP="003A7535">
            <w:pPr>
              <w:rPr>
                <w:rFonts w:ascii="Calibri" w:hAnsi="Calibri"/>
                <w:color w:val="000000" w:themeColor="text1"/>
                <w:sz w:val="18"/>
                <w:szCs w:val="18"/>
              </w:rPr>
            </w:pPr>
            <w:r w:rsidRPr="00F21B33">
              <w:rPr>
                <w:rFonts w:ascii="Calibri" w:hAnsi="Calibri"/>
                <w:color w:val="000000" w:themeColor="text1"/>
                <w:sz w:val="18"/>
                <w:szCs w:val="18"/>
              </w:rPr>
              <w:t>Reading Grades (30–59)</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30</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33</w:t>
            </w:r>
          </w:p>
        </w:tc>
        <w:tc>
          <w:tcPr>
            <w:tcW w:w="1009"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35</w:t>
            </w:r>
          </w:p>
        </w:tc>
        <w:tc>
          <w:tcPr>
            <w:tcW w:w="971" w:type="dxa"/>
            <w:tcBorders>
              <w:top w:val="nil"/>
              <w:left w:val="nil"/>
              <w:right w:val="nil"/>
            </w:tcBorders>
            <w:noWrap/>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35</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37</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38</w:t>
            </w:r>
          </w:p>
        </w:tc>
        <w:tc>
          <w:tcPr>
            <w:tcW w:w="990" w:type="dxa"/>
            <w:tcBorders>
              <w:top w:val="nil"/>
              <w:lef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41</w:t>
            </w:r>
          </w:p>
        </w:tc>
        <w:tc>
          <w:tcPr>
            <w:tcW w:w="964" w:type="dxa"/>
            <w:tcBorders>
              <w:top w:val="nil"/>
              <w:right w:val="single" w:sz="4" w:space="0" w:color="auto"/>
            </w:tcBorders>
            <w:vAlign w:val="center"/>
          </w:tcPr>
          <w:p w:rsidR="00225239" w:rsidRPr="00565B6B" w:rsidRDefault="00225239" w:rsidP="003A7535">
            <w:pPr>
              <w:jc w:val="center"/>
              <w:rPr>
                <w:rFonts w:ascii="Calibri" w:hAnsi="Calibri"/>
                <w:color w:val="000000" w:themeColor="text1"/>
                <w:sz w:val="20"/>
                <w:szCs w:val="22"/>
              </w:rPr>
            </w:pPr>
            <w:r w:rsidRPr="00565B6B">
              <w:rPr>
                <w:rFonts w:ascii="Calibri" w:hAnsi="Calibri"/>
                <w:color w:val="000000" w:themeColor="text1"/>
                <w:sz w:val="20"/>
                <w:szCs w:val="22"/>
              </w:rPr>
              <w:t>39</w:t>
            </w:r>
          </w:p>
        </w:tc>
      </w:tr>
      <w:tr w:rsidR="00225239" w:rsidRPr="00565B6B" w:rsidTr="00317955">
        <w:trPr>
          <w:trHeight w:val="300"/>
          <w:jc w:val="center"/>
        </w:trPr>
        <w:tc>
          <w:tcPr>
            <w:tcW w:w="3600" w:type="dxa"/>
            <w:tcBorders>
              <w:top w:val="nil"/>
              <w:left w:val="single" w:sz="4" w:space="0" w:color="auto"/>
              <w:right w:val="single" w:sz="4" w:space="0" w:color="auto"/>
            </w:tcBorders>
            <w:noWrap/>
            <w:vAlign w:val="center"/>
          </w:tcPr>
          <w:p w:rsidR="00225239" w:rsidRPr="00F21B33" w:rsidRDefault="00225239" w:rsidP="003A7535">
            <w:pPr>
              <w:rPr>
                <w:rFonts w:ascii="Calibri" w:hAnsi="Calibri"/>
                <w:color w:val="000000" w:themeColor="text1"/>
                <w:sz w:val="18"/>
                <w:szCs w:val="18"/>
              </w:rPr>
            </w:pPr>
            <w:r w:rsidRPr="00F21B33">
              <w:rPr>
                <w:rFonts w:ascii="Calibri" w:hAnsi="Calibri"/>
                <w:color w:val="000000" w:themeColor="text1"/>
                <w:sz w:val="18"/>
                <w:szCs w:val="18"/>
              </w:rPr>
              <w:t>Reading Grades (60–89)</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29</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33</w:t>
            </w:r>
          </w:p>
        </w:tc>
        <w:tc>
          <w:tcPr>
            <w:tcW w:w="1009"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34</w:t>
            </w:r>
          </w:p>
        </w:tc>
        <w:tc>
          <w:tcPr>
            <w:tcW w:w="971" w:type="dxa"/>
            <w:tcBorders>
              <w:top w:val="nil"/>
              <w:left w:val="nil"/>
              <w:right w:val="nil"/>
            </w:tcBorders>
            <w:noWrap/>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36</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37</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40</w:t>
            </w:r>
          </w:p>
        </w:tc>
        <w:tc>
          <w:tcPr>
            <w:tcW w:w="990" w:type="dxa"/>
            <w:tcBorders>
              <w:top w:val="nil"/>
              <w:lef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41</w:t>
            </w:r>
          </w:p>
        </w:tc>
        <w:tc>
          <w:tcPr>
            <w:tcW w:w="964" w:type="dxa"/>
            <w:tcBorders>
              <w:top w:val="nil"/>
              <w:right w:val="single" w:sz="4" w:space="0" w:color="auto"/>
            </w:tcBorders>
            <w:vAlign w:val="center"/>
          </w:tcPr>
          <w:p w:rsidR="00225239" w:rsidRPr="00565B6B" w:rsidRDefault="00225239" w:rsidP="003A7535">
            <w:pPr>
              <w:jc w:val="center"/>
              <w:rPr>
                <w:rFonts w:ascii="Calibri" w:hAnsi="Calibri"/>
                <w:color w:val="000000" w:themeColor="text1"/>
                <w:sz w:val="20"/>
                <w:szCs w:val="22"/>
              </w:rPr>
            </w:pPr>
            <w:r w:rsidRPr="00565B6B">
              <w:rPr>
                <w:rFonts w:ascii="Calibri" w:hAnsi="Calibri"/>
                <w:color w:val="000000" w:themeColor="text1"/>
                <w:sz w:val="20"/>
                <w:szCs w:val="22"/>
              </w:rPr>
              <w:t>44</w:t>
            </w:r>
          </w:p>
        </w:tc>
      </w:tr>
      <w:tr w:rsidR="00225239" w:rsidRPr="00565B6B" w:rsidTr="00317955">
        <w:trPr>
          <w:trHeight w:val="300"/>
          <w:jc w:val="center"/>
        </w:trPr>
        <w:tc>
          <w:tcPr>
            <w:tcW w:w="3600" w:type="dxa"/>
            <w:tcBorders>
              <w:top w:val="nil"/>
              <w:left w:val="single" w:sz="4" w:space="0" w:color="auto"/>
              <w:bottom w:val="single" w:sz="4" w:space="0" w:color="auto"/>
              <w:right w:val="single" w:sz="4" w:space="0" w:color="auto"/>
            </w:tcBorders>
            <w:noWrap/>
            <w:vAlign w:val="center"/>
          </w:tcPr>
          <w:p w:rsidR="00225239" w:rsidRPr="00F21B33" w:rsidRDefault="00225239" w:rsidP="003A7535">
            <w:pPr>
              <w:rPr>
                <w:rFonts w:ascii="Calibri" w:hAnsi="Calibri"/>
                <w:color w:val="000000" w:themeColor="text1"/>
                <w:sz w:val="18"/>
                <w:szCs w:val="18"/>
              </w:rPr>
            </w:pPr>
            <w:r w:rsidRPr="00F21B33">
              <w:rPr>
                <w:rFonts w:ascii="Calibri" w:hAnsi="Calibri"/>
                <w:color w:val="000000" w:themeColor="text1"/>
                <w:sz w:val="18"/>
                <w:szCs w:val="18"/>
              </w:rPr>
              <w:t>Reading Grades (90+)</w:t>
            </w:r>
          </w:p>
        </w:tc>
        <w:tc>
          <w:tcPr>
            <w:tcW w:w="990" w:type="dxa"/>
            <w:tcBorders>
              <w:top w:val="nil"/>
              <w:left w:val="nil"/>
              <w:bottom w:val="single" w:sz="4" w:space="0" w:color="auto"/>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28</w:t>
            </w:r>
          </w:p>
        </w:tc>
        <w:tc>
          <w:tcPr>
            <w:tcW w:w="990" w:type="dxa"/>
            <w:tcBorders>
              <w:top w:val="nil"/>
              <w:left w:val="nil"/>
              <w:bottom w:val="single" w:sz="4" w:space="0" w:color="auto"/>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33</w:t>
            </w:r>
          </w:p>
        </w:tc>
        <w:tc>
          <w:tcPr>
            <w:tcW w:w="1009" w:type="dxa"/>
            <w:tcBorders>
              <w:top w:val="nil"/>
              <w:left w:val="nil"/>
              <w:bottom w:val="single" w:sz="4" w:space="0" w:color="auto"/>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35</w:t>
            </w:r>
          </w:p>
        </w:tc>
        <w:tc>
          <w:tcPr>
            <w:tcW w:w="971" w:type="dxa"/>
            <w:tcBorders>
              <w:top w:val="nil"/>
              <w:left w:val="nil"/>
              <w:bottom w:val="single" w:sz="4" w:space="0" w:color="auto"/>
              <w:right w:val="nil"/>
            </w:tcBorders>
            <w:noWrap/>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38</w:t>
            </w:r>
          </w:p>
        </w:tc>
        <w:tc>
          <w:tcPr>
            <w:tcW w:w="990" w:type="dxa"/>
            <w:tcBorders>
              <w:top w:val="nil"/>
              <w:left w:val="nil"/>
              <w:bottom w:val="single" w:sz="4" w:space="0" w:color="auto"/>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36</w:t>
            </w:r>
          </w:p>
        </w:tc>
        <w:tc>
          <w:tcPr>
            <w:tcW w:w="990" w:type="dxa"/>
            <w:tcBorders>
              <w:top w:val="nil"/>
              <w:left w:val="nil"/>
              <w:bottom w:val="single" w:sz="4" w:space="0" w:color="auto"/>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41</w:t>
            </w:r>
          </w:p>
        </w:tc>
        <w:tc>
          <w:tcPr>
            <w:tcW w:w="990" w:type="dxa"/>
            <w:tcBorders>
              <w:top w:val="nil"/>
              <w:left w:val="nil"/>
              <w:bottom w:val="single" w:sz="4" w:space="0" w:color="auto"/>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45</w:t>
            </w:r>
          </w:p>
        </w:tc>
        <w:tc>
          <w:tcPr>
            <w:tcW w:w="964" w:type="dxa"/>
            <w:tcBorders>
              <w:top w:val="nil"/>
              <w:bottom w:val="single" w:sz="4" w:space="0" w:color="auto"/>
              <w:right w:val="single" w:sz="4" w:space="0" w:color="auto"/>
            </w:tcBorders>
            <w:vAlign w:val="center"/>
          </w:tcPr>
          <w:p w:rsidR="00225239" w:rsidRPr="00565B6B" w:rsidRDefault="00225239" w:rsidP="003A7535">
            <w:pPr>
              <w:jc w:val="center"/>
              <w:rPr>
                <w:rFonts w:ascii="Calibri" w:hAnsi="Calibri"/>
                <w:color w:val="000000" w:themeColor="text1"/>
                <w:sz w:val="20"/>
                <w:szCs w:val="22"/>
              </w:rPr>
            </w:pPr>
            <w:r w:rsidRPr="00565B6B">
              <w:rPr>
                <w:rFonts w:ascii="Calibri" w:hAnsi="Calibri"/>
                <w:color w:val="000000" w:themeColor="text1"/>
                <w:sz w:val="20"/>
                <w:szCs w:val="22"/>
              </w:rPr>
              <w:t>43</w:t>
            </w:r>
          </w:p>
        </w:tc>
      </w:tr>
      <w:tr w:rsidR="00B13962" w:rsidRPr="00565B6B" w:rsidTr="00317955">
        <w:trPr>
          <w:trHeight w:val="300"/>
          <w:jc w:val="center"/>
        </w:trPr>
        <w:tc>
          <w:tcPr>
            <w:tcW w:w="11494" w:type="dxa"/>
            <w:gridSpan w:val="9"/>
            <w:tcBorders>
              <w:top w:val="single" w:sz="4" w:space="0" w:color="auto"/>
              <w:bottom w:val="single" w:sz="4" w:space="0" w:color="auto"/>
            </w:tcBorders>
          </w:tcPr>
          <w:p w:rsidR="00B13962" w:rsidRPr="00F21B33" w:rsidRDefault="00B13962" w:rsidP="003A7535">
            <w:pPr>
              <w:jc w:val="center"/>
              <w:rPr>
                <w:rFonts w:ascii="Calibri" w:hAnsi="Calibri"/>
                <w:color w:val="000000" w:themeColor="text1"/>
                <w:sz w:val="20"/>
                <w:szCs w:val="20"/>
              </w:rPr>
            </w:pPr>
          </w:p>
        </w:tc>
      </w:tr>
      <w:tr w:rsidR="00225239" w:rsidRPr="00565B6B" w:rsidTr="00317955">
        <w:trPr>
          <w:trHeight w:val="300"/>
          <w:jc w:val="center"/>
        </w:trPr>
        <w:tc>
          <w:tcPr>
            <w:tcW w:w="3600" w:type="dxa"/>
            <w:tcBorders>
              <w:top w:val="single" w:sz="4" w:space="0" w:color="auto"/>
              <w:left w:val="single" w:sz="4" w:space="0" w:color="auto"/>
              <w:bottom w:val="nil"/>
              <w:right w:val="single" w:sz="4" w:space="0" w:color="auto"/>
            </w:tcBorders>
            <w:shd w:val="clear" w:color="auto" w:fill="D9D9D9" w:themeFill="background1" w:themeFillShade="D9"/>
            <w:noWrap/>
            <w:vAlign w:val="center"/>
          </w:tcPr>
          <w:p w:rsidR="00225239" w:rsidRPr="00565B6B" w:rsidRDefault="00B13962" w:rsidP="00BA5E7C">
            <w:pPr>
              <w:jc w:val="center"/>
              <w:rPr>
                <w:rFonts w:ascii="Calibri" w:hAnsi="Calibri"/>
                <w:b/>
                <w:bCs/>
                <w:color w:val="000000" w:themeColor="text1"/>
                <w:sz w:val="18"/>
                <w:szCs w:val="18"/>
              </w:rPr>
            </w:pPr>
            <w:r w:rsidRPr="00F21B33">
              <w:rPr>
                <w:rFonts w:ascii="Calibri" w:hAnsi="Calibri"/>
                <w:color w:val="000000" w:themeColor="text1"/>
                <w:sz w:val="22"/>
                <w:szCs w:val="22"/>
              </w:rPr>
              <w:t>State Assessment Results (All Regular Attendees)</w:t>
            </w:r>
          </w:p>
        </w:tc>
        <w:tc>
          <w:tcPr>
            <w:tcW w:w="990" w:type="dxa"/>
            <w:tcBorders>
              <w:top w:val="single" w:sz="4" w:space="0" w:color="auto"/>
              <w:left w:val="nil"/>
              <w:bottom w:val="nil"/>
              <w:right w:val="nil"/>
            </w:tcBorders>
            <w:shd w:val="clear" w:color="auto" w:fill="D9D9D9" w:themeFill="background1" w:themeFillShade="D9"/>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Pr>
                <w:rFonts w:ascii="Calibri" w:hAnsi="Calibri"/>
                <w:b/>
                <w:bCs/>
                <w:i/>
                <w:iCs/>
                <w:color w:val="000000" w:themeColor="text1"/>
                <w:sz w:val="16"/>
                <w:szCs w:val="16"/>
              </w:rPr>
              <w:t>2012–13</w:t>
            </w:r>
          </w:p>
        </w:tc>
        <w:tc>
          <w:tcPr>
            <w:tcW w:w="990" w:type="dxa"/>
            <w:tcBorders>
              <w:top w:val="single" w:sz="4" w:space="0" w:color="auto"/>
              <w:left w:val="nil"/>
              <w:bottom w:val="nil"/>
              <w:right w:val="nil"/>
            </w:tcBorders>
            <w:shd w:val="clear" w:color="auto" w:fill="D9D9D9" w:themeFill="background1" w:themeFillShade="D9"/>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2011–12</w:t>
            </w:r>
          </w:p>
        </w:tc>
        <w:tc>
          <w:tcPr>
            <w:tcW w:w="1009" w:type="dxa"/>
            <w:tcBorders>
              <w:top w:val="single" w:sz="4" w:space="0" w:color="auto"/>
              <w:left w:val="nil"/>
              <w:bottom w:val="nil"/>
              <w:right w:val="nil"/>
            </w:tcBorders>
            <w:shd w:val="clear" w:color="auto" w:fill="D9D9D9" w:themeFill="background1" w:themeFillShade="D9"/>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2010–11</w:t>
            </w:r>
          </w:p>
        </w:tc>
        <w:tc>
          <w:tcPr>
            <w:tcW w:w="971" w:type="dxa"/>
            <w:tcBorders>
              <w:top w:val="single" w:sz="4" w:space="0" w:color="auto"/>
              <w:left w:val="nil"/>
              <w:bottom w:val="nil"/>
              <w:right w:val="nil"/>
            </w:tcBorders>
            <w:shd w:val="clear" w:color="auto" w:fill="D9D9D9" w:themeFill="background1" w:themeFillShade="D9"/>
            <w:noWrap/>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2009–10</w:t>
            </w:r>
          </w:p>
        </w:tc>
        <w:tc>
          <w:tcPr>
            <w:tcW w:w="990" w:type="dxa"/>
            <w:tcBorders>
              <w:top w:val="single" w:sz="4" w:space="0" w:color="auto"/>
              <w:left w:val="nil"/>
              <w:bottom w:val="nil"/>
              <w:right w:val="nil"/>
            </w:tcBorders>
            <w:shd w:val="clear" w:color="auto" w:fill="D9D9D9" w:themeFill="background1" w:themeFillShade="D9"/>
            <w:vAlign w:val="center"/>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2008–09</w:t>
            </w:r>
          </w:p>
        </w:tc>
        <w:tc>
          <w:tcPr>
            <w:tcW w:w="990" w:type="dxa"/>
            <w:tcBorders>
              <w:top w:val="single" w:sz="4" w:space="0" w:color="auto"/>
              <w:left w:val="nil"/>
              <w:bottom w:val="nil"/>
              <w:right w:val="nil"/>
            </w:tcBorders>
            <w:shd w:val="clear" w:color="auto" w:fill="D9D9D9" w:themeFill="background1" w:themeFillShade="D9"/>
            <w:vAlign w:val="center"/>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2007–08</w:t>
            </w:r>
          </w:p>
        </w:tc>
        <w:tc>
          <w:tcPr>
            <w:tcW w:w="990" w:type="dxa"/>
            <w:tcBorders>
              <w:top w:val="single" w:sz="4" w:space="0" w:color="auto"/>
              <w:left w:val="nil"/>
              <w:bottom w:val="nil"/>
            </w:tcBorders>
            <w:shd w:val="clear" w:color="auto" w:fill="D9D9D9" w:themeFill="background1" w:themeFillShade="D9"/>
            <w:vAlign w:val="center"/>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2006–07</w:t>
            </w:r>
          </w:p>
        </w:tc>
        <w:tc>
          <w:tcPr>
            <w:tcW w:w="964" w:type="dxa"/>
            <w:tcBorders>
              <w:top w:val="single" w:sz="4" w:space="0" w:color="auto"/>
              <w:bottom w:val="nil"/>
              <w:right w:val="single" w:sz="4" w:space="0" w:color="auto"/>
            </w:tcBorders>
            <w:shd w:val="clear" w:color="auto" w:fill="D9D9D9" w:themeFill="background1" w:themeFillShade="D9"/>
            <w:vAlign w:val="center"/>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2005–06</w:t>
            </w:r>
          </w:p>
        </w:tc>
      </w:tr>
      <w:tr w:rsidR="00225239" w:rsidRPr="00565B6B" w:rsidTr="00317955">
        <w:trPr>
          <w:trHeight w:val="300"/>
          <w:jc w:val="center"/>
        </w:trPr>
        <w:tc>
          <w:tcPr>
            <w:tcW w:w="3600" w:type="dxa"/>
            <w:tcBorders>
              <w:top w:val="single" w:sz="4" w:space="0" w:color="auto"/>
              <w:left w:val="single" w:sz="4" w:space="0" w:color="auto"/>
              <w:bottom w:val="nil"/>
              <w:right w:val="single" w:sz="4" w:space="0" w:color="auto"/>
            </w:tcBorders>
            <w:noWrap/>
            <w:vAlign w:val="center"/>
          </w:tcPr>
          <w:p w:rsidR="00225239" w:rsidRPr="00F21B33" w:rsidRDefault="00225239" w:rsidP="003A7535">
            <w:pPr>
              <w:rPr>
                <w:rFonts w:ascii="Calibri" w:hAnsi="Calibri"/>
                <w:color w:val="000000" w:themeColor="text1"/>
                <w:sz w:val="18"/>
                <w:szCs w:val="18"/>
              </w:rPr>
            </w:pPr>
            <w:r w:rsidRPr="00F21B33">
              <w:rPr>
                <w:rFonts w:ascii="Calibri" w:hAnsi="Calibri"/>
                <w:color w:val="000000" w:themeColor="text1"/>
                <w:sz w:val="18"/>
                <w:szCs w:val="18"/>
              </w:rPr>
              <w:t>Mathematics Proficiency (Attaining)</w:t>
            </w:r>
          </w:p>
        </w:tc>
        <w:tc>
          <w:tcPr>
            <w:tcW w:w="990" w:type="dxa"/>
            <w:tcBorders>
              <w:top w:val="single" w:sz="4" w:space="0" w:color="auto"/>
              <w:left w:val="nil"/>
              <w:bottom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19</w:t>
            </w:r>
          </w:p>
        </w:tc>
        <w:tc>
          <w:tcPr>
            <w:tcW w:w="990" w:type="dxa"/>
            <w:tcBorders>
              <w:top w:val="single" w:sz="4" w:space="0" w:color="auto"/>
              <w:left w:val="nil"/>
              <w:bottom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24</w:t>
            </w:r>
          </w:p>
        </w:tc>
        <w:tc>
          <w:tcPr>
            <w:tcW w:w="1009" w:type="dxa"/>
            <w:tcBorders>
              <w:top w:val="single" w:sz="4" w:space="0" w:color="auto"/>
              <w:left w:val="nil"/>
              <w:bottom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23</w:t>
            </w:r>
          </w:p>
        </w:tc>
        <w:tc>
          <w:tcPr>
            <w:tcW w:w="971" w:type="dxa"/>
            <w:tcBorders>
              <w:top w:val="single" w:sz="4" w:space="0" w:color="auto"/>
              <w:left w:val="nil"/>
              <w:bottom w:val="nil"/>
              <w:right w:val="nil"/>
            </w:tcBorders>
            <w:noWrap/>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22</w:t>
            </w:r>
          </w:p>
        </w:tc>
        <w:tc>
          <w:tcPr>
            <w:tcW w:w="990" w:type="dxa"/>
            <w:tcBorders>
              <w:top w:val="single" w:sz="4" w:space="0" w:color="auto"/>
              <w:left w:val="nil"/>
              <w:bottom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23</w:t>
            </w:r>
          </w:p>
        </w:tc>
        <w:tc>
          <w:tcPr>
            <w:tcW w:w="990" w:type="dxa"/>
            <w:tcBorders>
              <w:top w:val="single" w:sz="4" w:space="0" w:color="auto"/>
              <w:left w:val="nil"/>
              <w:bottom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22</w:t>
            </w:r>
          </w:p>
        </w:tc>
        <w:tc>
          <w:tcPr>
            <w:tcW w:w="990" w:type="dxa"/>
            <w:tcBorders>
              <w:top w:val="single" w:sz="4" w:space="0" w:color="auto"/>
              <w:left w:val="nil"/>
              <w:bottom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22</w:t>
            </w:r>
          </w:p>
        </w:tc>
        <w:tc>
          <w:tcPr>
            <w:tcW w:w="964" w:type="dxa"/>
            <w:tcBorders>
              <w:top w:val="single" w:sz="4" w:space="0" w:color="auto"/>
              <w:bottom w:val="nil"/>
              <w:right w:val="single" w:sz="4" w:space="0" w:color="auto"/>
            </w:tcBorders>
            <w:vAlign w:val="center"/>
          </w:tcPr>
          <w:p w:rsidR="00225239" w:rsidRPr="00565B6B" w:rsidRDefault="00225239" w:rsidP="003A7535">
            <w:pPr>
              <w:jc w:val="center"/>
              <w:rPr>
                <w:rFonts w:ascii="Calibri" w:hAnsi="Calibri"/>
                <w:color w:val="000000" w:themeColor="text1"/>
                <w:sz w:val="20"/>
                <w:szCs w:val="22"/>
              </w:rPr>
            </w:pPr>
            <w:r w:rsidRPr="00565B6B">
              <w:rPr>
                <w:rFonts w:ascii="Calibri" w:hAnsi="Calibri"/>
                <w:color w:val="000000" w:themeColor="text1"/>
                <w:sz w:val="20"/>
                <w:szCs w:val="22"/>
              </w:rPr>
              <w:t>17</w:t>
            </w:r>
          </w:p>
        </w:tc>
      </w:tr>
      <w:tr w:rsidR="00225239" w:rsidRPr="00565B6B" w:rsidTr="00317955">
        <w:trPr>
          <w:trHeight w:val="300"/>
          <w:jc w:val="center"/>
        </w:trPr>
        <w:tc>
          <w:tcPr>
            <w:tcW w:w="3600" w:type="dxa"/>
            <w:tcBorders>
              <w:top w:val="nil"/>
              <w:left w:val="single" w:sz="4" w:space="0" w:color="auto"/>
              <w:bottom w:val="nil"/>
              <w:right w:val="single" w:sz="4" w:space="0" w:color="auto"/>
            </w:tcBorders>
            <w:noWrap/>
            <w:vAlign w:val="center"/>
          </w:tcPr>
          <w:p w:rsidR="00225239" w:rsidRPr="00F21B33" w:rsidRDefault="00225239" w:rsidP="003A7535">
            <w:pPr>
              <w:rPr>
                <w:rFonts w:ascii="Calibri" w:hAnsi="Calibri"/>
                <w:color w:val="000000" w:themeColor="text1"/>
                <w:sz w:val="18"/>
                <w:szCs w:val="18"/>
              </w:rPr>
            </w:pPr>
            <w:r w:rsidRPr="00F21B33">
              <w:rPr>
                <w:rFonts w:ascii="Calibri" w:hAnsi="Calibri"/>
                <w:color w:val="000000" w:themeColor="text1"/>
                <w:sz w:val="18"/>
                <w:szCs w:val="18"/>
              </w:rPr>
              <w:t>Reading Proficiency (Attaining)</w:t>
            </w:r>
          </w:p>
        </w:tc>
        <w:tc>
          <w:tcPr>
            <w:tcW w:w="990" w:type="dxa"/>
            <w:tcBorders>
              <w:top w:val="nil"/>
              <w:left w:val="nil"/>
              <w:bottom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21</w:t>
            </w:r>
          </w:p>
        </w:tc>
        <w:tc>
          <w:tcPr>
            <w:tcW w:w="990" w:type="dxa"/>
            <w:tcBorders>
              <w:top w:val="nil"/>
              <w:left w:val="nil"/>
              <w:bottom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25</w:t>
            </w:r>
          </w:p>
        </w:tc>
        <w:tc>
          <w:tcPr>
            <w:tcW w:w="1009" w:type="dxa"/>
            <w:tcBorders>
              <w:top w:val="nil"/>
              <w:left w:val="nil"/>
              <w:bottom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24</w:t>
            </w:r>
          </w:p>
        </w:tc>
        <w:tc>
          <w:tcPr>
            <w:tcW w:w="971" w:type="dxa"/>
            <w:tcBorders>
              <w:top w:val="nil"/>
              <w:left w:val="nil"/>
              <w:bottom w:val="nil"/>
              <w:right w:val="nil"/>
            </w:tcBorders>
            <w:noWrap/>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23</w:t>
            </w:r>
          </w:p>
        </w:tc>
        <w:tc>
          <w:tcPr>
            <w:tcW w:w="990" w:type="dxa"/>
            <w:tcBorders>
              <w:top w:val="nil"/>
              <w:left w:val="nil"/>
              <w:bottom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23</w:t>
            </w:r>
          </w:p>
        </w:tc>
        <w:tc>
          <w:tcPr>
            <w:tcW w:w="990" w:type="dxa"/>
            <w:tcBorders>
              <w:top w:val="nil"/>
              <w:left w:val="nil"/>
              <w:bottom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23</w:t>
            </w:r>
          </w:p>
        </w:tc>
        <w:tc>
          <w:tcPr>
            <w:tcW w:w="990" w:type="dxa"/>
            <w:tcBorders>
              <w:top w:val="nil"/>
              <w:left w:val="nil"/>
              <w:bottom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23</w:t>
            </w:r>
          </w:p>
        </w:tc>
        <w:tc>
          <w:tcPr>
            <w:tcW w:w="964" w:type="dxa"/>
            <w:tcBorders>
              <w:top w:val="nil"/>
              <w:bottom w:val="nil"/>
              <w:right w:val="single" w:sz="4" w:space="0" w:color="auto"/>
            </w:tcBorders>
            <w:vAlign w:val="center"/>
          </w:tcPr>
          <w:p w:rsidR="00225239" w:rsidRPr="00565B6B" w:rsidRDefault="00225239" w:rsidP="003A7535">
            <w:pPr>
              <w:jc w:val="center"/>
              <w:rPr>
                <w:rFonts w:ascii="Calibri" w:hAnsi="Calibri"/>
                <w:color w:val="000000" w:themeColor="text1"/>
                <w:sz w:val="20"/>
                <w:szCs w:val="22"/>
              </w:rPr>
            </w:pPr>
            <w:r w:rsidRPr="00565B6B">
              <w:rPr>
                <w:rFonts w:ascii="Calibri" w:hAnsi="Calibri"/>
                <w:color w:val="000000" w:themeColor="text1"/>
                <w:sz w:val="20"/>
                <w:szCs w:val="22"/>
              </w:rPr>
              <w:t>17</w:t>
            </w:r>
          </w:p>
        </w:tc>
      </w:tr>
      <w:tr w:rsidR="00225239" w:rsidRPr="00565B6B" w:rsidTr="00317955">
        <w:trPr>
          <w:trHeight w:val="300"/>
          <w:jc w:val="center"/>
        </w:trPr>
        <w:tc>
          <w:tcPr>
            <w:tcW w:w="3600" w:type="dxa"/>
            <w:tcBorders>
              <w:top w:val="nil"/>
              <w:left w:val="single" w:sz="4" w:space="0" w:color="auto"/>
              <w:right w:val="single" w:sz="4" w:space="0" w:color="auto"/>
            </w:tcBorders>
            <w:noWrap/>
            <w:vAlign w:val="center"/>
          </w:tcPr>
          <w:p w:rsidR="00225239" w:rsidRPr="00F21B33" w:rsidRDefault="00225239" w:rsidP="003A7535">
            <w:pPr>
              <w:rPr>
                <w:rFonts w:ascii="Calibri" w:hAnsi="Calibri"/>
                <w:color w:val="000000" w:themeColor="text1"/>
                <w:sz w:val="18"/>
                <w:szCs w:val="18"/>
              </w:rPr>
            </w:pPr>
            <w:r w:rsidRPr="00F21B33">
              <w:rPr>
                <w:rFonts w:ascii="Calibri" w:hAnsi="Calibri"/>
                <w:color w:val="000000" w:themeColor="text1"/>
                <w:sz w:val="18"/>
                <w:szCs w:val="18"/>
              </w:rPr>
              <w:t>Mathematics Proficiency (Improving)</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29</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37</w:t>
            </w:r>
          </w:p>
        </w:tc>
        <w:tc>
          <w:tcPr>
            <w:tcW w:w="1009"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37</w:t>
            </w:r>
          </w:p>
        </w:tc>
        <w:tc>
          <w:tcPr>
            <w:tcW w:w="971" w:type="dxa"/>
            <w:tcBorders>
              <w:top w:val="nil"/>
              <w:left w:val="nil"/>
              <w:right w:val="nil"/>
            </w:tcBorders>
            <w:noWrap/>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35</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36</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36</w:t>
            </w:r>
          </w:p>
        </w:tc>
        <w:tc>
          <w:tcPr>
            <w:tcW w:w="990" w:type="dxa"/>
            <w:tcBorders>
              <w:top w:val="nil"/>
              <w:lef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36</w:t>
            </w:r>
          </w:p>
        </w:tc>
        <w:tc>
          <w:tcPr>
            <w:tcW w:w="964" w:type="dxa"/>
            <w:tcBorders>
              <w:top w:val="nil"/>
              <w:right w:val="single" w:sz="4" w:space="0" w:color="auto"/>
            </w:tcBorders>
            <w:vAlign w:val="center"/>
          </w:tcPr>
          <w:p w:rsidR="00225239" w:rsidRPr="00565B6B" w:rsidRDefault="00225239" w:rsidP="003A7535">
            <w:pPr>
              <w:jc w:val="center"/>
              <w:rPr>
                <w:rFonts w:ascii="Calibri" w:hAnsi="Calibri"/>
                <w:color w:val="000000" w:themeColor="text1"/>
                <w:sz w:val="20"/>
                <w:szCs w:val="22"/>
              </w:rPr>
            </w:pPr>
            <w:r w:rsidRPr="00565B6B">
              <w:rPr>
                <w:rFonts w:ascii="Calibri" w:hAnsi="Calibri"/>
                <w:color w:val="000000" w:themeColor="text1"/>
                <w:sz w:val="20"/>
                <w:szCs w:val="22"/>
              </w:rPr>
              <w:t>32</w:t>
            </w:r>
          </w:p>
        </w:tc>
      </w:tr>
      <w:tr w:rsidR="00225239" w:rsidRPr="00565B6B" w:rsidTr="00317955">
        <w:trPr>
          <w:trHeight w:val="300"/>
          <w:jc w:val="center"/>
        </w:trPr>
        <w:tc>
          <w:tcPr>
            <w:tcW w:w="3600" w:type="dxa"/>
            <w:tcBorders>
              <w:top w:val="nil"/>
              <w:left w:val="single" w:sz="4" w:space="0" w:color="auto"/>
              <w:bottom w:val="single" w:sz="4" w:space="0" w:color="auto"/>
              <w:right w:val="single" w:sz="4" w:space="0" w:color="auto"/>
            </w:tcBorders>
            <w:noWrap/>
            <w:vAlign w:val="center"/>
          </w:tcPr>
          <w:p w:rsidR="00225239" w:rsidRPr="00F21B33" w:rsidRDefault="00225239" w:rsidP="003A7535">
            <w:pPr>
              <w:rPr>
                <w:rFonts w:ascii="Calibri" w:hAnsi="Calibri"/>
                <w:color w:val="000000" w:themeColor="text1"/>
                <w:sz w:val="18"/>
                <w:szCs w:val="18"/>
              </w:rPr>
            </w:pPr>
            <w:r w:rsidRPr="00F21B33">
              <w:rPr>
                <w:rFonts w:ascii="Calibri" w:hAnsi="Calibri"/>
                <w:color w:val="000000" w:themeColor="text1"/>
                <w:sz w:val="18"/>
                <w:szCs w:val="18"/>
              </w:rPr>
              <w:t>Reading Proficiency (Improving)</w:t>
            </w:r>
          </w:p>
        </w:tc>
        <w:tc>
          <w:tcPr>
            <w:tcW w:w="990" w:type="dxa"/>
            <w:tcBorders>
              <w:top w:val="nil"/>
              <w:left w:val="nil"/>
              <w:bottom w:val="single" w:sz="4" w:space="0" w:color="auto"/>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31</w:t>
            </w:r>
          </w:p>
        </w:tc>
        <w:tc>
          <w:tcPr>
            <w:tcW w:w="990" w:type="dxa"/>
            <w:tcBorders>
              <w:top w:val="nil"/>
              <w:left w:val="nil"/>
              <w:bottom w:val="single" w:sz="4" w:space="0" w:color="auto"/>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37</w:t>
            </w:r>
          </w:p>
        </w:tc>
        <w:tc>
          <w:tcPr>
            <w:tcW w:w="1009" w:type="dxa"/>
            <w:tcBorders>
              <w:top w:val="nil"/>
              <w:left w:val="nil"/>
              <w:bottom w:val="single" w:sz="4" w:space="0" w:color="auto"/>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38</w:t>
            </w:r>
          </w:p>
        </w:tc>
        <w:tc>
          <w:tcPr>
            <w:tcW w:w="971" w:type="dxa"/>
            <w:tcBorders>
              <w:top w:val="nil"/>
              <w:left w:val="nil"/>
              <w:bottom w:val="single" w:sz="4" w:space="0" w:color="auto"/>
              <w:right w:val="nil"/>
            </w:tcBorders>
            <w:noWrap/>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36</w:t>
            </w:r>
          </w:p>
        </w:tc>
        <w:tc>
          <w:tcPr>
            <w:tcW w:w="990" w:type="dxa"/>
            <w:tcBorders>
              <w:top w:val="nil"/>
              <w:left w:val="nil"/>
              <w:bottom w:val="single" w:sz="4" w:space="0" w:color="auto"/>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38</w:t>
            </w:r>
          </w:p>
        </w:tc>
        <w:tc>
          <w:tcPr>
            <w:tcW w:w="990" w:type="dxa"/>
            <w:tcBorders>
              <w:top w:val="nil"/>
              <w:left w:val="nil"/>
              <w:bottom w:val="single" w:sz="4" w:space="0" w:color="auto"/>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38</w:t>
            </w:r>
          </w:p>
        </w:tc>
        <w:tc>
          <w:tcPr>
            <w:tcW w:w="990" w:type="dxa"/>
            <w:tcBorders>
              <w:top w:val="nil"/>
              <w:left w:val="nil"/>
              <w:bottom w:val="single" w:sz="4" w:space="0" w:color="auto"/>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39</w:t>
            </w:r>
          </w:p>
        </w:tc>
        <w:tc>
          <w:tcPr>
            <w:tcW w:w="964" w:type="dxa"/>
            <w:tcBorders>
              <w:top w:val="nil"/>
              <w:bottom w:val="single" w:sz="4" w:space="0" w:color="auto"/>
              <w:right w:val="single" w:sz="4" w:space="0" w:color="auto"/>
            </w:tcBorders>
            <w:vAlign w:val="center"/>
          </w:tcPr>
          <w:p w:rsidR="00225239" w:rsidRPr="00565B6B" w:rsidRDefault="00225239" w:rsidP="003A7535">
            <w:pPr>
              <w:jc w:val="center"/>
              <w:rPr>
                <w:rFonts w:ascii="Calibri" w:hAnsi="Calibri"/>
                <w:color w:val="000000" w:themeColor="text1"/>
                <w:sz w:val="20"/>
                <w:szCs w:val="22"/>
              </w:rPr>
            </w:pPr>
            <w:r w:rsidRPr="00565B6B">
              <w:rPr>
                <w:rFonts w:ascii="Calibri" w:hAnsi="Calibri"/>
                <w:color w:val="000000" w:themeColor="text1"/>
                <w:sz w:val="20"/>
                <w:szCs w:val="22"/>
              </w:rPr>
              <w:t>33</w:t>
            </w:r>
          </w:p>
        </w:tc>
      </w:tr>
      <w:tr w:rsidR="00B13962" w:rsidRPr="00565B6B" w:rsidTr="00317955">
        <w:trPr>
          <w:trHeight w:val="300"/>
          <w:jc w:val="center"/>
        </w:trPr>
        <w:tc>
          <w:tcPr>
            <w:tcW w:w="11494" w:type="dxa"/>
            <w:gridSpan w:val="9"/>
            <w:tcBorders>
              <w:top w:val="single" w:sz="4" w:space="0" w:color="auto"/>
              <w:bottom w:val="single" w:sz="4" w:space="0" w:color="auto"/>
            </w:tcBorders>
          </w:tcPr>
          <w:p w:rsidR="00B13962" w:rsidRPr="00F21B33" w:rsidRDefault="00B13962" w:rsidP="003A7535">
            <w:pPr>
              <w:jc w:val="center"/>
              <w:rPr>
                <w:rFonts w:ascii="Calibri" w:hAnsi="Calibri"/>
                <w:color w:val="000000" w:themeColor="text1"/>
                <w:sz w:val="20"/>
                <w:szCs w:val="20"/>
              </w:rPr>
            </w:pPr>
          </w:p>
        </w:tc>
      </w:tr>
      <w:tr w:rsidR="00225239" w:rsidRPr="00565B6B" w:rsidTr="00317955">
        <w:trPr>
          <w:trHeight w:val="300"/>
          <w:jc w:val="center"/>
        </w:trPr>
        <w:tc>
          <w:tcPr>
            <w:tcW w:w="3600" w:type="dxa"/>
            <w:tcBorders>
              <w:top w:val="single" w:sz="4" w:space="0" w:color="auto"/>
              <w:left w:val="single" w:sz="4" w:space="0" w:color="auto"/>
              <w:right w:val="single" w:sz="4" w:space="0" w:color="auto"/>
            </w:tcBorders>
            <w:shd w:val="clear" w:color="auto" w:fill="D9D9D9" w:themeFill="background1" w:themeFillShade="D9"/>
            <w:noWrap/>
            <w:vAlign w:val="center"/>
          </w:tcPr>
          <w:p w:rsidR="00225239" w:rsidRPr="00565B6B" w:rsidRDefault="00B13962" w:rsidP="00BA5E7C">
            <w:pPr>
              <w:jc w:val="center"/>
              <w:rPr>
                <w:rFonts w:ascii="Calibri" w:hAnsi="Calibri"/>
                <w:b/>
                <w:bCs/>
                <w:color w:val="000000" w:themeColor="text1"/>
                <w:sz w:val="18"/>
                <w:szCs w:val="18"/>
              </w:rPr>
            </w:pPr>
            <w:r w:rsidRPr="00F21B33">
              <w:rPr>
                <w:rFonts w:ascii="Calibri" w:hAnsi="Calibri"/>
                <w:color w:val="000000" w:themeColor="text1"/>
                <w:sz w:val="22"/>
                <w:szCs w:val="22"/>
              </w:rPr>
              <w:t>By Attendance Gradation</w:t>
            </w:r>
          </w:p>
        </w:tc>
        <w:tc>
          <w:tcPr>
            <w:tcW w:w="990" w:type="dxa"/>
            <w:tcBorders>
              <w:top w:val="single" w:sz="4" w:space="0" w:color="auto"/>
              <w:left w:val="nil"/>
              <w:right w:val="nil"/>
            </w:tcBorders>
            <w:shd w:val="clear" w:color="auto" w:fill="D9D9D9" w:themeFill="background1" w:themeFillShade="D9"/>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Pr>
                <w:rFonts w:ascii="Calibri" w:hAnsi="Calibri"/>
                <w:b/>
                <w:bCs/>
                <w:i/>
                <w:iCs/>
                <w:color w:val="000000" w:themeColor="text1"/>
                <w:sz w:val="16"/>
                <w:szCs w:val="16"/>
              </w:rPr>
              <w:t>2012–13</w:t>
            </w:r>
          </w:p>
        </w:tc>
        <w:tc>
          <w:tcPr>
            <w:tcW w:w="990" w:type="dxa"/>
            <w:tcBorders>
              <w:top w:val="single" w:sz="4" w:space="0" w:color="auto"/>
              <w:left w:val="nil"/>
              <w:right w:val="nil"/>
            </w:tcBorders>
            <w:shd w:val="clear" w:color="auto" w:fill="D9D9D9" w:themeFill="background1" w:themeFillShade="D9"/>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2011–12</w:t>
            </w:r>
          </w:p>
        </w:tc>
        <w:tc>
          <w:tcPr>
            <w:tcW w:w="1009" w:type="dxa"/>
            <w:tcBorders>
              <w:top w:val="single" w:sz="4" w:space="0" w:color="auto"/>
              <w:left w:val="nil"/>
              <w:right w:val="nil"/>
            </w:tcBorders>
            <w:shd w:val="clear" w:color="auto" w:fill="D9D9D9" w:themeFill="background1" w:themeFillShade="D9"/>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2010–11</w:t>
            </w:r>
          </w:p>
        </w:tc>
        <w:tc>
          <w:tcPr>
            <w:tcW w:w="971" w:type="dxa"/>
            <w:tcBorders>
              <w:top w:val="single" w:sz="4" w:space="0" w:color="auto"/>
              <w:left w:val="nil"/>
              <w:right w:val="nil"/>
            </w:tcBorders>
            <w:shd w:val="clear" w:color="auto" w:fill="D9D9D9" w:themeFill="background1" w:themeFillShade="D9"/>
            <w:noWrap/>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2009–10</w:t>
            </w:r>
          </w:p>
        </w:tc>
        <w:tc>
          <w:tcPr>
            <w:tcW w:w="990" w:type="dxa"/>
            <w:tcBorders>
              <w:top w:val="single" w:sz="4" w:space="0" w:color="auto"/>
              <w:left w:val="nil"/>
              <w:right w:val="nil"/>
            </w:tcBorders>
            <w:shd w:val="clear" w:color="auto" w:fill="D9D9D9" w:themeFill="background1" w:themeFillShade="D9"/>
            <w:vAlign w:val="center"/>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2008–09</w:t>
            </w:r>
          </w:p>
        </w:tc>
        <w:tc>
          <w:tcPr>
            <w:tcW w:w="990" w:type="dxa"/>
            <w:tcBorders>
              <w:top w:val="single" w:sz="4" w:space="0" w:color="auto"/>
              <w:left w:val="nil"/>
              <w:right w:val="nil"/>
            </w:tcBorders>
            <w:shd w:val="clear" w:color="auto" w:fill="D9D9D9" w:themeFill="background1" w:themeFillShade="D9"/>
            <w:vAlign w:val="center"/>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2007–08</w:t>
            </w:r>
          </w:p>
        </w:tc>
        <w:tc>
          <w:tcPr>
            <w:tcW w:w="990" w:type="dxa"/>
            <w:tcBorders>
              <w:top w:val="single" w:sz="4" w:space="0" w:color="auto"/>
              <w:left w:val="nil"/>
            </w:tcBorders>
            <w:shd w:val="clear" w:color="auto" w:fill="D9D9D9" w:themeFill="background1" w:themeFillShade="D9"/>
            <w:vAlign w:val="center"/>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2006–07</w:t>
            </w:r>
          </w:p>
        </w:tc>
        <w:tc>
          <w:tcPr>
            <w:tcW w:w="964" w:type="dxa"/>
            <w:tcBorders>
              <w:top w:val="single" w:sz="4" w:space="0" w:color="auto"/>
              <w:right w:val="single" w:sz="4" w:space="0" w:color="auto"/>
            </w:tcBorders>
            <w:shd w:val="clear" w:color="auto" w:fill="D9D9D9" w:themeFill="background1" w:themeFillShade="D9"/>
            <w:vAlign w:val="center"/>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2005–06</w:t>
            </w:r>
          </w:p>
        </w:tc>
      </w:tr>
      <w:tr w:rsidR="00225239" w:rsidRPr="00565B6B" w:rsidTr="00317955">
        <w:trPr>
          <w:trHeight w:val="300"/>
          <w:jc w:val="center"/>
        </w:trPr>
        <w:tc>
          <w:tcPr>
            <w:tcW w:w="3600" w:type="dxa"/>
            <w:tcBorders>
              <w:top w:val="single" w:sz="4" w:space="0" w:color="auto"/>
              <w:left w:val="single" w:sz="4" w:space="0" w:color="auto"/>
              <w:right w:val="single" w:sz="4" w:space="0" w:color="auto"/>
            </w:tcBorders>
            <w:noWrap/>
            <w:vAlign w:val="center"/>
          </w:tcPr>
          <w:p w:rsidR="00225239" w:rsidRPr="00F21B33" w:rsidRDefault="00225239" w:rsidP="003A7535">
            <w:pPr>
              <w:rPr>
                <w:rFonts w:ascii="Calibri" w:hAnsi="Calibri"/>
                <w:color w:val="000000" w:themeColor="text1"/>
                <w:sz w:val="18"/>
                <w:szCs w:val="18"/>
              </w:rPr>
            </w:pPr>
            <w:r w:rsidRPr="00F21B33">
              <w:rPr>
                <w:rFonts w:ascii="Calibri" w:hAnsi="Calibri"/>
                <w:color w:val="000000" w:themeColor="text1"/>
                <w:sz w:val="18"/>
                <w:szCs w:val="18"/>
              </w:rPr>
              <w:t>Mathematics Proficiency (Attaining, 30–59)</w:t>
            </w:r>
          </w:p>
        </w:tc>
        <w:tc>
          <w:tcPr>
            <w:tcW w:w="990" w:type="dxa"/>
            <w:tcBorders>
              <w:top w:val="single" w:sz="4" w:space="0" w:color="auto"/>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28</w:t>
            </w:r>
          </w:p>
        </w:tc>
        <w:tc>
          <w:tcPr>
            <w:tcW w:w="990" w:type="dxa"/>
            <w:tcBorders>
              <w:top w:val="single" w:sz="4" w:space="0" w:color="auto"/>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38</w:t>
            </w:r>
          </w:p>
        </w:tc>
        <w:tc>
          <w:tcPr>
            <w:tcW w:w="1009" w:type="dxa"/>
            <w:tcBorders>
              <w:top w:val="single" w:sz="4" w:space="0" w:color="auto"/>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33</w:t>
            </w:r>
          </w:p>
        </w:tc>
        <w:tc>
          <w:tcPr>
            <w:tcW w:w="971" w:type="dxa"/>
            <w:tcBorders>
              <w:top w:val="single" w:sz="4" w:space="0" w:color="auto"/>
              <w:left w:val="nil"/>
              <w:right w:val="nil"/>
            </w:tcBorders>
            <w:noWrap/>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32</w:t>
            </w:r>
          </w:p>
        </w:tc>
        <w:tc>
          <w:tcPr>
            <w:tcW w:w="990" w:type="dxa"/>
            <w:tcBorders>
              <w:top w:val="single" w:sz="4" w:space="0" w:color="auto"/>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29</w:t>
            </w:r>
          </w:p>
        </w:tc>
        <w:tc>
          <w:tcPr>
            <w:tcW w:w="990" w:type="dxa"/>
            <w:tcBorders>
              <w:top w:val="single" w:sz="4" w:space="0" w:color="auto"/>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29</w:t>
            </w:r>
          </w:p>
        </w:tc>
        <w:tc>
          <w:tcPr>
            <w:tcW w:w="990" w:type="dxa"/>
            <w:tcBorders>
              <w:top w:val="single" w:sz="4" w:space="0" w:color="auto"/>
              <w:lef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27</w:t>
            </w:r>
          </w:p>
        </w:tc>
        <w:tc>
          <w:tcPr>
            <w:tcW w:w="964" w:type="dxa"/>
            <w:tcBorders>
              <w:top w:val="single" w:sz="4" w:space="0" w:color="auto"/>
              <w:right w:val="single" w:sz="4" w:space="0" w:color="auto"/>
            </w:tcBorders>
            <w:vAlign w:val="center"/>
          </w:tcPr>
          <w:p w:rsidR="00225239" w:rsidRPr="00565B6B" w:rsidRDefault="00225239" w:rsidP="003A7535">
            <w:pPr>
              <w:jc w:val="center"/>
              <w:rPr>
                <w:rFonts w:ascii="Calibri" w:hAnsi="Calibri"/>
                <w:color w:val="000000" w:themeColor="text1"/>
                <w:sz w:val="20"/>
                <w:szCs w:val="22"/>
              </w:rPr>
            </w:pPr>
            <w:r w:rsidRPr="00565B6B">
              <w:rPr>
                <w:rFonts w:ascii="Calibri" w:hAnsi="Calibri"/>
                <w:color w:val="000000" w:themeColor="text1"/>
                <w:sz w:val="20"/>
                <w:szCs w:val="22"/>
              </w:rPr>
              <w:t>24</w:t>
            </w:r>
          </w:p>
        </w:tc>
      </w:tr>
      <w:tr w:rsidR="00225239" w:rsidRPr="00565B6B" w:rsidTr="00317955">
        <w:trPr>
          <w:trHeight w:val="300"/>
          <w:jc w:val="center"/>
        </w:trPr>
        <w:tc>
          <w:tcPr>
            <w:tcW w:w="3600" w:type="dxa"/>
            <w:tcBorders>
              <w:top w:val="nil"/>
              <w:left w:val="single" w:sz="4" w:space="0" w:color="auto"/>
              <w:right w:val="single" w:sz="4" w:space="0" w:color="auto"/>
            </w:tcBorders>
            <w:noWrap/>
            <w:vAlign w:val="center"/>
          </w:tcPr>
          <w:p w:rsidR="00225239" w:rsidRPr="00F21B33" w:rsidRDefault="00225239" w:rsidP="003A7535">
            <w:pPr>
              <w:rPr>
                <w:rFonts w:ascii="Calibri" w:hAnsi="Calibri"/>
                <w:color w:val="000000" w:themeColor="text1"/>
                <w:sz w:val="18"/>
                <w:szCs w:val="18"/>
              </w:rPr>
            </w:pPr>
            <w:r w:rsidRPr="00F21B33">
              <w:rPr>
                <w:rFonts w:ascii="Calibri" w:hAnsi="Calibri"/>
                <w:color w:val="000000" w:themeColor="text1"/>
                <w:sz w:val="18"/>
                <w:szCs w:val="18"/>
              </w:rPr>
              <w:t>Mathematics Proficiency (Attaining, 60–89)</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28</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41</w:t>
            </w:r>
          </w:p>
        </w:tc>
        <w:tc>
          <w:tcPr>
            <w:tcW w:w="1009"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35</w:t>
            </w:r>
          </w:p>
        </w:tc>
        <w:tc>
          <w:tcPr>
            <w:tcW w:w="971" w:type="dxa"/>
            <w:tcBorders>
              <w:top w:val="nil"/>
              <w:left w:val="nil"/>
              <w:right w:val="nil"/>
            </w:tcBorders>
            <w:noWrap/>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36</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34</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31</w:t>
            </w:r>
          </w:p>
        </w:tc>
        <w:tc>
          <w:tcPr>
            <w:tcW w:w="990" w:type="dxa"/>
            <w:tcBorders>
              <w:top w:val="nil"/>
              <w:lef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31</w:t>
            </w:r>
          </w:p>
        </w:tc>
        <w:tc>
          <w:tcPr>
            <w:tcW w:w="964" w:type="dxa"/>
            <w:tcBorders>
              <w:top w:val="nil"/>
              <w:right w:val="single" w:sz="4" w:space="0" w:color="auto"/>
            </w:tcBorders>
            <w:vAlign w:val="center"/>
          </w:tcPr>
          <w:p w:rsidR="00225239" w:rsidRPr="00565B6B" w:rsidRDefault="00225239" w:rsidP="003A7535">
            <w:pPr>
              <w:jc w:val="center"/>
              <w:rPr>
                <w:rFonts w:ascii="Calibri" w:hAnsi="Calibri"/>
                <w:color w:val="000000" w:themeColor="text1"/>
                <w:sz w:val="20"/>
                <w:szCs w:val="22"/>
              </w:rPr>
            </w:pPr>
            <w:r w:rsidRPr="00565B6B">
              <w:rPr>
                <w:rFonts w:ascii="Calibri" w:hAnsi="Calibri"/>
                <w:color w:val="000000" w:themeColor="text1"/>
                <w:sz w:val="20"/>
                <w:szCs w:val="22"/>
              </w:rPr>
              <w:t>24</w:t>
            </w:r>
          </w:p>
        </w:tc>
      </w:tr>
      <w:tr w:rsidR="00225239" w:rsidRPr="00565B6B" w:rsidTr="00317955">
        <w:trPr>
          <w:trHeight w:val="300"/>
          <w:jc w:val="center"/>
        </w:trPr>
        <w:tc>
          <w:tcPr>
            <w:tcW w:w="3600" w:type="dxa"/>
            <w:tcBorders>
              <w:top w:val="nil"/>
              <w:left w:val="single" w:sz="4" w:space="0" w:color="auto"/>
              <w:right w:val="single" w:sz="4" w:space="0" w:color="auto"/>
            </w:tcBorders>
            <w:noWrap/>
            <w:vAlign w:val="center"/>
          </w:tcPr>
          <w:p w:rsidR="00225239" w:rsidRPr="00F21B33" w:rsidRDefault="00225239" w:rsidP="003A7535">
            <w:pPr>
              <w:rPr>
                <w:rFonts w:ascii="Calibri" w:hAnsi="Calibri"/>
                <w:color w:val="000000" w:themeColor="text1"/>
                <w:sz w:val="18"/>
                <w:szCs w:val="18"/>
              </w:rPr>
            </w:pPr>
            <w:r w:rsidRPr="00F21B33">
              <w:rPr>
                <w:rFonts w:ascii="Calibri" w:hAnsi="Calibri"/>
                <w:color w:val="000000" w:themeColor="text1"/>
                <w:sz w:val="18"/>
                <w:szCs w:val="18"/>
              </w:rPr>
              <w:t>Mathematics Proficiency (Attaining, 90+)</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27</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47</w:t>
            </w:r>
          </w:p>
        </w:tc>
        <w:tc>
          <w:tcPr>
            <w:tcW w:w="1009"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39</w:t>
            </w:r>
          </w:p>
        </w:tc>
        <w:tc>
          <w:tcPr>
            <w:tcW w:w="971" w:type="dxa"/>
            <w:tcBorders>
              <w:top w:val="nil"/>
              <w:left w:val="nil"/>
              <w:right w:val="nil"/>
            </w:tcBorders>
            <w:noWrap/>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39</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39</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39</w:t>
            </w:r>
          </w:p>
        </w:tc>
        <w:tc>
          <w:tcPr>
            <w:tcW w:w="990" w:type="dxa"/>
            <w:tcBorders>
              <w:top w:val="nil"/>
              <w:lef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33</w:t>
            </w:r>
          </w:p>
        </w:tc>
        <w:tc>
          <w:tcPr>
            <w:tcW w:w="964" w:type="dxa"/>
            <w:tcBorders>
              <w:top w:val="nil"/>
              <w:right w:val="single" w:sz="4" w:space="0" w:color="auto"/>
            </w:tcBorders>
            <w:vAlign w:val="center"/>
          </w:tcPr>
          <w:p w:rsidR="00225239" w:rsidRPr="00565B6B" w:rsidRDefault="00225239" w:rsidP="003A7535">
            <w:pPr>
              <w:jc w:val="center"/>
              <w:rPr>
                <w:rFonts w:ascii="Calibri" w:hAnsi="Calibri"/>
                <w:color w:val="000000" w:themeColor="text1"/>
                <w:sz w:val="20"/>
                <w:szCs w:val="22"/>
              </w:rPr>
            </w:pPr>
            <w:r w:rsidRPr="00565B6B">
              <w:rPr>
                <w:rFonts w:ascii="Calibri" w:hAnsi="Calibri"/>
                <w:color w:val="000000" w:themeColor="text1"/>
                <w:sz w:val="20"/>
                <w:szCs w:val="22"/>
              </w:rPr>
              <w:t>31</w:t>
            </w:r>
          </w:p>
        </w:tc>
      </w:tr>
      <w:tr w:rsidR="00225239" w:rsidRPr="00565B6B" w:rsidTr="00317955">
        <w:trPr>
          <w:trHeight w:val="300"/>
          <w:jc w:val="center"/>
        </w:trPr>
        <w:tc>
          <w:tcPr>
            <w:tcW w:w="3600" w:type="dxa"/>
            <w:tcBorders>
              <w:top w:val="nil"/>
              <w:left w:val="single" w:sz="4" w:space="0" w:color="auto"/>
              <w:right w:val="single" w:sz="4" w:space="0" w:color="auto"/>
            </w:tcBorders>
            <w:noWrap/>
            <w:vAlign w:val="center"/>
          </w:tcPr>
          <w:p w:rsidR="00225239" w:rsidRPr="00F21B33" w:rsidRDefault="00225239" w:rsidP="003A7535">
            <w:pPr>
              <w:rPr>
                <w:rFonts w:ascii="Calibri" w:hAnsi="Calibri"/>
                <w:color w:val="000000" w:themeColor="text1"/>
                <w:sz w:val="18"/>
                <w:szCs w:val="18"/>
              </w:rPr>
            </w:pPr>
            <w:r w:rsidRPr="00F21B33">
              <w:rPr>
                <w:rFonts w:ascii="Calibri" w:hAnsi="Calibri"/>
                <w:color w:val="000000" w:themeColor="text1"/>
                <w:sz w:val="18"/>
                <w:szCs w:val="18"/>
              </w:rPr>
              <w:t>Reading Proficiency (Attaining, 30–59)</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28</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38</w:t>
            </w:r>
          </w:p>
        </w:tc>
        <w:tc>
          <w:tcPr>
            <w:tcW w:w="1009"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33</w:t>
            </w:r>
          </w:p>
        </w:tc>
        <w:tc>
          <w:tcPr>
            <w:tcW w:w="971" w:type="dxa"/>
            <w:tcBorders>
              <w:top w:val="nil"/>
              <w:left w:val="nil"/>
              <w:right w:val="nil"/>
            </w:tcBorders>
            <w:noWrap/>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32</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33</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37</w:t>
            </w:r>
          </w:p>
        </w:tc>
        <w:tc>
          <w:tcPr>
            <w:tcW w:w="990" w:type="dxa"/>
            <w:tcBorders>
              <w:top w:val="nil"/>
              <w:lef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37</w:t>
            </w:r>
          </w:p>
        </w:tc>
        <w:tc>
          <w:tcPr>
            <w:tcW w:w="964" w:type="dxa"/>
            <w:tcBorders>
              <w:top w:val="nil"/>
              <w:right w:val="single" w:sz="4" w:space="0" w:color="auto"/>
            </w:tcBorders>
            <w:vAlign w:val="center"/>
          </w:tcPr>
          <w:p w:rsidR="00225239" w:rsidRPr="00565B6B" w:rsidRDefault="00225239" w:rsidP="003A7535">
            <w:pPr>
              <w:jc w:val="center"/>
              <w:rPr>
                <w:rFonts w:ascii="Calibri" w:hAnsi="Calibri"/>
                <w:color w:val="000000" w:themeColor="text1"/>
                <w:sz w:val="20"/>
                <w:szCs w:val="22"/>
              </w:rPr>
            </w:pPr>
            <w:r w:rsidRPr="00565B6B">
              <w:rPr>
                <w:rFonts w:ascii="Calibri" w:hAnsi="Calibri"/>
                <w:color w:val="000000" w:themeColor="text1"/>
                <w:sz w:val="20"/>
                <w:szCs w:val="22"/>
              </w:rPr>
              <w:t>31</w:t>
            </w:r>
          </w:p>
        </w:tc>
      </w:tr>
      <w:tr w:rsidR="00225239" w:rsidRPr="00565B6B" w:rsidTr="00317955">
        <w:trPr>
          <w:trHeight w:val="300"/>
          <w:jc w:val="center"/>
        </w:trPr>
        <w:tc>
          <w:tcPr>
            <w:tcW w:w="3600" w:type="dxa"/>
            <w:tcBorders>
              <w:top w:val="nil"/>
              <w:left w:val="single" w:sz="4" w:space="0" w:color="auto"/>
              <w:right w:val="single" w:sz="4" w:space="0" w:color="auto"/>
            </w:tcBorders>
            <w:noWrap/>
            <w:vAlign w:val="center"/>
          </w:tcPr>
          <w:p w:rsidR="00225239" w:rsidRPr="00F21B33" w:rsidRDefault="00225239" w:rsidP="003A7535">
            <w:pPr>
              <w:rPr>
                <w:rFonts w:ascii="Calibri" w:hAnsi="Calibri"/>
                <w:color w:val="000000" w:themeColor="text1"/>
                <w:sz w:val="18"/>
                <w:szCs w:val="18"/>
              </w:rPr>
            </w:pPr>
            <w:r w:rsidRPr="00F21B33">
              <w:rPr>
                <w:rFonts w:ascii="Calibri" w:hAnsi="Calibri"/>
                <w:color w:val="000000" w:themeColor="text1"/>
                <w:sz w:val="18"/>
                <w:szCs w:val="18"/>
              </w:rPr>
              <w:t>Reading Proficiency (Attaining, 60–89)</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27</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39</w:t>
            </w:r>
          </w:p>
        </w:tc>
        <w:tc>
          <w:tcPr>
            <w:tcW w:w="1009"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34</w:t>
            </w:r>
          </w:p>
        </w:tc>
        <w:tc>
          <w:tcPr>
            <w:tcW w:w="971" w:type="dxa"/>
            <w:tcBorders>
              <w:top w:val="nil"/>
              <w:left w:val="nil"/>
              <w:right w:val="nil"/>
            </w:tcBorders>
            <w:noWrap/>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35</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37</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38</w:t>
            </w:r>
          </w:p>
        </w:tc>
        <w:tc>
          <w:tcPr>
            <w:tcW w:w="990" w:type="dxa"/>
            <w:tcBorders>
              <w:top w:val="nil"/>
              <w:lef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41</w:t>
            </w:r>
          </w:p>
        </w:tc>
        <w:tc>
          <w:tcPr>
            <w:tcW w:w="964" w:type="dxa"/>
            <w:tcBorders>
              <w:top w:val="nil"/>
              <w:right w:val="single" w:sz="4" w:space="0" w:color="auto"/>
            </w:tcBorders>
            <w:vAlign w:val="center"/>
          </w:tcPr>
          <w:p w:rsidR="00225239" w:rsidRPr="00565B6B" w:rsidRDefault="00225239" w:rsidP="003A7535">
            <w:pPr>
              <w:jc w:val="center"/>
              <w:rPr>
                <w:rFonts w:ascii="Calibri" w:hAnsi="Calibri"/>
                <w:color w:val="000000" w:themeColor="text1"/>
                <w:sz w:val="20"/>
                <w:szCs w:val="22"/>
              </w:rPr>
            </w:pPr>
            <w:r w:rsidRPr="00565B6B">
              <w:rPr>
                <w:rFonts w:ascii="Calibri" w:hAnsi="Calibri"/>
                <w:color w:val="000000" w:themeColor="text1"/>
                <w:sz w:val="20"/>
                <w:szCs w:val="22"/>
              </w:rPr>
              <w:t>27</w:t>
            </w:r>
          </w:p>
        </w:tc>
      </w:tr>
      <w:tr w:rsidR="00225239" w:rsidRPr="00565B6B" w:rsidTr="00317955">
        <w:trPr>
          <w:trHeight w:val="360"/>
          <w:jc w:val="center"/>
        </w:trPr>
        <w:tc>
          <w:tcPr>
            <w:tcW w:w="3600" w:type="dxa"/>
            <w:tcBorders>
              <w:top w:val="nil"/>
              <w:left w:val="single" w:sz="4" w:space="0" w:color="auto"/>
              <w:right w:val="single" w:sz="4" w:space="0" w:color="auto"/>
            </w:tcBorders>
            <w:noWrap/>
            <w:vAlign w:val="center"/>
          </w:tcPr>
          <w:p w:rsidR="00225239" w:rsidRPr="00F21B33" w:rsidRDefault="00225239" w:rsidP="003A7535">
            <w:pPr>
              <w:rPr>
                <w:rFonts w:ascii="Calibri" w:hAnsi="Calibri"/>
                <w:color w:val="000000" w:themeColor="text1"/>
                <w:sz w:val="18"/>
                <w:szCs w:val="18"/>
              </w:rPr>
            </w:pPr>
            <w:r w:rsidRPr="00F21B33">
              <w:rPr>
                <w:rFonts w:ascii="Calibri" w:hAnsi="Calibri"/>
                <w:color w:val="000000" w:themeColor="text1"/>
                <w:sz w:val="18"/>
                <w:szCs w:val="18"/>
              </w:rPr>
              <w:t>Reading Proficiency (Attaining, 90+)</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27</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43</w:t>
            </w:r>
          </w:p>
        </w:tc>
        <w:tc>
          <w:tcPr>
            <w:tcW w:w="1009"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37</w:t>
            </w:r>
          </w:p>
        </w:tc>
        <w:tc>
          <w:tcPr>
            <w:tcW w:w="971" w:type="dxa"/>
            <w:tcBorders>
              <w:top w:val="nil"/>
              <w:left w:val="nil"/>
              <w:right w:val="nil"/>
            </w:tcBorders>
            <w:noWrap/>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38</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39</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41</w:t>
            </w:r>
          </w:p>
        </w:tc>
        <w:tc>
          <w:tcPr>
            <w:tcW w:w="990" w:type="dxa"/>
            <w:tcBorders>
              <w:top w:val="nil"/>
              <w:lef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41</w:t>
            </w:r>
          </w:p>
        </w:tc>
        <w:tc>
          <w:tcPr>
            <w:tcW w:w="964" w:type="dxa"/>
            <w:tcBorders>
              <w:top w:val="nil"/>
              <w:right w:val="single" w:sz="4" w:space="0" w:color="auto"/>
            </w:tcBorders>
            <w:vAlign w:val="center"/>
          </w:tcPr>
          <w:p w:rsidR="00225239" w:rsidRPr="00565B6B" w:rsidRDefault="00225239" w:rsidP="003A7535">
            <w:pPr>
              <w:jc w:val="center"/>
              <w:rPr>
                <w:rFonts w:ascii="Calibri" w:hAnsi="Calibri"/>
                <w:color w:val="000000" w:themeColor="text1"/>
                <w:sz w:val="20"/>
                <w:szCs w:val="22"/>
              </w:rPr>
            </w:pPr>
            <w:r w:rsidRPr="00565B6B">
              <w:rPr>
                <w:rFonts w:ascii="Calibri" w:hAnsi="Calibri"/>
                <w:color w:val="000000" w:themeColor="text1"/>
                <w:sz w:val="20"/>
                <w:szCs w:val="22"/>
              </w:rPr>
              <w:t>33</w:t>
            </w:r>
          </w:p>
        </w:tc>
      </w:tr>
      <w:tr w:rsidR="00225239" w:rsidRPr="00565B6B" w:rsidTr="00317955">
        <w:trPr>
          <w:trHeight w:val="300"/>
          <w:jc w:val="center"/>
        </w:trPr>
        <w:tc>
          <w:tcPr>
            <w:tcW w:w="3600" w:type="dxa"/>
            <w:tcBorders>
              <w:top w:val="nil"/>
              <w:left w:val="single" w:sz="4" w:space="0" w:color="auto"/>
              <w:right w:val="single" w:sz="4" w:space="0" w:color="auto"/>
            </w:tcBorders>
            <w:noWrap/>
            <w:vAlign w:val="center"/>
          </w:tcPr>
          <w:p w:rsidR="00225239" w:rsidRPr="00F21B33" w:rsidRDefault="00225239" w:rsidP="003A7535">
            <w:pPr>
              <w:rPr>
                <w:rFonts w:ascii="Calibri" w:hAnsi="Calibri"/>
                <w:color w:val="000000" w:themeColor="text1"/>
                <w:sz w:val="18"/>
                <w:szCs w:val="18"/>
              </w:rPr>
            </w:pPr>
            <w:r w:rsidRPr="00F21B33">
              <w:rPr>
                <w:rFonts w:ascii="Calibri" w:hAnsi="Calibri"/>
                <w:color w:val="000000" w:themeColor="text1"/>
                <w:sz w:val="18"/>
                <w:szCs w:val="18"/>
              </w:rPr>
              <w:t>Mathematics Proficiency (Improving, 30–59)</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32</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46</w:t>
            </w:r>
          </w:p>
        </w:tc>
        <w:tc>
          <w:tcPr>
            <w:tcW w:w="1009"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40</w:t>
            </w:r>
          </w:p>
        </w:tc>
        <w:tc>
          <w:tcPr>
            <w:tcW w:w="971" w:type="dxa"/>
            <w:tcBorders>
              <w:top w:val="nil"/>
              <w:left w:val="nil"/>
              <w:right w:val="nil"/>
            </w:tcBorders>
            <w:noWrap/>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40</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37</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36</w:t>
            </w:r>
          </w:p>
        </w:tc>
        <w:tc>
          <w:tcPr>
            <w:tcW w:w="990" w:type="dxa"/>
            <w:tcBorders>
              <w:top w:val="nil"/>
              <w:lef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37</w:t>
            </w:r>
          </w:p>
        </w:tc>
        <w:tc>
          <w:tcPr>
            <w:tcW w:w="964" w:type="dxa"/>
            <w:tcBorders>
              <w:top w:val="nil"/>
              <w:right w:val="single" w:sz="4" w:space="0" w:color="auto"/>
            </w:tcBorders>
            <w:vAlign w:val="center"/>
          </w:tcPr>
          <w:p w:rsidR="00225239" w:rsidRPr="00565B6B" w:rsidRDefault="00225239" w:rsidP="003A7535">
            <w:pPr>
              <w:jc w:val="center"/>
              <w:rPr>
                <w:rFonts w:ascii="Calibri" w:hAnsi="Calibri"/>
                <w:color w:val="000000" w:themeColor="text1"/>
                <w:sz w:val="20"/>
                <w:szCs w:val="22"/>
              </w:rPr>
            </w:pPr>
            <w:r w:rsidRPr="00565B6B">
              <w:rPr>
                <w:rFonts w:ascii="Calibri" w:hAnsi="Calibri"/>
                <w:color w:val="000000" w:themeColor="text1"/>
                <w:sz w:val="20"/>
                <w:szCs w:val="22"/>
              </w:rPr>
              <w:t>34</w:t>
            </w:r>
          </w:p>
        </w:tc>
      </w:tr>
      <w:tr w:rsidR="00225239" w:rsidRPr="00565B6B" w:rsidTr="00317955">
        <w:trPr>
          <w:trHeight w:val="300"/>
          <w:jc w:val="center"/>
        </w:trPr>
        <w:tc>
          <w:tcPr>
            <w:tcW w:w="3600" w:type="dxa"/>
            <w:tcBorders>
              <w:top w:val="nil"/>
              <w:left w:val="single" w:sz="4" w:space="0" w:color="auto"/>
              <w:right w:val="single" w:sz="4" w:space="0" w:color="auto"/>
            </w:tcBorders>
            <w:noWrap/>
            <w:vAlign w:val="center"/>
          </w:tcPr>
          <w:p w:rsidR="00225239" w:rsidRPr="00F21B33" w:rsidRDefault="00225239" w:rsidP="003A7535">
            <w:pPr>
              <w:rPr>
                <w:rFonts w:ascii="Calibri" w:hAnsi="Calibri"/>
                <w:color w:val="000000" w:themeColor="text1"/>
                <w:sz w:val="18"/>
                <w:szCs w:val="18"/>
              </w:rPr>
            </w:pPr>
            <w:r w:rsidRPr="00F21B33">
              <w:rPr>
                <w:rFonts w:ascii="Calibri" w:hAnsi="Calibri"/>
                <w:color w:val="000000" w:themeColor="text1"/>
                <w:sz w:val="18"/>
                <w:szCs w:val="18"/>
              </w:rPr>
              <w:t>Mathematics Proficiency (Improving, 60–89)</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33</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49</w:t>
            </w:r>
          </w:p>
        </w:tc>
        <w:tc>
          <w:tcPr>
            <w:tcW w:w="1009"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42</w:t>
            </w:r>
          </w:p>
        </w:tc>
        <w:tc>
          <w:tcPr>
            <w:tcW w:w="971" w:type="dxa"/>
            <w:tcBorders>
              <w:top w:val="nil"/>
              <w:left w:val="nil"/>
              <w:right w:val="nil"/>
            </w:tcBorders>
            <w:noWrap/>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43</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42</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39</w:t>
            </w:r>
          </w:p>
        </w:tc>
        <w:tc>
          <w:tcPr>
            <w:tcW w:w="990" w:type="dxa"/>
            <w:tcBorders>
              <w:top w:val="nil"/>
              <w:lef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41</w:t>
            </w:r>
          </w:p>
        </w:tc>
        <w:tc>
          <w:tcPr>
            <w:tcW w:w="964" w:type="dxa"/>
            <w:tcBorders>
              <w:top w:val="nil"/>
              <w:right w:val="single" w:sz="4" w:space="0" w:color="auto"/>
            </w:tcBorders>
            <w:vAlign w:val="center"/>
          </w:tcPr>
          <w:p w:rsidR="00225239" w:rsidRPr="00565B6B" w:rsidRDefault="00225239" w:rsidP="003A7535">
            <w:pPr>
              <w:jc w:val="center"/>
              <w:rPr>
                <w:rFonts w:ascii="Calibri" w:hAnsi="Calibri"/>
                <w:color w:val="000000" w:themeColor="text1"/>
                <w:sz w:val="20"/>
                <w:szCs w:val="22"/>
              </w:rPr>
            </w:pPr>
            <w:r w:rsidRPr="00565B6B">
              <w:rPr>
                <w:rFonts w:ascii="Calibri" w:hAnsi="Calibri"/>
                <w:color w:val="000000" w:themeColor="text1"/>
                <w:sz w:val="20"/>
                <w:szCs w:val="22"/>
              </w:rPr>
              <w:t>37</w:t>
            </w:r>
          </w:p>
        </w:tc>
      </w:tr>
      <w:tr w:rsidR="00225239" w:rsidRPr="00565B6B" w:rsidTr="00317955">
        <w:trPr>
          <w:trHeight w:val="300"/>
          <w:jc w:val="center"/>
        </w:trPr>
        <w:tc>
          <w:tcPr>
            <w:tcW w:w="3600" w:type="dxa"/>
            <w:tcBorders>
              <w:top w:val="nil"/>
              <w:left w:val="single" w:sz="4" w:space="0" w:color="auto"/>
              <w:right w:val="single" w:sz="4" w:space="0" w:color="auto"/>
            </w:tcBorders>
            <w:noWrap/>
            <w:vAlign w:val="center"/>
          </w:tcPr>
          <w:p w:rsidR="00225239" w:rsidRPr="00F21B33" w:rsidRDefault="00225239" w:rsidP="003A7535">
            <w:pPr>
              <w:rPr>
                <w:rFonts w:ascii="Calibri" w:hAnsi="Calibri"/>
                <w:color w:val="000000" w:themeColor="text1"/>
                <w:sz w:val="18"/>
                <w:szCs w:val="18"/>
              </w:rPr>
            </w:pPr>
            <w:r w:rsidRPr="00F21B33">
              <w:rPr>
                <w:rFonts w:ascii="Calibri" w:hAnsi="Calibri"/>
                <w:color w:val="000000" w:themeColor="text1"/>
                <w:sz w:val="18"/>
                <w:szCs w:val="18"/>
              </w:rPr>
              <w:t>Mathematics Proficiency (Improving, 90+)</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32</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55</w:t>
            </w:r>
          </w:p>
        </w:tc>
        <w:tc>
          <w:tcPr>
            <w:tcW w:w="1009"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46</w:t>
            </w:r>
          </w:p>
        </w:tc>
        <w:tc>
          <w:tcPr>
            <w:tcW w:w="971" w:type="dxa"/>
            <w:tcBorders>
              <w:top w:val="nil"/>
              <w:left w:val="nil"/>
              <w:right w:val="nil"/>
            </w:tcBorders>
            <w:noWrap/>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45</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47</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47</w:t>
            </w:r>
          </w:p>
        </w:tc>
        <w:tc>
          <w:tcPr>
            <w:tcW w:w="990" w:type="dxa"/>
            <w:tcBorders>
              <w:top w:val="nil"/>
              <w:lef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43</w:t>
            </w:r>
          </w:p>
        </w:tc>
        <w:tc>
          <w:tcPr>
            <w:tcW w:w="964" w:type="dxa"/>
            <w:tcBorders>
              <w:top w:val="nil"/>
              <w:right w:val="single" w:sz="4" w:space="0" w:color="auto"/>
            </w:tcBorders>
            <w:vAlign w:val="center"/>
          </w:tcPr>
          <w:p w:rsidR="00225239" w:rsidRPr="00565B6B" w:rsidRDefault="00225239" w:rsidP="003A7535">
            <w:pPr>
              <w:jc w:val="center"/>
              <w:rPr>
                <w:rFonts w:ascii="Calibri" w:hAnsi="Calibri"/>
                <w:color w:val="000000" w:themeColor="text1"/>
                <w:sz w:val="20"/>
                <w:szCs w:val="22"/>
              </w:rPr>
            </w:pPr>
            <w:r w:rsidRPr="00565B6B">
              <w:rPr>
                <w:rFonts w:ascii="Calibri" w:hAnsi="Calibri"/>
                <w:color w:val="000000" w:themeColor="text1"/>
                <w:sz w:val="20"/>
                <w:szCs w:val="22"/>
              </w:rPr>
              <w:t>46</w:t>
            </w:r>
          </w:p>
        </w:tc>
      </w:tr>
      <w:tr w:rsidR="00225239" w:rsidRPr="00565B6B" w:rsidTr="00317955">
        <w:trPr>
          <w:trHeight w:val="300"/>
          <w:jc w:val="center"/>
        </w:trPr>
        <w:tc>
          <w:tcPr>
            <w:tcW w:w="3600" w:type="dxa"/>
            <w:tcBorders>
              <w:top w:val="nil"/>
              <w:left w:val="single" w:sz="4" w:space="0" w:color="auto"/>
              <w:right w:val="single" w:sz="4" w:space="0" w:color="auto"/>
            </w:tcBorders>
            <w:noWrap/>
            <w:vAlign w:val="center"/>
          </w:tcPr>
          <w:p w:rsidR="00225239" w:rsidRPr="00F21B33" w:rsidRDefault="00225239" w:rsidP="003A7535">
            <w:pPr>
              <w:rPr>
                <w:rFonts w:ascii="Calibri" w:hAnsi="Calibri"/>
                <w:color w:val="000000" w:themeColor="text1"/>
                <w:sz w:val="18"/>
                <w:szCs w:val="18"/>
              </w:rPr>
            </w:pPr>
            <w:r w:rsidRPr="00F21B33">
              <w:rPr>
                <w:rFonts w:ascii="Calibri" w:hAnsi="Calibri"/>
                <w:color w:val="000000" w:themeColor="text1"/>
                <w:sz w:val="18"/>
                <w:szCs w:val="18"/>
              </w:rPr>
              <w:t>Reading Proficiency (Improving, 30–59)</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32</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44</w:t>
            </w:r>
          </w:p>
        </w:tc>
        <w:tc>
          <w:tcPr>
            <w:tcW w:w="1009"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41</w:t>
            </w:r>
          </w:p>
        </w:tc>
        <w:tc>
          <w:tcPr>
            <w:tcW w:w="971" w:type="dxa"/>
            <w:tcBorders>
              <w:top w:val="nil"/>
              <w:left w:val="nil"/>
              <w:right w:val="nil"/>
            </w:tcBorders>
            <w:noWrap/>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40</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44</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45</w:t>
            </w:r>
          </w:p>
        </w:tc>
        <w:tc>
          <w:tcPr>
            <w:tcW w:w="990" w:type="dxa"/>
            <w:tcBorders>
              <w:top w:val="nil"/>
              <w:lef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47</w:t>
            </w:r>
          </w:p>
        </w:tc>
        <w:tc>
          <w:tcPr>
            <w:tcW w:w="964" w:type="dxa"/>
            <w:tcBorders>
              <w:top w:val="nil"/>
              <w:right w:val="single" w:sz="4" w:space="0" w:color="auto"/>
            </w:tcBorders>
            <w:vAlign w:val="center"/>
          </w:tcPr>
          <w:p w:rsidR="00225239" w:rsidRPr="00565B6B" w:rsidRDefault="00225239" w:rsidP="003A7535">
            <w:pPr>
              <w:jc w:val="center"/>
              <w:rPr>
                <w:rFonts w:ascii="Calibri" w:hAnsi="Calibri"/>
                <w:color w:val="000000" w:themeColor="text1"/>
                <w:sz w:val="20"/>
                <w:szCs w:val="22"/>
              </w:rPr>
            </w:pPr>
            <w:r w:rsidRPr="00565B6B">
              <w:rPr>
                <w:rFonts w:ascii="Calibri" w:hAnsi="Calibri"/>
                <w:color w:val="000000" w:themeColor="text1"/>
                <w:sz w:val="20"/>
                <w:szCs w:val="22"/>
              </w:rPr>
              <w:t>42</w:t>
            </w:r>
          </w:p>
        </w:tc>
      </w:tr>
      <w:tr w:rsidR="00225239" w:rsidRPr="00565B6B" w:rsidTr="00317955">
        <w:trPr>
          <w:trHeight w:val="300"/>
          <w:jc w:val="center"/>
        </w:trPr>
        <w:tc>
          <w:tcPr>
            <w:tcW w:w="3600" w:type="dxa"/>
            <w:tcBorders>
              <w:top w:val="nil"/>
              <w:left w:val="single" w:sz="4" w:space="0" w:color="auto"/>
              <w:right w:val="single" w:sz="4" w:space="0" w:color="auto"/>
            </w:tcBorders>
            <w:noWrap/>
            <w:vAlign w:val="center"/>
          </w:tcPr>
          <w:p w:rsidR="00225239" w:rsidRPr="00F21B33" w:rsidRDefault="00225239" w:rsidP="003A7535">
            <w:pPr>
              <w:rPr>
                <w:rFonts w:ascii="Calibri" w:hAnsi="Calibri"/>
                <w:color w:val="000000" w:themeColor="text1"/>
                <w:sz w:val="18"/>
                <w:szCs w:val="18"/>
              </w:rPr>
            </w:pPr>
            <w:r w:rsidRPr="00F21B33">
              <w:rPr>
                <w:rFonts w:ascii="Calibri" w:hAnsi="Calibri"/>
                <w:color w:val="000000" w:themeColor="text1"/>
                <w:sz w:val="18"/>
                <w:szCs w:val="18"/>
              </w:rPr>
              <w:t>Reading Proficiency (Improving, 60–89)</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32</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47</w:t>
            </w:r>
          </w:p>
        </w:tc>
        <w:tc>
          <w:tcPr>
            <w:tcW w:w="1009"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43</w:t>
            </w:r>
          </w:p>
        </w:tc>
        <w:tc>
          <w:tcPr>
            <w:tcW w:w="971" w:type="dxa"/>
            <w:tcBorders>
              <w:top w:val="nil"/>
              <w:left w:val="nil"/>
              <w:right w:val="nil"/>
            </w:tcBorders>
            <w:noWrap/>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43</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48</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45</w:t>
            </w:r>
          </w:p>
        </w:tc>
        <w:tc>
          <w:tcPr>
            <w:tcW w:w="990" w:type="dxa"/>
            <w:tcBorders>
              <w:top w:val="nil"/>
              <w:lef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51</w:t>
            </w:r>
          </w:p>
        </w:tc>
        <w:tc>
          <w:tcPr>
            <w:tcW w:w="964" w:type="dxa"/>
            <w:tcBorders>
              <w:top w:val="nil"/>
              <w:right w:val="single" w:sz="4" w:space="0" w:color="auto"/>
            </w:tcBorders>
            <w:vAlign w:val="center"/>
          </w:tcPr>
          <w:p w:rsidR="00225239" w:rsidRPr="00565B6B" w:rsidRDefault="00225239" w:rsidP="003A7535">
            <w:pPr>
              <w:jc w:val="center"/>
              <w:rPr>
                <w:rFonts w:ascii="Calibri" w:hAnsi="Calibri"/>
                <w:color w:val="000000" w:themeColor="text1"/>
                <w:sz w:val="20"/>
                <w:szCs w:val="22"/>
              </w:rPr>
            </w:pPr>
            <w:r w:rsidRPr="00565B6B">
              <w:rPr>
                <w:rFonts w:ascii="Calibri" w:hAnsi="Calibri"/>
                <w:color w:val="000000" w:themeColor="text1"/>
                <w:sz w:val="20"/>
                <w:szCs w:val="22"/>
              </w:rPr>
              <w:t>40</w:t>
            </w:r>
          </w:p>
        </w:tc>
      </w:tr>
      <w:tr w:rsidR="00225239" w:rsidRPr="00565B6B" w:rsidTr="00317955">
        <w:trPr>
          <w:trHeight w:val="300"/>
          <w:jc w:val="center"/>
        </w:trPr>
        <w:tc>
          <w:tcPr>
            <w:tcW w:w="3600" w:type="dxa"/>
            <w:tcBorders>
              <w:top w:val="nil"/>
              <w:left w:val="single" w:sz="4" w:space="0" w:color="auto"/>
              <w:bottom w:val="single" w:sz="4" w:space="0" w:color="auto"/>
              <w:right w:val="single" w:sz="4" w:space="0" w:color="auto"/>
            </w:tcBorders>
            <w:noWrap/>
            <w:vAlign w:val="center"/>
          </w:tcPr>
          <w:p w:rsidR="00225239" w:rsidRPr="00F21B33" w:rsidRDefault="00225239" w:rsidP="003A7535">
            <w:pPr>
              <w:rPr>
                <w:rFonts w:ascii="Calibri" w:hAnsi="Calibri"/>
                <w:color w:val="000000" w:themeColor="text1"/>
                <w:sz w:val="18"/>
                <w:szCs w:val="18"/>
              </w:rPr>
            </w:pPr>
            <w:r w:rsidRPr="00F21B33">
              <w:rPr>
                <w:rFonts w:ascii="Calibri" w:hAnsi="Calibri"/>
                <w:color w:val="000000" w:themeColor="text1"/>
                <w:sz w:val="18"/>
                <w:szCs w:val="18"/>
              </w:rPr>
              <w:t>Reading Proficiency (Improving, 90+)</w:t>
            </w:r>
          </w:p>
        </w:tc>
        <w:tc>
          <w:tcPr>
            <w:tcW w:w="990" w:type="dxa"/>
            <w:tcBorders>
              <w:top w:val="nil"/>
              <w:left w:val="nil"/>
              <w:bottom w:val="single" w:sz="4" w:space="0" w:color="auto"/>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32</w:t>
            </w:r>
          </w:p>
        </w:tc>
        <w:tc>
          <w:tcPr>
            <w:tcW w:w="990" w:type="dxa"/>
            <w:tcBorders>
              <w:top w:val="nil"/>
              <w:left w:val="nil"/>
              <w:bottom w:val="single" w:sz="4" w:space="0" w:color="auto"/>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51</w:t>
            </w:r>
          </w:p>
        </w:tc>
        <w:tc>
          <w:tcPr>
            <w:tcW w:w="1009" w:type="dxa"/>
            <w:tcBorders>
              <w:top w:val="nil"/>
              <w:left w:val="nil"/>
              <w:bottom w:val="single" w:sz="4" w:space="0" w:color="auto"/>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45</w:t>
            </w:r>
          </w:p>
        </w:tc>
        <w:tc>
          <w:tcPr>
            <w:tcW w:w="971" w:type="dxa"/>
            <w:tcBorders>
              <w:top w:val="nil"/>
              <w:left w:val="nil"/>
              <w:bottom w:val="single" w:sz="4" w:space="0" w:color="auto"/>
              <w:right w:val="nil"/>
            </w:tcBorders>
            <w:noWrap/>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46</w:t>
            </w:r>
          </w:p>
        </w:tc>
        <w:tc>
          <w:tcPr>
            <w:tcW w:w="990" w:type="dxa"/>
            <w:tcBorders>
              <w:top w:val="nil"/>
              <w:left w:val="nil"/>
              <w:bottom w:val="single" w:sz="4" w:space="0" w:color="auto"/>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49</w:t>
            </w:r>
          </w:p>
        </w:tc>
        <w:tc>
          <w:tcPr>
            <w:tcW w:w="990" w:type="dxa"/>
            <w:tcBorders>
              <w:top w:val="nil"/>
              <w:left w:val="nil"/>
              <w:bottom w:val="single" w:sz="4" w:space="0" w:color="auto"/>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48</w:t>
            </w:r>
          </w:p>
        </w:tc>
        <w:tc>
          <w:tcPr>
            <w:tcW w:w="990" w:type="dxa"/>
            <w:tcBorders>
              <w:top w:val="nil"/>
              <w:left w:val="nil"/>
              <w:bottom w:val="single" w:sz="4" w:space="0" w:color="auto"/>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51</w:t>
            </w:r>
          </w:p>
        </w:tc>
        <w:tc>
          <w:tcPr>
            <w:tcW w:w="964" w:type="dxa"/>
            <w:tcBorders>
              <w:top w:val="nil"/>
              <w:bottom w:val="single" w:sz="4" w:space="0" w:color="auto"/>
              <w:right w:val="single" w:sz="4" w:space="0" w:color="auto"/>
            </w:tcBorders>
            <w:vAlign w:val="center"/>
          </w:tcPr>
          <w:p w:rsidR="00225239" w:rsidRPr="00565B6B" w:rsidRDefault="00225239" w:rsidP="003A7535">
            <w:pPr>
              <w:jc w:val="center"/>
              <w:rPr>
                <w:rFonts w:ascii="Calibri" w:hAnsi="Calibri"/>
                <w:color w:val="000000" w:themeColor="text1"/>
                <w:sz w:val="20"/>
                <w:szCs w:val="22"/>
              </w:rPr>
            </w:pPr>
            <w:r w:rsidRPr="00565B6B">
              <w:rPr>
                <w:rFonts w:ascii="Calibri" w:hAnsi="Calibri"/>
                <w:color w:val="000000" w:themeColor="text1"/>
                <w:sz w:val="20"/>
                <w:szCs w:val="22"/>
              </w:rPr>
              <w:t>48</w:t>
            </w:r>
          </w:p>
        </w:tc>
      </w:tr>
      <w:tr w:rsidR="00B13962" w:rsidRPr="00565B6B" w:rsidTr="00317955">
        <w:trPr>
          <w:trHeight w:val="300"/>
          <w:jc w:val="center"/>
        </w:trPr>
        <w:tc>
          <w:tcPr>
            <w:tcW w:w="11494" w:type="dxa"/>
            <w:gridSpan w:val="9"/>
            <w:tcBorders>
              <w:top w:val="single" w:sz="4" w:space="0" w:color="auto"/>
              <w:bottom w:val="single" w:sz="4" w:space="0" w:color="auto"/>
            </w:tcBorders>
          </w:tcPr>
          <w:p w:rsidR="00B13962" w:rsidRPr="00F21B33" w:rsidRDefault="00B13962" w:rsidP="003A7535">
            <w:pPr>
              <w:jc w:val="center"/>
              <w:rPr>
                <w:rFonts w:ascii="Calibri" w:hAnsi="Calibri"/>
                <w:color w:val="000000" w:themeColor="text1"/>
                <w:sz w:val="20"/>
                <w:szCs w:val="20"/>
              </w:rPr>
            </w:pPr>
          </w:p>
        </w:tc>
      </w:tr>
      <w:tr w:rsidR="00225239" w:rsidRPr="00565B6B" w:rsidTr="00317955">
        <w:trPr>
          <w:trHeight w:val="300"/>
          <w:jc w:val="center"/>
        </w:trPr>
        <w:tc>
          <w:tcPr>
            <w:tcW w:w="3600" w:type="dxa"/>
            <w:tcBorders>
              <w:top w:val="single" w:sz="4" w:space="0" w:color="auto"/>
              <w:left w:val="single" w:sz="4" w:space="0" w:color="auto"/>
              <w:bottom w:val="nil"/>
              <w:right w:val="single" w:sz="4" w:space="0" w:color="auto"/>
            </w:tcBorders>
            <w:shd w:val="clear" w:color="auto" w:fill="D9D9D9" w:themeFill="background1" w:themeFillShade="D9"/>
            <w:noWrap/>
            <w:vAlign w:val="center"/>
          </w:tcPr>
          <w:p w:rsidR="00225239" w:rsidRPr="00565B6B" w:rsidRDefault="00B13962" w:rsidP="00BA5E7C">
            <w:pPr>
              <w:jc w:val="center"/>
              <w:rPr>
                <w:rFonts w:ascii="Calibri" w:hAnsi="Calibri"/>
                <w:b/>
                <w:bCs/>
                <w:color w:val="000000" w:themeColor="text1"/>
                <w:sz w:val="18"/>
                <w:szCs w:val="18"/>
              </w:rPr>
            </w:pPr>
            <w:r w:rsidRPr="00F21B33">
              <w:rPr>
                <w:rFonts w:ascii="Calibri" w:hAnsi="Calibri"/>
                <w:color w:val="000000" w:themeColor="text1"/>
                <w:sz w:val="22"/>
                <w:szCs w:val="22"/>
              </w:rPr>
              <w:t>Teacher Survey Results</w:t>
            </w:r>
          </w:p>
        </w:tc>
        <w:tc>
          <w:tcPr>
            <w:tcW w:w="990" w:type="dxa"/>
            <w:tcBorders>
              <w:top w:val="single" w:sz="4" w:space="0" w:color="auto"/>
              <w:left w:val="nil"/>
              <w:bottom w:val="nil"/>
              <w:right w:val="nil"/>
            </w:tcBorders>
            <w:shd w:val="clear" w:color="auto" w:fill="D9D9D9" w:themeFill="background1" w:themeFillShade="D9"/>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Pr>
                <w:rFonts w:ascii="Calibri" w:hAnsi="Calibri"/>
                <w:b/>
                <w:bCs/>
                <w:i/>
                <w:iCs/>
                <w:color w:val="000000" w:themeColor="text1"/>
                <w:sz w:val="16"/>
                <w:szCs w:val="16"/>
              </w:rPr>
              <w:t>2012–13</w:t>
            </w:r>
          </w:p>
        </w:tc>
        <w:tc>
          <w:tcPr>
            <w:tcW w:w="990" w:type="dxa"/>
            <w:tcBorders>
              <w:top w:val="single" w:sz="4" w:space="0" w:color="auto"/>
              <w:left w:val="nil"/>
              <w:bottom w:val="nil"/>
              <w:right w:val="nil"/>
            </w:tcBorders>
            <w:shd w:val="clear" w:color="auto" w:fill="D9D9D9" w:themeFill="background1" w:themeFillShade="D9"/>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2011–12</w:t>
            </w:r>
          </w:p>
        </w:tc>
        <w:tc>
          <w:tcPr>
            <w:tcW w:w="1009" w:type="dxa"/>
            <w:tcBorders>
              <w:top w:val="single" w:sz="4" w:space="0" w:color="auto"/>
              <w:left w:val="nil"/>
              <w:bottom w:val="nil"/>
              <w:right w:val="nil"/>
            </w:tcBorders>
            <w:shd w:val="clear" w:color="auto" w:fill="D9D9D9" w:themeFill="background1" w:themeFillShade="D9"/>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2010–11</w:t>
            </w:r>
          </w:p>
        </w:tc>
        <w:tc>
          <w:tcPr>
            <w:tcW w:w="971" w:type="dxa"/>
            <w:tcBorders>
              <w:top w:val="single" w:sz="4" w:space="0" w:color="auto"/>
              <w:left w:val="nil"/>
              <w:bottom w:val="nil"/>
              <w:right w:val="nil"/>
            </w:tcBorders>
            <w:shd w:val="clear" w:color="auto" w:fill="D9D9D9" w:themeFill="background1" w:themeFillShade="D9"/>
            <w:noWrap/>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2009–10</w:t>
            </w:r>
          </w:p>
        </w:tc>
        <w:tc>
          <w:tcPr>
            <w:tcW w:w="990" w:type="dxa"/>
            <w:tcBorders>
              <w:top w:val="single" w:sz="4" w:space="0" w:color="auto"/>
              <w:left w:val="nil"/>
              <w:bottom w:val="nil"/>
              <w:right w:val="nil"/>
            </w:tcBorders>
            <w:shd w:val="clear" w:color="auto" w:fill="D9D9D9" w:themeFill="background1" w:themeFillShade="D9"/>
            <w:vAlign w:val="center"/>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2008–09</w:t>
            </w:r>
          </w:p>
        </w:tc>
        <w:tc>
          <w:tcPr>
            <w:tcW w:w="990" w:type="dxa"/>
            <w:tcBorders>
              <w:top w:val="single" w:sz="4" w:space="0" w:color="auto"/>
              <w:left w:val="nil"/>
              <w:bottom w:val="nil"/>
              <w:right w:val="nil"/>
            </w:tcBorders>
            <w:shd w:val="clear" w:color="auto" w:fill="D9D9D9" w:themeFill="background1" w:themeFillShade="D9"/>
            <w:vAlign w:val="center"/>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2007–08</w:t>
            </w:r>
          </w:p>
        </w:tc>
        <w:tc>
          <w:tcPr>
            <w:tcW w:w="990" w:type="dxa"/>
            <w:tcBorders>
              <w:top w:val="single" w:sz="4" w:space="0" w:color="auto"/>
              <w:left w:val="nil"/>
              <w:bottom w:val="nil"/>
            </w:tcBorders>
            <w:shd w:val="clear" w:color="auto" w:fill="D9D9D9" w:themeFill="background1" w:themeFillShade="D9"/>
            <w:vAlign w:val="center"/>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2006–07</w:t>
            </w:r>
          </w:p>
        </w:tc>
        <w:tc>
          <w:tcPr>
            <w:tcW w:w="964" w:type="dxa"/>
            <w:tcBorders>
              <w:top w:val="single" w:sz="4" w:space="0" w:color="auto"/>
              <w:right w:val="single" w:sz="4" w:space="0" w:color="auto"/>
            </w:tcBorders>
            <w:shd w:val="clear" w:color="auto" w:fill="D9D9D9" w:themeFill="background1" w:themeFillShade="D9"/>
            <w:vAlign w:val="center"/>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2005–06</w:t>
            </w:r>
          </w:p>
        </w:tc>
      </w:tr>
      <w:tr w:rsidR="00225239" w:rsidRPr="00565B6B" w:rsidTr="00317955">
        <w:trPr>
          <w:trHeight w:val="300"/>
          <w:jc w:val="center"/>
        </w:trPr>
        <w:tc>
          <w:tcPr>
            <w:tcW w:w="3600" w:type="dxa"/>
            <w:tcBorders>
              <w:top w:val="single" w:sz="4" w:space="0" w:color="auto"/>
              <w:left w:val="single" w:sz="4" w:space="0" w:color="auto"/>
              <w:bottom w:val="nil"/>
              <w:right w:val="single" w:sz="4" w:space="0" w:color="auto"/>
            </w:tcBorders>
            <w:noWrap/>
            <w:vAlign w:val="center"/>
          </w:tcPr>
          <w:p w:rsidR="00225239" w:rsidRPr="00F21B33" w:rsidRDefault="00225239" w:rsidP="003A7535">
            <w:pPr>
              <w:rPr>
                <w:rFonts w:ascii="Calibri" w:hAnsi="Calibri"/>
                <w:color w:val="000000" w:themeColor="text1"/>
                <w:sz w:val="18"/>
                <w:szCs w:val="18"/>
              </w:rPr>
            </w:pPr>
            <w:r w:rsidRPr="00F21B33">
              <w:rPr>
                <w:rFonts w:ascii="Calibri" w:hAnsi="Calibri"/>
                <w:color w:val="000000" w:themeColor="text1"/>
                <w:sz w:val="18"/>
                <w:szCs w:val="18"/>
              </w:rPr>
              <w:t>Improved HW Completion and Class Partic.</w:t>
            </w:r>
          </w:p>
        </w:tc>
        <w:tc>
          <w:tcPr>
            <w:tcW w:w="990" w:type="dxa"/>
            <w:tcBorders>
              <w:top w:val="single" w:sz="4" w:space="0" w:color="auto"/>
              <w:left w:val="nil"/>
              <w:bottom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72</w:t>
            </w:r>
          </w:p>
        </w:tc>
        <w:tc>
          <w:tcPr>
            <w:tcW w:w="990" w:type="dxa"/>
            <w:tcBorders>
              <w:top w:val="single" w:sz="4" w:space="0" w:color="auto"/>
              <w:left w:val="nil"/>
              <w:bottom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73</w:t>
            </w:r>
          </w:p>
        </w:tc>
        <w:tc>
          <w:tcPr>
            <w:tcW w:w="1009" w:type="dxa"/>
            <w:tcBorders>
              <w:top w:val="single" w:sz="4" w:space="0" w:color="auto"/>
              <w:left w:val="nil"/>
              <w:bottom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72</w:t>
            </w:r>
          </w:p>
        </w:tc>
        <w:tc>
          <w:tcPr>
            <w:tcW w:w="971" w:type="dxa"/>
            <w:tcBorders>
              <w:top w:val="single" w:sz="4" w:space="0" w:color="auto"/>
              <w:left w:val="nil"/>
              <w:bottom w:val="nil"/>
              <w:right w:val="nil"/>
            </w:tcBorders>
            <w:noWrap/>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72</w:t>
            </w:r>
          </w:p>
        </w:tc>
        <w:tc>
          <w:tcPr>
            <w:tcW w:w="990" w:type="dxa"/>
            <w:tcBorders>
              <w:top w:val="single" w:sz="4" w:space="0" w:color="auto"/>
              <w:left w:val="nil"/>
              <w:bottom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73</w:t>
            </w:r>
          </w:p>
        </w:tc>
        <w:tc>
          <w:tcPr>
            <w:tcW w:w="990" w:type="dxa"/>
            <w:tcBorders>
              <w:top w:val="single" w:sz="4" w:space="0" w:color="auto"/>
              <w:left w:val="nil"/>
              <w:bottom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76</w:t>
            </w:r>
          </w:p>
        </w:tc>
        <w:tc>
          <w:tcPr>
            <w:tcW w:w="990" w:type="dxa"/>
            <w:tcBorders>
              <w:top w:val="single" w:sz="4" w:space="0" w:color="auto"/>
              <w:left w:val="nil"/>
              <w:bottom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75</w:t>
            </w:r>
          </w:p>
        </w:tc>
        <w:tc>
          <w:tcPr>
            <w:tcW w:w="964" w:type="dxa"/>
            <w:tcBorders>
              <w:top w:val="single" w:sz="4" w:space="0" w:color="auto"/>
              <w:right w:val="single" w:sz="4" w:space="0" w:color="auto"/>
            </w:tcBorders>
            <w:vAlign w:val="center"/>
          </w:tcPr>
          <w:p w:rsidR="00225239" w:rsidRPr="00565B6B" w:rsidRDefault="00225239" w:rsidP="003A7535">
            <w:pPr>
              <w:jc w:val="center"/>
              <w:rPr>
                <w:rFonts w:ascii="Calibri" w:hAnsi="Calibri"/>
                <w:color w:val="000000" w:themeColor="text1"/>
                <w:sz w:val="20"/>
                <w:szCs w:val="22"/>
              </w:rPr>
            </w:pPr>
            <w:r w:rsidRPr="00565B6B">
              <w:rPr>
                <w:rFonts w:ascii="Calibri" w:hAnsi="Calibri"/>
                <w:color w:val="000000" w:themeColor="text1"/>
                <w:sz w:val="20"/>
                <w:szCs w:val="22"/>
              </w:rPr>
              <w:t>73</w:t>
            </w:r>
          </w:p>
        </w:tc>
      </w:tr>
      <w:tr w:rsidR="00225239" w:rsidRPr="00565B6B" w:rsidTr="00317955">
        <w:trPr>
          <w:trHeight w:val="300"/>
          <w:jc w:val="center"/>
        </w:trPr>
        <w:tc>
          <w:tcPr>
            <w:tcW w:w="3600" w:type="dxa"/>
            <w:tcBorders>
              <w:top w:val="nil"/>
              <w:left w:val="single" w:sz="4" w:space="0" w:color="auto"/>
              <w:bottom w:val="single" w:sz="4" w:space="0" w:color="auto"/>
              <w:right w:val="single" w:sz="4" w:space="0" w:color="auto"/>
            </w:tcBorders>
            <w:noWrap/>
            <w:vAlign w:val="center"/>
          </w:tcPr>
          <w:p w:rsidR="00225239" w:rsidRPr="00F21B33" w:rsidRDefault="00225239" w:rsidP="003A7535">
            <w:pPr>
              <w:rPr>
                <w:rFonts w:ascii="Calibri" w:hAnsi="Calibri"/>
                <w:color w:val="000000" w:themeColor="text1"/>
                <w:sz w:val="18"/>
                <w:szCs w:val="18"/>
              </w:rPr>
            </w:pPr>
            <w:r w:rsidRPr="00F21B33">
              <w:rPr>
                <w:rFonts w:ascii="Calibri" w:hAnsi="Calibri"/>
                <w:color w:val="000000" w:themeColor="text1"/>
                <w:sz w:val="18"/>
                <w:szCs w:val="18"/>
              </w:rPr>
              <w:t>Improved Student Behavior</w:t>
            </w:r>
          </w:p>
        </w:tc>
        <w:tc>
          <w:tcPr>
            <w:tcW w:w="990" w:type="dxa"/>
            <w:tcBorders>
              <w:top w:val="nil"/>
              <w:left w:val="nil"/>
              <w:bottom w:val="single" w:sz="4" w:space="0" w:color="auto"/>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67</w:t>
            </w:r>
          </w:p>
        </w:tc>
        <w:tc>
          <w:tcPr>
            <w:tcW w:w="990" w:type="dxa"/>
            <w:tcBorders>
              <w:top w:val="nil"/>
              <w:left w:val="nil"/>
              <w:bottom w:val="single" w:sz="4" w:space="0" w:color="auto"/>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68</w:t>
            </w:r>
          </w:p>
        </w:tc>
        <w:tc>
          <w:tcPr>
            <w:tcW w:w="1009" w:type="dxa"/>
            <w:tcBorders>
              <w:top w:val="nil"/>
              <w:left w:val="nil"/>
              <w:bottom w:val="single" w:sz="4" w:space="0" w:color="auto"/>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67</w:t>
            </w:r>
          </w:p>
        </w:tc>
        <w:tc>
          <w:tcPr>
            <w:tcW w:w="971" w:type="dxa"/>
            <w:tcBorders>
              <w:top w:val="nil"/>
              <w:left w:val="nil"/>
              <w:bottom w:val="single" w:sz="4" w:space="0" w:color="auto"/>
              <w:right w:val="nil"/>
            </w:tcBorders>
            <w:noWrap/>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67</w:t>
            </w:r>
          </w:p>
        </w:tc>
        <w:tc>
          <w:tcPr>
            <w:tcW w:w="990" w:type="dxa"/>
            <w:tcBorders>
              <w:top w:val="nil"/>
              <w:left w:val="nil"/>
              <w:bottom w:val="single" w:sz="4" w:space="0" w:color="auto"/>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69</w:t>
            </w:r>
          </w:p>
        </w:tc>
        <w:tc>
          <w:tcPr>
            <w:tcW w:w="990" w:type="dxa"/>
            <w:tcBorders>
              <w:top w:val="nil"/>
              <w:left w:val="nil"/>
              <w:bottom w:val="single" w:sz="4" w:space="0" w:color="auto"/>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72</w:t>
            </w:r>
          </w:p>
        </w:tc>
        <w:tc>
          <w:tcPr>
            <w:tcW w:w="990" w:type="dxa"/>
            <w:tcBorders>
              <w:top w:val="nil"/>
              <w:left w:val="nil"/>
              <w:bottom w:val="single" w:sz="4" w:space="0" w:color="auto"/>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71</w:t>
            </w:r>
          </w:p>
        </w:tc>
        <w:tc>
          <w:tcPr>
            <w:tcW w:w="964" w:type="dxa"/>
            <w:tcBorders>
              <w:top w:val="nil"/>
              <w:bottom w:val="single" w:sz="4" w:space="0" w:color="auto"/>
              <w:right w:val="single" w:sz="4" w:space="0" w:color="auto"/>
            </w:tcBorders>
            <w:vAlign w:val="center"/>
          </w:tcPr>
          <w:p w:rsidR="00225239" w:rsidRPr="00565B6B" w:rsidRDefault="00225239" w:rsidP="003A7535">
            <w:pPr>
              <w:jc w:val="center"/>
              <w:rPr>
                <w:rFonts w:ascii="Calibri" w:hAnsi="Calibri"/>
                <w:color w:val="000000" w:themeColor="text1"/>
                <w:sz w:val="20"/>
                <w:szCs w:val="22"/>
              </w:rPr>
            </w:pPr>
            <w:r w:rsidRPr="00565B6B">
              <w:rPr>
                <w:rFonts w:ascii="Calibri" w:hAnsi="Calibri"/>
                <w:color w:val="000000" w:themeColor="text1"/>
                <w:sz w:val="20"/>
                <w:szCs w:val="22"/>
              </w:rPr>
              <w:t>68</w:t>
            </w:r>
          </w:p>
        </w:tc>
      </w:tr>
      <w:tr w:rsidR="00B13962" w:rsidRPr="00565B6B" w:rsidTr="00317955">
        <w:trPr>
          <w:trHeight w:val="300"/>
          <w:jc w:val="center"/>
        </w:trPr>
        <w:tc>
          <w:tcPr>
            <w:tcW w:w="11494" w:type="dxa"/>
            <w:gridSpan w:val="9"/>
            <w:tcBorders>
              <w:top w:val="single" w:sz="4" w:space="0" w:color="auto"/>
              <w:bottom w:val="single" w:sz="4" w:space="0" w:color="auto"/>
            </w:tcBorders>
          </w:tcPr>
          <w:p w:rsidR="00317955" w:rsidRPr="00F21B33" w:rsidRDefault="00317955" w:rsidP="00B13962">
            <w:pPr>
              <w:rPr>
                <w:rFonts w:ascii="Calibri" w:hAnsi="Calibri"/>
                <w:color w:val="000000" w:themeColor="text1"/>
                <w:sz w:val="20"/>
                <w:szCs w:val="20"/>
              </w:rPr>
            </w:pPr>
          </w:p>
        </w:tc>
      </w:tr>
      <w:tr w:rsidR="00225239" w:rsidRPr="00565B6B" w:rsidTr="00317955">
        <w:trPr>
          <w:trHeight w:val="300"/>
          <w:jc w:val="center"/>
        </w:trPr>
        <w:tc>
          <w:tcPr>
            <w:tcW w:w="3600" w:type="dxa"/>
            <w:tcBorders>
              <w:top w:val="single" w:sz="4" w:space="0" w:color="auto"/>
              <w:left w:val="single" w:sz="4" w:space="0" w:color="auto"/>
              <w:right w:val="single" w:sz="4" w:space="0" w:color="auto"/>
            </w:tcBorders>
            <w:shd w:val="clear" w:color="auto" w:fill="D9D9D9" w:themeFill="background1" w:themeFillShade="D9"/>
            <w:noWrap/>
            <w:vAlign w:val="center"/>
          </w:tcPr>
          <w:p w:rsidR="00225239" w:rsidRPr="00565B6B" w:rsidRDefault="00B13962" w:rsidP="00BA5E7C">
            <w:pPr>
              <w:jc w:val="center"/>
              <w:rPr>
                <w:rFonts w:ascii="Calibri" w:hAnsi="Calibri"/>
                <w:b/>
                <w:bCs/>
                <w:color w:val="000000" w:themeColor="text1"/>
                <w:sz w:val="18"/>
                <w:szCs w:val="18"/>
              </w:rPr>
            </w:pPr>
            <w:r w:rsidRPr="00F21B33">
              <w:rPr>
                <w:rFonts w:ascii="Calibri" w:hAnsi="Calibri"/>
                <w:color w:val="000000" w:themeColor="text1"/>
                <w:sz w:val="22"/>
                <w:szCs w:val="22"/>
              </w:rPr>
              <w:t>By Attendance Gradation</w:t>
            </w:r>
          </w:p>
        </w:tc>
        <w:tc>
          <w:tcPr>
            <w:tcW w:w="990" w:type="dxa"/>
            <w:tcBorders>
              <w:top w:val="single" w:sz="4" w:space="0" w:color="auto"/>
              <w:left w:val="nil"/>
              <w:right w:val="nil"/>
            </w:tcBorders>
            <w:shd w:val="clear" w:color="auto" w:fill="D9D9D9" w:themeFill="background1" w:themeFillShade="D9"/>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Pr>
                <w:rFonts w:ascii="Calibri" w:hAnsi="Calibri"/>
                <w:b/>
                <w:bCs/>
                <w:i/>
                <w:iCs/>
                <w:color w:val="000000" w:themeColor="text1"/>
                <w:sz w:val="16"/>
                <w:szCs w:val="16"/>
              </w:rPr>
              <w:t>2012–13</w:t>
            </w:r>
          </w:p>
        </w:tc>
        <w:tc>
          <w:tcPr>
            <w:tcW w:w="990" w:type="dxa"/>
            <w:tcBorders>
              <w:top w:val="single" w:sz="4" w:space="0" w:color="auto"/>
              <w:left w:val="nil"/>
              <w:right w:val="nil"/>
            </w:tcBorders>
            <w:shd w:val="clear" w:color="auto" w:fill="D9D9D9" w:themeFill="background1" w:themeFillShade="D9"/>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2011–12</w:t>
            </w:r>
          </w:p>
        </w:tc>
        <w:tc>
          <w:tcPr>
            <w:tcW w:w="1009" w:type="dxa"/>
            <w:tcBorders>
              <w:top w:val="single" w:sz="4" w:space="0" w:color="auto"/>
              <w:left w:val="nil"/>
              <w:right w:val="nil"/>
            </w:tcBorders>
            <w:shd w:val="clear" w:color="auto" w:fill="D9D9D9" w:themeFill="background1" w:themeFillShade="D9"/>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2010–11</w:t>
            </w:r>
          </w:p>
        </w:tc>
        <w:tc>
          <w:tcPr>
            <w:tcW w:w="971" w:type="dxa"/>
            <w:tcBorders>
              <w:top w:val="single" w:sz="4" w:space="0" w:color="auto"/>
              <w:left w:val="nil"/>
              <w:right w:val="nil"/>
            </w:tcBorders>
            <w:shd w:val="clear" w:color="auto" w:fill="D9D9D9" w:themeFill="background1" w:themeFillShade="D9"/>
            <w:noWrap/>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2009–10</w:t>
            </w:r>
          </w:p>
        </w:tc>
        <w:tc>
          <w:tcPr>
            <w:tcW w:w="990" w:type="dxa"/>
            <w:tcBorders>
              <w:top w:val="single" w:sz="4" w:space="0" w:color="auto"/>
              <w:left w:val="nil"/>
              <w:right w:val="nil"/>
            </w:tcBorders>
            <w:shd w:val="clear" w:color="auto" w:fill="D9D9D9" w:themeFill="background1" w:themeFillShade="D9"/>
            <w:vAlign w:val="center"/>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2008–09</w:t>
            </w:r>
          </w:p>
        </w:tc>
        <w:tc>
          <w:tcPr>
            <w:tcW w:w="990" w:type="dxa"/>
            <w:tcBorders>
              <w:top w:val="single" w:sz="4" w:space="0" w:color="auto"/>
              <w:left w:val="nil"/>
              <w:right w:val="nil"/>
            </w:tcBorders>
            <w:shd w:val="clear" w:color="auto" w:fill="D9D9D9" w:themeFill="background1" w:themeFillShade="D9"/>
            <w:vAlign w:val="center"/>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2007–08</w:t>
            </w:r>
          </w:p>
        </w:tc>
        <w:tc>
          <w:tcPr>
            <w:tcW w:w="990" w:type="dxa"/>
            <w:tcBorders>
              <w:top w:val="single" w:sz="4" w:space="0" w:color="auto"/>
              <w:left w:val="nil"/>
            </w:tcBorders>
            <w:shd w:val="clear" w:color="auto" w:fill="D9D9D9" w:themeFill="background1" w:themeFillShade="D9"/>
            <w:vAlign w:val="center"/>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2006–07</w:t>
            </w:r>
          </w:p>
        </w:tc>
        <w:tc>
          <w:tcPr>
            <w:tcW w:w="964" w:type="dxa"/>
            <w:tcBorders>
              <w:top w:val="single" w:sz="4" w:space="0" w:color="auto"/>
              <w:right w:val="single" w:sz="4" w:space="0" w:color="auto"/>
            </w:tcBorders>
            <w:shd w:val="clear" w:color="auto" w:fill="D9D9D9" w:themeFill="background1" w:themeFillShade="D9"/>
            <w:vAlign w:val="center"/>
          </w:tcPr>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 Increase</w:t>
            </w:r>
          </w:p>
          <w:p w:rsidR="00225239" w:rsidRPr="00565B6B" w:rsidRDefault="00225239" w:rsidP="00BA5E7C">
            <w:pPr>
              <w:jc w:val="center"/>
              <w:rPr>
                <w:rFonts w:ascii="Calibri" w:hAnsi="Calibri"/>
                <w:b/>
                <w:bCs/>
                <w:i/>
                <w:iCs/>
                <w:color w:val="000000" w:themeColor="text1"/>
                <w:sz w:val="16"/>
                <w:szCs w:val="16"/>
              </w:rPr>
            </w:pPr>
            <w:r w:rsidRPr="00565B6B">
              <w:rPr>
                <w:rFonts w:ascii="Calibri" w:hAnsi="Calibri"/>
                <w:b/>
                <w:bCs/>
                <w:i/>
                <w:iCs/>
                <w:color w:val="000000" w:themeColor="text1"/>
                <w:sz w:val="16"/>
                <w:szCs w:val="16"/>
              </w:rPr>
              <w:t>2005–06</w:t>
            </w:r>
          </w:p>
        </w:tc>
      </w:tr>
      <w:tr w:rsidR="00225239" w:rsidRPr="00565B6B" w:rsidTr="00317955">
        <w:trPr>
          <w:trHeight w:val="300"/>
          <w:jc w:val="center"/>
        </w:trPr>
        <w:tc>
          <w:tcPr>
            <w:tcW w:w="3600" w:type="dxa"/>
            <w:tcBorders>
              <w:top w:val="single" w:sz="4" w:space="0" w:color="auto"/>
              <w:left w:val="single" w:sz="4" w:space="0" w:color="auto"/>
              <w:right w:val="single" w:sz="4" w:space="0" w:color="auto"/>
            </w:tcBorders>
            <w:noWrap/>
            <w:vAlign w:val="center"/>
          </w:tcPr>
          <w:p w:rsidR="00225239" w:rsidRPr="00F21B33" w:rsidRDefault="00225239" w:rsidP="003A7535">
            <w:pPr>
              <w:rPr>
                <w:rFonts w:ascii="Calibri" w:hAnsi="Calibri"/>
                <w:color w:val="000000" w:themeColor="text1"/>
                <w:sz w:val="18"/>
                <w:szCs w:val="18"/>
              </w:rPr>
            </w:pPr>
            <w:r w:rsidRPr="00F21B33">
              <w:rPr>
                <w:rFonts w:ascii="Calibri" w:hAnsi="Calibri"/>
                <w:color w:val="000000" w:themeColor="text1"/>
                <w:sz w:val="18"/>
                <w:szCs w:val="18"/>
              </w:rPr>
              <w:lastRenderedPageBreak/>
              <w:t>Improved HW Comp. and Class Partic. (30–59)</w:t>
            </w:r>
          </w:p>
        </w:tc>
        <w:tc>
          <w:tcPr>
            <w:tcW w:w="990" w:type="dxa"/>
            <w:tcBorders>
              <w:top w:val="single" w:sz="4" w:space="0" w:color="auto"/>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69</w:t>
            </w:r>
          </w:p>
        </w:tc>
        <w:tc>
          <w:tcPr>
            <w:tcW w:w="990" w:type="dxa"/>
            <w:tcBorders>
              <w:top w:val="single" w:sz="4" w:space="0" w:color="auto"/>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69</w:t>
            </w:r>
          </w:p>
        </w:tc>
        <w:tc>
          <w:tcPr>
            <w:tcW w:w="1009" w:type="dxa"/>
            <w:tcBorders>
              <w:top w:val="single" w:sz="4" w:space="0" w:color="auto"/>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68</w:t>
            </w:r>
          </w:p>
        </w:tc>
        <w:tc>
          <w:tcPr>
            <w:tcW w:w="971" w:type="dxa"/>
            <w:tcBorders>
              <w:top w:val="single" w:sz="4" w:space="0" w:color="auto"/>
              <w:left w:val="nil"/>
              <w:right w:val="nil"/>
            </w:tcBorders>
            <w:noWrap/>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68</w:t>
            </w:r>
          </w:p>
        </w:tc>
        <w:tc>
          <w:tcPr>
            <w:tcW w:w="990" w:type="dxa"/>
            <w:tcBorders>
              <w:top w:val="single" w:sz="4" w:space="0" w:color="auto"/>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69</w:t>
            </w:r>
          </w:p>
        </w:tc>
        <w:tc>
          <w:tcPr>
            <w:tcW w:w="990" w:type="dxa"/>
            <w:tcBorders>
              <w:top w:val="single" w:sz="4" w:space="0" w:color="auto"/>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71</w:t>
            </w:r>
          </w:p>
        </w:tc>
        <w:tc>
          <w:tcPr>
            <w:tcW w:w="990" w:type="dxa"/>
            <w:tcBorders>
              <w:top w:val="single" w:sz="4" w:space="0" w:color="auto"/>
              <w:lef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72</w:t>
            </w:r>
          </w:p>
        </w:tc>
        <w:tc>
          <w:tcPr>
            <w:tcW w:w="964" w:type="dxa"/>
            <w:tcBorders>
              <w:top w:val="single" w:sz="4" w:space="0" w:color="auto"/>
              <w:right w:val="single" w:sz="4" w:space="0" w:color="auto"/>
            </w:tcBorders>
            <w:vAlign w:val="center"/>
          </w:tcPr>
          <w:p w:rsidR="00225239" w:rsidRPr="00565B6B" w:rsidRDefault="00225239" w:rsidP="003A7535">
            <w:pPr>
              <w:jc w:val="center"/>
              <w:rPr>
                <w:rFonts w:ascii="Calibri" w:hAnsi="Calibri"/>
                <w:color w:val="000000" w:themeColor="text1"/>
                <w:sz w:val="20"/>
                <w:szCs w:val="22"/>
              </w:rPr>
            </w:pPr>
            <w:r w:rsidRPr="00565B6B">
              <w:rPr>
                <w:rFonts w:ascii="Calibri" w:hAnsi="Calibri"/>
                <w:color w:val="000000" w:themeColor="text1"/>
                <w:sz w:val="20"/>
                <w:szCs w:val="22"/>
              </w:rPr>
              <w:t>71</w:t>
            </w:r>
          </w:p>
        </w:tc>
      </w:tr>
      <w:tr w:rsidR="00225239" w:rsidRPr="00565B6B" w:rsidTr="00317955">
        <w:trPr>
          <w:trHeight w:val="300"/>
          <w:jc w:val="center"/>
        </w:trPr>
        <w:tc>
          <w:tcPr>
            <w:tcW w:w="3600" w:type="dxa"/>
            <w:tcBorders>
              <w:top w:val="nil"/>
              <w:left w:val="single" w:sz="4" w:space="0" w:color="auto"/>
              <w:right w:val="single" w:sz="4" w:space="0" w:color="auto"/>
            </w:tcBorders>
            <w:noWrap/>
            <w:vAlign w:val="center"/>
          </w:tcPr>
          <w:p w:rsidR="00225239" w:rsidRPr="00F21B33" w:rsidRDefault="00225239" w:rsidP="003A7535">
            <w:pPr>
              <w:rPr>
                <w:rFonts w:ascii="Calibri" w:hAnsi="Calibri"/>
                <w:color w:val="000000" w:themeColor="text1"/>
                <w:sz w:val="18"/>
                <w:szCs w:val="18"/>
              </w:rPr>
            </w:pPr>
            <w:r w:rsidRPr="00F21B33">
              <w:rPr>
                <w:rFonts w:ascii="Calibri" w:hAnsi="Calibri"/>
                <w:color w:val="000000" w:themeColor="text1"/>
                <w:sz w:val="18"/>
                <w:szCs w:val="18"/>
              </w:rPr>
              <w:t>Improved HW Comp. and Class Partic. (60–89)</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71</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71</w:t>
            </w:r>
          </w:p>
        </w:tc>
        <w:tc>
          <w:tcPr>
            <w:tcW w:w="1009"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71</w:t>
            </w:r>
          </w:p>
        </w:tc>
        <w:tc>
          <w:tcPr>
            <w:tcW w:w="971" w:type="dxa"/>
            <w:tcBorders>
              <w:top w:val="nil"/>
              <w:left w:val="nil"/>
              <w:right w:val="nil"/>
            </w:tcBorders>
            <w:noWrap/>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70</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71</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72</w:t>
            </w:r>
          </w:p>
        </w:tc>
        <w:tc>
          <w:tcPr>
            <w:tcW w:w="990" w:type="dxa"/>
            <w:tcBorders>
              <w:top w:val="nil"/>
              <w:lef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73</w:t>
            </w:r>
          </w:p>
        </w:tc>
        <w:tc>
          <w:tcPr>
            <w:tcW w:w="964" w:type="dxa"/>
            <w:tcBorders>
              <w:top w:val="nil"/>
              <w:right w:val="single" w:sz="4" w:space="0" w:color="auto"/>
            </w:tcBorders>
            <w:vAlign w:val="center"/>
          </w:tcPr>
          <w:p w:rsidR="00225239" w:rsidRPr="00565B6B" w:rsidRDefault="00225239" w:rsidP="003A7535">
            <w:pPr>
              <w:jc w:val="center"/>
              <w:rPr>
                <w:rFonts w:ascii="Calibri" w:hAnsi="Calibri"/>
                <w:color w:val="000000" w:themeColor="text1"/>
                <w:sz w:val="20"/>
                <w:szCs w:val="22"/>
              </w:rPr>
            </w:pPr>
            <w:r w:rsidRPr="00565B6B">
              <w:rPr>
                <w:rFonts w:ascii="Calibri" w:hAnsi="Calibri"/>
                <w:color w:val="000000" w:themeColor="text1"/>
                <w:sz w:val="20"/>
                <w:szCs w:val="22"/>
              </w:rPr>
              <w:t>74</w:t>
            </w:r>
          </w:p>
        </w:tc>
      </w:tr>
      <w:tr w:rsidR="00225239" w:rsidRPr="00565B6B" w:rsidTr="00317955">
        <w:trPr>
          <w:trHeight w:val="300"/>
          <w:jc w:val="center"/>
        </w:trPr>
        <w:tc>
          <w:tcPr>
            <w:tcW w:w="3600" w:type="dxa"/>
            <w:tcBorders>
              <w:top w:val="nil"/>
              <w:left w:val="single" w:sz="4" w:space="0" w:color="auto"/>
              <w:right w:val="single" w:sz="4" w:space="0" w:color="auto"/>
            </w:tcBorders>
            <w:noWrap/>
            <w:vAlign w:val="center"/>
          </w:tcPr>
          <w:p w:rsidR="00225239" w:rsidRPr="00F21B33" w:rsidRDefault="00225239" w:rsidP="003A7535">
            <w:pPr>
              <w:rPr>
                <w:rFonts w:ascii="Calibri" w:hAnsi="Calibri"/>
                <w:color w:val="000000" w:themeColor="text1"/>
                <w:sz w:val="18"/>
                <w:szCs w:val="18"/>
              </w:rPr>
            </w:pPr>
            <w:r w:rsidRPr="00F21B33">
              <w:rPr>
                <w:rFonts w:ascii="Calibri" w:hAnsi="Calibri"/>
                <w:color w:val="000000" w:themeColor="text1"/>
                <w:sz w:val="18"/>
                <w:szCs w:val="18"/>
              </w:rPr>
              <w:t>Improved HW Comp. and Class Partic. (90+)</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70</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72</w:t>
            </w:r>
          </w:p>
        </w:tc>
        <w:tc>
          <w:tcPr>
            <w:tcW w:w="1009"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71</w:t>
            </w:r>
          </w:p>
        </w:tc>
        <w:tc>
          <w:tcPr>
            <w:tcW w:w="971" w:type="dxa"/>
            <w:tcBorders>
              <w:top w:val="nil"/>
              <w:left w:val="nil"/>
              <w:right w:val="nil"/>
            </w:tcBorders>
            <w:noWrap/>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70</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72</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73</w:t>
            </w:r>
          </w:p>
        </w:tc>
        <w:tc>
          <w:tcPr>
            <w:tcW w:w="990" w:type="dxa"/>
            <w:tcBorders>
              <w:top w:val="nil"/>
              <w:lef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73</w:t>
            </w:r>
          </w:p>
        </w:tc>
        <w:tc>
          <w:tcPr>
            <w:tcW w:w="964" w:type="dxa"/>
            <w:tcBorders>
              <w:top w:val="nil"/>
              <w:right w:val="single" w:sz="4" w:space="0" w:color="auto"/>
            </w:tcBorders>
            <w:vAlign w:val="center"/>
          </w:tcPr>
          <w:p w:rsidR="00225239" w:rsidRPr="00565B6B" w:rsidRDefault="00225239" w:rsidP="003A7535">
            <w:pPr>
              <w:jc w:val="center"/>
              <w:rPr>
                <w:rFonts w:ascii="Calibri" w:hAnsi="Calibri"/>
                <w:color w:val="000000" w:themeColor="text1"/>
                <w:sz w:val="20"/>
                <w:szCs w:val="22"/>
              </w:rPr>
            </w:pPr>
            <w:r w:rsidRPr="00565B6B">
              <w:rPr>
                <w:rFonts w:ascii="Calibri" w:hAnsi="Calibri"/>
                <w:color w:val="000000" w:themeColor="text1"/>
                <w:sz w:val="20"/>
                <w:szCs w:val="22"/>
              </w:rPr>
              <w:t>76</w:t>
            </w:r>
          </w:p>
        </w:tc>
      </w:tr>
      <w:tr w:rsidR="00225239" w:rsidRPr="00565B6B" w:rsidTr="00317955">
        <w:trPr>
          <w:trHeight w:val="300"/>
          <w:jc w:val="center"/>
        </w:trPr>
        <w:tc>
          <w:tcPr>
            <w:tcW w:w="3600" w:type="dxa"/>
            <w:tcBorders>
              <w:top w:val="nil"/>
              <w:left w:val="single" w:sz="4" w:space="0" w:color="auto"/>
              <w:right w:val="single" w:sz="4" w:space="0" w:color="auto"/>
            </w:tcBorders>
            <w:noWrap/>
            <w:vAlign w:val="center"/>
          </w:tcPr>
          <w:p w:rsidR="00225239" w:rsidRPr="00F21B33" w:rsidRDefault="00225239" w:rsidP="003A7535">
            <w:pPr>
              <w:rPr>
                <w:rFonts w:ascii="Calibri" w:hAnsi="Calibri"/>
                <w:color w:val="000000" w:themeColor="text1"/>
                <w:sz w:val="18"/>
                <w:szCs w:val="18"/>
              </w:rPr>
            </w:pPr>
            <w:r w:rsidRPr="00F21B33">
              <w:rPr>
                <w:rFonts w:ascii="Calibri" w:hAnsi="Calibri"/>
                <w:color w:val="000000" w:themeColor="text1"/>
                <w:sz w:val="18"/>
                <w:szCs w:val="18"/>
              </w:rPr>
              <w:t>Improved Student Behavior (30–59)</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64</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64</w:t>
            </w:r>
          </w:p>
        </w:tc>
        <w:tc>
          <w:tcPr>
            <w:tcW w:w="1009"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63</w:t>
            </w:r>
          </w:p>
        </w:tc>
        <w:tc>
          <w:tcPr>
            <w:tcW w:w="971" w:type="dxa"/>
            <w:tcBorders>
              <w:top w:val="nil"/>
              <w:left w:val="nil"/>
              <w:right w:val="nil"/>
            </w:tcBorders>
            <w:noWrap/>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62</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64</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66</w:t>
            </w:r>
          </w:p>
        </w:tc>
        <w:tc>
          <w:tcPr>
            <w:tcW w:w="990" w:type="dxa"/>
            <w:tcBorders>
              <w:top w:val="nil"/>
              <w:lef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67</w:t>
            </w:r>
          </w:p>
        </w:tc>
        <w:tc>
          <w:tcPr>
            <w:tcW w:w="964" w:type="dxa"/>
            <w:tcBorders>
              <w:top w:val="nil"/>
              <w:right w:val="single" w:sz="4" w:space="0" w:color="auto"/>
            </w:tcBorders>
            <w:vAlign w:val="center"/>
          </w:tcPr>
          <w:p w:rsidR="00225239" w:rsidRPr="00565B6B" w:rsidRDefault="00225239" w:rsidP="003A7535">
            <w:pPr>
              <w:jc w:val="center"/>
              <w:rPr>
                <w:rFonts w:ascii="Calibri" w:hAnsi="Calibri"/>
                <w:color w:val="000000" w:themeColor="text1"/>
                <w:sz w:val="20"/>
                <w:szCs w:val="22"/>
              </w:rPr>
            </w:pPr>
            <w:r w:rsidRPr="00565B6B">
              <w:rPr>
                <w:rFonts w:ascii="Calibri" w:hAnsi="Calibri"/>
                <w:color w:val="000000" w:themeColor="text1"/>
                <w:sz w:val="20"/>
                <w:szCs w:val="22"/>
              </w:rPr>
              <w:t>66</w:t>
            </w:r>
          </w:p>
        </w:tc>
      </w:tr>
      <w:tr w:rsidR="00225239" w:rsidRPr="00565B6B" w:rsidTr="00317955">
        <w:trPr>
          <w:trHeight w:val="300"/>
          <w:jc w:val="center"/>
        </w:trPr>
        <w:tc>
          <w:tcPr>
            <w:tcW w:w="3600" w:type="dxa"/>
            <w:tcBorders>
              <w:top w:val="nil"/>
              <w:left w:val="single" w:sz="4" w:space="0" w:color="auto"/>
              <w:right w:val="single" w:sz="4" w:space="0" w:color="auto"/>
            </w:tcBorders>
            <w:noWrap/>
            <w:vAlign w:val="center"/>
          </w:tcPr>
          <w:p w:rsidR="00225239" w:rsidRPr="00F21B33" w:rsidRDefault="00225239" w:rsidP="003A7535">
            <w:pPr>
              <w:rPr>
                <w:rFonts w:ascii="Calibri" w:hAnsi="Calibri"/>
                <w:color w:val="000000" w:themeColor="text1"/>
                <w:sz w:val="18"/>
                <w:szCs w:val="18"/>
              </w:rPr>
            </w:pPr>
            <w:r w:rsidRPr="00F21B33">
              <w:rPr>
                <w:rFonts w:ascii="Calibri" w:hAnsi="Calibri"/>
                <w:color w:val="000000" w:themeColor="text1"/>
                <w:sz w:val="18"/>
                <w:szCs w:val="18"/>
              </w:rPr>
              <w:t>Improved Student Behavior (60–89)</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65</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65</w:t>
            </w:r>
          </w:p>
        </w:tc>
        <w:tc>
          <w:tcPr>
            <w:tcW w:w="1009"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65</w:t>
            </w:r>
          </w:p>
        </w:tc>
        <w:tc>
          <w:tcPr>
            <w:tcW w:w="971" w:type="dxa"/>
            <w:tcBorders>
              <w:top w:val="nil"/>
              <w:left w:val="nil"/>
              <w:right w:val="nil"/>
            </w:tcBorders>
            <w:noWrap/>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65</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65</w:t>
            </w:r>
          </w:p>
        </w:tc>
        <w:tc>
          <w:tcPr>
            <w:tcW w:w="990" w:type="dxa"/>
            <w:tcBorders>
              <w:top w:val="nil"/>
              <w:left w:val="nil"/>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66</w:t>
            </w:r>
          </w:p>
        </w:tc>
        <w:tc>
          <w:tcPr>
            <w:tcW w:w="990" w:type="dxa"/>
            <w:tcBorders>
              <w:top w:val="nil"/>
              <w:lef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67</w:t>
            </w:r>
          </w:p>
        </w:tc>
        <w:tc>
          <w:tcPr>
            <w:tcW w:w="964" w:type="dxa"/>
            <w:tcBorders>
              <w:top w:val="nil"/>
              <w:right w:val="single" w:sz="4" w:space="0" w:color="auto"/>
            </w:tcBorders>
            <w:vAlign w:val="center"/>
          </w:tcPr>
          <w:p w:rsidR="00225239" w:rsidRPr="00565B6B" w:rsidRDefault="00225239" w:rsidP="003A7535">
            <w:pPr>
              <w:jc w:val="center"/>
              <w:rPr>
                <w:rFonts w:ascii="Calibri" w:hAnsi="Calibri"/>
                <w:color w:val="000000" w:themeColor="text1"/>
                <w:sz w:val="20"/>
                <w:szCs w:val="22"/>
              </w:rPr>
            </w:pPr>
            <w:r w:rsidRPr="00565B6B">
              <w:rPr>
                <w:rFonts w:ascii="Calibri" w:hAnsi="Calibri"/>
                <w:color w:val="000000" w:themeColor="text1"/>
                <w:sz w:val="20"/>
                <w:szCs w:val="22"/>
              </w:rPr>
              <w:t>69</w:t>
            </w:r>
          </w:p>
        </w:tc>
      </w:tr>
      <w:tr w:rsidR="00225239" w:rsidRPr="00565B6B" w:rsidTr="00317955">
        <w:trPr>
          <w:trHeight w:val="87"/>
          <w:jc w:val="center"/>
        </w:trPr>
        <w:tc>
          <w:tcPr>
            <w:tcW w:w="3600" w:type="dxa"/>
            <w:tcBorders>
              <w:top w:val="nil"/>
              <w:left w:val="single" w:sz="4" w:space="0" w:color="auto"/>
              <w:bottom w:val="single" w:sz="4" w:space="0" w:color="auto"/>
              <w:right w:val="single" w:sz="4" w:space="0" w:color="auto"/>
            </w:tcBorders>
            <w:noWrap/>
            <w:vAlign w:val="center"/>
          </w:tcPr>
          <w:p w:rsidR="00225239" w:rsidRPr="00F21B33" w:rsidRDefault="00225239" w:rsidP="003A7535">
            <w:pPr>
              <w:rPr>
                <w:rFonts w:ascii="Calibri" w:hAnsi="Calibri"/>
                <w:color w:val="000000" w:themeColor="text1"/>
                <w:sz w:val="18"/>
                <w:szCs w:val="18"/>
              </w:rPr>
            </w:pPr>
            <w:r w:rsidRPr="00F21B33">
              <w:rPr>
                <w:rFonts w:ascii="Calibri" w:hAnsi="Calibri"/>
                <w:color w:val="000000" w:themeColor="text1"/>
                <w:sz w:val="18"/>
                <w:szCs w:val="18"/>
              </w:rPr>
              <w:t>Improved Student Behavior (90+)</w:t>
            </w:r>
          </w:p>
        </w:tc>
        <w:tc>
          <w:tcPr>
            <w:tcW w:w="990" w:type="dxa"/>
            <w:tcBorders>
              <w:top w:val="nil"/>
              <w:left w:val="nil"/>
              <w:bottom w:val="single" w:sz="4" w:space="0" w:color="auto"/>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64</w:t>
            </w:r>
          </w:p>
        </w:tc>
        <w:tc>
          <w:tcPr>
            <w:tcW w:w="990" w:type="dxa"/>
            <w:tcBorders>
              <w:top w:val="nil"/>
              <w:left w:val="nil"/>
              <w:bottom w:val="single" w:sz="4" w:space="0" w:color="auto"/>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66</w:t>
            </w:r>
          </w:p>
        </w:tc>
        <w:tc>
          <w:tcPr>
            <w:tcW w:w="1009" w:type="dxa"/>
            <w:tcBorders>
              <w:top w:val="nil"/>
              <w:left w:val="nil"/>
              <w:bottom w:val="single" w:sz="4" w:space="0" w:color="auto"/>
              <w:right w:val="nil"/>
            </w:tcBorders>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66</w:t>
            </w:r>
          </w:p>
        </w:tc>
        <w:tc>
          <w:tcPr>
            <w:tcW w:w="971" w:type="dxa"/>
            <w:tcBorders>
              <w:top w:val="nil"/>
              <w:left w:val="nil"/>
              <w:bottom w:val="single" w:sz="4" w:space="0" w:color="auto"/>
              <w:right w:val="nil"/>
            </w:tcBorders>
            <w:noWrap/>
            <w:vAlign w:val="center"/>
          </w:tcPr>
          <w:p w:rsidR="00225239" w:rsidRPr="00F21B33" w:rsidRDefault="00225239" w:rsidP="003A7535">
            <w:pPr>
              <w:jc w:val="center"/>
              <w:rPr>
                <w:rFonts w:ascii="Calibri" w:hAnsi="Calibri"/>
                <w:color w:val="000000" w:themeColor="text1"/>
                <w:sz w:val="20"/>
                <w:szCs w:val="20"/>
              </w:rPr>
            </w:pPr>
            <w:r w:rsidRPr="00F21B33">
              <w:rPr>
                <w:rFonts w:ascii="Calibri" w:hAnsi="Calibri"/>
                <w:color w:val="000000" w:themeColor="text1"/>
                <w:sz w:val="20"/>
                <w:szCs w:val="20"/>
              </w:rPr>
              <w:t>65</w:t>
            </w:r>
          </w:p>
        </w:tc>
        <w:tc>
          <w:tcPr>
            <w:tcW w:w="990" w:type="dxa"/>
            <w:tcBorders>
              <w:top w:val="nil"/>
              <w:left w:val="nil"/>
              <w:bottom w:val="single" w:sz="4" w:space="0" w:color="auto"/>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67</w:t>
            </w:r>
          </w:p>
        </w:tc>
        <w:tc>
          <w:tcPr>
            <w:tcW w:w="990" w:type="dxa"/>
            <w:tcBorders>
              <w:top w:val="nil"/>
              <w:left w:val="nil"/>
              <w:bottom w:val="single" w:sz="4" w:space="0" w:color="auto"/>
              <w:right w:val="nil"/>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68</w:t>
            </w:r>
          </w:p>
        </w:tc>
        <w:tc>
          <w:tcPr>
            <w:tcW w:w="990" w:type="dxa"/>
            <w:tcBorders>
              <w:top w:val="nil"/>
              <w:left w:val="nil"/>
              <w:bottom w:val="single" w:sz="4" w:space="0" w:color="auto"/>
            </w:tcBorders>
            <w:vAlign w:val="center"/>
          </w:tcPr>
          <w:p w:rsidR="00225239" w:rsidRPr="00F21B33" w:rsidRDefault="00225239" w:rsidP="003A7535">
            <w:pPr>
              <w:jc w:val="center"/>
              <w:rPr>
                <w:rFonts w:ascii="Calibri" w:hAnsi="Calibri"/>
                <w:color w:val="000000" w:themeColor="text1"/>
                <w:sz w:val="20"/>
                <w:szCs w:val="22"/>
              </w:rPr>
            </w:pPr>
            <w:r w:rsidRPr="00F21B33">
              <w:rPr>
                <w:rFonts w:ascii="Calibri" w:hAnsi="Calibri"/>
                <w:color w:val="000000" w:themeColor="text1"/>
                <w:sz w:val="20"/>
                <w:szCs w:val="22"/>
              </w:rPr>
              <w:t>69</w:t>
            </w:r>
          </w:p>
        </w:tc>
        <w:tc>
          <w:tcPr>
            <w:tcW w:w="964" w:type="dxa"/>
            <w:tcBorders>
              <w:top w:val="nil"/>
              <w:bottom w:val="single" w:sz="4" w:space="0" w:color="auto"/>
              <w:right w:val="single" w:sz="4" w:space="0" w:color="auto"/>
            </w:tcBorders>
            <w:vAlign w:val="center"/>
          </w:tcPr>
          <w:p w:rsidR="00225239" w:rsidRPr="00565B6B" w:rsidRDefault="00225239" w:rsidP="003A7535">
            <w:pPr>
              <w:jc w:val="center"/>
              <w:rPr>
                <w:rFonts w:ascii="Calibri" w:hAnsi="Calibri"/>
                <w:color w:val="000000" w:themeColor="text1"/>
                <w:sz w:val="20"/>
                <w:szCs w:val="22"/>
              </w:rPr>
            </w:pPr>
            <w:r w:rsidRPr="00565B6B">
              <w:rPr>
                <w:rFonts w:ascii="Calibri" w:hAnsi="Calibri"/>
                <w:color w:val="000000" w:themeColor="text1"/>
                <w:sz w:val="20"/>
                <w:szCs w:val="22"/>
              </w:rPr>
              <w:t>72</w:t>
            </w:r>
          </w:p>
        </w:tc>
      </w:tr>
    </w:tbl>
    <w:bookmarkEnd w:id="51"/>
    <w:bookmarkEnd w:id="52"/>
    <w:p w:rsidR="003A7535" w:rsidRPr="00565B6B" w:rsidRDefault="003A7535" w:rsidP="003A7535">
      <w:pPr>
        <w:pStyle w:val="SHeading1"/>
        <w:jc w:val="left"/>
        <w:rPr>
          <w:rFonts w:asciiTheme="minorHAnsi" w:hAnsiTheme="minorHAnsi"/>
          <w:b w:val="0"/>
          <w:color w:val="000000" w:themeColor="text1"/>
          <w:sz w:val="18"/>
          <w:szCs w:val="18"/>
        </w:rPr>
      </w:pPr>
      <w:r w:rsidRPr="00565B6B">
        <w:rPr>
          <w:rFonts w:asciiTheme="minorHAnsi" w:hAnsiTheme="minorHAnsi"/>
          <w:b w:val="0"/>
          <w:color w:val="000000" w:themeColor="text1"/>
          <w:sz w:val="18"/>
          <w:szCs w:val="18"/>
        </w:rPr>
        <w:t xml:space="preserve">*2003-2004 </w:t>
      </w:r>
      <w:r>
        <w:rPr>
          <w:rFonts w:asciiTheme="minorHAnsi" w:hAnsiTheme="minorHAnsi"/>
          <w:b w:val="0"/>
          <w:color w:val="000000" w:themeColor="text1"/>
          <w:sz w:val="18"/>
          <w:szCs w:val="18"/>
        </w:rPr>
        <w:t xml:space="preserve">and 2004-2005 </w:t>
      </w:r>
      <w:r w:rsidRPr="00565B6B">
        <w:rPr>
          <w:rFonts w:asciiTheme="minorHAnsi" w:hAnsiTheme="minorHAnsi"/>
          <w:b w:val="0"/>
          <w:color w:val="000000" w:themeColor="text1"/>
          <w:sz w:val="18"/>
          <w:szCs w:val="18"/>
        </w:rPr>
        <w:t>data were not included in the table.</w:t>
      </w:r>
    </w:p>
    <w:p w:rsidR="00A61C78" w:rsidRPr="00D07AC9" w:rsidRDefault="00A61C78" w:rsidP="003A7535">
      <w:pPr>
        <w:pStyle w:val="SHeading2"/>
        <w:rPr>
          <w:sz w:val="24"/>
          <w:highlight w:val="yellow"/>
        </w:rPr>
      </w:pPr>
    </w:p>
    <w:p w:rsidR="00795261" w:rsidRPr="00D64890" w:rsidRDefault="00795261" w:rsidP="009F2D1E">
      <w:pPr>
        <w:pStyle w:val="SHeading1"/>
        <w:rPr>
          <w:sz w:val="24"/>
        </w:rPr>
      </w:pPr>
    </w:p>
    <w:p w:rsidR="0027637D" w:rsidRDefault="0027637D" w:rsidP="0027637D">
      <w:pPr>
        <w:pStyle w:val="Caption"/>
        <w:rPr>
          <w:bCs w:val="0"/>
          <w:color w:val="000000"/>
          <w:szCs w:val="24"/>
        </w:rPr>
      </w:pPr>
      <w:proofErr w:type="gramStart"/>
      <w:r w:rsidRPr="00D64890">
        <w:rPr>
          <w:szCs w:val="24"/>
        </w:rPr>
        <w:t xml:space="preserve">Table </w:t>
      </w:r>
      <w:r w:rsidR="00F217BF">
        <w:rPr>
          <w:szCs w:val="24"/>
        </w:rPr>
        <w:t>15</w:t>
      </w:r>
      <w:r w:rsidRPr="00D64890">
        <w:rPr>
          <w:szCs w:val="24"/>
        </w:rPr>
        <w:t>.</w:t>
      </w:r>
      <w:proofErr w:type="gramEnd"/>
      <w:r w:rsidRPr="00D64890">
        <w:rPr>
          <w:szCs w:val="24"/>
        </w:rPr>
        <w:t xml:space="preserve"> N</w:t>
      </w:r>
      <w:r w:rsidRPr="00D64890">
        <w:rPr>
          <w:bCs w:val="0"/>
          <w:color w:val="000000"/>
          <w:szCs w:val="24"/>
        </w:rPr>
        <w:t>umber and Percent of Students</w:t>
      </w:r>
      <w:r w:rsidR="00F70234" w:rsidRPr="00D64890">
        <w:rPr>
          <w:bCs w:val="0"/>
          <w:color w:val="000000"/>
          <w:szCs w:val="24"/>
        </w:rPr>
        <w:t xml:space="preserve"> Maintaining Highest Grade</w:t>
      </w:r>
    </w:p>
    <w:tbl>
      <w:tblPr>
        <w:tblW w:w="10094" w:type="dxa"/>
        <w:tblInd w:w="93" w:type="dxa"/>
        <w:tblLook w:val="04A0" w:firstRow="1" w:lastRow="0" w:firstColumn="1" w:lastColumn="0" w:noHBand="0" w:noVBand="1"/>
      </w:tblPr>
      <w:tblGrid>
        <w:gridCol w:w="1760"/>
        <w:gridCol w:w="2265"/>
        <w:gridCol w:w="2265"/>
        <w:gridCol w:w="1885"/>
        <w:gridCol w:w="1919"/>
      </w:tblGrid>
      <w:tr w:rsidR="00673187" w:rsidTr="00673187">
        <w:trPr>
          <w:trHeight w:val="2628"/>
        </w:trPr>
        <w:tc>
          <w:tcPr>
            <w:tcW w:w="1760" w:type="dxa"/>
            <w:tcBorders>
              <w:top w:val="single" w:sz="6" w:space="0" w:color="auto"/>
              <w:left w:val="single" w:sz="8" w:space="0" w:color="auto"/>
              <w:bottom w:val="single" w:sz="8" w:space="0" w:color="auto"/>
              <w:right w:val="single" w:sz="8" w:space="0" w:color="auto"/>
            </w:tcBorders>
            <w:shd w:val="clear" w:color="000000" w:fill="7F7F7F"/>
            <w:vAlign w:val="center"/>
            <w:hideMark/>
          </w:tcPr>
          <w:p w:rsidR="00673187" w:rsidRDefault="00673187">
            <w:pPr>
              <w:jc w:val="center"/>
              <w:rPr>
                <w:rFonts w:ascii="Calibri" w:hAnsi="Calibri"/>
                <w:b/>
                <w:bCs/>
                <w:color w:val="FFFFFF"/>
                <w:sz w:val="22"/>
                <w:szCs w:val="22"/>
              </w:rPr>
            </w:pPr>
            <w:r>
              <w:rPr>
                <w:rFonts w:ascii="Calibri" w:hAnsi="Calibri"/>
                <w:b/>
                <w:bCs/>
                <w:color w:val="FFFFFF"/>
                <w:sz w:val="22"/>
                <w:szCs w:val="22"/>
              </w:rPr>
              <w:t>Year</w:t>
            </w:r>
          </w:p>
        </w:tc>
        <w:tc>
          <w:tcPr>
            <w:tcW w:w="2265" w:type="dxa"/>
            <w:tcBorders>
              <w:top w:val="single" w:sz="6" w:space="0" w:color="auto"/>
              <w:left w:val="nil"/>
              <w:bottom w:val="single" w:sz="8" w:space="0" w:color="auto"/>
              <w:right w:val="single" w:sz="8" w:space="0" w:color="auto"/>
            </w:tcBorders>
            <w:shd w:val="clear" w:color="000000" w:fill="D9D9D9"/>
            <w:vAlign w:val="center"/>
            <w:hideMark/>
          </w:tcPr>
          <w:p w:rsidR="00673187" w:rsidRDefault="00673187">
            <w:pPr>
              <w:jc w:val="center"/>
              <w:rPr>
                <w:rFonts w:ascii="Calibri" w:hAnsi="Calibri"/>
                <w:b/>
                <w:bCs/>
                <w:color w:val="000000"/>
                <w:sz w:val="22"/>
                <w:szCs w:val="22"/>
              </w:rPr>
            </w:pPr>
            <w:r>
              <w:rPr>
                <w:rFonts w:ascii="Calibri" w:hAnsi="Calibri"/>
                <w:b/>
                <w:bCs/>
                <w:color w:val="000000"/>
                <w:sz w:val="22"/>
                <w:szCs w:val="22"/>
              </w:rPr>
              <w:t>Highest Grade as % of All Grades Reported: Math</w:t>
            </w:r>
          </w:p>
        </w:tc>
        <w:tc>
          <w:tcPr>
            <w:tcW w:w="2265" w:type="dxa"/>
            <w:tcBorders>
              <w:top w:val="single" w:sz="6" w:space="0" w:color="auto"/>
              <w:left w:val="nil"/>
              <w:bottom w:val="single" w:sz="8" w:space="0" w:color="auto"/>
              <w:right w:val="single" w:sz="8" w:space="0" w:color="auto"/>
            </w:tcBorders>
            <w:shd w:val="clear" w:color="000000" w:fill="D9D9D9"/>
            <w:vAlign w:val="center"/>
            <w:hideMark/>
          </w:tcPr>
          <w:p w:rsidR="00673187" w:rsidRDefault="00673187">
            <w:pPr>
              <w:jc w:val="center"/>
              <w:rPr>
                <w:rFonts w:ascii="Calibri" w:hAnsi="Calibri"/>
                <w:b/>
                <w:bCs/>
                <w:color w:val="000000"/>
                <w:sz w:val="22"/>
                <w:szCs w:val="22"/>
              </w:rPr>
            </w:pPr>
            <w:r>
              <w:rPr>
                <w:rFonts w:ascii="Calibri" w:hAnsi="Calibri"/>
                <w:b/>
                <w:bCs/>
                <w:color w:val="000000"/>
                <w:sz w:val="22"/>
                <w:szCs w:val="22"/>
              </w:rPr>
              <w:t>Highest Grade as % of All Grades Reported: Reading</w:t>
            </w:r>
          </w:p>
        </w:tc>
        <w:tc>
          <w:tcPr>
            <w:tcW w:w="1885" w:type="dxa"/>
            <w:tcBorders>
              <w:top w:val="single" w:sz="6" w:space="0" w:color="auto"/>
              <w:left w:val="nil"/>
              <w:bottom w:val="single" w:sz="8" w:space="0" w:color="auto"/>
              <w:right w:val="single" w:sz="8" w:space="0" w:color="auto"/>
            </w:tcBorders>
            <w:shd w:val="clear" w:color="000000" w:fill="D9D9D9"/>
            <w:vAlign w:val="center"/>
            <w:hideMark/>
          </w:tcPr>
          <w:p w:rsidR="00673187" w:rsidRDefault="00673187">
            <w:pPr>
              <w:jc w:val="center"/>
              <w:rPr>
                <w:rFonts w:ascii="Calibri" w:hAnsi="Calibri"/>
                <w:b/>
                <w:bCs/>
                <w:color w:val="000000"/>
                <w:sz w:val="22"/>
                <w:szCs w:val="22"/>
              </w:rPr>
            </w:pPr>
            <w:r>
              <w:rPr>
                <w:rFonts w:ascii="Calibri" w:hAnsi="Calibri"/>
                <w:b/>
                <w:bCs/>
                <w:color w:val="000000"/>
                <w:sz w:val="22"/>
                <w:szCs w:val="22"/>
              </w:rPr>
              <w:t>Highest Grade N: Math</w:t>
            </w:r>
          </w:p>
        </w:tc>
        <w:tc>
          <w:tcPr>
            <w:tcW w:w="1919" w:type="dxa"/>
            <w:tcBorders>
              <w:top w:val="single" w:sz="6" w:space="0" w:color="auto"/>
              <w:left w:val="nil"/>
              <w:bottom w:val="single" w:sz="8" w:space="0" w:color="auto"/>
              <w:right w:val="single" w:sz="8" w:space="0" w:color="auto"/>
            </w:tcBorders>
            <w:shd w:val="clear" w:color="000000" w:fill="D9D9D9"/>
            <w:vAlign w:val="center"/>
            <w:hideMark/>
          </w:tcPr>
          <w:p w:rsidR="00673187" w:rsidRDefault="00673187">
            <w:pPr>
              <w:jc w:val="center"/>
              <w:rPr>
                <w:rFonts w:ascii="Calibri" w:hAnsi="Calibri"/>
                <w:b/>
                <w:bCs/>
                <w:color w:val="000000"/>
                <w:sz w:val="22"/>
                <w:szCs w:val="22"/>
              </w:rPr>
            </w:pPr>
            <w:r>
              <w:rPr>
                <w:rFonts w:ascii="Calibri" w:hAnsi="Calibri"/>
                <w:b/>
                <w:bCs/>
                <w:color w:val="000000"/>
                <w:sz w:val="22"/>
                <w:szCs w:val="22"/>
              </w:rPr>
              <w:t>Highest Grade N: Reading</w:t>
            </w:r>
          </w:p>
        </w:tc>
      </w:tr>
      <w:tr w:rsidR="00673187" w:rsidTr="00673187">
        <w:trPr>
          <w:trHeight w:val="343"/>
        </w:trPr>
        <w:tc>
          <w:tcPr>
            <w:tcW w:w="1760" w:type="dxa"/>
            <w:tcBorders>
              <w:top w:val="nil"/>
              <w:left w:val="single" w:sz="8" w:space="0" w:color="auto"/>
              <w:bottom w:val="single" w:sz="8" w:space="0" w:color="auto"/>
              <w:right w:val="single" w:sz="8" w:space="0" w:color="auto"/>
            </w:tcBorders>
            <w:shd w:val="clear" w:color="auto" w:fill="auto"/>
            <w:vAlign w:val="center"/>
            <w:hideMark/>
          </w:tcPr>
          <w:p w:rsidR="00673187" w:rsidRDefault="00673187">
            <w:pPr>
              <w:jc w:val="right"/>
              <w:rPr>
                <w:rFonts w:ascii="Calibri" w:hAnsi="Calibri"/>
                <w:b/>
                <w:bCs/>
                <w:color w:val="000000"/>
                <w:sz w:val="22"/>
                <w:szCs w:val="22"/>
              </w:rPr>
            </w:pPr>
            <w:r>
              <w:rPr>
                <w:rFonts w:ascii="Calibri" w:hAnsi="Calibri"/>
                <w:b/>
                <w:bCs/>
                <w:color w:val="000000"/>
                <w:sz w:val="22"/>
                <w:szCs w:val="22"/>
              </w:rPr>
              <w:t>2007</w:t>
            </w:r>
          </w:p>
        </w:tc>
        <w:tc>
          <w:tcPr>
            <w:tcW w:w="2265" w:type="dxa"/>
            <w:tcBorders>
              <w:top w:val="nil"/>
              <w:left w:val="nil"/>
              <w:bottom w:val="single" w:sz="8" w:space="0" w:color="auto"/>
              <w:right w:val="single" w:sz="8" w:space="0" w:color="auto"/>
            </w:tcBorders>
            <w:shd w:val="clear" w:color="auto" w:fill="auto"/>
            <w:vAlign w:val="center"/>
            <w:hideMark/>
          </w:tcPr>
          <w:p w:rsidR="00673187" w:rsidRDefault="00673187">
            <w:pPr>
              <w:jc w:val="center"/>
              <w:rPr>
                <w:rFonts w:ascii="Calibri" w:hAnsi="Calibri"/>
                <w:color w:val="000000"/>
                <w:sz w:val="22"/>
                <w:szCs w:val="22"/>
              </w:rPr>
            </w:pPr>
            <w:r>
              <w:rPr>
                <w:rFonts w:ascii="Calibri" w:hAnsi="Calibri"/>
                <w:color w:val="000000"/>
                <w:sz w:val="22"/>
                <w:szCs w:val="22"/>
              </w:rPr>
              <w:t>5.96%</w:t>
            </w:r>
          </w:p>
        </w:tc>
        <w:tc>
          <w:tcPr>
            <w:tcW w:w="2265" w:type="dxa"/>
            <w:tcBorders>
              <w:top w:val="nil"/>
              <w:left w:val="nil"/>
              <w:bottom w:val="single" w:sz="8" w:space="0" w:color="auto"/>
              <w:right w:val="single" w:sz="8" w:space="0" w:color="auto"/>
            </w:tcBorders>
            <w:shd w:val="clear" w:color="auto" w:fill="auto"/>
            <w:vAlign w:val="center"/>
            <w:hideMark/>
          </w:tcPr>
          <w:p w:rsidR="00673187" w:rsidRDefault="00673187">
            <w:pPr>
              <w:jc w:val="center"/>
              <w:rPr>
                <w:rFonts w:ascii="Calibri" w:hAnsi="Calibri"/>
                <w:color w:val="000000"/>
                <w:sz w:val="22"/>
                <w:szCs w:val="22"/>
              </w:rPr>
            </w:pPr>
            <w:r>
              <w:rPr>
                <w:rFonts w:ascii="Calibri" w:hAnsi="Calibri"/>
                <w:color w:val="000000"/>
                <w:sz w:val="22"/>
                <w:szCs w:val="22"/>
              </w:rPr>
              <w:t>5.76%</w:t>
            </w:r>
          </w:p>
        </w:tc>
        <w:tc>
          <w:tcPr>
            <w:tcW w:w="1885" w:type="dxa"/>
            <w:tcBorders>
              <w:top w:val="nil"/>
              <w:left w:val="nil"/>
              <w:bottom w:val="single" w:sz="8" w:space="0" w:color="auto"/>
              <w:right w:val="single" w:sz="8" w:space="0" w:color="auto"/>
            </w:tcBorders>
            <w:shd w:val="clear" w:color="auto" w:fill="auto"/>
            <w:vAlign w:val="center"/>
            <w:hideMark/>
          </w:tcPr>
          <w:p w:rsidR="00673187" w:rsidRDefault="00673187">
            <w:pPr>
              <w:jc w:val="center"/>
              <w:rPr>
                <w:rFonts w:ascii="Calibri" w:hAnsi="Calibri"/>
                <w:color w:val="000000"/>
                <w:sz w:val="22"/>
                <w:szCs w:val="22"/>
              </w:rPr>
            </w:pPr>
            <w:r>
              <w:rPr>
                <w:rFonts w:ascii="Calibri" w:hAnsi="Calibri"/>
                <w:color w:val="000000"/>
                <w:sz w:val="22"/>
                <w:szCs w:val="22"/>
              </w:rPr>
              <w:t>20,214</w:t>
            </w:r>
          </w:p>
        </w:tc>
        <w:tc>
          <w:tcPr>
            <w:tcW w:w="1919" w:type="dxa"/>
            <w:tcBorders>
              <w:top w:val="nil"/>
              <w:left w:val="nil"/>
              <w:bottom w:val="single" w:sz="8" w:space="0" w:color="auto"/>
              <w:right w:val="single" w:sz="8" w:space="0" w:color="auto"/>
            </w:tcBorders>
            <w:shd w:val="clear" w:color="auto" w:fill="auto"/>
            <w:vAlign w:val="center"/>
            <w:hideMark/>
          </w:tcPr>
          <w:p w:rsidR="00673187" w:rsidRDefault="00673187">
            <w:pPr>
              <w:jc w:val="center"/>
              <w:rPr>
                <w:rFonts w:ascii="Calibri" w:hAnsi="Calibri"/>
                <w:color w:val="000000"/>
                <w:sz w:val="22"/>
                <w:szCs w:val="22"/>
              </w:rPr>
            </w:pPr>
            <w:r>
              <w:rPr>
                <w:rFonts w:ascii="Calibri" w:hAnsi="Calibri"/>
                <w:color w:val="000000"/>
                <w:sz w:val="22"/>
                <w:szCs w:val="22"/>
              </w:rPr>
              <w:t>19,662</w:t>
            </w:r>
          </w:p>
        </w:tc>
      </w:tr>
      <w:tr w:rsidR="00673187" w:rsidTr="00673187">
        <w:trPr>
          <w:trHeight w:val="343"/>
        </w:trPr>
        <w:tc>
          <w:tcPr>
            <w:tcW w:w="1760" w:type="dxa"/>
            <w:tcBorders>
              <w:top w:val="nil"/>
              <w:left w:val="single" w:sz="8" w:space="0" w:color="auto"/>
              <w:bottom w:val="single" w:sz="8" w:space="0" w:color="auto"/>
              <w:right w:val="single" w:sz="8" w:space="0" w:color="auto"/>
            </w:tcBorders>
            <w:shd w:val="clear" w:color="auto" w:fill="auto"/>
            <w:vAlign w:val="center"/>
            <w:hideMark/>
          </w:tcPr>
          <w:p w:rsidR="00673187" w:rsidRDefault="00673187">
            <w:pPr>
              <w:jc w:val="right"/>
              <w:rPr>
                <w:rFonts w:ascii="Calibri" w:hAnsi="Calibri"/>
                <w:b/>
                <w:bCs/>
                <w:color w:val="000000"/>
                <w:sz w:val="22"/>
                <w:szCs w:val="22"/>
              </w:rPr>
            </w:pPr>
            <w:r>
              <w:rPr>
                <w:rFonts w:ascii="Calibri" w:hAnsi="Calibri"/>
                <w:b/>
                <w:bCs/>
                <w:color w:val="000000"/>
                <w:sz w:val="22"/>
                <w:szCs w:val="22"/>
              </w:rPr>
              <w:t>2008</w:t>
            </w:r>
          </w:p>
        </w:tc>
        <w:tc>
          <w:tcPr>
            <w:tcW w:w="2265" w:type="dxa"/>
            <w:tcBorders>
              <w:top w:val="nil"/>
              <w:left w:val="nil"/>
              <w:bottom w:val="single" w:sz="8" w:space="0" w:color="auto"/>
              <w:right w:val="single" w:sz="8" w:space="0" w:color="auto"/>
            </w:tcBorders>
            <w:shd w:val="clear" w:color="auto" w:fill="auto"/>
            <w:vAlign w:val="center"/>
            <w:hideMark/>
          </w:tcPr>
          <w:p w:rsidR="00673187" w:rsidRDefault="00673187">
            <w:pPr>
              <w:jc w:val="center"/>
              <w:rPr>
                <w:rFonts w:ascii="Calibri" w:hAnsi="Calibri"/>
                <w:color w:val="000000"/>
                <w:sz w:val="22"/>
                <w:szCs w:val="22"/>
              </w:rPr>
            </w:pPr>
            <w:r>
              <w:rPr>
                <w:rFonts w:ascii="Calibri" w:hAnsi="Calibri"/>
                <w:color w:val="000000"/>
                <w:sz w:val="22"/>
                <w:szCs w:val="22"/>
              </w:rPr>
              <w:t>6.06%</w:t>
            </w:r>
          </w:p>
        </w:tc>
        <w:tc>
          <w:tcPr>
            <w:tcW w:w="2265" w:type="dxa"/>
            <w:tcBorders>
              <w:top w:val="nil"/>
              <w:left w:val="nil"/>
              <w:bottom w:val="single" w:sz="8" w:space="0" w:color="auto"/>
              <w:right w:val="single" w:sz="8" w:space="0" w:color="auto"/>
            </w:tcBorders>
            <w:shd w:val="clear" w:color="auto" w:fill="auto"/>
            <w:vAlign w:val="center"/>
            <w:hideMark/>
          </w:tcPr>
          <w:p w:rsidR="00673187" w:rsidRDefault="00673187">
            <w:pPr>
              <w:jc w:val="center"/>
              <w:rPr>
                <w:rFonts w:ascii="Calibri" w:hAnsi="Calibri"/>
                <w:color w:val="000000"/>
                <w:sz w:val="22"/>
                <w:szCs w:val="22"/>
              </w:rPr>
            </w:pPr>
            <w:r>
              <w:rPr>
                <w:rFonts w:ascii="Calibri" w:hAnsi="Calibri"/>
                <w:color w:val="000000"/>
                <w:sz w:val="22"/>
                <w:szCs w:val="22"/>
              </w:rPr>
              <w:t>6.13%</w:t>
            </w:r>
          </w:p>
        </w:tc>
        <w:tc>
          <w:tcPr>
            <w:tcW w:w="1885" w:type="dxa"/>
            <w:tcBorders>
              <w:top w:val="nil"/>
              <w:left w:val="nil"/>
              <w:bottom w:val="single" w:sz="8" w:space="0" w:color="auto"/>
              <w:right w:val="single" w:sz="8" w:space="0" w:color="auto"/>
            </w:tcBorders>
            <w:shd w:val="clear" w:color="auto" w:fill="auto"/>
            <w:vAlign w:val="center"/>
            <w:hideMark/>
          </w:tcPr>
          <w:p w:rsidR="00673187" w:rsidRDefault="00673187">
            <w:pPr>
              <w:jc w:val="center"/>
              <w:rPr>
                <w:rFonts w:ascii="Calibri" w:hAnsi="Calibri"/>
                <w:color w:val="000000"/>
                <w:sz w:val="22"/>
                <w:szCs w:val="22"/>
              </w:rPr>
            </w:pPr>
            <w:r>
              <w:rPr>
                <w:rFonts w:ascii="Calibri" w:hAnsi="Calibri"/>
                <w:color w:val="000000"/>
                <w:sz w:val="22"/>
                <w:szCs w:val="22"/>
              </w:rPr>
              <w:t>19,962</w:t>
            </w:r>
          </w:p>
        </w:tc>
        <w:tc>
          <w:tcPr>
            <w:tcW w:w="1919" w:type="dxa"/>
            <w:tcBorders>
              <w:top w:val="nil"/>
              <w:left w:val="nil"/>
              <w:bottom w:val="single" w:sz="8" w:space="0" w:color="auto"/>
              <w:right w:val="single" w:sz="8" w:space="0" w:color="auto"/>
            </w:tcBorders>
            <w:shd w:val="clear" w:color="auto" w:fill="auto"/>
            <w:vAlign w:val="center"/>
            <w:hideMark/>
          </w:tcPr>
          <w:p w:rsidR="00673187" w:rsidRDefault="00673187">
            <w:pPr>
              <w:jc w:val="center"/>
              <w:rPr>
                <w:rFonts w:ascii="Calibri" w:hAnsi="Calibri"/>
                <w:color w:val="000000"/>
                <w:sz w:val="22"/>
                <w:szCs w:val="22"/>
              </w:rPr>
            </w:pPr>
            <w:r>
              <w:rPr>
                <w:rFonts w:ascii="Calibri" w:hAnsi="Calibri"/>
                <w:color w:val="000000"/>
                <w:sz w:val="22"/>
                <w:szCs w:val="22"/>
              </w:rPr>
              <w:t>20,088</w:t>
            </w:r>
          </w:p>
        </w:tc>
      </w:tr>
      <w:tr w:rsidR="00673187" w:rsidTr="00673187">
        <w:trPr>
          <w:trHeight w:val="343"/>
        </w:trPr>
        <w:tc>
          <w:tcPr>
            <w:tcW w:w="1760" w:type="dxa"/>
            <w:tcBorders>
              <w:top w:val="nil"/>
              <w:left w:val="single" w:sz="8" w:space="0" w:color="auto"/>
              <w:bottom w:val="single" w:sz="8" w:space="0" w:color="auto"/>
              <w:right w:val="single" w:sz="8" w:space="0" w:color="auto"/>
            </w:tcBorders>
            <w:shd w:val="clear" w:color="auto" w:fill="auto"/>
            <w:vAlign w:val="center"/>
            <w:hideMark/>
          </w:tcPr>
          <w:p w:rsidR="00673187" w:rsidRDefault="00673187">
            <w:pPr>
              <w:jc w:val="right"/>
              <w:rPr>
                <w:rFonts w:ascii="Calibri" w:hAnsi="Calibri"/>
                <w:b/>
                <w:bCs/>
                <w:color w:val="000000"/>
                <w:sz w:val="22"/>
                <w:szCs w:val="22"/>
              </w:rPr>
            </w:pPr>
            <w:r>
              <w:rPr>
                <w:rFonts w:ascii="Calibri" w:hAnsi="Calibri"/>
                <w:b/>
                <w:bCs/>
                <w:color w:val="000000"/>
                <w:sz w:val="22"/>
                <w:szCs w:val="22"/>
              </w:rPr>
              <w:t>2009</w:t>
            </w:r>
          </w:p>
        </w:tc>
        <w:tc>
          <w:tcPr>
            <w:tcW w:w="2265" w:type="dxa"/>
            <w:tcBorders>
              <w:top w:val="nil"/>
              <w:left w:val="nil"/>
              <w:bottom w:val="single" w:sz="8" w:space="0" w:color="auto"/>
              <w:right w:val="single" w:sz="8" w:space="0" w:color="auto"/>
            </w:tcBorders>
            <w:shd w:val="clear" w:color="auto" w:fill="auto"/>
            <w:vAlign w:val="center"/>
            <w:hideMark/>
          </w:tcPr>
          <w:p w:rsidR="00673187" w:rsidRDefault="00673187">
            <w:pPr>
              <w:jc w:val="center"/>
              <w:rPr>
                <w:rFonts w:ascii="Calibri" w:hAnsi="Calibri"/>
                <w:color w:val="000000"/>
                <w:sz w:val="22"/>
                <w:szCs w:val="22"/>
              </w:rPr>
            </w:pPr>
            <w:r>
              <w:rPr>
                <w:rFonts w:ascii="Calibri" w:hAnsi="Calibri"/>
                <w:color w:val="000000"/>
                <w:sz w:val="22"/>
                <w:szCs w:val="22"/>
              </w:rPr>
              <w:t>8.06%</w:t>
            </w:r>
          </w:p>
        </w:tc>
        <w:tc>
          <w:tcPr>
            <w:tcW w:w="2265" w:type="dxa"/>
            <w:tcBorders>
              <w:top w:val="nil"/>
              <w:left w:val="nil"/>
              <w:bottom w:val="single" w:sz="8" w:space="0" w:color="auto"/>
              <w:right w:val="single" w:sz="8" w:space="0" w:color="auto"/>
            </w:tcBorders>
            <w:shd w:val="clear" w:color="auto" w:fill="auto"/>
            <w:vAlign w:val="center"/>
            <w:hideMark/>
          </w:tcPr>
          <w:p w:rsidR="00673187" w:rsidRDefault="00673187">
            <w:pPr>
              <w:jc w:val="center"/>
              <w:rPr>
                <w:rFonts w:ascii="Calibri" w:hAnsi="Calibri"/>
                <w:color w:val="000000"/>
                <w:sz w:val="22"/>
                <w:szCs w:val="22"/>
              </w:rPr>
            </w:pPr>
            <w:r>
              <w:rPr>
                <w:rFonts w:ascii="Calibri" w:hAnsi="Calibri"/>
                <w:color w:val="000000"/>
                <w:sz w:val="22"/>
                <w:szCs w:val="22"/>
              </w:rPr>
              <w:t>8.42%</w:t>
            </w:r>
          </w:p>
        </w:tc>
        <w:tc>
          <w:tcPr>
            <w:tcW w:w="1885" w:type="dxa"/>
            <w:tcBorders>
              <w:top w:val="nil"/>
              <w:left w:val="nil"/>
              <w:bottom w:val="single" w:sz="8" w:space="0" w:color="auto"/>
              <w:right w:val="single" w:sz="8" w:space="0" w:color="auto"/>
            </w:tcBorders>
            <w:shd w:val="clear" w:color="auto" w:fill="auto"/>
            <w:vAlign w:val="center"/>
            <w:hideMark/>
          </w:tcPr>
          <w:p w:rsidR="00673187" w:rsidRDefault="00673187">
            <w:pPr>
              <w:jc w:val="center"/>
              <w:rPr>
                <w:rFonts w:ascii="Calibri" w:hAnsi="Calibri"/>
                <w:color w:val="000000"/>
                <w:sz w:val="22"/>
                <w:szCs w:val="22"/>
              </w:rPr>
            </w:pPr>
            <w:r>
              <w:rPr>
                <w:rFonts w:ascii="Calibri" w:hAnsi="Calibri"/>
                <w:color w:val="000000"/>
                <w:sz w:val="22"/>
                <w:szCs w:val="22"/>
              </w:rPr>
              <w:t>24,216</w:t>
            </w:r>
          </w:p>
        </w:tc>
        <w:tc>
          <w:tcPr>
            <w:tcW w:w="1919" w:type="dxa"/>
            <w:tcBorders>
              <w:top w:val="nil"/>
              <w:left w:val="nil"/>
              <w:bottom w:val="single" w:sz="8" w:space="0" w:color="auto"/>
              <w:right w:val="single" w:sz="8" w:space="0" w:color="auto"/>
            </w:tcBorders>
            <w:shd w:val="clear" w:color="auto" w:fill="auto"/>
            <w:vAlign w:val="center"/>
            <w:hideMark/>
          </w:tcPr>
          <w:p w:rsidR="00673187" w:rsidRDefault="00673187">
            <w:pPr>
              <w:jc w:val="center"/>
              <w:rPr>
                <w:rFonts w:ascii="Calibri" w:hAnsi="Calibri"/>
                <w:color w:val="000000"/>
                <w:sz w:val="22"/>
                <w:szCs w:val="22"/>
              </w:rPr>
            </w:pPr>
            <w:r>
              <w:rPr>
                <w:rFonts w:ascii="Calibri" w:hAnsi="Calibri"/>
                <w:color w:val="000000"/>
                <w:sz w:val="22"/>
                <w:szCs w:val="22"/>
              </w:rPr>
              <w:t>25,324</w:t>
            </w:r>
          </w:p>
        </w:tc>
      </w:tr>
      <w:tr w:rsidR="00673187" w:rsidTr="00673187">
        <w:trPr>
          <w:trHeight w:val="343"/>
        </w:trPr>
        <w:tc>
          <w:tcPr>
            <w:tcW w:w="1760" w:type="dxa"/>
            <w:tcBorders>
              <w:top w:val="nil"/>
              <w:left w:val="single" w:sz="8" w:space="0" w:color="auto"/>
              <w:bottom w:val="single" w:sz="8" w:space="0" w:color="auto"/>
              <w:right w:val="single" w:sz="8" w:space="0" w:color="auto"/>
            </w:tcBorders>
            <w:shd w:val="clear" w:color="auto" w:fill="auto"/>
            <w:vAlign w:val="center"/>
            <w:hideMark/>
          </w:tcPr>
          <w:p w:rsidR="00673187" w:rsidRDefault="00673187">
            <w:pPr>
              <w:jc w:val="right"/>
              <w:rPr>
                <w:rFonts w:ascii="Calibri" w:hAnsi="Calibri"/>
                <w:b/>
                <w:bCs/>
                <w:color w:val="000000"/>
                <w:sz w:val="22"/>
                <w:szCs w:val="22"/>
              </w:rPr>
            </w:pPr>
            <w:r>
              <w:rPr>
                <w:rFonts w:ascii="Calibri" w:hAnsi="Calibri"/>
                <w:b/>
                <w:bCs/>
                <w:color w:val="000000"/>
                <w:sz w:val="22"/>
                <w:szCs w:val="22"/>
              </w:rPr>
              <w:t>2010</w:t>
            </w:r>
          </w:p>
        </w:tc>
        <w:tc>
          <w:tcPr>
            <w:tcW w:w="2265" w:type="dxa"/>
            <w:tcBorders>
              <w:top w:val="nil"/>
              <w:left w:val="nil"/>
              <w:bottom w:val="single" w:sz="8" w:space="0" w:color="auto"/>
              <w:right w:val="single" w:sz="8" w:space="0" w:color="auto"/>
            </w:tcBorders>
            <w:shd w:val="clear" w:color="auto" w:fill="auto"/>
            <w:vAlign w:val="center"/>
            <w:hideMark/>
          </w:tcPr>
          <w:p w:rsidR="00673187" w:rsidRDefault="00673187">
            <w:pPr>
              <w:jc w:val="center"/>
              <w:rPr>
                <w:rFonts w:ascii="Calibri" w:hAnsi="Calibri"/>
                <w:color w:val="000000"/>
                <w:sz w:val="22"/>
                <w:szCs w:val="22"/>
              </w:rPr>
            </w:pPr>
            <w:r>
              <w:rPr>
                <w:rFonts w:ascii="Calibri" w:hAnsi="Calibri"/>
                <w:color w:val="000000"/>
                <w:sz w:val="22"/>
                <w:szCs w:val="22"/>
              </w:rPr>
              <w:t>8.38%</w:t>
            </w:r>
          </w:p>
        </w:tc>
        <w:tc>
          <w:tcPr>
            <w:tcW w:w="2265" w:type="dxa"/>
            <w:tcBorders>
              <w:top w:val="nil"/>
              <w:left w:val="nil"/>
              <w:bottom w:val="single" w:sz="8" w:space="0" w:color="auto"/>
              <w:right w:val="single" w:sz="8" w:space="0" w:color="auto"/>
            </w:tcBorders>
            <w:shd w:val="clear" w:color="auto" w:fill="auto"/>
            <w:vAlign w:val="center"/>
            <w:hideMark/>
          </w:tcPr>
          <w:p w:rsidR="00673187" w:rsidRDefault="00673187">
            <w:pPr>
              <w:jc w:val="center"/>
              <w:rPr>
                <w:rFonts w:ascii="Calibri" w:hAnsi="Calibri"/>
                <w:color w:val="000000"/>
                <w:sz w:val="22"/>
                <w:szCs w:val="22"/>
              </w:rPr>
            </w:pPr>
            <w:r>
              <w:rPr>
                <w:rFonts w:ascii="Calibri" w:hAnsi="Calibri"/>
                <w:color w:val="000000"/>
                <w:sz w:val="22"/>
                <w:szCs w:val="22"/>
              </w:rPr>
              <w:t>8.51%</w:t>
            </w:r>
          </w:p>
        </w:tc>
        <w:tc>
          <w:tcPr>
            <w:tcW w:w="1885" w:type="dxa"/>
            <w:tcBorders>
              <w:top w:val="nil"/>
              <w:left w:val="nil"/>
              <w:bottom w:val="single" w:sz="8" w:space="0" w:color="auto"/>
              <w:right w:val="single" w:sz="8" w:space="0" w:color="auto"/>
            </w:tcBorders>
            <w:shd w:val="clear" w:color="auto" w:fill="auto"/>
            <w:vAlign w:val="center"/>
            <w:hideMark/>
          </w:tcPr>
          <w:p w:rsidR="00673187" w:rsidRDefault="00673187">
            <w:pPr>
              <w:jc w:val="center"/>
              <w:rPr>
                <w:rFonts w:ascii="Calibri" w:hAnsi="Calibri"/>
                <w:color w:val="000000"/>
                <w:sz w:val="22"/>
                <w:szCs w:val="22"/>
              </w:rPr>
            </w:pPr>
            <w:r>
              <w:rPr>
                <w:rFonts w:ascii="Calibri" w:hAnsi="Calibri"/>
                <w:color w:val="000000"/>
                <w:sz w:val="22"/>
                <w:szCs w:val="22"/>
              </w:rPr>
              <w:t>28,757</w:t>
            </w:r>
          </w:p>
        </w:tc>
        <w:tc>
          <w:tcPr>
            <w:tcW w:w="1919" w:type="dxa"/>
            <w:tcBorders>
              <w:top w:val="nil"/>
              <w:left w:val="nil"/>
              <w:bottom w:val="single" w:sz="8" w:space="0" w:color="auto"/>
              <w:right w:val="single" w:sz="8" w:space="0" w:color="auto"/>
            </w:tcBorders>
            <w:shd w:val="clear" w:color="auto" w:fill="auto"/>
            <w:vAlign w:val="center"/>
            <w:hideMark/>
          </w:tcPr>
          <w:p w:rsidR="00673187" w:rsidRDefault="00673187">
            <w:pPr>
              <w:jc w:val="center"/>
              <w:rPr>
                <w:rFonts w:ascii="Calibri" w:hAnsi="Calibri"/>
                <w:color w:val="000000"/>
                <w:sz w:val="22"/>
                <w:szCs w:val="22"/>
              </w:rPr>
            </w:pPr>
            <w:r>
              <w:rPr>
                <w:rFonts w:ascii="Calibri" w:hAnsi="Calibri"/>
                <w:color w:val="000000"/>
                <w:sz w:val="22"/>
                <w:szCs w:val="22"/>
              </w:rPr>
              <w:t>29,248</w:t>
            </w:r>
          </w:p>
        </w:tc>
      </w:tr>
      <w:tr w:rsidR="00673187" w:rsidTr="00673187">
        <w:trPr>
          <w:trHeight w:val="343"/>
        </w:trPr>
        <w:tc>
          <w:tcPr>
            <w:tcW w:w="1760" w:type="dxa"/>
            <w:tcBorders>
              <w:top w:val="nil"/>
              <w:left w:val="single" w:sz="8" w:space="0" w:color="auto"/>
              <w:bottom w:val="single" w:sz="8" w:space="0" w:color="auto"/>
              <w:right w:val="single" w:sz="8" w:space="0" w:color="auto"/>
            </w:tcBorders>
            <w:shd w:val="clear" w:color="auto" w:fill="auto"/>
            <w:vAlign w:val="center"/>
            <w:hideMark/>
          </w:tcPr>
          <w:p w:rsidR="00673187" w:rsidRDefault="00673187">
            <w:pPr>
              <w:jc w:val="right"/>
              <w:rPr>
                <w:rFonts w:ascii="Calibri" w:hAnsi="Calibri"/>
                <w:b/>
                <w:bCs/>
                <w:color w:val="000000"/>
                <w:sz w:val="22"/>
                <w:szCs w:val="22"/>
              </w:rPr>
            </w:pPr>
            <w:r>
              <w:rPr>
                <w:rFonts w:ascii="Calibri" w:hAnsi="Calibri"/>
                <w:b/>
                <w:bCs/>
                <w:color w:val="000000"/>
                <w:sz w:val="22"/>
                <w:szCs w:val="22"/>
              </w:rPr>
              <w:t>2011</w:t>
            </w:r>
          </w:p>
        </w:tc>
        <w:tc>
          <w:tcPr>
            <w:tcW w:w="2265" w:type="dxa"/>
            <w:tcBorders>
              <w:top w:val="nil"/>
              <w:left w:val="nil"/>
              <w:bottom w:val="single" w:sz="8" w:space="0" w:color="auto"/>
              <w:right w:val="single" w:sz="8" w:space="0" w:color="auto"/>
            </w:tcBorders>
            <w:shd w:val="clear" w:color="auto" w:fill="auto"/>
            <w:vAlign w:val="center"/>
            <w:hideMark/>
          </w:tcPr>
          <w:p w:rsidR="00673187" w:rsidRDefault="00673187">
            <w:pPr>
              <w:jc w:val="center"/>
              <w:rPr>
                <w:rFonts w:ascii="Calibri" w:hAnsi="Calibri"/>
                <w:color w:val="000000"/>
                <w:sz w:val="22"/>
                <w:szCs w:val="22"/>
              </w:rPr>
            </w:pPr>
            <w:r>
              <w:rPr>
                <w:rFonts w:ascii="Calibri" w:hAnsi="Calibri"/>
                <w:color w:val="000000"/>
                <w:sz w:val="22"/>
                <w:szCs w:val="22"/>
              </w:rPr>
              <w:t>8.97%</w:t>
            </w:r>
          </w:p>
        </w:tc>
        <w:tc>
          <w:tcPr>
            <w:tcW w:w="2265" w:type="dxa"/>
            <w:tcBorders>
              <w:top w:val="nil"/>
              <w:left w:val="nil"/>
              <w:bottom w:val="single" w:sz="8" w:space="0" w:color="auto"/>
              <w:right w:val="single" w:sz="8" w:space="0" w:color="auto"/>
            </w:tcBorders>
            <w:shd w:val="clear" w:color="auto" w:fill="auto"/>
            <w:vAlign w:val="center"/>
            <w:hideMark/>
          </w:tcPr>
          <w:p w:rsidR="00673187" w:rsidRDefault="00673187">
            <w:pPr>
              <w:jc w:val="center"/>
              <w:rPr>
                <w:rFonts w:ascii="Calibri" w:hAnsi="Calibri"/>
                <w:color w:val="000000"/>
                <w:sz w:val="22"/>
                <w:szCs w:val="22"/>
              </w:rPr>
            </w:pPr>
            <w:r>
              <w:rPr>
                <w:rFonts w:ascii="Calibri" w:hAnsi="Calibri"/>
                <w:color w:val="000000"/>
                <w:sz w:val="22"/>
                <w:szCs w:val="22"/>
              </w:rPr>
              <w:t>8.78%</w:t>
            </w:r>
          </w:p>
        </w:tc>
        <w:tc>
          <w:tcPr>
            <w:tcW w:w="1885" w:type="dxa"/>
            <w:tcBorders>
              <w:top w:val="nil"/>
              <w:left w:val="nil"/>
              <w:bottom w:val="single" w:sz="8" w:space="0" w:color="auto"/>
              <w:right w:val="single" w:sz="8" w:space="0" w:color="auto"/>
            </w:tcBorders>
            <w:shd w:val="clear" w:color="auto" w:fill="auto"/>
            <w:vAlign w:val="center"/>
            <w:hideMark/>
          </w:tcPr>
          <w:p w:rsidR="00673187" w:rsidRDefault="00673187">
            <w:pPr>
              <w:jc w:val="center"/>
              <w:rPr>
                <w:rFonts w:ascii="Calibri" w:hAnsi="Calibri"/>
                <w:color w:val="000000"/>
                <w:sz w:val="22"/>
                <w:szCs w:val="22"/>
              </w:rPr>
            </w:pPr>
            <w:r>
              <w:rPr>
                <w:rFonts w:ascii="Calibri" w:hAnsi="Calibri"/>
                <w:color w:val="000000"/>
                <w:sz w:val="22"/>
                <w:szCs w:val="22"/>
              </w:rPr>
              <w:t>32,481</w:t>
            </w:r>
          </w:p>
        </w:tc>
        <w:tc>
          <w:tcPr>
            <w:tcW w:w="1919" w:type="dxa"/>
            <w:tcBorders>
              <w:top w:val="nil"/>
              <w:left w:val="nil"/>
              <w:bottom w:val="single" w:sz="8" w:space="0" w:color="auto"/>
              <w:right w:val="single" w:sz="8" w:space="0" w:color="auto"/>
            </w:tcBorders>
            <w:shd w:val="clear" w:color="auto" w:fill="auto"/>
            <w:vAlign w:val="center"/>
            <w:hideMark/>
          </w:tcPr>
          <w:p w:rsidR="00673187" w:rsidRDefault="00673187">
            <w:pPr>
              <w:jc w:val="center"/>
              <w:rPr>
                <w:rFonts w:ascii="Calibri" w:hAnsi="Calibri"/>
                <w:color w:val="000000"/>
                <w:sz w:val="22"/>
                <w:szCs w:val="22"/>
              </w:rPr>
            </w:pPr>
            <w:r>
              <w:rPr>
                <w:rFonts w:ascii="Calibri" w:hAnsi="Calibri"/>
                <w:color w:val="000000"/>
                <w:sz w:val="22"/>
                <w:szCs w:val="22"/>
              </w:rPr>
              <w:t>31,679</w:t>
            </w:r>
          </w:p>
        </w:tc>
      </w:tr>
      <w:tr w:rsidR="00673187" w:rsidTr="00673187">
        <w:trPr>
          <w:trHeight w:val="343"/>
        </w:trPr>
        <w:tc>
          <w:tcPr>
            <w:tcW w:w="1760" w:type="dxa"/>
            <w:tcBorders>
              <w:top w:val="nil"/>
              <w:left w:val="single" w:sz="8" w:space="0" w:color="auto"/>
              <w:bottom w:val="single" w:sz="8" w:space="0" w:color="auto"/>
              <w:right w:val="single" w:sz="8" w:space="0" w:color="auto"/>
            </w:tcBorders>
            <w:shd w:val="clear" w:color="auto" w:fill="auto"/>
            <w:vAlign w:val="center"/>
            <w:hideMark/>
          </w:tcPr>
          <w:p w:rsidR="00673187" w:rsidRDefault="00673187">
            <w:pPr>
              <w:jc w:val="right"/>
              <w:rPr>
                <w:rFonts w:ascii="Calibri" w:hAnsi="Calibri"/>
                <w:b/>
                <w:bCs/>
                <w:color w:val="000000"/>
                <w:sz w:val="22"/>
                <w:szCs w:val="22"/>
              </w:rPr>
            </w:pPr>
            <w:r>
              <w:rPr>
                <w:rFonts w:ascii="Calibri" w:hAnsi="Calibri"/>
                <w:b/>
                <w:bCs/>
                <w:color w:val="000000"/>
                <w:sz w:val="22"/>
                <w:szCs w:val="22"/>
              </w:rPr>
              <w:t>2012</w:t>
            </w:r>
          </w:p>
        </w:tc>
        <w:tc>
          <w:tcPr>
            <w:tcW w:w="2265" w:type="dxa"/>
            <w:tcBorders>
              <w:top w:val="nil"/>
              <w:left w:val="nil"/>
              <w:bottom w:val="single" w:sz="8" w:space="0" w:color="auto"/>
              <w:right w:val="single" w:sz="8" w:space="0" w:color="auto"/>
            </w:tcBorders>
            <w:shd w:val="clear" w:color="auto" w:fill="auto"/>
            <w:vAlign w:val="center"/>
            <w:hideMark/>
          </w:tcPr>
          <w:p w:rsidR="00673187" w:rsidRDefault="00673187">
            <w:pPr>
              <w:jc w:val="center"/>
              <w:rPr>
                <w:rFonts w:ascii="Calibri" w:hAnsi="Calibri"/>
                <w:color w:val="000000"/>
                <w:sz w:val="22"/>
                <w:szCs w:val="22"/>
              </w:rPr>
            </w:pPr>
            <w:r>
              <w:rPr>
                <w:rFonts w:ascii="Calibri" w:hAnsi="Calibri"/>
                <w:color w:val="000000"/>
                <w:sz w:val="22"/>
                <w:szCs w:val="22"/>
              </w:rPr>
              <w:t>9.43%</w:t>
            </w:r>
          </w:p>
        </w:tc>
        <w:tc>
          <w:tcPr>
            <w:tcW w:w="2265" w:type="dxa"/>
            <w:tcBorders>
              <w:top w:val="nil"/>
              <w:left w:val="nil"/>
              <w:bottom w:val="single" w:sz="8" w:space="0" w:color="auto"/>
              <w:right w:val="single" w:sz="8" w:space="0" w:color="auto"/>
            </w:tcBorders>
            <w:shd w:val="clear" w:color="auto" w:fill="auto"/>
            <w:vAlign w:val="center"/>
            <w:hideMark/>
          </w:tcPr>
          <w:p w:rsidR="00673187" w:rsidRDefault="00673187">
            <w:pPr>
              <w:jc w:val="center"/>
              <w:rPr>
                <w:rFonts w:ascii="Calibri" w:hAnsi="Calibri"/>
                <w:color w:val="000000"/>
                <w:sz w:val="22"/>
                <w:szCs w:val="22"/>
              </w:rPr>
            </w:pPr>
            <w:r>
              <w:rPr>
                <w:rFonts w:ascii="Calibri" w:hAnsi="Calibri"/>
                <w:color w:val="000000"/>
                <w:sz w:val="22"/>
                <w:szCs w:val="22"/>
              </w:rPr>
              <w:t>9.52%</w:t>
            </w:r>
          </w:p>
        </w:tc>
        <w:tc>
          <w:tcPr>
            <w:tcW w:w="1885" w:type="dxa"/>
            <w:tcBorders>
              <w:top w:val="nil"/>
              <w:left w:val="nil"/>
              <w:bottom w:val="single" w:sz="8" w:space="0" w:color="auto"/>
              <w:right w:val="single" w:sz="8" w:space="0" w:color="auto"/>
            </w:tcBorders>
            <w:shd w:val="clear" w:color="auto" w:fill="auto"/>
            <w:vAlign w:val="center"/>
            <w:hideMark/>
          </w:tcPr>
          <w:p w:rsidR="00673187" w:rsidRDefault="00673187">
            <w:pPr>
              <w:jc w:val="center"/>
              <w:rPr>
                <w:rFonts w:ascii="Calibri" w:hAnsi="Calibri"/>
                <w:color w:val="000000"/>
                <w:sz w:val="22"/>
                <w:szCs w:val="22"/>
              </w:rPr>
            </w:pPr>
            <w:r>
              <w:rPr>
                <w:rFonts w:ascii="Calibri" w:hAnsi="Calibri"/>
                <w:color w:val="000000"/>
                <w:sz w:val="22"/>
                <w:szCs w:val="22"/>
              </w:rPr>
              <w:t>34,596</w:t>
            </w:r>
          </w:p>
        </w:tc>
        <w:tc>
          <w:tcPr>
            <w:tcW w:w="1919" w:type="dxa"/>
            <w:tcBorders>
              <w:top w:val="nil"/>
              <w:left w:val="nil"/>
              <w:bottom w:val="single" w:sz="8" w:space="0" w:color="auto"/>
              <w:right w:val="single" w:sz="8" w:space="0" w:color="auto"/>
            </w:tcBorders>
            <w:shd w:val="clear" w:color="auto" w:fill="auto"/>
            <w:vAlign w:val="center"/>
            <w:hideMark/>
          </w:tcPr>
          <w:p w:rsidR="00673187" w:rsidRDefault="00673187">
            <w:pPr>
              <w:jc w:val="center"/>
              <w:rPr>
                <w:rFonts w:ascii="Calibri" w:hAnsi="Calibri"/>
                <w:color w:val="000000"/>
                <w:sz w:val="22"/>
                <w:szCs w:val="22"/>
              </w:rPr>
            </w:pPr>
            <w:r>
              <w:rPr>
                <w:rFonts w:ascii="Calibri" w:hAnsi="Calibri"/>
                <w:color w:val="000000"/>
                <w:sz w:val="22"/>
                <w:szCs w:val="22"/>
              </w:rPr>
              <w:t>34,895</w:t>
            </w:r>
          </w:p>
        </w:tc>
      </w:tr>
      <w:tr w:rsidR="00673187" w:rsidTr="00673187">
        <w:trPr>
          <w:trHeight w:val="343"/>
        </w:trPr>
        <w:tc>
          <w:tcPr>
            <w:tcW w:w="1760" w:type="dxa"/>
            <w:tcBorders>
              <w:top w:val="nil"/>
              <w:left w:val="single" w:sz="8" w:space="0" w:color="auto"/>
              <w:bottom w:val="single" w:sz="8" w:space="0" w:color="auto"/>
              <w:right w:val="single" w:sz="8" w:space="0" w:color="auto"/>
            </w:tcBorders>
            <w:shd w:val="clear" w:color="auto" w:fill="auto"/>
            <w:vAlign w:val="center"/>
            <w:hideMark/>
          </w:tcPr>
          <w:p w:rsidR="00673187" w:rsidRDefault="00673187">
            <w:pPr>
              <w:jc w:val="right"/>
              <w:rPr>
                <w:rFonts w:ascii="Calibri" w:hAnsi="Calibri"/>
                <w:b/>
                <w:bCs/>
                <w:color w:val="000000"/>
                <w:sz w:val="22"/>
                <w:szCs w:val="22"/>
              </w:rPr>
            </w:pPr>
            <w:r>
              <w:rPr>
                <w:rFonts w:ascii="Calibri" w:hAnsi="Calibri"/>
                <w:b/>
                <w:bCs/>
                <w:color w:val="000000"/>
                <w:sz w:val="22"/>
                <w:szCs w:val="22"/>
              </w:rPr>
              <w:t>2013</w:t>
            </w:r>
          </w:p>
        </w:tc>
        <w:tc>
          <w:tcPr>
            <w:tcW w:w="2265" w:type="dxa"/>
            <w:tcBorders>
              <w:top w:val="nil"/>
              <w:left w:val="nil"/>
              <w:bottom w:val="single" w:sz="8" w:space="0" w:color="auto"/>
              <w:right w:val="single" w:sz="8" w:space="0" w:color="auto"/>
            </w:tcBorders>
            <w:shd w:val="clear" w:color="auto" w:fill="auto"/>
            <w:vAlign w:val="center"/>
            <w:hideMark/>
          </w:tcPr>
          <w:p w:rsidR="00673187" w:rsidRDefault="00673187">
            <w:pPr>
              <w:jc w:val="center"/>
              <w:rPr>
                <w:rFonts w:ascii="Calibri" w:hAnsi="Calibri"/>
                <w:color w:val="000000"/>
                <w:sz w:val="22"/>
                <w:szCs w:val="22"/>
              </w:rPr>
            </w:pPr>
            <w:r>
              <w:rPr>
                <w:rFonts w:ascii="Calibri" w:hAnsi="Calibri"/>
                <w:color w:val="000000"/>
                <w:sz w:val="22"/>
                <w:szCs w:val="22"/>
              </w:rPr>
              <w:t>10.55%</w:t>
            </w:r>
          </w:p>
        </w:tc>
        <w:tc>
          <w:tcPr>
            <w:tcW w:w="2265" w:type="dxa"/>
            <w:tcBorders>
              <w:top w:val="nil"/>
              <w:left w:val="nil"/>
              <w:bottom w:val="single" w:sz="8" w:space="0" w:color="auto"/>
              <w:right w:val="single" w:sz="8" w:space="0" w:color="auto"/>
            </w:tcBorders>
            <w:shd w:val="clear" w:color="auto" w:fill="auto"/>
            <w:vAlign w:val="center"/>
            <w:hideMark/>
          </w:tcPr>
          <w:p w:rsidR="00673187" w:rsidRDefault="00673187">
            <w:pPr>
              <w:jc w:val="center"/>
              <w:rPr>
                <w:rFonts w:ascii="Calibri" w:hAnsi="Calibri"/>
                <w:color w:val="000000"/>
                <w:sz w:val="22"/>
                <w:szCs w:val="22"/>
              </w:rPr>
            </w:pPr>
            <w:r>
              <w:rPr>
                <w:rFonts w:ascii="Calibri" w:hAnsi="Calibri"/>
                <w:color w:val="000000"/>
                <w:sz w:val="22"/>
                <w:szCs w:val="22"/>
              </w:rPr>
              <w:t>10.20%</w:t>
            </w:r>
          </w:p>
        </w:tc>
        <w:tc>
          <w:tcPr>
            <w:tcW w:w="1885" w:type="dxa"/>
            <w:tcBorders>
              <w:top w:val="nil"/>
              <w:left w:val="nil"/>
              <w:bottom w:val="single" w:sz="8" w:space="0" w:color="auto"/>
              <w:right w:val="single" w:sz="8" w:space="0" w:color="auto"/>
            </w:tcBorders>
            <w:shd w:val="clear" w:color="auto" w:fill="auto"/>
            <w:vAlign w:val="center"/>
            <w:hideMark/>
          </w:tcPr>
          <w:p w:rsidR="00673187" w:rsidRDefault="00673187">
            <w:pPr>
              <w:jc w:val="center"/>
              <w:rPr>
                <w:rFonts w:ascii="Calibri" w:hAnsi="Calibri"/>
                <w:color w:val="000000"/>
                <w:sz w:val="22"/>
                <w:szCs w:val="22"/>
              </w:rPr>
            </w:pPr>
            <w:r>
              <w:rPr>
                <w:rFonts w:ascii="Calibri" w:hAnsi="Calibri"/>
                <w:color w:val="000000"/>
                <w:sz w:val="22"/>
                <w:szCs w:val="22"/>
              </w:rPr>
              <w:t>36,198</w:t>
            </w:r>
          </w:p>
        </w:tc>
        <w:tc>
          <w:tcPr>
            <w:tcW w:w="1919" w:type="dxa"/>
            <w:tcBorders>
              <w:top w:val="nil"/>
              <w:left w:val="nil"/>
              <w:bottom w:val="single" w:sz="8" w:space="0" w:color="auto"/>
              <w:right w:val="single" w:sz="8" w:space="0" w:color="auto"/>
            </w:tcBorders>
            <w:shd w:val="clear" w:color="auto" w:fill="auto"/>
            <w:vAlign w:val="center"/>
            <w:hideMark/>
          </w:tcPr>
          <w:p w:rsidR="00673187" w:rsidRDefault="00673187">
            <w:pPr>
              <w:jc w:val="center"/>
              <w:rPr>
                <w:rFonts w:ascii="Calibri" w:hAnsi="Calibri"/>
                <w:color w:val="000000"/>
                <w:sz w:val="22"/>
                <w:szCs w:val="22"/>
              </w:rPr>
            </w:pPr>
            <w:r>
              <w:rPr>
                <w:rFonts w:ascii="Calibri" w:hAnsi="Calibri"/>
                <w:color w:val="000000"/>
                <w:sz w:val="22"/>
                <w:szCs w:val="22"/>
              </w:rPr>
              <w:t>34,754</w:t>
            </w:r>
          </w:p>
        </w:tc>
      </w:tr>
    </w:tbl>
    <w:p w:rsidR="00683382" w:rsidRPr="00D07AC9" w:rsidRDefault="00683382">
      <w:pPr>
        <w:rPr>
          <w:b/>
          <w:sz w:val="32"/>
          <w:szCs w:val="32"/>
          <w:highlight w:val="yellow"/>
        </w:rPr>
      </w:pPr>
    </w:p>
    <w:p w:rsidR="00F566B9" w:rsidRPr="00DD0783" w:rsidRDefault="00F566B9" w:rsidP="00A50F56">
      <w:pPr>
        <w:pStyle w:val="Heading1"/>
        <w:rPr>
          <w:rStyle w:val="SHeading1Char"/>
        </w:rPr>
      </w:pPr>
      <w:bookmarkStart w:id="53" w:name="_Toc446063961"/>
      <w:bookmarkEnd w:id="46"/>
      <w:r w:rsidRPr="00DD0783">
        <w:rPr>
          <w:rStyle w:val="SHeading1Char"/>
        </w:rPr>
        <w:t>Summary and Conclusions</w:t>
      </w:r>
      <w:bookmarkEnd w:id="53"/>
    </w:p>
    <w:p w:rsidR="00F566B9" w:rsidRPr="00DD0783" w:rsidRDefault="00F566B9" w:rsidP="00F566B9"/>
    <w:p w:rsidR="00F566B9" w:rsidRPr="00DD0783" w:rsidRDefault="00F566B9" w:rsidP="00F566B9">
      <w:r w:rsidRPr="00DD0783">
        <w:t xml:space="preserve">The goal of this report is to report on the GPRA measures and to provide data on the overall efficacy of the program. PPICS data offer information on the operation of the projects funded by 21st CCLC, which has proven useful in </w:t>
      </w:r>
      <w:r w:rsidR="00236A90">
        <w:t>providing descriptive profiles of active 21</w:t>
      </w:r>
      <w:r w:rsidR="00236A90" w:rsidRPr="009E3769">
        <w:rPr>
          <w:vertAlign w:val="superscript"/>
        </w:rPr>
        <w:t>st</w:t>
      </w:r>
      <w:r w:rsidR="00236A90">
        <w:t xml:space="preserve"> CCLC grantees</w:t>
      </w:r>
      <w:r w:rsidRPr="00DD0783">
        <w:t xml:space="preserve">. </w:t>
      </w:r>
    </w:p>
    <w:p w:rsidR="00F566B9" w:rsidRPr="00DD0783" w:rsidRDefault="00F566B9" w:rsidP="00F566B9">
      <w:pPr>
        <w:numPr>
          <w:ilvl w:val="0"/>
          <w:numId w:val="20"/>
        </w:numPr>
        <w:spacing w:before="120"/>
      </w:pPr>
      <w:r w:rsidRPr="00DD0783">
        <w:t xml:space="preserve">In previous years, analyses predicated on examining the relationship between higher levels of program attendance and the achievement of GPRA-related outcomes suggest that students benefited more from 21st CCLC the more they attended the program. This finding was not as strongly evident during the most recent APR period; additional research into the relationship between attendance and outcomes is warranted. </w:t>
      </w:r>
    </w:p>
    <w:p w:rsidR="00F566B9" w:rsidRPr="00DD0783" w:rsidRDefault="00F566B9" w:rsidP="00F566B9">
      <w:pPr>
        <w:numPr>
          <w:ilvl w:val="0"/>
          <w:numId w:val="20"/>
        </w:numPr>
        <w:spacing w:before="120"/>
      </w:pPr>
      <w:r w:rsidRPr="00DD0783">
        <w:t>Grade improvement rates for 201</w:t>
      </w:r>
      <w:r w:rsidR="005E7E8A" w:rsidRPr="00DD0783">
        <w:t>2</w:t>
      </w:r>
      <w:r w:rsidRPr="00DD0783">
        <w:t>-1</w:t>
      </w:r>
      <w:r w:rsidR="005E7E8A" w:rsidRPr="00DD0783">
        <w:t>3</w:t>
      </w:r>
      <w:r w:rsidRPr="00DD0783">
        <w:t xml:space="preserve"> dropped relative to the 20</w:t>
      </w:r>
      <w:r w:rsidR="005E7E8A" w:rsidRPr="00DD0783">
        <w:t>11</w:t>
      </w:r>
      <w:r w:rsidRPr="00DD0783">
        <w:t>-1</w:t>
      </w:r>
      <w:r w:rsidR="005E7E8A" w:rsidRPr="00DD0783">
        <w:t>2</w:t>
      </w:r>
      <w:r w:rsidRPr="00DD0783">
        <w:t xml:space="preserve">, continuing a multi-year trend. The reason or reasons for this decline are still not clear, though it is hypothesized that changing grade standards, notably shifts to standards-based grading, </w:t>
      </w:r>
      <w:r w:rsidRPr="00DD0783">
        <w:lastRenderedPageBreak/>
        <w:t>could be affecting this. During the same period, however, a higher proportion of regular attendees maintained the highest grade possible.</w:t>
      </w:r>
    </w:p>
    <w:p w:rsidR="00F566B9" w:rsidRPr="00DD0783" w:rsidRDefault="00F566B9" w:rsidP="00F566B9">
      <w:pPr>
        <w:numPr>
          <w:ilvl w:val="0"/>
          <w:numId w:val="20"/>
        </w:numPr>
        <w:spacing w:before="120"/>
      </w:pPr>
      <w:r w:rsidRPr="00DD0783">
        <w:t xml:space="preserve">The program as a whole continues to fall below the established targeted performance thresholds associated with the GPRA performance indicators for the program. A rigorous study of the program may result in the development of more relevant GPRA measures. </w:t>
      </w:r>
    </w:p>
    <w:p w:rsidR="00F566B9" w:rsidRPr="00DD0783" w:rsidRDefault="00F566B9" w:rsidP="00F566B9">
      <w:pPr>
        <w:spacing w:before="120"/>
        <w:ind w:left="360"/>
      </w:pPr>
    </w:p>
    <w:p w:rsidR="0027637D" w:rsidRPr="00F566B9" w:rsidRDefault="0027637D" w:rsidP="00F566B9">
      <w:pPr>
        <w:spacing w:before="120"/>
        <w:ind w:left="360"/>
        <w:rPr>
          <w:highlight w:val="yellow"/>
        </w:rPr>
      </w:pPr>
      <w:r w:rsidRPr="00F566B9">
        <w:rPr>
          <w:highlight w:val="yellow"/>
        </w:rPr>
        <w:br w:type="page"/>
      </w:r>
    </w:p>
    <w:p w:rsidR="002A1227" w:rsidRPr="002D04C0" w:rsidRDefault="002A1227" w:rsidP="00A50F56">
      <w:pPr>
        <w:pStyle w:val="Heading1"/>
      </w:pPr>
      <w:bookmarkStart w:id="54" w:name="_Toc248907018"/>
      <w:bookmarkStart w:id="55" w:name="_Toc446063962"/>
      <w:bookmarkStart w:id="56" w:name="_Toc248907019"/>
      <w:r w:rsidRPr="002D04C0">
        <w:lastRenderedPageBreak/>
        <w:t>References</w:t>
      </w:r>
      <w:bookmarkEnd w:id="54"/>
      <w:bookmarkEnd w:id="55"/>
    </w:p>
    <w:p w:rsidR="002A1227" w:rsidRPr="002D04C0" w:rsidRDefault="002A1227" w:rsidP="002A1227"/>
    <w:p w:rsidR="002A1227" w:rsidRPr="002D04C0" w:rsidRDefault="002A1227" w:rsidP="002A1227">
      <w:pPr>
        <w:autoSpaceDE w:val="0"/>
        <w:autoSpaceDN w:val="0"/>
        <w:adjustRightInd w:val="0"/>
        <w:ind w:left="720" w:hanging="720"/>
        <w:rPr>
          <w:color w:val="000000"/>
        </w:rPr>
      </w:pPr>
      <w:proofErr w:type="gramStart"/>
      <w:r w:rsidRPr="002D04C0">
        <w:rPr>
          <w:color w:val="000000"/>
        </w:rPr>
        <w:t>Birmingham, J., Pechman, E. M., Russell, C. A., &amp; Mielke, M. (2005).</w:t>
      </w:r>
      <w:proofErr w:type="gramEnd"/>
      <w:r w:rsidRPr="002D04C0">
        <w:rPr>
          <w:color w:val="000000"/>
        </w:rPr>
        <w:t xml:space="preserve"> </w:t>
      </w:r>
      <w:proofErr w:type="gramStart"/>
      <w:r w:rsidRPr="002D04C0">
        <w:rPr>
          <w:i/>
          <w:iCs/>
          <w:color w:val="000000"/>
        </w:rPr>
        <w:t>Shared features of high- performing after-school programs: A follow-up to the TASC evaluation</w:t>
      </w:r>
      <w:r w:rsidRPr="002D04C0">
        <w:rPr>
          <w:color w:val="000000"/>
        </w:rPr>
        <w:t>.</w:t>
      </w:r>
      <w:proofErr w:type="gramEnd"/>
      <w:r w:rsidRPr="002D04C0">
        <w:rPr>
          <w:color w:val="000000"/>
        </w:rPr>
        <w:t xml:space="preserve"> Austin, TX: Southwest Educational Development Laboratory. Retrieved March 19, 2009, from </w:t>
      </w:r>
      <w:hyperlink r:id="rId19" w:history="1">
        <w:r w:rsidR="000D4CAA">
          <w:rPr>
            <w:rStyle w:val="Hyperlink"/>
          </w:rPr>
          <w:t>Shared features of high- performing after-school programs: A follow-up to the TASC evaluation</w:t>
        </w:r>
      </w:hyperlink>
      <w:r w:rsidRPr="002D04C0">
        <w:rPr>
          <w:color w:val="000000"/>
        </w:rPr>
        <w:t xml:space="preserve"> </w:t>
      </w:r>
    </w:p>
    <w:p w:rsidR="002A1227" w:rsidRPr="002D04C0" w:rsidRDefault="002A1227" w:rsidP="002A1227">
      <w:pPr>
        <w:autoSpaceDE w:val="0"/>
        <w:autoSpaceDN w:val="0"/>
        <w:adjustRightInd w:val="0"/>
      </w:pPr>
    </w:p>
    <w:p w:rsidR="002A1227" w:rsidRPr="002D04C0" w:rsidRDefault="002A1227" w:rsidP="002A1227">
      <w:pPr>
        <w:autoSpaceDE w:val="0"/>
        <w:autoSpaceDN w:val="0"/>
        <w:adjustRightInd w:val="0"/>
        <w:rPr>
          <w:i/>
          <w:iCs/>
        </w:rPr>
      </w:pPr>
      <w:proofErr w:type="gramStart"/>
      <w:r w:rsidRPr="002D04C0">
        <w:t>Black, A. R., Doolittle, F., Zhu, P., Unterman, R., &amp; Grossman, J. B. (2008).</w:t>
      </w:r>
      <w:proofErr w:type="gramEnd"/>
      <w:r w:rsidRPr="002D04C0">
        <w:t xml:space="preserve"> </w:t>
      </w:r>
      <w:r w:rsidRPr="002D04C0">
        <w:rPr>
          <w:i/>
          <w:iCs/>
        </w:rPr>
        <w:t xml:space="preserve">The </w:t>
      </w:r>
    </w:p>
    <w:p w:rsidR="002A1227" w:rsidRPr="002D04C0" w:rsidRDefault="000D4CAA" w:rsidP="002A1227">
      <w:pPr>
        <w:autoSpaceDE w:val="0"/>
        <w:autoSpaceDN w:val="0"/>
        <w:adjustRightInd w:val="0"/>
        <w:ind w:left="648"/>
        <w:rPr>
          <w:i/>
          <w:iCs/>
        </w:rPr>
      </w:pPr>
      <w:r w:rsidRPr="002D04C0">
        <w:rPr>
          <w:i/>
          <w:iCs/>
        </w:rPr>
        <w:t>Evaluation</w:t>
      </w:r>
      <w:r w:rsidR="002A1227" w:rsidRPr="002D04C0">
        <w:rPr>
          <w:i/>
          <w:iCs/>
        </w:rPr>
        <w:t xml:space="preserve"> of enhanced</w:t>
      </w:r>
      <w:r w:rsidR="002A1227" w:rsidRPr="002D04C0">
        <w:t xml:space="preserve"> </w:t>
      </w:r>
      <w:r w:rsidR="002A1227" w:rsidRPr="002D04C0">
        <w:rPr>
          <w:i/>
          <w:iCs/>
        </w:rPr>
        <w:t>academic instruction in after-school programs: Findings after the first year of implementation</w:t>
      </w:r>
      <w:r w:rsidR="002A1227" w:rsidRPr="002D04C0">
        <w:t xml:space="preserve"> (NCEE 2008-4021). Washington, DC: National Center for Education Evaluation and Regional Assistance, Institute of Education Sciences, U.S. Department of Education. Retrieved March 19, 2009, from </w:t>
      </w:r>
      <w:hyperlink r:id="rId20" w:history="1">
        <w:r>
          <w:rPr>
            <w:rStyle w:val="Hyperlink"/>
          </w:rPr>
          <w:t>The Evaluation of Enhanced Academic Instruction in After-school Programs:</w:t>
        </w:r>
      </w:hyperlink>
      <w:r w:rsidR="002A1227" w:rsidRPr="002D04C0">
        <w:t xml:space="preserve"> </w:t>
      </w:r>
    </w:p>
    <w:p w:rsidR="002A1227" w:rsidRPr="002D04C0" w:rsidRDefault="002A1227" w:rsidP="002A1227">
      <w:pPr>
        <w:autoSpaceDE w:val="0"/>
        <w:autoSpaceDN w:val="0"/>
        <w:adjustRightInd w:val="0"/>
        <w:ind w:left="720" w:hanging="720"/>
        <w:rPr>
          <w:color w:val="000000"/>
        </w:rPr>
      </w:pPr>
    </w:p>
    <w:p w:rsidR="002A1227" w:rsidRPr="002D04C0" w:rsidRDefault="002A1227" w:rsidP="002A1227">
      <w:pPr>
        <w:autoSpaceDE w:val="0"/>
        <w:autoSpaceDN w:val="0"/>
        <w:adjustRightInd w:val="0"/>
        <w:ind w:left="720" w:hanging="720"/>
        <w:rPr>
          <w:color w:val="000000"/>
        </w:rPr>
      </w:pPr>
      <w:proofErr w:type="gramStart"/>
      <w:r w:rsidRPr="002D04C0">
        <w:rPr>
          <w:color w:val="000000"/>
        </w:rPr>
        <w:t>Durlak, J. A., &amp; Weissberg, R. P. (2007).</w:t>
      </w:r>
      <w:proofErr w:type="gramEnd"/>
      <w:r w:rsidRPr="002D04C0">
        <w:rPr>
          <w:color w:val="000000"/>
        </w:rPr>
        <w:t xml:space="preserve"> </w:t>
      </w:r>
      <w:proofErr w:type="gramStart"/>
      <w:r w:rsidRPr="002D04C0">
        <w:rPr>
          <w:i/>
          <w:iCs/>
          <w:color w:val="000000"/>
        </w:rPr>
        <w:t>The impact of after-school programs that promote personal and social skills</w:t>
      </w:r>
      <w:r w:rsidRPr="002D04C0">
        <w:rPr>
          <w:iCs/>
          <w:color w:val="000000"/>
        </w:rPr>
        <w:t>.</w:t>
      </w:r>
      <w:proofErr w:type="gramEnd"/>
      <w:r w:rsidRPr="002D04C0">
        <w:rPr>
          <w:i/>
          <w:iCs/>
          <w:color w:val="000000"/>
        </w:rPr>
        <w:t xml:space="preserve"> </w:t>
      </w:r>
      <w:r w:rsidRPr="002D04C0">
        <w:rPr>
          <w:color w:val="000000"/>
        </w:rPr>
        <w:t xml:space="preserve">Chicago: Collaborative for Academic, Social, and Emotional Learning. Retrieved March 19, 2009, from </w:t>
      </w:r>
      <w:r w:rsidRPr="002D04C0">
        <w:rPr>
          <w:color w:val="000000"/>
        </w:rPr>
        <w:br/>
      </w:r>
      <w:proofErr w:type="gramStart"/>
      <w:r w:rsidR="000D4CAA" w:rsidRPr="00E1460E">
        <w:t>The</w:t>
      </w:r>
      <w:proofErr w:type="gramEnd"/>
      <w:r w:rsidR="000D4CAA" w:rsidRPr="00E1460E">
        <w:t xml:space="preserve"> impact of after-school programs that promote personal and social skills.</w:t>
      </w:r>
    </w:p>
    <w:p w:rsidR="002A1227" w:rsidRPr="002D04C0" w:rsidRDefault="002A1227" w:rsidP="002A1227">
      <w:pPr>
        <w:autoSpaceDE w:val="0"/>
        <w:autoSpaceDN w:val="0"/>
        <w:adjustRightInd w:val="0"/>
        <w:ind w:left="720" w:hanging="720"/>
        <w:rPr>
          <w:color w:val="000000"/>
        </w:rPr>
      </w:pPr>
    </w:p>
    <w:p w:rsidR="002A1227" w:rsidRPr="002D04C0" w:rsidRDefault="002A1227" w:rsidP="002A1227">
      <w:pPr>
        <w:autoSpaceDE w:val="0"/>
        <w:autoSpaceDN w:val="0"/>
        <w:adjustRightInd w:val="0"/>
        <w:ind w:left="720" w:hanging="720"/>
      </w:pPr>
      <w:proofErr w:type="gramStart"/>
      <w:r w:rsidRPr="002D04C0">
        <w:t>Eccles, J., &amp; Gootman, J. A. (2002).</w:t>
      </w:r>
      <w:proofErr w:type="gramEnd"/>
      <w:r w:rsidRPr="002D04C0">
        <w:t xml:space="preserve"> </w:t>
      </w:r>
      <w:proofErr w:type="gramStart"/>
      <w:r w:rsidRPr="002D04C0">
        <w:t>Features of positive developmental settings.</w:t>
      </w:r>
      <w:proofErr w:type="gramEnd"/>
      <w:r w:rsidRPr="002D04C0" w:rsidDel="0003264B">
        <w:t xml:space="preserve"> </w:t>
      </w:r>
      <w:r w:rsidRPr="002D04C0">
        <w:t xml:space="preserve">In J. Eccles &amp; J. A. Gootman (Eds.), </w:t>
      </w:r>
      <w:r w:rsidRPr="002D04C0">
        <w:rPr>
          <w:i/>
          <w:iCs/>
        </w:rPr>
        <w:t>Community programs to promote youth</w:t>
      </w:r>
      <w:r w:rsidRPr="002D04C0">
        <w:t xml:space="preserve"> </w:t>
      </w:r>
      <w:r w:rsidRPr="002D04C0">
        <w:rPr>
          <w:i/>
          <w:iCs/>
        </w:rPr>
        <w:t>development</w:t>
      </w:r>
      <w:r w:rsidRPr="002D04C0">
        <w:rPr>
          <w:iCs/>
        </w:rPr>
        <w:t xml:space="preserve"> (pp. 86–118)</w:t>
      </w:r>
      <w:r w:rsidRPr="002D04C0">
        <w:t xml:space="preserve">. Washington, DC: National Academy Press. Retrieved March 19, 2009, from </w:t>
      </w:r>
      <w:hyperlink r:id="rId21" w:history="1">
        <w:r w:rsidR="000D4CAA">
          <w:rPr>
            <w:rStyle w:val="Hyperlink"/>
          </w:rPr>
          <w:t>Community programs to promote youth development</w:t>
        </w:r>
      </w:hyperlink>
      <w:r w:rsidRPr="002D04C0">
        <w:t xml:space="preserve"> </w:t>
      </w:r>
    </w:p>
    <w:p w:rsidR="002A1227" w:rsidRPr="002D04C0" w:rsidRDefault="002A1227" w:rsidP="002A1227">
      <w:pPr>
        <w:autoSpaceDE w:val="0"/>
        <w:autoSpaceDN w:val="0"/>
        <w:adjustRightInd w:val="0"/>
        <w:ind w:left="720" w:hanging="720"/>
      </w:pPr>
    </w:p>
    <w:p w:rsidR="002A1227" w:rsidRPr="002D04C0" w:rsidRDefault="002A1227" w:rsidP="002A1227">
      <w:pPr>
        <w:autoSpaceDE w:val="0"/>
        <w:autoSpaceDN w:val="0"/>
        <w:adjustRightInd w:val="0"/>
        <w:ind w:left="720" w:hanging="720"/>
      </w:pPr>
      <w:proofErr w:type="gramStart"/>
      <w:r w:rsidRPr="002D04C0">
        <w:t>Granger, R. (2008).</w:t>
      </w:r>
      <w:proofErr w:type="gramEnd"/>
      <w:r w:rsidRPr="002D04C0">
        <w:t xml:space="preserve"> After-school programs and academics: Implications for policy, practice, and research. </w:t>
      </w:r>
      <w:r w:rsidRPr="002D04C0">
        <w:rPr>
          <w:i/>
        </w:rPr>
        <w:t>Social Policy Report, 22(2)</w:t>
      </w:r>
      <w:r w:rsidRPr="002D04C0">
        <w:t xml:space="preserve">, 3–19. Ann Arbor, MI: Society for Research in Child Development. Retrieved March 19, 2009, from </w:t>
      </w:r>
      <w:r w:rsidR="000D4CAA" w:rsidRPr="00E1460E">
        <w:t>After-school programs and academics: Implications for policy, practice, and research. Social Policy Report, 22(2), 3–19.</w:t>
      </w:r>
    </w:p>
    <w:p w:rsidR="002A1227" w:rsidRPr="002D04C0" w:rsidRDefault="002A1227" w:rsidP="002A1227">
      <w:pPr>
        <w:ind w:left="720" w:hanging="720"/>
      </w:pPr>
    </w:p>
    <w:p w:rsidR="002A1227" w:rsidRPr="002D04C0" w:rsidRDefault="002A1227" w:rsidP="002A1227">
      <w:pPr>
        <w:pStyle w:val="pa14"/>
        <w:ind w:left="720" w:hanging="720"/>
        <w:jc w:val="both"/>
        <w:rPr>
          <w:color w:val="000000"/>
        </w:rPr>
      </w:pPr>
      <w:proofErr w:type="gramStart"/>
      <w:r w:rsidRPr="002D04C0">
        <w:rPr>
          <w:rStyle w:val="a5"/>
        </w:rPr>
        <w:t>Lauer, P. A., Akiba, M., Wilkerson, S. B., Apthorp, H. A., Snow, D., &amp; Martin-Glenn, M. (2006).</w:t>
      </w:r>
      <w:proofErr w:type="gramEnd"/>
      <w:r w:rsidRPr="002D04C0">
        <w:rPr>
          <w:rStyle w:val="a5"/>
        </w:rPr>
        <w:t xml:space="preserve"> Out-of-school-time programs: A meta-analysis of effects for at-risk students. </w:t>
      </w:r>
      <w:r w:rsidRPr="002D04C0">
        <w:rPr>
          <w:rStyle w:val="a5"/>
          <w:i/>
          <w:iCs/>
        </w:rPr>
        <w:t>Review of Educational Research, 76(2)</w:t>
      </w:r>
      <w:r w:rsidRPr="002D04C0">
        <w:rPr>
          <w:rStyle w:val="a5"/>
        </w:rPr>
        <w:t xml:space="preserve">, 275–313. </w:t>
      </w:r>
    </w:p>
    <w:p w:rsidR="002A1227" w:rsidRPr="002D04C0" w:rsidRDefault="002A1227" w:rsidP="002A1227">
      <w:pPr>
        <w:autoSpaceDE w:val="0"/>
        <w:autoSpaceDN w:val="0"/>
        <w:adjustRightInd w:val="0"/>
      </w:pPr>
    </w:p>
    <w:p w:rsidR="002A1227" w:rsidRPr="002D04C0" w:rsidRDefault="002A1227" w:rsidP="000D4CAA">
      <w:pPr>
        <w:autoSpaceDE w:val="0"/>
        <w:autoSpaceDN w:val="0"/>
        <w:adjustRightInd w:val="0"/>
        <w:ind w:left="720" w:hanging="720"/>
        <w:rPr>
          <w:rStyle w:val="CommentReference"/>
          <w:sz w:val="24"/>
          <w:szCs w:val="24"/>
        </w:rPr>
      </w:pPr>
      <w:r w:rsidRPr="002D04C0">
        <w:rPr>
          <w:color w:val="000000"/>
        </w:rPr>
        <w:t xml:space="preserve">Vandell, D. L., Reisner, E. R., Brown, B. B., Dadisman, K., Pierce, K. M., &amp; Lee, D., et al. (2005). </w:t>
      </w:r>
      <w:r w:rsidRPr="002D04C0">
        <w:rPr>
          <w:i/>
          <w:iCs/>
          <w:color w:val="000000"/>
        </w:rPr>
        <w:t>The study of promising after-school programs: Examination of intermediate outcomes in year 2</w:t>
      </w:r>
      <w:r w:rsidRPr="002D04C0">
        <w:rPr>
          <w:color w:val="000000"/>
        </w:rPr>
        <w:t xml:space="preserve">. Madison, WI: Wisconsin Center for Education Research. Retrieved March 19, 2009, from </w:t>
      </w:r>
      <w:hyperlink r:id="rId22" w:history="1">
        <w:proofErr w:type="gramStart"/>
        <w:r w:rsidR="000D4CAA">
          <w:rPr>
            <w:rStyle w:val="Hyperlink"/>
          </w:rPr>
          <w:t>The</w:t>
        </w:r>
        <w:proofErr w:type="gramEnd"/>
        <w:r w:rsidR="000D4CAA">
          <w:rPr>
            <w:rStyle w:val="Hyperlink"/>
          </w:rPr>
          <w:t xml:space="preserve"> study of promising after-school programs: Examination of intermediate outcomes in year 2.</w:t>
        </w:r>
      </w:hyperlink>
      <w:r w:rsidR="000D4CAA" w:rsidRPr="002D04C0">
        <w:rPr>
          <w:rStyle w:val="CommentReference"/>
          <w:sz w:val="24"/>
          <w:szCs w:val="24"/>
        </w:rPr>
        <w:t xml:space="preserve"> </w:t>
      </w:r>
    </w:p>
    <w:p w:rsidR="002A1227" w:rsidRPr="002D04C0" w:rsidRDefault="002A1227">
      <w:pPr>
        <w:rPr>
          <w:b/>
          <w:sz w:val="32"/>
          <w:szCs w:val="32"/>
        </w:rPr>
      </w:pPr>
      <w:r w:rsidRPr="002D04C0">
        <w:rPr>
          <w:b/>
          <w:sz w:val="32"/>
          <w:szCs w:val="32"/>
        </w:rPr>
        <w:br w:type="page"/>
      </w:r>
    </w:p>
    <w:p w:rsidR="002E6DE7" w:rsidRPr="002D04C0" w:rsidRDefault="002E6DE7" w:rsidP="00A50F56">
      <w:pPr>
        <w:pStyle w:val="Heading1"/>
      </w:pPr>
      <w:bookmarkStart w:id="57" w:name="_Toc446063963"/>
      <w:bookmarkEnd w:id="56"/>
      <w:r w:rsidRPr="002D04C0">
        <w:lastRenderedPageBreak/>
        <w:t xml:space="preserve">Appendix </w:t>
      </w:r>
      <w:r w:rsidRPr="002D04C0">
        <w:br/>
        <w:t>State Discretion in APR Reporting and Data Completeness</w:t>
      </w:r>
      <w:bookmarkEnd w:id="57"/>
    </w:p>
    <w:p w:rsidR="002E6DE7" w:rsidRPr="002D04C0" w:rsidRDefault="002E6DE7" w:rsidP="002E6DE7">
      <w:pPr>
        <w:keepNext/>
        <w:keepLines/>
        <w:ind w:left="720" w:right="720"/>
        <w:rPr>
          <w:b/>
        </w:rPr>
      </w:pPr>
    </w:p>
    <w:p w:rsidR="002E6DE7" w:rsidRPr="002D04C0" w:rsidRDefault="002E6DE7" w:rsidP="00111D9B">
      <w:pPr>
        <w:ind w:right="720"/>
      </w:pPr>
      <w:r w:rsidRPr="002D04C0">
        <w:t>When reviewing GPRA indicator-related data, it should be noted that states have been afforded the option to collect and report different subsets of indicator data. States have discretion in PPICS to collect and report data on one or more of the followi</w:t>
      </w:r>
      <w:r w:rsidR="00143108" w:rsidRPr="002D04C0">
        <w:t>ng: changes in student grades, s</w:t>
      </w:r>
      <w:r w:rsidRPr="002D04C0">
        <w:t>tate assessment results, and teacher-reported behaviors. In addition, states are allowed some discretion in the manner in which information about the activities supported by 21st CCLC funding are reported. The following information is intended to provide clarification on the data underpinning each indicator calculation:</w:t>
      </w:r>
    </w:p>
    <w:p w:rsidR="002E6DE7" w:rsidRPr="002D04C0" w:rsidRDefault="002E6DE7" w:rsidP="002E6DE7">
      <w:pPr>
        <w:ind w:left="720" w:right="720"/>
      </w:pPr>
    </w:p>
    <w:p w:rsidR="002E6DE7" w:rsidRPr="002D04C0" w:rsidRDefault="002E6DE7" w:rsidP="002E6DE7">
      <w:pPr>
        <w:numPr>
          <w:ilvl w:val="0"/>
          <w:numId w:val="10"/>
        </w:numPr>
        <w:tabs>
          <w:tab w:val="clear" w:pos="720"/>
          <w:tab w:val="num" w:pos="1080"/>
        </w:tabs>
        <w:spacing w:before="120"/>
        <w:ind w:left="1080" w:right="720"/>
      </w:pPr>
      <w:r w:rsidRPr="002D04C0">
        <w:t>The number of states that selected a given APR reporting option (i.e., grades, state assessment, and teacher survey). States are required to supply data for at least one of these categories as part of the APR process but could also opt to report any combination of these three categories.</w:t>
      </w:r>
    </w:p>
    <w:p w:rsidR="002E6DE7" w:rsidRPr="002D04C0" w:rsidRDefault="002E6DE7" w:rsidP="002E6DE7">
      <w:pPr>
        <w:numPr>
          <w:ilvl w:val="0"/>
          <w:numId w:val="10"/>
        </w:numPr>
        <w:tabs>
          <w:tab w:val="clear" w:pos="720"/>
          <w:tab w:val="num" w:pos="1080"/>
        </w:tabs>
        <w:spacing w:before="120"/>
        <w:ind w:left="1080" w:right="720"/>
      </w:pPr>
      <w:r w:rsidRPr="002D04C0">
        <w:t xml:space="preserve">The total number </w:t>
      </w:r>
      <w:r w:rsidR="00143108" w:rsidRPr="002D04C0">
        <w:t>o</w:t>
      </w:r>
      <w:r w:rsidR="003B05D1">
        <w:t>f centers active during the 2012-13</w:t>
      </w:r>
      <w:r w:rsidRPr="002D04C0">
        <w:t xml:space="preserve"> reporting period across all states selecting a given indicator option.</w:t>
      </w:r>
    </w:p>
    <w:p w:rsidR="002E6DE7" w:rsidRPr="002D04C0" w:rsidRDefault="002E6DE7" w:rsidP="002E6DE7">
      <w:pPr>
        <w:numPr>
          <w:ilvl w:val="0"/>
          <w:numId w:val="10"/>
        </w:numPr>
        <w:tabs>
          <w:tab w:val="clear" w:pos="720"/>
          <w:tab w:val="num" w:pos="1080"/>
        </w:tabs>
        <w:spacing w:before="120"/>
        <w:ind w:left="1080" w:right="720"/>
        <w:rPr>
          <w:b/>
        </w:rPr>
      </w:pPr>
      <w:r w:rsidRPr="002D04C0">
        <w:t>The extent to which centers associated with a given reporting option were found to have (1) provided actual data for the APR section in question and (2) met all validation criteria associated with that section of the APR and, thereby, are included in associated indicator calculations.</w:t>
      </w:r>
    </w:p>
    <w:p w:rsidR="002E6DE7" w:rsidRPr="002D04C0" w:rsidRDefault="002E6DE7" w:rsidP="002E6DE7">
      <w:pPr>
        <w:ind w:left="720" w:right="720"/>
      </w:pPr>
    </w:p>
    <w:p w:rsidR="002E6DE7" w:rsidRPr="002D04C0" w:rsidRDefault="002E6DE7" w:rsidP="00111D9B">
      <w:pPr>
        <w:ind w:right="720"/>
      </w:pPr>
      <w:r w:rsidRPr="002D04C0">
        <w:t xml:space="preserve">The process of determining whether or not a given section of the APR is complete is predicated on a fairly complex set of validation criteria embedded in the PPICS application. It is important to note that for a given section of the APR related to performance reporting to be considered complete, not only does that section of the APR need to meet all validation criteria, but sections related to operations and attendance also need to pass a validation screen. These crosschecks help to ensure consistency across sections in terms of the data being provided, thereby enhancing the likelihood that the appropriate domain of activities and regular attendees are being reported in the appropriate sections of the APR. </w:t>
      </w:r>
    </w:p>
    <w:p w:rsidR="002E6DE7" w:rsidRPr="002D04C0" w:rsidRDefault="002E6DE7" w:rsidP="002E6DE7">
      <w:pPr>
        <w:ind w:left="720" w:right="720"/>
      </w:pPr>
    </w:p>
    <w:p w:rsidR="002E6DE7" w:rsidRPr="002D04C0" w:rsidRDefault="002E6DE7" w:rsidP="00111D9B">
      <w:pPr>
        <w:ind w:right="720"/>
      </w:pPr>
      <w:r w:rsidRPr="002D04C0">
        <w:t xml:space="preserve">In addition, it is anticipated that for some sections of the APR related to GPRA indicator calculations, not all centers will be able to provide the requested information. This is seen most often in relation to the reporting of state assessment results, where some centers exclusively serve students in grade levels outside of those participating in the state’s assessment and accountability system. To a lesser extent, this also is true with the reporting of grades data in which a center serves students who attend schools that do not provide grades in a common format that would allow for aggregation in the APR reporting process. In addition, centers that operate only during the summer are not asked to provide grades or teacher survey information. In summary, grades, states assessment, or teacher survey data cannot be obtained from 100 percent of centers even in states that have selected those measures to report on. </w:t>
      </w:r>
    </w:p>
    <w:p w:rsidR="002E6DE7" w:rsidRPr="002D04C0" w:rsidRDefault="002E6DE7" w:rsidP="00111D9B">
      <w:pPr>
        <w:ind w:right="720"/>
      </w:pPr>
      <w:r w:rsidRPr="002D04C0">
        <w:br w:type="page"/>
      </w:r>
      <w:r w:rsidRPr="002D04C0">
        <w:lastRenderedPageBreak/>
        <w:t xml:space="preserve">As shown in Table </w:t>
      </w:r>
      <w:r w:rsidR="00F217BF">
        <w:t>A</w:t>
      </w:r>
      <w:r w:rsidRPr="002D04C0">
        <w:t xml:space="preserve">.1, the percentage of centers that provided data relative to a given section of the APR and that met all validation criteria were high, with rates all above </w:t>
      </w:r>
      <w:r w:rsidR="006C281D" w:rsidRPr="002D04C0">
        <w:t>77</w:t>
      </w:r>
      <w:r w:rsidRPr="002D04C0">
        <w:t xml:space="preserve"> percent.</w:t>
      </w:r>
    </w:p>
    <w:p w:rsidR="002E6DE7" w:rsidRPr="002D04C0" w:rsidRDefault="002E6DE7" w:rsidP="002E6DE7"/>
    <w:p w:rsidR="002E6DE7" w:rsidRPr="002D04C0" w:rsidRDefault="002E6DE7" w:rsidP="002E6DE7">
      <w:pPr>
        <w:pStyle w:val="Caption"/>
        <w:spacing w:after="120"/>
      </w:pPr>
      <w:r w:rsidRPr="002D04C0">
        <w:t xml:space="preserve">Table </w:t>
      </w:r>
      <w:r w:rsidR="00F217BF">
        <w:t>A</w:t>
      </w:r>
      <w:r w:rsidRPr="002D04C0">
        <w:t>.1</w:t>
      </w:r>
      <w:r w:rsidR="00B47F3F">
        <w:t xml:space="preserve">. Centers Active </w:t>
      </w:r>
      <w:proofErr w:type="gramStart"/>
      <w:r w:rsidR="00B47F3F">
        <w:t>During</w:t>
      </w:r>
      <w:proofErr w:type="gramEnd"/>
      <w:r w:rsidR="00B47F3F">
        <w:t xml:space="preserve"> the 2012–13</w:t>
      </w:r>
      <w:r w:rsidRPr="002D04C0">
        <w:t xml:space="preserve"> Reporting Period by APR Section and </w:t>
      </w:r>
      <w:r w:rsidRPr="002D04C0">
        <w:br/>
        <w:t>by Degree of Completion and Data Provision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834"/>
        <w:gridCol w:w="1834"/>
        <w:gridCol w:w="1834"/>
        <w:gridCol w:w="1835"/>
      </w:tblGrid>
      <w:tr w:rsidR="002E6DE7" w:rsidRPr="002D04C0" w:rsidTr="00111D9B">
        <w:trPr>
          <w:jc w:val="center"/>
        </w:trPr>
        <w:tc>
          <w:tcPr>
            <w:tcW w:w="2023" w:type="dxa"/>
            <w:shd w:val="clear" w:color="auto" w:fill="CCCCCC"/>
            <w:vAlign w:val="bottom"/>
          </w:tcPr>
          <w:p w:rsidR="002E6DE7" w:rsidRPr="002D04C0" w:rsidRDefault="002E6DE7" w:rsidP="00111D9B">
            <w:pPr>
              <w:jc w:val="center"/>
              <w:rPr>
                <w:rFonts w:ascii="Calibri" w:hAnsi="Calibri"/>
                <w:b/>
                <w:sz w:val="20"/>
                <w:szCs w:val="20"/>
              </w:rPr>
            </w:pPr>
          </w:p>
          <w:p w:rsidR="00111D9B" w:rsidRPr="002D04C0" w:rsidRDefault="00111D9B" w:rsidP="00111D9B">
            <w:pPr>
              <w:jc w:val="center"/>
              <w:rPr>
                <w:rFonts w:ascii="Calibri" w:hAnsi="Calibri"/>
                <w:b/>
                <w:sz w:val="20"/>
                <w:szCs w:val="20"/>
              </w:rPr>
            </w:pPr>
          </w:p>
          <w:p w:rsidR="002E6DE7" w:rsidRPr="002D04C0" w:rsidRDefault="002E6DE7" w:rsidP="00111D9B">
            <w:pPr>
              <w:jc w:val="center"/>
              <w:rPr>
                <w:rFonts w:ascii="Calibri" w:hAnsi="Calibri"/>
                <w:b/>
                <w:sz w:val="20"/>
                <w:szCs w:val="20"/>
              </w:rPr>
            </w:pPr>
            <w:r w:rsidRPr="002D04C0">
              <w:rPr>
                <w:rFonts w:ascii="Calibri" w:hAnsi="Calibri"/>
                <w:b/>
                <w:sz w:val="20"/>
                <w:szCs w:val="20"/>
              </w:rPr>
              <w:t>Section of the APR Related to Indicator Reporting</w:t>
            </w:r>
          </w:p>
        </w:tc>
        <w:tc>
          <w:tcPr>
            <w:tcW w:w="1834" w:type="dxa"/>
            <w:shd w:val="clear" w:color="auto" w:fill="CCCCCC"/>
            <w:vAlign w:val="bottom"/>
          </w:tcPr>
          <w:p w:rsidR="002E6DE7" w:rsidRPr="002D04C0" w:rsidRDefault="002E6DE7" w:rsidP="00111D9B">
            <w:pPr>
              <w:jc w:val="center"/>
              <w:rPr>
                <w:rFonts w:ascii="Calibri" w:hAnsi="Calibri"/>
                <w:b/>
                <w:sz w:val="20"/>
                <w:szCs w:val="20"/>
              </w:rPr>
            </w:pPr>
          </w:p>
          <w:p w:rsidR="002E6DE7" w:rsidRPr="002D04C0" w:rsidRDefault="002E6DE7" w:rsidP="00111D9B">
            <w:pPr>
              <w:jc w:val="center"/>
              <w:rPr>
                <w:rFonts w:ascii="Calibri" w:hAnsi="Calibri"/>
                <w:b/>
                <w:sz w:val="20"/>
                <w:szCs w:val="20"/>
              </w:rPr>
            </w:pPr>
          </w:p>
          <w:p w:rsidR="002E6DE7" w:rsidRPr="002D04C0" w:rsidRDefault="002E6DE7" w:rsidP="00111D9B">
            <w:pPr>
              <w:jc w:val="center"/>
              <w:rPr>
                <w:rFonts w:ascii="Calibri" w:hAnsi="Calibri"/>
                <w:b/>
                <w:sz w:val="20"/>
                <w:szCs w:val="20"/>
              </w:rPr>
            </w:pPr>
          </w:p>
          <w:p w:rsidR="002E6DE7" w:rsidRPr="002D04C0" w:rsidRDefault="002E6DE7" w:rsidP="00111D9B">
            <w:pPr>
              <w:jc w:val="center"/>
              <w:rPr>
                <w:rFonts w:ascii="Calibri" w:hAnsi="Calibri"/>
                <w:b/>
                <w:sz w:val="20"/>
                <w:szCs w:val="20"/>
              </w:rPr>
            </w:pPr>
            <w:r w:rsidRPr="002D04C0">
              <w:rPr>
                <w:rFonts w:ascii="Calibri" w:hAnsi="Calibri"/>
                <w:b/>
                <w:sz w:val="20"/>
                <w:szCs w:val="20"/>
              </w:rPr>
              <w:t>Domain of States Reporting</w:t>
            </w:r>
          </w:p>
        </w:tc>
        <w:tc>
          <w:tcPr>
            <w:tcW w:w="1834" w:type="dxa"/>
            <w:shd w:val="clear" w:color="auto" w:fill="CCCCCC"/>
            <w:vAlign w:val="bottom"/>
          </w:tcPr>
          <w:p w:rsidR="002E6DE7" w:rsidRPr="002D04C0" w:rsidRDefault="002E6DE7" w:rsidP="00111D9B">
            <w:pPr>
              <w:jc w:val="center"/>
              <w:rPr>
                <w:rFonts w:ascii="Calibri" w:hAnsi="Calibri"/>
                <w:b/>
                <w:sz w:val="20"/>
                <w:szCs w:val="20"/>
              </w:rPr>
            </w:pPr>
          </w:p>
          <w:p w:rsidR="002E6DE7" w:rsidRPr="002D04C0" w:rsidRDefault="002E6DE7" w:rsidP="00111D9B">
            <w:pPr>
              <w:jc w:val="center"/>
              <w:rPr>
                <w:rFonts w:ascii="Calibri" w:hAnsi="Calibri"/>
                <w:b/>
                <w:sz w:val="20"/>
                <w:szCs w:val="20"/>
              </w:rPr>
            </w:pPr>
            <w:r w:rsidRPr="002D04C0">
              <w:rPr>
                <w:rFonts w:ascii="Calibri" w:hAnsi="Calibri"/>
                <w:b/>
                <w:sz w:val="20"/>
                <w:szCs w:val="20"/>
              </w:rPr>
              <w:t>Centers Active in These States During the Reporting Period</w:t>
            </w:r>
          </w:p>
        </w:tc>
        <w:tc>
          <w:tcPr>
            <w:tcW w:w="1834" w:type="dxa"/>
            <w:shd w:val="clear" w:color="auto" w:fill="CCCCCC"/>
            <w:vAlign w:val="bottom"/>
          </w:tcPr>
          <w:p w:rsidR="002E6DE7" w:rsidRPr="002D04C0" w:rsidRDefault="002E6DE7" w:rsidP="00111D9B">
            <w:pPr>
              <w:jc w:val="center"/>
              <w:rPr>
                <w:rFonts w:ascii="Calibri" w:hAnsi="Calibri"/>
                <w:b/>
                <w:sz w:val="20"/>
                <w:szCs w:val="20"/>
              </w:rPr>
            </w:pPr>
            <w:r w:rsidRPr="002D04C0">
              <w:rPr>
                <w:rFonts w:ascii="Calibri" w:hAnsi="Calibri"/>
                <w:b/>
                <w:sz w:val="20"/>
                <w:szCs w:val="20"/>
              </w:rPr>
              <w:t>Number of Centers Meeting All Validation Criteria and That Reported Data</w:t>
            </w:r>
          </w:p>
        </w:tc>
        <w:tc>
          <w:tcPr>
            <w:tcW w:w="1835" w:type="dxa"/>
            <w:shd w:val="clear" w:color="auto" w:fill="CCCCCC"/>
            <w:vAlign w:val="bottom"/>
          </w:tcPr>
          <w:p w:rsidR="002E6DE7" w:rsidRPr="002D04C0" w:rsidRDefault="002E6DE7" w:rsidP="00111D9B">
            <w:pPr>
              <w:jc w:val="center"/>
              <w:rPr>
                <w:rFonts w:ascii="Calibri" w:hAnsi="Calibri"/>
                <w:b/>
                <w:sz w:val="20"/>
                <w:szCs w:val="20"/>
              </w:rPr>
            </w:pPr>
            <w:r w:rsidRPr="002D04C0">
              <w:rPr>
                <w:rFonts w:ascii="Calibri" w:hAnsi="Calibri"/>
                <w:b/>
                <w:sz w:val="20"/>
                <w:szCs w:val="20"/>
              </w:rPr>
              <w:t>Percentage of Centers Meeting All Validation Criteria and That Reported Data</w:t>
            </w:r>
          </w:p>
        </w:tc>
      </w:tr>
      <w:tr w:rsidR="002E6DE7" w:rsidRPr="002D04C0" w:rsidTr="009726B9">
        <w:trPr>
          <w:jc w:val="center"/>
        </w:trPr>
        <w:tc>
          <w:tcPr>
            <w:tcW w:w="2023" w:type="dxa"/>
          </w:tcPr>
          <w:p w:rsidR="002E6DE7" w:rsidRPr="002D04C0" w:rsidRDefault="002E6DE7" w:rsidP="009726B9">
            <w:pPr>
              <w:rPr>
                <w:rFonts w:ascii="Calibri" w:hAnsi="Calibri"/>
                <w:b/>
                <w:sz w:val="20"/>
                <w:szCs w:val="20"/>
              </w:rPr>
            </w:pPr>
          </w:p>
          <w:p w:rsidR="002E6DE7" w:rsidRPr="002D04C0" w:rsidRDefault="002E6DE7" w:rsidP="009726B9">
            <w:pPr>
              <w:rPr>
                <w:rFonts w:ascii="Calibri" w:hAnsi="Calibri"/>
                <w:b/>
                <w:sz w:val="20"/>
                <w:szCs w:val="20"/>
              </w:rPr>
            </w:pPr>
            <w:r w:rsidRPr="002D04C0">
              <w:rPr>
                <w:rFonts w:ascii="Calibri" w:hAnsi="Calibri"/>
                <w:b/>
                <w:sz w:val="20"/>
                <w:szCs w:val="20"/>
              </w:rPr>
              <w:t>Grades</w:t>
            </w:r>
          </w:p>
          <w:p w:rsidR="002E6DE7" w:rsidRPr="002D04C0" w:rsidRDefault="002E6DE7" w:rsidP="009726B9">
            <w:pPr>
              <w:rPr>
                <w:rFonts w:ascii="Calibri" w:hAnsi="Calibri"/>
                <w:b/>
                <w:sz w:val="20"/>
                <w:szCs w:val="20"/>
              </w:rPr>
            </w:pPr>
            <w:r w:rsidRPr="002D04C0">
              <w:rPr>
                <w:rFonts w:ascii="Calibri" w:hAnsi="Calibri"/>
                <w:b/>
                <w:sz w:val="20"/>
                <w:szCs w:val="20"/>
              </w:rPr>
              <w:t>(Measures 1.1 to 1.6)</w:t>
            </w:r>
          </w:p>
        </w:tc>
        <w:tc>
          <w:tcPr>
            <w:tcW w:w="1834" w:type="dxa"/>
            <w:vAlign w:val="center"/>
          </w:tcPr>
          <w:p w:rsidR="001E5B35" w:rsidRPr="002D04C0" w:rsidRDefault="00120CF5" w:rsidP="009726B9">
            <w:pPr>
              <w:jc w:val="center"/>
              <w:rPr>
                <w:rFonts w:ascii="Calibri" w:hAnsi="Calibri"/>
                <w:color w:val="000000"/>
                <w:sz w:val="22"/>
                <w:szCs w:val="22"/>
              </w:rPr>
            </w:pPr>
            <w:r>
              <w:rPr>
                <w:rFonts w:ascii="Calibri" w:hAnsi="Calibri"/>
                <w:color w:val="000000"/>
                <w:sz w:val="22"/>
                <w:szCs w:val="22"/>
              </w:rPr>
              <w:t>25</w:t>
            </w:r>
          </w:p>
          <w:p w:rsidR="002E6DE7" w:rsidRPr="002D04C0" w:rsidRDefault="009B298B" w:rsidP="00120CF5">
            <w:pPr>
              <w:jc w:val="center"/>
              <w:rPr>
                <w:rFonts w:ascii="Calibri" w:hAnsi="Calibri"/>
                <w:sz w:val="22"/>
                <w:szCs w:val="22"/>
              </w:rPr>
            </w:pPr>
            <w:r w:rsidRPr="002D04C0">
              <w:rPr>
                <w:rFonts w:ascii="Calibri" w:hAnsi="Calibri"/>
                <w:color w:val="000000"/>
                <w:sz w:val="22"/>
                <w:szCs w:val="22"/>
              </w:rPr>
              <w:t>(</w:t>
            </w:r>
            <w:r w:rsidR="00120CF5">
              <w:rPr>
                <w:rFonts w:ascii="Calibri" w:hAnsi="Calibri"/>
                <w:color w:val="000000"/>
                <w:sz w:val="22"/>
                <w:szCs w:val="22"/>
              </w:rPr>
              <w:t>46.3</w:t>
            </w:r>
            <w:r w:rsidRPr="002D04C0">
              <w:rPr>
                <w:rFonts w:ascii="Calibri" w:hAnsi="Calibri"/>
                <w:color w:val="000000"/>
                <w:sz w:val="22"/>
                <w:szCs w:val="22"/>
              </w:rPr>
              <w:t>%)</w:t>
            </w:r>
          </w:p>
        </w:tc>
        <w:tc>
          <w:tcPr>
            <w:tcW w:w="1834" w:type="dxa"/>
            <w:vAlign w:val="center"/>
          </w:tcPr>
          <w:p w:rsidR="001E5B35" w:rsidRPr="002D04C0" w:rsidRDefault="00212E89" w:rsidP="009726B9">
            <w:pPr>
              <w:jc w:val="center"/>
              <w:rPr>
                <w:rFonts w:ascii="Calibri" w:hAnsi="Calibri"/>
                <w:color w:val="000000"/>
                <w:sz w:val="22"/>
                <w:szCs w:val="22"/>
              </w:rPr>
            </w:pPr>
            <w:r>
              <w:rPr>
                <w:rFonts w:ascii="Calibri" w:hAnsi="Calibri"/>
                <w:color w:val="000000"/>
                <w:sz w:val="22"/>
                <w:szCs w:val="22"/>
              </w:rPr>
              <w:t>6,024</w:t>
            </w:r>
          </w:p>
          <w:p w:rsidR="002E6DE7" w:rsidRPr="002D04C0" w:rsidRDefault="009B298B" w:rsidP="00212E89">
            <w:pPr>
              <w:jc w:val="center"/>
              <w:rPr>
                <w:rFonts w:ascii="Calibri" w:hAnsi="Calibri"/>
                <w:sz w:val="22"/>
                <w:szCs w:val="22"/>
              </w:rPr>
            </w:pPr>
            <w:r w:rsidRPr="002D04C0">
              <w:rPr>
                <w:rFonts w:ascii="Calibri" w:hAnsi="Calibri"/>
                <w:color w:val="000000"/>
                <w:sz w:val="22"/>
                <w:szCs w:val="22"/>
              </w:rPr>
              <w:t>(</w:t>
            </w:r>
            <w:r w:rsidR="00212E89">
              <w:rPr>
                <w:rFonts w:ascii="Calibri" w:hAnsi="Calibri"/>
                <w:color w:val="000000"/>
                <w:sz w:val="22"/>
                <w:szCs w:val="22"/>
              </w:rPr>
              <w:t>60.3</w:t>
            </w:r>
            <w:r w:rsidRPr="002D04C0">
              <w:rPr>
                <w:rFonts w:ascii="Calibri" w:hAnsi="Calibri"/>
                <w:color w:val="000000"/>
                <w:sz w:val="22"/>
                <w:szCs w:val="22"/>
              </w:rPr>
              <w:t>%)</w:t>
            </w:r>
          </w:p>
        </w:tc>
        <w:tc>
          <w:tcPr>
            <w:tcW w:w="1834" w:type="dxa"/>
            <w:vAlign w:val="center"/>
          </w:tcPr>
          <w:p w:rsidR="009B298B" w:rsidRPr="002D04C0" w:rsidRDefault="00212E89" w:rsidP="00212E89">
            <w:pPr>
              <w:jc w:val="center"/>
              <w:rPr>
                <w:rFonts w:ascii="Calibri" w:hAnsi="Calibri"/>
                <w:color w:val="000000"/>
                <w:sz w:val="22"/>
                <w:szCs w:val="22"/>
              </w:rPr>
            </w:pPr>
            <w:r>
              <w:rPr>
                <w:rFonts w:ascii="Calibri" w:hAnsi="Calibri"/>
                <w:color w:val="000000"/>
                <w:sz w:val="22"/>
                <w:szCs w:val="22"/>
              </w:rPr>
              <w:t>4,768</w:t>
            </w:r>
          </w:p>
        </w:tc>
        <w:tc>
          <w:tcPr>
            <w:tcW w:w="1835" w:type="dxa"/>
            <w:vAlign w:val="center"/>
          </w:tcPr>
          <w:p w:rsidR="002E6DE7" w:rsidRPr="002D04C0" w:rsidRDefault="00212E89" w:rsidP="009726B9">
            <w:pPr>
              <w:jc w:val="center"/>
              <w:rPr>
                <w:rFonts w:ascii="Calibri" w:hAnsi="Calibri"/>
                <w:sz w:val="22"/>
                <w:szCs w:val="22"/>
              </w:rPr>
            </w:pPr>
            <w:r>
              <w:rPr>
                <w:rFonts w:ascii="Calibri" w:hAnsi="Calibri"/>
                <w:color w:val="000000"/>
                <w:sz w:val="22"/>
                <w:szCs w:val="22"/>
              </w:rPr>
              <w:t>79.2</w:t>
            </w:r>
            <w:r w:rsidR="009B298B" w:rsidRPr="002D04C0">
              <w:rPr>
                <w:rFonts w:ascii="Calibri" w:hAnsi="Calibri"/>
                <w:color w:val="000000"/>
                <w:sz w:val="22"/>
                <w:szCs w:val="22"/>
              </w:rPr>
              <w:t>%</w:t>
            </w:r>
          </w:p>
        </w:tc>
      </w:tr>
      <w:tr w:rsidR="002E6DE7" w:rsidRPr="002D04C0" w:rsidTr="009726B9">
        <w:trPr>
          <w:jc w:val="center"/>
        </w:trPr>
        <w:tc>
          <w:tcPr>
            <w:tcW w:w="2023" w:type="dxa"/>
          </w:tcPr>
          <w:p w:rsidR="002E6DE7" w:rsidRPr="002D04C0" w:rsidRDefault="002E6DE7" w:rsidP="009726B9">
            <w:pPr>
              <w:rPr>
                <w:rFonts w:ascii="Calibri" w:hAnsi="Calibri"/>
                <w:b/>
                <w:sz w:val="20"/>
                <w:szCs w:val="20"/>
              </w:rPr>
            </w:pPr>
          </w:p>
          <w:p w:rsidR="002E6DE7" w:rsidRPr="002D04C0" w:rsidRDefault="002E6DE7" w:rsidP="009726B9">
            <w:pPr>
              <w:rPr>
                <w:rFonts w:ascii="Calibri" w:hAnsi="Calibri"/>
                <w:b/>
                <w:sz w:val="20"/>
                <w:szCs w:val="20"/>
              </w:rPr>
            </w:pPr>
            <w:r w:rsidRPr="002D04C0">
              <w:rPr>
                <w:rFonts w:ascii="Calibri" w:hAnsi="Calibri"/>
                <w:b/>
                <w:sz w:val="20"/>
                <w:szCs w:val="20"/>
              </w:rPr>
              <w:t>State Assessment (Measures 1.7 to 1.8)</w:t>
            </w:r>
          </w:p>
        </w:tc>
        <w:tc>
          <w:tcPr>
            <w:tcW w:w="1834" w:type="dxa"/>
            <w:vAlign w:val="center"/>
          </w:tcPr>
          <w:p w:rsidR="001E5B35" w:rsidRPr="002D04C0" w:rsidRDefault="00120CF5" w:rsidP="009726B9">
            <w:pPr>
              <w:jc w:val="center"/>
              <w:rPr>
                <w:rFonts w:ascii="Calibri" w:hAnsi="Calibri"/>
                <w:color w:val="000000"/>
                <w:sz w:val="22"/>
                <w:szCs w:val="22"/>
              </w:rPr>
            </w:pPr>
            <w:r>
              <w:rPr>
                <w:rFonts w:ascii="Calibri" w:hAnsi="Calibri"/>
                <w:color w:val="000000"/>
                <w:sz w:val="22"/>
                <w:szCs w:val="22"/>
              </w:rPr>
              <w:t>27</w:t>
            </w:r>
          </w:p>
          <w:p w:rsidR="002E6DE7" w:rsidRPr="002D04C0" w:rsidRDefault="009B298B" w:rsidP="009726B9">
            <w:pPr>
              <w:jc w:val="center"/>
              <w:rPr>
                <w:rFonts w:ascii="Calibri" w:hAnsi="Calibri"/>
                <w:sz w:val="22"/>
                <w:szCs w:val="22"/>
              </w:rPr>
            </w:pPr>
            <w:r w:rsidRPr="002D04C0">
              <w:rPr>
                <w:rFonts w:ascii="Calibri" w:hAnsi="Calibri"/>
                <w:color w:val="000000"/>
                <w:sz w:val="22"/>
                <w:szCs w:val="22"/>
              </w:rPr>
              <w:t>(50.0%)</w:t>
            </w:r>
          </w:p>
        </w:tc>
        <w:tc>
          <w:tcPr>
            <w:tcW w:w="1834" w:type="dxa"/>
            <w:vAlign w:val="center"/>
          </w:tcPr>
          <w:p w:rsidR="001E5B35" w:rsidRPr="002D04C0" w:rsidRDefault="00212E89" w:rsidP="009726B9">
            <w:pPr>
              <w:jc w:val="center"/>
              <w:rPr>
                <w:rFonts w:ascii="Calibri" w:hAnsi="Calibri"/>
                <w:color w:val="000000"/>
                <w:sz w:val="22"/>
                <w:szCs w:val="22"/>
              </w:rPr>
            </w:pPr>
            <w:r>
              <w:rPr>
                <w:rFonts w:ascii="Calibri" w:hAnsi="Calibri"/>
                <w:color w:val="000000"/>
                <w:sz w:val="22"/>
                <w:szCs w:val="22"/>
              </w:rPr>
              <w:t>6,163</w:t>
            </w:r>
          </w:p>
          <w:p w:rsidR="002E6DE7" w:rsidRPr="002D04C0" w:rsidRDefault="009B298B" w:rsidP="00212E89">
            <w:pPr>
              <w:jc w:val="center"/>
              <w:rPr>
                <w:rFonts w:ascii="Calibri" w:hAnsi="Calibri"/>
                <w:sz w:val="22"/>
                <w:szCs w:val="22"/>
              </w:rPr>
            </w:pPr>
            <w:r w:rsidRPr="002D04C0">
              <w:rPr>
                <w:rFonts w:ascii="Calibri" w:hAnsi="Calibri"/>
                <w:color w:val="000000"/>
                <w:sz w:val="22"/>
                <w:szCs w:val="22"/>
              </w:rPr>
              <w:t>(</w:t>
            </w:r>
            <w:r w:rsidR="00212E89">
              <w:rPr>
                <w:rFonts w:ascii="Calibri" w:hAnsi="Calibri"/>
                <w:color w:val="000000"/>
                <w:sz w:val="22"/>
                <w:szCs w:val="22"/>
              </w:rPr>
              <w:t>61.7</w:t>
            </w:r>
            <w:r w:rsidRPr="002D04C0">
              <w:rPr>
                <w:rFonts w:ascii="Calibri" w:hAnsi="Calibri"/>
                <w:color w:val="000000"/>
                <w:sz w:val="22"/>
                <w:szCs w:val="22"/>
              </w:rPr>
              <w:t>%)</w:t>
            </w:r>
          </w:p>
        </w:tc>
        <w:tc>
          <w:tcPr>
            <w:tcW w:w="1834" w:type="dxa"/>
            <w:vAlign w:val="center"/>
          </w:tcPr>
          <w:p w:rsidR="002E6DE7" w:rsidRPr="002D04C0" w:rsidRDefault="00212E89" w:rsidP="00212E89">
            <w:pPr>
              <w:jc w:val="center"/>
              <w:rPr>
                <w:rFonts w:ascii="Calibri" w:hAnsi="Calibri"/>
                <w:sz w:val="22"/>
                <w:szCs w:val="22"/>
              </w:rPr>
            </w:pPr>
            <w:r>
              <w:rPr>
                <w:rFonts w:ascii="Calibri" w:hAnsi="Calibri"/>
                <w:color w:val="000000"/>
                <w:sz w:val="22"/>
                <w:szCs w:val="22"/>
              </w:rPr>
              <w:t>4,810</w:t>
            </w:r>
          </w:p>
        </w:tc>
        <w:tc>
          <w:tcPr>
            <w:tcW w:w="1835" w:type="dxa"/>
            <w:vAlign w:val="center"/>
          </w:tcPr>
          <w:p w:rsidR="002E6DE7" w:rsidRPr="002D04C0" w:rsidRDefault="00212E89" w:rsidP="009726B9">
            <w:pPr>
              <w:jc w:val="center"/>
              <w:rPr>
                <w:rFonts w:ascii="Calibri" w:hAnsi="Calibri"/>
                <w:sz w:val="22"/>
                <w:szCs w:val="22"/>
              </w:rPr>
            </w:pPr>
            <w:r>
              <w:rPr>
                <w:rFonts w:ascii="Calibri" w:hAnsi="Calibri"/>
                <w:color w:val="000000"/>
                <w:sz w:val="22"/>
                <w:szCs w:val="22"/>
              </w:rPr>
              <w:t>78.0</w:t>
            </w:r>
            <w:r w:rsidR="009B298B" w:rsidRPr="002D04C0">
              <w:rPr>
                <w:rFonts w:ascii="Calibri" w:hAnsi="Calibri"/>
                <w:color w:val="000000"/>
                <w:sz w:val="22"/>
                <w:szCs w:val="22"/>
              </w:rPr>
              <w:t>%</w:t>
            </w:r>
          </w:p>
        </w:tc>
      </w:tr>
      <w:tr w:rsidR="002E6DE7" w:rsidRPr="002D04C0" w:rsidTr="009726B9">
        <w:trPr>
          <w:jc w:val="center"/>
        </w:trPr>
        <w:tc>
          <w:tcPr>
            <w:tcW w:w="2023" w:type="dxa"/>
          </w:tcPr>
          <w:p w:rsidR="002E6DE7" w:rsidRPr="002D04C0" w:rsidRDefault="002E6DE7" w:rsidP="009726B9">
            <w:pPr>
              <w:rPr>
                <w:rFonts w:ascii="Calibri" w:hAnsi="Calibri"/>
                <w:b/>
                <w:sz w:val="20"/>
                <w:szCs w:val="20"/>
              </w:rPr>
            </w:pPr>
          </w:p>
          <w:p w:rsidR="002E6DE7" w:rsidRPr="002D04C0" w:rsidRDefault="002E6DE7" w:rsidP="009726B9">
            <w:pPr>
              <w:rPr>
                <w:rFonts w:ascii="Calibri" w:hAnsi="Calibri"/>
                <w:b/>
                <w:sz w:val="20"/>
                <w:szCs w:val="20"/>
              </w:rPr>
            </w:pPr>
            <w:r w:rsidRPr="002D04C0">
              <w:rPr>
                <w:rFonts w:ascii="Calibri" w:hAnsi="Calibri"/>
                <w:b/>
                <w:sz w:val="20"/>
                <w:szCs w:val="20"/>
              </w:rPr>
              <w:t>Teacher Survey (Measures 1.9 to 1.14)</w:t>
            </w:r>
          </w:p>
        </w:tc>
        <w:tc>
          <w:tcPr>
            <w:tcW w:w="1834" w:type="dxa"/>
            <w:vAlign w:val="center"/>
          </w:tcPr>
          <w:p w:rsidR="001E5B35" w:rsidRPr="002D04C0" w:rsidRDefault="00120CF5" w:rsidP="009726B9">
            <w:pPr>
              <w:jc w:val="center"/>
              <w:rPr>
                <w:rFonts w:ascii="Calibri" w:hAnsi="Calibri"/>
                <w:color w:val="000000"/>
                <w:sz w:val="22"/>
                <w:szCs w:val="22"/>
              </w:rPr>
            </w:pPr>
            <w:r>
              <w:rPr>
                <w:rFonts w:ascii="Calibri" w:hAnsi="Calibri"/>
                <w:color w:val="000000"/>
                <w:sz w:val="22"/>
                <w:szCs w:val="22"/>
              </w:rPr>
              <w:t>44</w:t>
            </w:r>
          </w:p>
          <w:p w:rsidR="002E6DE7" w:rsidRPr="002D04C0" w:rsidRDefault="009B298B" w:rsidP="009726B9">
            <w:pPr>
              <w:jc w:val="center"/>
              <w:rPr>
                <w:rFonts w:ascii="Calibri" w:hAnsi="Calibri"/>
                <w:sz w:val="22"/>
                <w:szCs w:val="22"/>
              </w:rPr>
            </w:pPr>
            <w:r w:rsidRPr="002D04C0">
              <w:rPr>
                <w:rFonts w:ascii="Calibri" w:hAnsi="Calibri"/>
                <w:color w:val="000000"/>
                <w:sz w:val="22"/>
                <w:szCs w:val="22"/>
              </w:rPr>
              <w:t>(81.5%)</w:t>
            </w:r>
          </w:p>
        </w:tc>
        <w:tc>
          <w:tcPr>
            <w:tcW w:w="1834" w:type="dxa"/>
            <w:vAlign w:val="center"/>
          </w:tcPr>
          <w:p w:rsidR="001E5B35" w:rsidRPr="002D04C0" w:rsidRDefault="00212E89" w:rsidP="009726B9">
            <w:pPr>
              <w:jc w:val="center"/>
              <w:rPr>
                <w:rFonts w:ascii="Calibri" w:hAnsi="Calibri"/>
                <w:color w:val="000000"/>
                <w:sz w:val="22"/>
                <w:szCs w:val="22"/>
              </w:rPr>
            </w:pPr>
            <w:r>
              <w:rPr>
                <w:rFonts w:ascii="Calibri" w:hAnsi="Calibri"/>
                <w:color w:val="000000"/>
                <w:sz w:val="22"/>
                <w:szCs w:val="22"/>
              </w:rPr>
              <w:t>7,097</w:t>
            </w:r>
          </w:p>
          <w:p w:rsidR="002E6DE7" w:rsidRPr="002D04C0" w:rsidRDefault="001E5B35" w:rsidP="009726B9">
            <w:pPr>
              <w:jc w:val="center"/>
              <w:rPr>
                <w:rFonts w:ascii="Calibri" w:hAnsi="Calibri"/>
                <w:sz w:val="22"/>
                <w:szCs w:val="22"/>
              </w:rPr>
            </w:pPr>
            <w:r w:rsidRPr="002D04C0">
              <w:rPr>
                <w:rFonts w:ascii="Calibri" w:hAnsi="Calibri"/>
                <w:color w:val="000000"/>
                <w:sz w:val="22"/>
                <w:szCs w:val="22"/>
              </w:rPr>
              <w:t>(</w:t>
            </w:r>
            <w:r w:rsidR="00212E89">
              <w:rPr>
                <w:rFonts w:ascii="Calibri" w:hAnsi="Calibri"/>
                <w:color w:val="000000"/>
                <w:sz w:val="22"/>
                <w:szCs w:val="22"/>
              </w:rPr>
              <w:t>71.0</w:t>
            </w:r>
            <w:r w:rsidR="009B298B" w:rsidRPr="002D04C0">
              <w:rPr>
                <w:rFonts w:ascii="Calibri" w:hAnsi="Calibri"/>
                <w:color w:val="000000"/>
                <w:sz w:val="22"/>
                <w:szCs w:val="22"/>
              </w:rPr>
              <w:t>%</w:t>
            </w:r>
            <w:r w:rsidRPr="002D04C0">
              <w:rPr>
                <w:rFonts w:ascii="Calibri" w:hAnsi="Calibri"/>
                <w:color w:val="000000"/>
                <w:sz w:val="22"/>
                <w:szCs w:val="22"/>
              </w:rPr>
              <w:t>)</w:t>
            </w:r>
          </w:p>
        </w:tc>
        <w:tc>
          <w:tcPr>
            <w:tcW w:w="1834" w:type="dxa"/>
            <w:vAlign w:val="center"/>
          </w:tcPr>
          <w:p w:rsidR="002E6DE7" w:rsidRPr="002D04C0" w:rsidRDefault="00212E89" w:rsidP="009726B9">
            <w:pPr>
              <w:jc w:val="center"/>
              <w:rPr>
                <w:rFonts w:ascii="Calibri" w:hAnsi="Calibri"/>
                <w:sz w:val="22"/>
                <w:szCs w:val="22"/>
              </w:rPr>
            </w:pPr>
            <w:r>
              <w:rPr>
                <w:rFonts w:ascii="Calibri" w:hAnsi="Calibri"/>
                <w:color w:val="000000"/>
                <w:sz w:val="22"/>
                <w:szCs w:val="22"/>
              </w:rPr>
              <w:t>5,506</w:t>
            </w:r>
          </w:p>
        </w:tc>
        <w:tc>
          <w:tcPr>
            <w:tcW w:w="1835" w:type="dxa"/>
            <w:vAlign w:val="center"/>
          </w:tcPr>
          <w:p w:rsidR="002E6DE7" w:rsidRPr="002D04C0" w:rsidRDefault="00212E89" w:rsidP="009726B9">
            <w:pPr>
              <w:jc w:val="center"/>
              <w:rPr>
                <w:rFonts w:ascii="Calibri" w:hAnsi="Calibri"/>
                <w:sz w:val="22"/>
                <w:szCs w:val="22"/>
              </w:rPr>
            </w:pPr>
            <w:r>
              <w:rPr>
                <w:rFonts w:ascii="Calibri" w:hAnsi="Calibri"/>
                <w:color w:val="000000"/>
                <w:sz w:val="22"/>
                <w:szCs w:val="22"/>
              </w:rPr>
              <w:t>77.6</w:t>
            </w:r>
            <w:r w:rsidR="009B298B" w:rsidRPr="002D04C0">
              <w:rPr>
                <w:rFonts w:ascii="Calibri" w:hAnsi="Calibri"/>
                <w:color w:val="000000"/>
                <w:sz w:val="22"/>
                <w:szCs w:val="22"/>
              </w:rPr>
              <w:t>%</w:t>
            </w:r>
          </w:p>
        </w:tc>
      </w:tr>
      <w:tr w:rsidR="002E6DE7" w:rsidTr="009726B9">
        <w:trPr>
          <w:jc w:val="center"/>
        </w:trPr>
        <w:tc>
          <w:tcPr>
            <w:tcW w:w="2023" w:type="dxa"/>
          </w:tcPr>
          <w:p w:rsidR="002E6DE7" w:rsidRPr="002D04C0" w:rsidRDefault="002E6DE7" w:rsidP="009726B9">
            <w:pPr>
              <w:rPr>
                <w:rFonts w:ascii="Calibri" w:hAnsi="Calibri"/>
                <w:b/>
                <w:sz w:val="20"/>
                <w:szCs w:val="20"/>
              </w:rPr>
            </w:pPr>
          </w:p>
          <w:p w:rsidR="002E6DE7" w:rsidRPr="002D04C0" w:rsidRDefault="002E6DE7" w:rsidP="009726B9">
            <w:pPr>
              <w:rPr>
                <w:rFonts w:ascii="Calibri" w:hAnsi="Calibri"/>
                <w:b/>
                <w:sz w:val="20"/>
                <w:szCs w:val="20"/>
              </w:rPr>
            </w:pPr>
            <w:r w:rsidRPr="002D04C0">
              <w:rPr>
                <w:rFonts w:ascii="Calibri" w:hAnsi="Calibri"/>
                <w:b/>
                <w:sz w:val="20"/>
                <w:szCs w:val="20"/>
              </w:rPr>
              <w:t xml:space="preserve">Activities </w:t>
            </w:r>
          </w:p>
          <w:p w:rsidR="002E6DE7" w:rsidRPr="002D04C0" w:rsidRDefault="002E6DE7" w:rsidP="009726B9">
            <w:pPr>
              <w:rPr>
                <w:rFonts w:ascii="Calibri" w:hAnsi="Calibri"/>
                <w:b/>
                <w:sz w:val="20"/>
                <w:szCs w:val="20"/>
              </w:rPr>
            </w:pPr>
            <w:r w:rsidRPr="002D04C0">
              <w:rPr>
                <w:rFonts w:ascii="Calibri" w:hAnsi="Calibri"/>
                <w:b/>
                <w:sz w:val="20"/>
                <w:szCs w:val="20"/>
              </w:rPr>
              <w:t>(Measures 2.1 to 2.2)</w:t>
            </w:r>
          </w:p>
        </w:tc>
        <w:tc>
          <w:tcPr>
            <w:tcW w:w="1834" w:type="dxa"/>
            <w:vAlign w:val="center"/>
          </w:tcPr>
          <w:p w:rsidR="001E5B35" w:rsidRPr="002D04C0" w:rsidRDefault="005D0E55" w:rsidP="009726B9">
            <w:pPr>
              <w:jc w:val="center"/>
              <w:rPr>
                <w:rFonts w:ascii="Calibri" w:hAnsi="Calibri"/>
                <w:color w:val="000000"/>
                <w:sz w:val="22"/>
                <w:szCs w:val="22"/>
              </w:rPr>
            </w:pPr>
            <w:r>
              <w:rPr>
                <w:rFonts w:ascii="Calibri" w:hAnsi="Calibri"/>
                <w:color w:val="000000"/>
                <w:sz w:val="22"/>
                <w:szCs w:val="22"/>
              </w:rPr>
              <w:t>54</w:t>
            </w:r>
          </w:p>
          <w:p w:rsidR="002E6DE7" w:rsidRPr="002D04C0" w:rsidRDefault="009B298B" w:rsidP="009726B9">
            <w:pPr>
              <w:jc w:val="center"/>
              <w:rPr>
                <w:rFonts w:ascii="Calibri" w:hAnsi="Calibri"/>
                <w:sz w:val="22"/>
                <w:szCs w:val="22"/>
              </w:rPr>
            </w:pPr>
            <w:r w:rsidRPr="002D04C0">
              <w:rPr>
                <w:rFonts w:ascii="Calibri" w:hAnsi="Calibri"/>
                <w:color w:val="000000"/>
                <w:sz w:val="22"/>
                <w:szCs w:val="22"/>
              </w:rPr>
              <w:t>(100%)</w:t>
            </w:r>
          </w:p>
        </w:tc>
        <w:tc>
          <w:tcPr>
            <w:tcW w:w="1834" w:type="dxa"/>
            <w:vAlign w:val="center"/>
          </w:tcPr>
          <w:p w:rsidR="001E5B35" w:rsidRPr="002D04C0" w:rsidRDefault="00BA1FBD" w:rsidP="009726B9">
            <w:pPr>
              <w:jc w:val="center"/>
              <w:rPr>
                <w:rFonts w:ascii="Calibri" w:hAnsi="Calibri"/>
                <w:color w:val="000000"/>
                <w:sz w:val="22"/>
                <w:szCs w:val="22"/>
              </w:rPr>
            </w:pPr>
            <w:r>
              <w:rPr>
                <w:rFonts w:ascii="Calibri" w:hAnsi="Calibri"/>
                <w:color w:val="000000"/>
                <w:sz w:val="22"/>
                <w:szCs w:val="22"/>
              </w:rPr>
              <w:t>9,989</w:t>
            </w:r>
          </w:p>
          <w:p w:rsidR="002E6DE7" w:rsidRPr="002D04C0" w:rsidRDefault="009B298B" w:rsidP="009726B9">
            <w:pPr>
              <w:jc w:val="center"/>
              <w:rPr>
                <w:rFonts w:ascii="Calibri" w:hAnsi="Calibri"/>
                <w:sz w:val="22"/>
                <w:szCs w:val="22"/>
              </w:rPr>
            </w:pPr>
            <w:r w:rsidRPr="002D04C0">
              <w:rPr>
                <w:rFonts w:ascii="Calibri" w:hAnsi="Calibri"/>
                <w:color w:val="000000"/>
                <w:sz w:val="22"/>
                <w:szCs w:val="22"/>
              </w:rPr>
              <w:t>(100%)</w:t>
            </w:r>
          </w:p>
        </w:tc>
        <w:tc>
          <w:tcPr>
            <w:tcW w:w="1834" w:type="dxa"/>
            <w:vAlign w:val="center"/>
          </w:tcPr>
          <w:p w:rsidR="002E6DE7" w:rsidRPr="002D04C0" w:rsidRDefault="00212E89" w:rsidP="00212E89">
            <w:pPr>
              <w:jc w:val="center"/>
              <w:rPr>
                <w:rFonts w:ascii="Calibri" w:hAnsi="Calibri"/>
                <w:sz w:val="22"/>
                <w:szCs w:val="22"/>
              </w:rPr>
            </w:pPr>
            <w:r>
              <w:rPr>
                <w:rFonts w:ascii="Calibri" w:hAnsi="Calibri"/>
                <w:color w:val="000000"/>
                <w:sz w:val="22"/>
                <w:szCs w:val="22"/>
              </w:rPr>
              <w:t>9,761</w:t>
            </w:r>
          </w:p>
        </w:tc>
        <w:tc>
          <w:tcPr>
            <w:tcW w:w="1835" w:type="dxa"/>
            <w:vAlign w:val="center"/>
          </w:tcPr>
          <w:p w:rsidR="002E6DE7" w:rsidRDefault="00212E89" w:rsidP="009726B9">
            <w:pPr>
              <w:jc w:val="center"/>
              <w:rPr>
                <w:rFonts w:ascii="Calibri" w:hAnsi="Calibri"/>
                <w:sz w:val="22"/>
                <w:szCs w:val="22"/>
              </w:rPr>
            </w:pPr>
            <w:r>
              <w:rPr>
                <w:rFonts w:ascii="Calibri" w:hAnsi="Calibri"/>
                <w:color w:val="000000"/>
                <w:sz w:val="22"/>
                <w:szCs w:val="22"/>
              </w:rPr>
              <w:t>97.7</w:t>
            </w:r>
            <w:r w:rsidR="009B298B" w:rsidRPr="002D04C0">
              <w:rPr>
                <w:rFonts w:ascii="Calibri" w:hAnsi="Calibri"/>
                <w:color w:val="000000"/>
                <w:sz w:val="22"/>
                <w:szCs w:val="22"/>
              </w:rPr>
              <w:t>%</w:t>
            </w:r>
          </w:p>
        </w:tc>
      </w:tr>
    </w:tbl>
    <w:p w:rsidR="00C37AFD" w:rsidRDefault="00C37AFD" w:rsidP="000D4CAA"/>
    <w:sectPr w:rsidR="00C37AFD" w:rsidSect="009F31AE">
      <w:footerReference w:type="default" r:id="rId23"/>
      <w:pgSz w:w="12240" w:h="15840"/>
      <w:pgMar w:top="1440"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2AF" w:rsidRDefault="004B22AF">
      <w:r>
        <w:separator/>
      </w:r>
    </w:p>
  </w:endnote>
  <w:endnote w:type="continuationSeparator" w:id="0">
    <w:p w:rsidR="004B22AF" w:rsidRDefault="004B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E7C" w:rsidRDefault="00BA5E7C" w:rsidP="00033070">
    <w:pPr>
      <w:pStyle w:val="Footer"/>
      <w:tabs>
        <w:tab w:val="clear" w:pos="4320"/>
        <w:tab w:val="center" w:pos="3960"/>
      </w:tabs>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E7C" w:rsidRDefault="00BA5E7C" w:rsidP="00DE3F1C">
    <w:pPr>
      <w:pStyle w:val="Footer"/>
      <w:tabs>
        <w:tab w:val="clear" w:pos="4320"/>
        <w:tab w:val="clear" w:pos="8640"/>
        <w:tab w:val="center" w:pos="3780"/>
        <w:tab w:val="left" w:pos="5220"/>
        <w:tab w:val="right" w:pos="10980"/>
      </w:tabs>
      <w:ind w:right="-12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2AF" w:rsidRDefault="004B22AF">
      <w:r>
        <w:separator/>
      </w:r>
    </w:p>
  </w:footnote>
  <w:footnote w:type="continuationSeparator" w:id="0">
    <w:p w:rsidR="004B22AF" w:rsidRDefault="004B22AF">
      <w:r>
        <w:continuationSeparator/>
      </w:r>
    </w:p>
  </w:footnote>
  <w:footnote w:id="1">
    <w:p w:rsidR="00BA5E7C" w:rsidRDefault="00BA5E7C">
      <w:pPr>
        <w:pStyle w:val="FootnoteText"/>
      </w:pPr>
      <w:r>
        <w:rPr>
          <w:rStyle w:val="FootnoteReference"/>
        </w:rPr>
        <w:footnoteRef/>
      </w:r>
      <w:r>
        <w:t xml:space="preserve"> “Unknown” indicates grantees that had not selected an organization classification in the Grantee Profile. “CBO” indicates Community Based Organization; “COU” indicates College or University; “CS” indicates Charter School; “FBO” indicates Faith-Based Organization; “FPC” indicates For-Profit Company; “NPA” indicates Non-Profit Association (including YWCA/YMCA, Big Brothers/Big Sisters, Boys &amp; Girls Club, Boy Scouts/Girl Scouts, etc.); “SD” indicates School District; “Other” indicates all other classifications, including Units of Government, Regional/Intermediate Education Agency, Health Based Organization, Park/Recreation district, Library, Bureau of Indian Affairs, Museum, and Private School categories.</w:t>
      </w:r>
    </w:p>
  </w:footnote>
  <w:footnote w:id="2">
    <w:p w:rsidR="00BA5E7C" w:rsidRDefault="00BA5E7C" w:rsidP="000D596D">
      <w:pPr>
        <w:pStyle w:val="FootnoteText"/>
      </w:pPr>
      <w:r>
        <w:rPr>
          <w:rStyle w:val="FootnoteReference"/>
        </w:rPr>
        <w:footnoteRef/>
      </w:r>
      <w:r>
        <w:t xml:space="preserve"> “Unknown” indicates grantees that had not selected an organization classification in the Grantee Profile. “CBO” indicates Community Based Organization; “COU” indicates College or University; “CS” indicates Charter School; “FBO” indicates Faith-Based Organization; “FPC” indicates For-Profit Company; “NPA” indicates Non-Profit Association (including YWCA/YMCA, Big Brothers/Big Sisters, Boys &amp; Girls Club, Boy Scouts/Girl Scouts, etc.); “SD” indicates School District; “Other” indicates all other classifications, including Units of Government, Regional/Intermediate Education Agency, Health Based Organization, Park/Recreation district, Library, Bureau of Indian Affairs, Museum, and Private School categories. </w:t>
      </w:r>
    </w:p>
  </w:footnote>
  <w:footnote w:id="3">
    <w:p w:rsidR="00BA5E7C" w:rsidRDefault="00BA5E7C" w:rsidP="00493EB1">
      <w:pPr>
        <w:pStyle w:val="FootnoteText"/>
      </w:pPr>
      <w:r>
        <w:rPr>
          <w:rStyle w:val="FootnoteReference"/>
        </w:rPr>
        <w:footnoteRef/>
      </w:r>
      <w:r>
        <w:t xml:space="preserve"> “Unknown” indicates grantees that had not selected an organization classification in the Grantee Profile. “CBO” indicates Community Based Organization; “COU” indicates College or University; “CS” indicates Charter School; “FBO” indicates Faith-Based Organization; “FPC” indicates For-Profit Company; “NPA” indicates Non-Profit Association (including YWCA/YMCA, Big Brothers/Big Sisters, Boys &amp; Girls Club, Boy Scouts/Girl Scouts, etc.); “SD” indicates School District; “Other” indicates all other classifications, including Units of Government, Regional/Intermediate Education Agency, Health Based Organization, Park/Recreation district, Library, Bureau of Indian Affairs, Museum, and Private School categories.</w:t>
      </w:r>
    </w:p>
  </w:footnote>
  <w:footnote w:id="4">
    <w:p w:rsidR="00BA5E7C" w:rsidRDefault="00BA5E7C" w:rsidP="00B25FD5">
      <w:pPr>
        <w:pStyle w:val="FootnoteText"/>
      </w:pPr>
      <w:r>
        <w:rPr>
          <w:rStyle w:val="FootnoteReference"/>
        </w:rPr>
        <w:footnoteRef/>
      </w:r>
      <w:r>
        <w:t xml:space="preserve"> The student totals here will not match the totals of Table 3, because students for whom the grade level is unknown are not included in this table.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409770"/>
    <w:lvl w:ilvl="0">
      <w:start w:val="1"/>
      <w:numFmt w:val="decimal"/>
      <w:lvlText w:val="%1."/>
      <w:lvlJc w:val="left"/>
      <w:pPr>
        <w:tabs>
          <w:tab w:val="num" w:pos="1800"/>
        </w:tabs>
        <w:ind w:left="1800" w:hanging="360"/>
      </w:pPr>
    </w:lvl>
  </w:abstractNum>
  <w:abstractNum w:abstractNumId="1">
    <w:nsid w:val="FFFFFF7D"/>
    <w:multiLevelType w:val="singleLevel"/>
    <w:tmpl w:val="F0EC3DD4"/>
    <w:lvl w:ilvl="0">
      <w:start w:val="1"/>
      <w:numFmt w:val="decimal"/>
      <w:lvlText w:val="%1."/>
      <w:lvlJc w:val="left"/>
      <w:pPr>
        <w:tabs>
          <w:tab w:val="num" w:pos="1440"/>
        </w:tabs>
        <w:ind w:left="1440" w:hanging="360"/>
      </w:pPr>
    </w:lvl>
  </w:abstractNum>
  <w:abstractNum w:abstractNumId="2">
    <w:nsid w:val="FFFFFF7E"/>
    <w:multiLevelType w:val="singleLevel"/>
    <w:tmpl w:val="64360A4A"/>
    <w:lvl w:ilvl="0">
      <w:start w:val="1"/>
      <w:numFmt w:val="decimal"/>
      <w:lvlText w:val="%1."/>
      <w:lvlJc w:val="left"/>
      <w:pPr>
        <w:tabs>
          <w:tab w:val="num" w:pos="1080"/>
        </w:tabs>
        <w:ind w:left="1080" w:hanging="360"/>
      </w:pPr>
    </w:lvl>
  </w:abstractNum>
  <w:abstractNum w:abstractNumId="3">
    <w:nsid w:val="FFFFFF7F"/>
    <w:multiLevelType w:val="singleLevel"/>
    <w:tmpl w:val="66B0D4B2"/>
    <w:lvl w:ilvl="0">
      <w:start w:val="1"/>
      <w:numFmt w:val="decimal"/>
      <w:lvlText w:val="%1."/>
      <w:lvlJc w:val="left"/>
      <w:pPr>
        <w:tabs>
          <w:tab w:val="num" w:pos="720"/>
        </w:tabs>
        <w:ind w:left="720" w:hanging="360"/>
      </w:pPr>
    </w:lvl>
  </w:abstractNum>
  <w:abstractNum w:abstractNumId="4">
    <w:nsid w:val="FFFFFF80"/>
    <w:multiLevelType w:val="singleLevel"/>
    <w:tmpl w:val="A1D4B6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A782D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716E8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EAB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9CCADE"/>
    <w:lvl w:ilvl="0">
      <w:start w:val="1"/>
      <w:numFmt w:val="decimal"/>
      <w:lvlText w:val="%1."/>
      <w:lvlJc w:val="left"/>
      <w:pPr>
        <w:tabs>
          <w:tab w:val="num" w:pos="360"/>
        </w:tabs>
        <w:ind w:left="360" w:hanging="360"/>
      </w:pPr>
    </w:lvl>
  </w:abstractNum>
  <w:abstractNum w:abstractNumId="9">
    <w:nsid w:val="FFFFFF89"/>
    <w:multiLevelType w:val="singleLevel"/>
    <w:tmpl w:val="5D982F04"/>
    <w:lvl w:ilvl="0">
      <w:start w:val="1"/>
      <w:numFmt w:val="bullet"/>
      <w:lvlText w:val=""/>
      <w:lvlJc w:val="left"/>
      <w:pPr>
        <w:tabs>
          <w:tab w:val="num" w:pos="360"/>
        </w:tabs>
        <w:ind w:left="360" w:hanging="360"/>
      </w:pPr>
      <w:rPr>
        <w:rFonts w:ascii="Symbol" w:hAnsi="Symbol" w:hint="default"/>
      </w:rPr>
    </w:lvl>
  </w:abstractNum>
  <w:abstractNum w:abstractNumId="10">
    <w:nsid w:val="060B7268"/>
    <w:multiLevelType w:val="hybridMultilevel"/>
    <w:tmpl w:val="DE449920"/>
    <w:lvl w:ilvl="0" w:tplc="8E863F1A">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445B31"/>
    <w:multiLevelType w:val="hybridMultilevel"/>
    <w:tmpl w:val="493264E8"/>
    <w:lvl w:ilvl="0" w:tplc="08842136">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1E1244"/>
    <w:multiLevelType w:val="hybridMultilevel"/>
    <w:tmpl w:val="F22C0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636060"/>
    <w:multiLevelType w:val="hybridMultilevel"/>
    <w:tmpl w:val="39421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8D804A9"/>
    <w:multiLevelType w:val="hybridMultilevel"/>
    <w:tmpl w:val="DDB8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565C04"/>
    <w:multiLevelType w:val="hybridMultilevel"/>
    <w:tmpl w:val="9086D44A"/>
    <w:lvl w:ilvl="0" w:tplc="1456A8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DB42FF"/>
    <w:multiLevelType w:val="hybridMultilevel"/>
    <w:tmpl w:val="C07E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DC3AF4"/>
    <w:multiLevelType w:val="hybridMultilevel"/>
    <w:tmpl w:val="E458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834DF4"/>
    <w:multiLevelType w:val="hybridMultilevel"/>
    <w:tmpl w:val="B900EB7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17DD3DB5"/>
    <w:multiLevelType w:val="hybridMultilevel"/>
    <w:tmpl w:val="15966BDA"/>
    <w:lvl w:ilvl="0" w:tplc="23B68A0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87E404A"/>
    <w:multiLevelType w:val="multilevel"/>
    <w:tmpl w:val="4C42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DA4273"/>
    <w:multiLevelType w:val="hybridMultilevel"/>
    <w:tmpl w:val="0F80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464BA4"/>
    <w:multiLevelType w:val="multilevel"/>
    <w:tmpl w:val="FC12DF38"/>
    <w:lvl w:ilvl="0">
      <w:numFmt w:val="bullet"/>
      <w:lvlText w:val=""/>
      <w:lvlJc w:val="left"/>
      <w:pPr>
        <w:tabs>
          <w:tab w:val="num" w:pos="576"/>
        </w:tabs>
        <w:ind w:left="576" w:hanging="360"/>
      </w:pPr>
      <w:rPr>
        <w:rFonts w:ascii="Symbol" w:eastAsia="Times New Roman" w:hAnsi="Symbol" w:cs="Courier New" w:hint="default"/>
        <w:color w:val="auto"/>
        <w:sz w:val="20"/>
      </w:rPr>
    </w:lvl>
    <w:lvl w:ilvl="1">
      <w:start w:val="1"/>
      <w:numFmt w:val="bullet"/>
      <w:lvlText w:val="o"/>
      <w:lvlJc w:val="left"/>
      <w:pPr>
        <w:tabs>
          <w:tab w:val="num" w:pos="1656"/>
        </w:tabs>
        <w:ind w:left="1656" w:hanging="360"/>
      </w:pPr>
      <w:rPr>
        <w:rFonts w:ascii="Courier New" w:hAnsi="Courier New" w:cs="Courier New" w:hint="default"/>
      </w:rPr>
    </w:lvl>
    <w:lvl w:ilvl="2">
      <w:start w:val="1"/>
      <w:numFmt w:val="bullet"/>
      <w:lvlText w:val=""/>
      <w:lvlJc w:val="left"/>
      <w:pPr>
        <w:tabs>
          <w:tab w:val="num" w:pos="2376"/>
        </w:tabs>
        <w:ind w:left="2376" w:hanging="360"/>
      </w:pPr>
      <w:rPr>
        <w:rFonts w:ascii="Wingdings" w:hAnsi="Wingdings" w:hint="default"/>
      </w:rPr>
    </w:lvl>
    <w:lvl w:ilvl="3">
      <w:start w:val="1"/>
      <w:numFmt w:val="bullet"/>
      <w:lvlText w:val=""/>
      <w:lvlJc w:val="left"/>
      <w:pPr>
        <w:tabs>
          <w:tab w:val="num" w:pos="3096"/>
        </w:tabs>
        <w:ind w:left="3096" w:hanging="360"/>
      </w:pPr>
      <w:rPr>
        <w:rFonts w:ascii="Symbol" w:hAnsi="Symbol" w:hint="default"/>
      </w:rPr>
    </w:lvl>
    <w:lvl w:ilvl="4">
      <w:start w:val="1"/>
      <w:numFmt w:val="bullet"/>
      <w:lvlText w:val="o"/>
      <w:lvlJc w:val="left"/>
      <w:pPr>
        <w:tabs>
          <w:tab w:val="num" w:pos="3816"/>
        </w:tabs>
        <w:ind w:left="3816" w:hanging="360"/>
      </w:pPr>
      <w:rPr>
        <w:rFonts w:ascii="Courier New" w:hAnsi="Courier New" w:cs="Courier New" w:hint="default"/>
      </w:rPr>
    </w:lvl>
    <w:lvl w:ilvl="5">
      <w:start w:val="1"/>
      <w:numFmt w:val="bullet"/>
      <w:lvlText w:val=""/>
      <w:lvlJc w:val="left"/>
      <w:pPr>
        <w:tabs>
          <w:tab w:val="num" w:pos="4536"/>
        </w:tabs>
        <w:ind w:left="4536" w:hanging="360"/>
      </w:pPr>
      <w:rPr>
        <w:rFonts w:ascii="Wingdings" w:hAnsi="Wingdings" w:hint="default"/>
      </w:rPr>
    </w:lvl>
    <w:lvl w:ilvl="6">
      <w:start w:val="1"/>
      <w:numFmt w:val="bullet"/>
      <w:lvlText w:val=""/>
      <w:lvlJc w:val="left"/>
      <w:pPr>
        <w:tabs>
          <w:tab w:val="num" w:pos="5256"/>
        </w:tabs>
        <w:ind w:left="5256" w:hanging="360"/>
      </w:pPr>
      <w:rPr>
        <w:rFonts w:ascii="Symbol" w:hAnsi="Symbol" w:hint="default"/>
      </w:rPr>
    </w:lvl>
    <w:lvl w:ilvl="7">
      <w:start w:val="1"/>
      <w:numFmt w:val="bullet"/>
      <w:lvlText w:val="o"/>
      <w:lvlJc w:val="left"/>
      <w:pPr>
        <w:tabs>
          <w:tab w:val="num" w:pos="5976"/>
        </w:tabs>
        <w:ind w:left="5976" w:hanging="360"/>
      </w:pPr>
      <w:rPr>
        <w:rFonts w:ascii="Courier New" w:hAnsi="Courier New" w:cs="Courier New" w:hint="default"/>
      </w:rPr>
    </w:lvl>
    <w:lvl w:ilvl="8">
      <w:start w:val="1"/>
      <w:numFmt w:val="bullet"/>
      <w:lvlText w:val=""/>
      <w:lvlJc w:val="left"/>
      <w:pPr>
        <w:tabs>
          <w:tab w:val="num" w:pos="6696"/>
        </w:tabs>
        <w:ind w:left="6696" w:hanging="360"/>
      </w:pPr>
      <w:rPr>
        <w:rFonts w:ascii="Wingdings" w:hAnsi="Wingdings" w:hint="default"/>
      </w:rPr>
    </w:lvl>
  </w:abstractNum>
  <w:abstractNum w:abstractNumId="23">
    <w:nsid w:val="1E2931DD"/>
    <w:multiLevelType w:val="hybridMultilevel"/>
    <w:tmpl w:val="32929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71F7E89"/>
    <w:multiLevelType w:val="hybridMultilevel"/>
    <w:tmpl w:val="60BCA3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0543AE0"/>
    <w:multiLevelType w:val="hybridMultilevel"/>
    <w:tmpl w:val="BB9CE3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C415CD0"/>
    <w:multiLevelType w:val="hybridMultilevel"/>
    <w:tmpl w:val="A2669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D474FE"/>
    <w:multiLevelType w:val="hybridMultilevel"/>
    <w:tmpl w:val="ED74F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383899"/>
    <w:multiLevelType w:val="hybridMultilevel"/>
    <w:tmpl w:val="03204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1C436E"/>
    <w:multiLevelType w:val="multilevel"/>
    <w:tmpl w:val="53A690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0">
    <w:nsid w:val="49D95F67"/>
    <w:multiLevelType w:val="hybridMultilevel"/>
    <w:tmpl w:val="71EC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0D1FAC"/>
    <w:multiLevelType w:val="hybridMultilevel"/>
    <w:tmpl w:val="8C8073F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DCA7170"/>
    <w:multiLevelType w:val="hybridMultilevel"/>
    <w:tmpl w:val="0FFA6208"/>
    <w:lvl w:ilvl="0" w:tplc="DED639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0324718"/>
    <w:multiLevelType w:val="hybridMultilevel"/>
    <w:tmpl w:val="309E6C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1097B05"/>
    <w:multiLevelType w:val="hybridMultilevel"/>
    <w:tmpl w:val="6578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B431A6"/>
    <w:multiLevelType w:val="hybridMultilevel"/>
    <w:tmpl w:val="F496A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1F163E1"/>
    <w:multiLevelType w:val="hybridMultilevel"/>
    <w:tmpl w:val="7996E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2932289"/>
    <w:multiLevelType w:val="multilevel"/>
    <w:tmpl w:val="F496A9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25B77DD"/>
    <w:multiLevelType w:val="hybridMultilevel"/>
    <w:tmpl w:val="6584DA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2A35EE4"/>
    <w:multiLevelType w:val="hybridMultilevel"/>
    <w:tmpl w:val="452CF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FC029E"/>
    <w:multiLevelType w:val="hybridMultilevel"/>
    <w:tmpl w:val="3F50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BB360D"/>
    <w:multiLevelType w:val="hybridMultilevel"/>
    <w:tmpl w:val="BEDE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2F4C4C"/>
    <w:multiLevelType w:val="hybridMultilevel"/>
    <w:tmpl w:val="6994AC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6FF54FC2"/>
    <w:multiLevelType w:val="hybridMultilevel"/>
    <w:tmpl w:val="0BF62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764DDE"/>
    <w:multiLevelType w:val="hybridMultilevel"/>
    <w:tmpl w:val="F646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AE2AC6"/>
    <w:multiLevelType w:val="hybridMultilevel"/>
    <w:tmpl w:val="FC12DF38"/>
    <w:lvl w:ilvl="0" w:tplc="B3AC4C4C">
      <w:numFmt w:val="bullet"/>
      <w:lvlText w:val=""/>
      <w:lvlJc w:val="left"/>
      <w:pPr>
        <w:tabs>
          <w:tab w:val="num" w:pos="576"/>
        </w:tabs>
        <w:ind w:left="576" w:hanging="360"/>
      </w:pPr>
      <w:rPr>
        <w:rFonts w:ascii="Symbol" w:eastAsia="Times New Roman" w:hAnsi="Symbol" w:cs="Courier New" w:hint="default"/>
        <w:color w:val="auto"/>
        <w:sz w:val="20"/>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6">
    <w:nsid w:val="75FB7CEC"/>
    <w:multiLevelType w:val="hybridMultilevel"/>
    <w:tmpl w:val="73F044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BF3725C"/>
    <w:multiLevelType w:val="hybridMultilevel"/>
    <w:tmpl w:val="D142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4"/>
  </w:num>
  <w:num w:numId="3">
    <w:abstractNumId w:val="35"/>
  </w:num>
  <w:num w:numId="4">
    <w:abstractNumId w:val="38"/>
  </w:num>
  <w:num w:numId="5">
    <w:abstractNumId w:val="45"/>
  </w:num>
  <w:num w:numId="6">
    <w:abstractNumId w:val="43"/>
  </w:num>
  <w:num w:numId="7">
    <w:abstractNumId w:val="46"/>
  </w:num>
  <w:num w:numId="8">
    <w:abstractNumId w:val="32"/>
  </w:num>
  <w:num w:numId="9">
    <w:abstractNumId w:val="29"/>
  </w:num>
  <w:num w:numId="10">
    <w:abstractNumId w:val="11"/>
  </w:num>
  <w:num w:numId="11">
    <w:abstractNumId w:val="36"/>
  </w:num>
  <w:num w:numId="12">
    <w:abstractNumId w:val="37"/>
  </w:num>
  <w:num w:numId="13">
    <w:abstractNumId w:val="15"/>
  </w:num>
  <w:num w:numId="14">
    <w:abstractNumId w:val="19"/>
  </w:num>
  <w:num w:numId="15">
    <w:abstractNumId w:val="10"/>
  </w:num>
  <w:num w:numId="16">
    <w:abstractNumId w:val="31"/>
  </w:num>
  <w:num w:numId="17">
    <w:abstractNumId w:val="22"/>
  </w:num>
  <w:num w:numId="18">
    <w:abstractNumId w:val="25"/>
  </w:num>
  <w:num w:numId="19">
    <w:abstractNumId w:val="33"/>
  </w:num>
  <w:num w:numId="20">
    <w:abstractNumId w:val="12"/>
  </w:num>
  <w:num w:numId="21">
    <w:abstractNumId w:val="18"/>
  </w:num>
  <w:num w:numId="22">
    <w:abstractNumId w:val="23"/>
  </w:num>
  <w:num w:numId="23">
    <w:abstractNumId w:val="13"/>
  </w:num>
  <w:num w:numId="24">
    <w:abstractNumId w:val="27"/>
  </w:num>
  <w:num w:numId="25">
    <w:abstractNumId w:val="39"/>
  </w:num>
  <w:num w:numId="26">
    <w:abstractNumId w:val="28"/>
  </w:num>
  <w:num w:numId="27">
    <w:abstractNumId w:val="20"/>
  </w:num>
  <w:num w:numId="28">
    <w:abstractNumId w:val="14"/>
  </w:num>
  <w:num w:numId="29">
    <w:abstractNumId w:val="34"/>
  </w:num>
  <w:num w:numId="30">
    <w:abstractNumId w:val="17"/>
  </w:num>
  <w:num w:numId="31">
    <w:abstractNumId w:val="16"/>
  </w:num>
  <w:num w:numId="32">
    <w:abstractNumId w:val="30"/>
  </w:num>
  <w:num w:numId="33">
    <w:abstractNumId w:val="44"/>
  </w:num>
  <w:num w:numId="34">
    <w:abstractNumId w:val="26"/>
  </w:num>
  <w:num w:numId="35">
    <w:abstractNumId w:val="21"/>
  </w:num>
  <w:num w:numId="36">
    <w:abstractNumId w:val="40"/>
  </w:num>
  <w:num w:numId="37">
    <w:abstractNumId w:val="47"/>
  </w:num>
  <w:num w:numId="38">
    <w:abstractNumId w:val="41"/>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activeWritingStyle w:appName="MSWord" w:lang="en-US" w:vendorID="64" w:dllVersion="131078" w:nlCheck="1" w:checkStyle="1"/>
  <w:activeWritingStyle w:appName="MSWord" w:lang="fr-FR" w:vendorID="64" w:dllVersion="131078" w:nlCheck="1" w:checkStyle="1"/>
  <w:activeWritingStyle w:appName="MSWord" w:lang="en-US" w:vendorID="64" w:dllVersion="131077"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1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CBC"/>
    <w:rsid w:val="00001D59"/>
    <w:rsid w:val="000029B8"/>
    <w:rsid w:val="00002E8E"/>
    <w:rsid w:val="000035D7"/>
    <w:rsid w:val="000049CE"/>
    <w:rsid w:val="00006781"/>
    <w:rsid w:val="0000684A"/>
    <w:rsid w:val="00007289"/>
    <w:rsid w:val="00010127"/>
    <w:rsid w:val="00010444"/>
    <w:rsid w:val="0001124D"/>
    <w:rsid w:val="000123CE"/>
    <w:rsid w:val="000123F8"/>
    <w:rsid w:val="00013B79"/>
    <w:rsid w:val="00014256"/>
    <w:rsid w:val="0001436A"/>
    <w:rsid w:val="000158A8"/>
    <w:rsid w:val="000158FE"/>
    <w:rsid w:val="00015D51"/>
    <w:rsid w:val="0002352C"/>
    <w:rsid w:val="00024BA9"/>
    <w:rsid w:val="0002504F"/>
    <w:rsid w:val="00025217"/>
    <w:rsid w:val="00026DBD"/>
    <w:rsid w:val="000273BE"/>
    <w:rsid w:val="00031F1B"/>
    <w:rsid w:val="0003264B"/>
    <w:rsid w:val="00033070"/>
    <w:rsid w:val="000347C4"/>
    <w:rsid w:val="00034938"/>
    <w:rsid w:val="00035F76"/>
    <w:rsid w:val="00036271"/>
    <w:rsid w:val="00044B9B"/>
    <w:rsid w:val="00046ADB"/>
    <w:rsid w:val="00047A8A"/>
    <w:rsid w:val="00050463"/>
    <w:rsid w:val="000510E0"/>
    <w:rsid w:val="00051132"/>
    <w:rsid w:val="00052E92"/>
    <w:rsid w:val="0005455A"/>
    <w:rsid w:val="00054D03"/>
    <w:rsid w:val="00054E33"/>
    <w:rsid w:val="00055630"/>
    <w:rsid w:val="00056BDD"/>
    <w:rsid w:val="0005736E"/>
    <w:rsid w:val="0005771E"/>
    <w:rsid w:val="00057746"/>
    <w:rsid w:val="00057786"/>
    <w:rsid w:val="00060B0D"/>
    <w:rsid w:val="00060B31"/>
    <w:rsid w:val="000620F5"/>
    <w:rsid w:val="000626ED"/>
    <w:rsid w:val="00063F51"/>
    <w:rsid w:val="00064162"/>
    <w:rsid w:val="00064890"/>
    <w:rsid w:val="00064C33"/>
    <w:rsid w:val="000653DB"/>
    <w:rsid w:val="00065455"/>
    <w:rsid w:val="00065A7B"/>
    <w:rsid w:val="00065C30"/>
    <w:rsid w:val="00065D84"/>
    <w:rsid w:val="000701E9"/>
    <w:rsid w:val="0007093A"/>
    <w:rsid w:val="0007133E"/>
    <w:rsid w:val="00072143"/>
    <w:rsid w:val="000721E5"/>
    <w:rsid w:val="00074EDB"/>
    <w:rsid w:val="00076368"/>
    <w:rsid w:val="00076A0F"/>
    <w:rsid w:val="00076E18"/>
    <w:rsid w:val="00076F23"/>
    <w:rsid w:val="0007705C"/>
    <w:rsid w:val="00077132"/>
    <w:rsid w:val="00081515"/>
    <w:rsid w:val="00081AE7"/>
    <w:rsid w:val="00082128"/>
    <w:rsid w:val="0008213B"/>
    <w:rsid w:val="000831A2"/>
    <w:rsid w:val="0008328F"/>
    <w:rsid w:val="000838F5"/>
    <w:rsid w:val="00083D16"/>
    <w:rsid w:val="00090C8F"/>
    <w:rsid w:val="00090F50"/>
    <w:rsid w:val="00091D34"/>
    <w:rsid w:val="000923D1"/>
    <w:rsid w:val="00092FD5"/>
    <w:rsid w:val="00093CF5"/>
    <w:rsid w:val="00097152"/>
    <w:rsid w:val="000A010A"/>
    <w:rsid w:val="000A3110"/>
    <w:rsid w:val="000A3FC4"/>
    <w:rsid w:val="000A4FB5"/>
    <w:rsid w:val="000A58CA"/>
    <w:rsid w:val="000A62F1"/>
    <w:rsid w:val="000A6F93"/>
    <w:rsid w:val="000A76F8"/>
    <w:rsid w:val="000B0727"/>
    <w:rsid w:val="000B19CC"/>
    <w:rsid w:val="000B247A"/>
    <w:rsid w:val="000B2E85"/>
    <w:rsid w:val="000B47D9"/>
    <w:rsid w:val="000B616B"/>
    <w:rsid w:val="000B630C"/>
    <w:rsid w:val="000B64DD"/>
    <w:rsid w:val="000B6981"/>
    <w:rsid w:val="000B6DBB"/>
    <w:rsid w:val="000B7C32"/>
    <w:rsid w:val="000C052B"/>
    <w:rsid w:val="000C0DA5"/>
    <w:rsid w:val="000C4D22"/>
    <w:rsid w:val="000C4E77"/>
    <w:rsid w:val="000C696B"/>
    <w:rsid w:val="000D0043"/>
    <w:rsid w:val="000D06EC"/>
    <w:rsid w:val="000D118E"/>
    <w:rsid w:val="000D228A"/>
    <w:rsid w:val="000D27B7"/>
    <w:rsid w:val="000D3D2E"/>
    <w:rsid w:val="000D42DF"/>
    <w:rsid w:val="000D4CAA"/>
    <w:rsid w:val="000D596D"/>
    <w:rsid w:val="000D5D26"/>
    <w:rsid w:val="000D6D31"/>
    <w:rsid w:val="000D7426"/>
    <w:rsid w:val="000E0183"/>
    <w:rsid w:val="000E219F"/>
    <w:rsid w:val="000E463D"/>
    <w:rsid w:val="000E46AB"/>
    <w:rsid w:val="000E4867"/>
    <w:rsid w:val="000E6DA5"/>
    <w:rsid w:val="000E7F08"/>
    <w:rsid w:val="000F1868"/>
    <w:rsid w:val="000F2F36"/>
    <w:rsid w:val="000F3606"/>
    <w:rsid w:val="000F4A5D"/>
    <w:rsid w:val="000F59A0"/>
    <w:rsid w:val="000F6379"/>
    <w:rsid w:val="00100807"/>
    <w:rsid w:val="00100E95"/>
    <w:rsid w:val="00102F5C"/>
    <w:rsid w:val="001033F9"/>
    <w:rsid w:val="00105491"/>
    <w:rsid w:val="00107FE1"/>
    <w:rsid w:val="00111D9B"/>
    <w:rsid w:val="00112B6A"/>
    <w:rsid w:val="00112E29"/>
    <w:rsid w:val="0011436C"/>
    <w:rsid w:val="00114EEA"/>
    <w:rsid w:val="00115A7B"/>
    <w:rsid w:val="00115F1B"/>
    <w:rsid w:val="00120299"/>
    <w:rsid w:val="0012045E"/>
    <w:rsid w:val="00120CF5"/>
    <w:rsid w:val="00120D46"/>
    <w:rsid w:val="0012117A"/>
    <w:rsid w:val="001214D5"/>
    <w:rsid w:val="001215F1"/>
    <w:rsid w:val="00121DC0"/>
    <w:rsid w:val="00122059"/>
    <w:rsid w:val="00123370"/>
    <w:rsid w:val="001242C7"/>
    <w:rsid w:val="00127053"/>
    <w:rsid w:val="001270D9"/>
    <w:rsid w:val="001305E5"/>
    <w:rsid w:val="0013088D"/>
    <w:rsid w:val="00131DC1"/>
    <w:rsid w:val="00131F87"/>
    <w:rsid w:val="001325DB"/>
    <w:rsid w:val="00132C66"/>
    <w:rsid w:val="00132D04"/>
    <w:rsid w:val="00132E7D"/>
    <w:rsid w:val="00133E63"/>
    <w:rsid w:val="00133F33"/>
    <w:rsid w:val="00134591"/>
    <w:rsid w:val="001348A8"/>
    <w:rsid w:val="00135128"/>
    <w:rsid w:val="001352AE"/>
    <w:rsid w:val="0014025A"/>
    <w:rsid w:val="00140AA0"/>
    <w:rsid w:val="00141990"/>
    <w:rsid w:val="00141F41"/>
    <w:rsid w:val="00142C94"/>
    <w:rsid w:val="00143108"/>
    <w:rsid w:val="0014423B"/>
    <w:rsid w:val="001449F7"/>
    <w:rsid w:val="001452A8"/>
    <w:rsid w:val="001452C9"/>
    <w:rsid w:val="00147E2A"/>
    <w:rsid w:val="001504CD"/>
    <w:rsid w:val="00151D39"/>
    <w:rsid w:val="00152D5D"/>
    <w:rsid w:val="00154058"/>
    <w:rsid w:val="0015434A"/>
    <w:rsid w:val="00160A2B"/>
    <w:rsid w:val="00161A33"/>
    <w:rsid w:val="00162197"/>
    <w:rsid w:val="00162DC6"/>
    <w:rsid w:val="001634C5"/>
    <w:rsid w:val="00163BA9"/>
    <w:rsid w:val="00164FE2"/>
    <w:rsid w:val="0016752B"/>
    <w:rsid w:val="0017006A"/>
    <w:rsid w:val="0017041E"/>
    <w:rsid w:val="00171093"/>
    <w:rsid w:val="001714B7"/>
    <w:rsid w:val="00171F9C"/>
    <w:rsid w:val="00173614"/>
    <w:rsid w:val="00174009"/>
    <w:rsid w:val="00174B5B"/>
    <w:rsid w:val="00176083"/>
    <w:rsid w:val="0017647D"/>
    <w:rsid w:val="0017672D"/>
    <w:rsid w:val="00177908"/>
    <w:rsid w:val="00180C2B"/>
    <w:rsid w:val="00182FAB"/>
    <w:rsid w:val="001834FB"/>
    <w:rsid w:val="00184FC9"/>
    <w:rsid w:val="001853F3"/>
    <w:rsid w:val="00190F83"/>
    <w:rsid w:val="00191BDD"/>
    <w:rsid w:val="00191CE6"/>
    <w:rsid w:val="0019474B"/>
    <w:rsid w:val="00196F06"/>
    <w:rsid w:val="00197CC8"/>
    <w:rsid w:val="001A1CE1"/>
    <w:rsid w:val="001A2B37"/>
    <w:rsid w:val="001A314C"/>
    <w:rsid w:val="001A4E08"/>
    <w:rsid w:val="001A4E9B"/>
    <w:rsid w:val="001A700B"/>
    <w:rsid w:val="001A716E"/>
    <w:rsid w:val="001A7575"/>
    <w:rsid w:val="001B20BB"/>
    <w:rsid w:val="001B2569"/>
    <w:rsid w:val="001B26A1"/>
    <w:rsid w:val="001B3361"/>
    <w:rsid w:val="001B384A"/>
    <w:rsid w:val="001B53A4"/>
    <w:rsid w:val="001B5C4B"/>
    <w:rsid w:val="001B72FA"/>
    <w:rsid w:val="001B7920"/>
    <w:rsid w:val="001C1DEC"/>
    <w:rsid w:val="001C1FD9"/>
    <w:rsid w:val="001C470A"/>
    <w:rsid w:val="001C471E"/>
    <w:rsid w:val="001C4D52"/>
    <w:rsid w:val="001C52BF"/>
    <w:rsid w:val="001C78F0"/>
    <w:rsid w:val="001D1B9F"/>
    <w:rsid w:val="001D1D34"/>
    <w:rsid w:val="001D1F5C"/>
    <w:rsid w:val="001D1FD3"/>
    <w:rsid w:val="001D3868"/>
    <w:rsid w:val="001D4595"/>
    <w:rsid w:val="001D7FCC"/>
    <w:rsid w:val="001E115D"/>
    <w:rsid w:val="001E1E41"/>
    <w:rsid w:val="001E3F18"/>
    <w:rsid w:val="001E48BA"/>
    <w:rsid w:val="001E555F"/>
    <w:rsid w:val="001E5B35"/>
    <w:rsid w:val="001E6974"/>
    <w:rsid w:val="001F000F"/>
    <w:rsid w:val="001F0E43"/>
    <w:rsid w:val="001F1D81"/>
    <w:rsid w:val="001F22AA"/>
    <w:rsid w:val="001F31D1"/>
    <w:rsid w:val="001F525E"/>
    <w:rsid w:val="001F558B"/>
    <w:rsid w:val="001F5AD5"/>
    <w:rsid w:val="002029C6"/>
    <w:rsid w:val="002049A4"/>
    <w:rsid w:val="0020547D"/>
    <w:rsid w:val="00205EBC"/>
    <w:rsid w:val="00207F48"/>
    <w:rsid w:val="0021055B"/>
    <w:rsid w:val="00210728"/>
    <w:rsid w:val="00211E00"/>
    <w:rsid w:val="00212E89"/>
    <w:rsid w:val="00213754"/>
    <w:rsid w:val="002151F4"/>
    <w:rsid w:val="002157CD"/>
    <w:rsid w:val="002158E4"/>
    <w:rsid w:val="00215A46"/>
    <w:rsid w:val="00216EBF"/>
    <w:rsid w:val="00217AE2"/>
    <w:rsid w:val="00217C46"/>
    <w:rsid w:val="00220510"/>
    <w:rsid w:val="002207BA"/>
    <w:rsid w:val="002210F1"/>
    <w:rsid w:val="00221126"/>
    <w:rsid w:val="002211BE"/>
    <w:rsid w:val="0022123A"/>
    <w:rsid w:val="002232D3"/>
    <w:rsid w:val="00223855"/>
    <w:rsid w:val="00223A09"/>
    <w:rsid w:val="002247DF"/>
    <w:rsid w:val="002248C4"/>
    <w:rsid w:val="00225239"/>
    <w:rsid w:val="0022620A"/>
    <w:rsid w:val="00226A2E"/>
    <w:rsid w:val="00227962"/>
    <w:rsid w:val="00232828"/>
    <w:rsid w:val="00232CC9"/>
    <w:rsid w:val="002340D3"/>
    <w:rsid w:val="0023473A"/>
    <w:rsid w:val="00234B82"/>
    <w:rsid w:val="00234CC0"/>
    <w:rsid w:val="00235424"/>
    <w:rsid w:val="002365AF"/>
    <w:rsid w:val="00236A90"/>
    <w:rsid w:val="00237AF8"/>
    <w:rsid w:val="00237D71"/>
    <w:rsid w:val="002404E9"/>
    <w:rsid w:val="002409C3"/>
    <w:rsid w:val="00242786"/>
    <w:rsid w:val="00243E5E"/>
    <w:rsid w:val="002449A6"/>
    <w:rsid w:val="00244A3B"/>
    <w:rsid w:val="0024698C"/>
    <w:rsid w:val="002477FF"/>
    <w:rsid w:val="00252451"/>
    <w:rsid w:val="00253BD7"/>
    <w:rsid w:val="002561A3"/>
    <w:rsid w:val="00256FAD"/>
    <w:rsid w:val="002579F9"/>
    <w:rsid w:val="00260CCC"/>
    <w:rsid w:val="0026122B"/>
    <w:rsid w:val="0026328B"/>
    <w:rsid w:val="00263D37"/>
    <w:rsid w:val="00264AAE"/>
    <w:rsid w:val="00265773"/>
    <w:rsid w:val="00265F87"/>
    <w:rsid w:val="00266298"/>
    <w:rsid w:val="00267FE5"/>
    <w:rsid w:val="00270168"/>
    <w:rsid w:val="00270C99"/>
    <w:rsid w:val="002720DA"/>
    <w:rsid w:val="00273182"/>
    <w:rsid w:val="00274165"/>
    <w:rsid w:val="0027637D"/>
    <w:rsid w:val="002768A6"/>
    <w:rsid w:val="002774A0"/>
    <w:rsid w:val="00277B34"/>
    <w:rsid w:val="002803E9"/>
    <w:rsid w:val="00281699"/>
    <w:rsid w:val="002817F1"/>
    <w:rsid w:val="002819FB"/>
    <w:rsid w:val="00281F66"/>
    <w:rsid w:val="002842FD"/>
    <w:rsid w:val="002862B2"/>
    <w:rsid w:val="002914C2"/>
    <w:rsid w:val="002932AA"/>
    <w:rsid w:val="00293466"/>
    <w:rsid w:val="00293D12"/>
    <w:rsid w:val="0029569F"/>
    <w:rsid w:val="002962AA"/>
    <w:rsid w:val="00296C6B"/>
    <w:rsid w:val="00296DBF"/>
    <w:rsid w:val="00297E15"/>
    <w:rsid w:val="002A051A"/>
    <w:rsid w:val="002A11EF"/>
    <w:rsid w:val="002A1227"/>
    <w:rsid w:val="002A202B"/>
    <w:rsid w:val="002A273F"/>
    <w:rsid w:val="002A435D"/>
    <w:rsid w:val="002A640E"/>
    <w:rsid w:val="002B03C5"/>
    <w:rsid w:val="002B140A"/>
    <w:rsid w:val="002B2762"/>
    <w:rsid w:val="002B2BB9"/>
    <w:rsid w:val="002B4FD5"/>
    <w:rsid w:val="002B5D92"/>
    <w:rsid w:val="002B7AF9"/>
    <w:rsid w:val="002C32B6"/>
    <w:rsid w:val="002C35E8"/>
    <w:rsid w:val="002C44FD"/>
    <w:rsid w:val="002C4757"/>
    <w:rsid w:val="002C4B25"/>
    <w:rsid w:val="002C5F76"/>
    <w:rsid w:val="002D04C0"/>
    <w:rsid w:val="002D0C78"/>
    <w:rsid w:val="002D1623"/>
    <w:rsid w:val="002D4C6E"/>
    <w:rsid w:val="002D5867"/>
    <w:rsid w:val="002D631D"/>
    <w:rsid w:val="002D6777"/>
    <w:rsid w:val="002D791B"/>
    <w:rsid w:val="002E0146"/>
    <w:rsid w:val="002E0DE6"/>
    <w:rsid w:val="002E0FCA"/>
    <w:rsid w:val="002E1A93"/>
    <w:rsid w:val="002E1B7A"/>
    <w:rsid w:val="002E39C5"/>
    <w:rsid w:val="002E431E"/>
    <w:rsid w:val="002E4803"/>
    <w:rsid w:val="002E52B7"/>
    <w:rsid w:val="002E5948"/>
    <w:rsid w:val="002E6DE7"/>
    <w:rsid w:val="002E7EBE"/>
    <w:rsid w:val="002F0ABC"/>
    <w:rsid w:val="002F109B"/>
    <w:rsid w:val="002F24F4"/>
    <w:rsid w:val="002F3156"/>
    <w:rsid w:val="002F3278"/>
    <w:rsid w:val="002F4D87"/>
    <w:rsid w:val="002F4FBA"/>
    <w:rsid w:val="002F6FA4"/>
    <w:rsid w:val="002F7788"/>
    <w:rsid w:val="00301344"/>
    <w:rsid w:val="003017B2"/>
    <w:rsid w:val="00303622"/>
    <w:rsid w:val="00304376"/>
    <w:rsid w:val="003046DB"/>
    <w:rsid w:val="003048F3"/>
    <w:rsid w:val="003073AD"/>
    <w:rsid w:val="00307486"/>
    <w:rsid w:val="00310E37"/>
    <w:rsid w:val="00311218"/>
    <w:rsid w:val="00312C00"/>
    <w:rsid w:val="003134C6"/>
    <w:rsid w:val="003134EE"/>
    <w:rsid w:val="003137B9"/>
    <w:rsid w:val="00313D7C"/>
    <w:rsid w:val="00313E00"/>
    <w:rsid w:val="00314562"/>
    <w:rsid w:val="003148E2"/>
    <w:rsid w:val="00314903"/>
    <w:rsid w:val="003149EA"/>
    <w:rsid w:val="003151E5"/>
    <w:rsid w:val="003161B9"/>
    <w:rsid w:val="00316BB7"/>
    <w:rsid w:val="0031709B"/>
    <w:rsid w:val="0031786C"/>
    <w:rsid w:val="00317955"/>
    <w:rsid w:val="0032075D"/>
    <w:rsid w:val="0032105F"/>
    <w:rsid w:val="00322B7E"/>
    <w:rsid w:val="00323641"/>
    <w:rsid w:val="00326102"/>
    <w:rsid w:val="0032688B"/>
    <w:rsid w:val="0032699A"/>
    <w:rsid w:val="00327C99"/>
    <w:rsid w:val="003310F3"/>
    <w:rsid w:val="00331DB3"/>
    <w:rsid w:val="0033223A"/>
    <w:rsid w:val="003323FC"/>
    <w:rsid w:val="003328F5"/>
    <w:rsid w:val="00332C58"/>
    <w:rsid w:val="00332EF9"/>
    <w:rsid w:val="00333260"/>
    <w:rsid w:val="003346CF"/>
    <w:rsid w:val="00335501"/>
    <w:rsid w:val="00336AF2"/>
    <w:rsid w:val="00337408"/>
    <w:rsid w:val="00341259"/>
    <w:rsid w:val="00342D4F"/>
    <w:rsid w:val="0034386D"/>
    <w:rsid w:val="00343DA7"/>
    <w:rsid w:val="003442AF"/>
    <w:rsid w:val="003449E2"/>
    <w:rsid w:val="00344DC2"/>
    <w:rsid w:val="003457C1"/>
    <w:rsid w:val="00350565"/>
    <w:rsid w:val="00350AC4"/>
    <w:rsid w:val="00351430"/>
    <w:rsid w:val="003521CE"/>
    <w:rsid w:val="00352BCE"/>
    <w:rsid w:val="00352C75"/>
    <w:rsid w:val="00353494"/>
    <w:rsid w:val="003552A5"/>
    <w:rsid w:val="003576D9"/>
    <w:rsid w:val="00357798"/>
    <w:rsid w:val="00360067"/>
    <w:rsid w:val="00360BD2"/>
    <w:rsid w:val="0036101E"/>
    <w:rsid w:val="00362446"/>
    <w:rsid w:val="00362AC6"/>
    <w:rsid w:val="00362F15"/>
    <w:rsid w:val="00363DF8"/>
    <w:rsid w:val="00364535"/>
    <w:rsid w:val="00364677"/>
    <w:rsid w:val="003653F0"/>
    <w:rsid w:val="003673B2"/>
    <w:rsid w:val="0036754F"/>
    <w:rsid w:val="0036792A"/>
    <w:rsid w:val="0036798E"/>
    <w:rsid w:val="00367C37"/>
    <w:rsid w:val="00367EFD"/>
    <w:rsid w:val="00372584"/>
    <w:rsid w:val="00373D68"/>
    <w:rsid w:val="00373EF3"/>
    <w:rsid w:val="00375344"/>
    <w:rsid w:val="00375BC0"/>
    <w:rsid w:val="003765D2"/>
    <w:rsid w:val="0037769D"/>
    <w:rsid w:val="00377E73"/>
    <w:rsid w:val="0038090F"/>
    <w:rsid w:val="0038268E"/>
    <w:rsid w:val="00382B6B"/>
    <w:rsid w:val="003839C4"/>
    <w:rsid w:val="003868AA"/>
    <w:rsid w:val="003877B8"/>
    <w:rsid w:val="0039055F"/>
    <w:rsid w:val="00391F32"/>
    <w:rsid w:val="00392C15"/>
    <w:rsid w:val="0039589B"/>
    <w:rsid w:val="0039589D"/>
    <w:rsid w:val="003959CA"/>
    <w:rsid w:val="00395A34"/>
    <w:rsid w:val="00395CFA"/>
    <w:rsid w:val="00396E9A"/>
    <w:rsid w:val="00396FFD"/>
    <w:rsid w:val="003A030E"/>
    <w:rsid w:val="003A1178"/>
    <w:rsid w:val="003A1BAB"/>
    <w:rsid w:val="003A2019"/>
    <w:rsid w:val="003A2203"/>
    <w:rsid w:val="003A2E26"/>
    <w:rsid w:val="003A502B"/>
    <w:rsid w:val="003A5245"/>
    <w:rsid w:val="003A5FD4"/>
    <w:rsid w:val="003A60BF"/>
    <w:rsid w:val="003A65DA"/>
    <w:rsid w:val="003A6711"/>
    <w:rsid w:val="003A6A61"/>
    <w:rsid w:val="003A7533"/>
    <w:rsid w:val="003A7535"/>
    <w:rsid w:val="003A7DFA"/>
    <w:rsid w:val="003B05D1"/>
    <w:rsid w:val="003B27E6"/>
    <w:rsid w:val="003B329A"/>
    <w:rsid w:val="003B374D"/>
    <w:rsid w:val="003B37DC"/>
    <w:rsid w:val="003B6398"/>
    <w:rsid w:val="003B6C73"/>
    <w:rsid w:val="003C2C91"/>
    <w:rsid w:val="003C32F2"/>
    <w:rsid w:val="003C4367"/>
    <w:rsid w:val="003C467C"/>
    <w:rsid w:val="003C50BA"/>
    <w:rsid w:val="003C5C7F"/>
    <w:rsid w:val="003C74FC"/>
    <w:rsid w:val="003D0AAC"/>
    <w:rsid w:val="003D25B1"/>
    <w:rsid w:val="003D2779"/>
    <w:rsid w:val="003D27D2"/>
    <w:rsid w:val="003D3EB0"/>
    <w:rsid w:val="003D4F62"/>
    <w:rsid w:val="003D754C"/>
    <w:rsid w:val="003D771C"/>
    <w:rsid w:val="003D7E9D"/>
    <w:rsid w:val="003E332B"/>
    <w:rsid w:val="003E48BC"/>
    <w:rsid w:val="003E524C"/>
    <w:rsid w:val="003E5813"/>
    <w:rsid w:val="003E778F"/>
    <w:rsid w:val="003E7CE2"/>
    <w:rsid w:val="003F2B3A"/>
    <w:rsid w:val="003F3C67"/>
    <w:rsid w:val="003F40AA"/>
    <w:rsid w:val="003F4687"/>
    <w:rsid w:val="003F6895"/>
    <w:rsid w:val="003F6F82"/>
    <w:rsid w:val="003F70C0"/>
    <w:rsid w:val="003F783B"/>
    <w:rsid w:val="00401CF8"/>
    <w:rsid w:val="0040296C"/>
    <w:rsid w:val="004029DC"/>
    <w:rsid w:val="00402EAE"/>
    <w:rsid w:val="00403E3E"/>
    <w:rsid w:val="00404527"/>
    <w:rsid w:val="00404EA3"/>
    <w:rsid w:val="004057D8"/>
    <w:rsid w:val="004059F8"/>
    <w:rsid w:val="00406105"/>
    <w:rsid w:val="004072BF"/>
    <w:rsid w:val="00407DFE"/>
    <w:rsid w:val="00412469"/>
    <w:rsid w:val="004139AF"/>
    <w:rsid w:val="00416E5F"/>
    <w:rsid w:val="00417EE5"/>
    <w:rsid w:val="004201D8"/>
    <w:rsid w:val="00421E45"/>
    <w:rsid w:val="00421E52"/>
    <w:rsid w:val="00423F67"/>
    <w:rsid w:val="0042436D"/>
    <w:rsid w:val="00424F1B"/>
    <w:rsid w:val="004250CC"/>
    <w:rsid w:val="004254EF"/>
    <w:rsid w:val="00425AB0"/>
    <w:rsid w:val="00427057"/>
    <w:rsid w:val="00427868"/>
    <w:rsid w:val="004302EE"/>
    <w:rsid w:val="004319FA"/>
    <w:rsid w:val="004322F6"/>
    <w:rsid w:val="004327AF"/>
    <w:rsid w:val="00433253"/>
    <w:rsid w:val="004340F9"/>
    <w:rsid w:val="00434934"/>
    <w:rsid w:val="00434A45"/>
    <w:rsid w:val="0043556D"/>
    <w:rsid w:val="00435BB7"/>
    <w:rsid w:val="00435FA5"/>
    <w:rsid w:val="00435FBA"/>
    <w:rsid w:val="004362CE"/>
    <w:rsid w:val="00437484"/>
    <w:rsid w:val="0043766F"/>
    <w:rsid w:val="004429D5"/>
    <w:rsid w:val="00444A52"/>
    <w:rsid w:val="00444A53"/>
    <w:rsid w:val="00444F1F"/>
    <w:rsid w:val="00444F79"/>
    <w:rsid w:val="00447439"/>
    <w:rsid w:val="004504C1"/>
    <w:rsid w:val="0045188B"/>
    <w:rsid w:val="0045393B"/>
    <w:rsid w:val="00453E30"/>
    <w:rsid w:val="00454200"/>
    <w:rsid w:val="00454598"/>
    <w:rsid w:val="00454B4E"/>
    <w:rsid w:val="00454DD1"/>
    <w:rsid w:val="004551EF"/>
    <w:rsid w:val="00455CC5"/>
    <w:rsid w:val="00455ED3"/>
    <w:rsid w:val="00455F04"/>
    <w:rsid w:val="00460859"/>
    <w:rsid w:val="0046174A"/>
    <w:rsid w:val="00461808"/>
    <w:rsid w:val="00461BDD"/>
    <w:rsid w:val="00465783"/>
    <w:rsid w:val="00465E00"/>
    <w:rsid w:val="00465EA3"/>
    <w:rsid w:val="00467F64"/>
    <w:rsid w:val="00470166"/>
    <w:rsid w:val="0047134E"/>
    <w:rsid w:val="00471D84"/>
    <w:rsid w:val="00472617"/>
    <w:rsid w:val="0047420F"/>
    <w:rsid w:val="00475A89"/>
    <w:rsid w:val="004772BD"/>
    <w:rsid w:val="0048153B"/>
    <w:rsid w:val="00481588"/>
    <w:rsid w:val="00481775"/>
    <w:rsid w:val="00482361"/>
    <w:rsid w:val="00482BAA"/>
    <w:rsid w:val="00483BC1"/>
    <w:rsid w:val="00484AE4"/>
    <w:rsid w:val="00486444"/>
    <w:rsid w:val="0048775D"/>
    <w:rsid w:val="00487AEB"/>
    <w:rsid w:val="00490920"/>
    <w:rsid w:val="00493343"/>
    <w:rsid w:val="00493A6E"/>
    <w:rsid w:val="00493EB1"/>
    <w:rsid w:val="0049574C"/>
    <w:rsid w:val="004957DE"/>
    <w:rsid w:val="00496747"/>
    <w:rsid w:val="00497627"/>
    <w:rsid w:val="004A01AF"/>
    <w:rsid w:val="004A0291"/>
    <w:rsid w:val="004A225E"/>
    <w:rsid w:val="004A260C"/>
    <w:rsid w:val="004A2BF9"/>
    <w:rsid w:val="004A672F"/>
    <w:rsid w:val="004A6D24"/>
    <w:rsid w:val="004B00E9"/>
    <w:rsid w:val="004B070A"/>
    <w:rsid w:val="004B22AF"/>
    <w:rsid w:val="004B290A"/>
    <w:rsid w:val="004B2E38"/>
    <w:rsid w:val="004B3E6A"/>
    <w:rsid w:val="004B4776"/>
    <w:rsid w:val="004B5A8D"/>
    <w:rsid w:val="004B75D5"/>
    <w:rsid w:val="004B7CB5"/>
    <w:rsid w:val="004C4212"/>
    <w:rsid w:val="004C4A0C"/>
    <w:rsid w:val="004C667D"/>
    <w:rsid w:val="004C7412"/>
    <w:rsid w:val="004C778F"/>
    <w:rsid w:val="004D1BD9"/>
    <w:rsid w:val="004D1CFD"/>
    <w:rsid w:val="004D207D"/>
    <w:rsid w:val="004D4755"/>
    <w:rsid w:val="004D5829"/>
    <w:rsid w:val="004D7064"/>
    <w:rsid w:val="004D7745"/>
    <w:rsid w:val="004E197D"/>
    <w:rsid w:val="004E19B5"/>
    <w:rsid w:val="004E1EBB"/>
    <w:rsid w:val="004E367C"/>
    <w:rsid w:val="004E4837"/>
    <w:rsid w:val="004E673F"/>
    <w:rsid w:val="004E7140"/>
    <w:rsid w:val="004E7144"/>
    <w:rsid w:val="004E734F"/>
    <w:rsid w:val="004F0020"/>
    <w:rsid w:val="004F1ACD"/>
    <w:rsid w:val="004F211A"/>
    <w:rsid w:val="004F466A"/>
    <w:rsid w:val="004F4B8B"/>
    <w:rsid w:val="004F568F"/>
    <w:rsid w:val="004F6C9A"/>
    <w:rsid w:val="004F7E63"/>
    <w:rsid w:val="00501464"/>
    <w:rsid w:val="00502FD4"/>
    <w:rsid w:val="00503C6D"/>
    <w:rsid w:val="005053A1"/>
    <w:rsid w:val="00506195"/>
    <w:rsid w:val="00510316"/>
    <w:rsid w:val="00510892"/>
    <w:rsid w:val="00510E86"/>
    <w:rsid w:val="005122B6"/>
    <w:rsid w:val="00512788"/>
    <w:rsid w:val="00512B4E"/>
    <w:rsid w:val="0051333F"/>
    <w:rsid w:val="005140B7"/>
    <w:rsid w:val="00514A34"/>
    <w:rsid w:val="00515688"/>
    <w:rsid w:val="00515C4D"/>
    <w:rsid w:val="00517760"/>
    <w:rsid w:val="0051779D"/>
    <w:rsid w:val="00522DAB"/>
    <w:rsid w:val="00523434"/>
    <w:rsid w:val="00524879"/>
    <w:rsid w:val="00525197"/>
    <w:rsid w:val="005254C8"/>
    <w:rsid w:val="00525F0D"/>
    <w:rsid w:val="00526272"/>
    <w:rsid w:val="005278A0"/>
    <w:rsid w:val="005315A9"/>
    <w:rsid w:val="00531B6C"/>
    <w:rsid w:val="00532FFD"/>
    <w:rsid w:val="00534992"/>
    <w:rsid w:val="00540F00"/>
    <w:rsid w:val="0054177E"/>
    <w:rsid w:val="00541D3D"/>
    <w:rsid w:val="00541E05"/>
    <w:rsid w:val="00542789"/>
    <w:rsid w:val="00543021"/>
    <w:rsid w:val="00543C89"/>
    <w:rsid w:val="0054402A"/>
    <w:rsid w:val="0054438B"/>
    <w:rsid w:val="00545131"/>
    <w:rsid w:val="0054538D"/>
    <w:rsid w:val="005470B6"/>
    <w:rsid w:val="00552842"/>
    <w:rsid w:val="00552D84"/>
    <w:rsid w:val="00554D57"/>
    <w:rsid w:val="00555A37"/>
    <w:rsid w:val="00555D62"/>
    <w:rsid w:val="0055729A"/>
    <w:rsid w:val="0055739C"/>
    <w:rsid w:val="005573B5"/>
    <w:rsid w:val="0056173C"/>
    <w:rsid w:val="00561C67"/>
    <w:rsid w:val="00562DC7"/>
    <w:rsid w:val="00562E2A"/>
    <w:rsid w:val="00563342"/>
    <w:rsid w:val="0056482C"/>
    <w:rsid w:val="0056597D"/>
    <w:rsid w:val="00565B6B"/>
    <w:rsid w:val="00566A12"/>
    <w:rsid w:val="0057197E"/>
    <w:rsid w:val="005722B3"/>
    <w:rsid w:val="0057234F"/>
    <w:rsid w:val="00572AC8"/>
    <w:rsid w:val="00572D5E"/>
    <w:rsid w:val="00573ECB"/>
    <w:rsid w:val="005743E3"/>
    <w:rsid w:val="0057573C"/>
    <w:rsid w:val="00575EDE"/>
    <w:rsid w:val="0058078D"/>
    <w:rsid w:val="00581066"/>
    <w:rsid w:val="005820CC"/>
    <w:rsid w:val="00583497"/>
    <w:rsid w:val="0058352D"/>
    <w:rsid w:val="00584206"/>
    <w:rsid w:val="005856C0"/>
    <w:rsid w:val="00585737"/>
    <w:rsid w:val="005857C7"/>
    <w:rsid w:val="00586183"/>
    <w:rsid w:val="005861A7"/>
    <w:rsid w:val="0058672B"/>
    <w:rsid w:val="00587167"/>
    <w:rsid w:val="00590347"/>
    <w:rsid w:val="00591E51"/>
    <w:rsid w:val="00591E96"/>
    <w:rsid w:val="005927B0"/>
    <w:rsid w:val="00593037"/>
    <w:rsid w:val="00593820"/>
    <w:rsid w:val="00593AD2"/>
    <w:rsid w:val="0059407C"/>
    <w:rsid w:val="00594087"/>
    <w:rsid w:val="00594A09"/>
    <w:rsid w:val="005958FA"/>
    <w:rsid w:val="00596FCA"/>
    <w:rsid w:val="005A0565"/>
    <w:rsid w:val="005A3B9A"/>
    <w:rsid w:val="005A45E3"/>
    <w:rsid w:val="005A4614"/>
    <w:rsid w:val="005A661B"/>
    <w:rsid w:val="005A7D1F"/>
    <w:rsid w:val="005B3623"/>
    <w:rsid w:val="005B713E"/>
    <w:rsid w:val="005B7823"/>
    <w:rsid w:val="005C024F"/>
    <w:rsid w:val="005C0FF4"/>
    <w:rsid w:val="005C1837"/>
    <w:rsid w:val="005C1907"/>
    <w:rsid w:val="005C1AD7"/>
    <w:rsid w:val="005C2633"/>
    <w:rsid w:val="005C3072"/>
    <w:rsid w:val="005C3450"/>
    <w:rsid w:val="005C4C2C"/>
    <w:rsid w:val="005C4F46"/>
    <w:rsid w:val="005C5B42"/>
    <w:rsid w:val="005C5D3A"/>
    <w:rsid w:val="005C6334"/>
    <w:rsid w:val="005C7166"/>
    <w:rsid w:val="005D0E55"/>
    <w:rsid w:val="005D199E"/>
    <w:rsid w:val="005D52EF"/>
    <w:rsid w:val="005D6305"/>
    <w:rsid w:val="005D7D29"/>
    <w:rsid w:val="005E181F"/>
    <w:rsid w:val="005E3CA9"/>
    <w:rsid w:val="005E4204"/>
    <w:rsid w:val="005E5D60"/>
    <w:rsid w:val="005E641B"/>
    <w:rsid w:val="005E7E8A"/>
    <w:rsid w:val="005F076B"/>
    <w:rsid w:val="005F10C4"/>
    <w:rsid w:val="005F29DC"/>
    <w:rsid w:val="005F3043"/>
    <w:rsid w:val="005F457A"/>
    <w:rsid w:val="005F45AD"/>
    <w:rsid w:val="005F4FF5"/>
    <w:rsid w:val="005F541C"/>
    <w:rsid w:val="005F565A"/>
    <w:rsid w:val="005F5955"/>
    <w:rsid w:val="005F5BE2"/>
    <w:rsid w:val="005F5DBD"/>
    <w:rsid w:val="005F61A7"/>
    <w:rsid w:val="005F6226"/>
    <w:rsid w:val="005F6F05"/>
    <w:rsid w:val="00600244"/>
    <w:rsid w:val="00600547"/>
    <w:rsid w:val="0060068E"/>
    <w:rsid w:val="00600A3A"/>
    <w:rsid w:val="006017C8"/>
    <w:rsid w:val="00602E2D"/>
    <w:rsid w:val="00604231"/>
    <w:rsid w:val="00605A2C"/>
    <w:rsid w:val="00605BC1"/>
    <w:rsid w:val="00605F0E"/>
    <w:rsid w:val="00605FB4"/>
    <w:rsid w:val="006074A4"/>
    <w:rsid w:val="0060753D"/>
    <w:rsid w:val="00610010"/>
    <w:rsid w:val="006156FE"/>
    <w:rsid w:val="00615AB0"/>
    <w:rsid w:val="00615E0F"/>
    <w:rsid w:val="0061797A"/>
    <w:rsid w:val="006208F7"/>
    <w:rsid w:val="006218DE"/>
    <w:rsid w:val="006251FD"/>
    <w:rsid w:val="00625750"/>
    <w:rsid w:val="00626B51"/>
    <w:rsid w:val="006277D2"/>
    <w:rsid w:val="006278DA"/>
    <w:rsid w:val="00630FBE"/>
    <w:rsid w:val="00631FFB"/>
    <w:rsid w:val="00632830"/>
    <w:rsid w:val="00633363"/>
    <w:rsid w:val="00633C91"/>
    <w:rsid w:val="00634542"/>
    <w:rsid w:val="00635242"/>
    <w:rsid w:val="00636448"/>
    <w:rsid w:val="006365F0"/>
    <w:rsid w:val="00637E77"/>
    <w:rsid w:val="0064021E"/>
    <w:rsid w:val="00640B90"/>
    <w:rsid w:val="00640F16"/>
    <w:rsid w:val="00643D06"/>
    <w:rsid w:val="006448EF"/>
    <w:rsid w:val="00644D1D"/>
    <w:rsid w:val="00646958"/>
    <w:rsid w:val="00647FA0"/>
    <w:rsid w:val="006518BD"/>
    <w:rsid w:val="00651E71"/>
    <w:rsid w:val="00652CDB"/>
    <w:rsid w:val="00653E6C"/>
    <w:rsid w:val="00655693"/>
    <w:rsid w:val="00655DF9"/>
    <w:rsid w:val="00657AC7"/>
    <w:rsid w:val="00657E3B"/>
    <w:rsid w:val="00662090"/>
    <w:rsid w:val="006621EB"/>
    <w:rsid w:val="00662CD9"/>
    <w:rsid w:val="0066409C"/>
    <w:rsid w:val="006643D7"/>
    <w:rsid w:val="006644E4"/>
    <w:rsid w:val="0066488E"/>
    <w:rsid w:val="00665365"/>
    <w:rsid w:val="00671280"/>
    <w:rsid w:val="00673187"/>
    <w:rsid w:val="00674646"/>
    <w:rsid w:val="006749D9"/>
    <w:rsid w:val="00674A38"/>
    <w:rsid w:val="00674F77"/>
    <w:rsid w:val="00675632"/>
    <w:rsid w:val="00676242"/>
    <w:rsid w:val="006807A4"/>
    <w:rsid w:val="006809ED"/>
    <w:rsid w:val="00680AA5"/>
    <w:rsid w:val="006816A2"/>
    <w:rsid w:val="006819C3"/>
    <w:rsid w:val="00683382"/>
    <w:rsid w:val="00683815"/>
    <w:rsid w:val="00683A4B"/>
    <w:rsid w:val="00684029"/>
    <w:rsid w:val="00687506"/>
    <w:rsid w:val="0069043C"/>
    <w:rsid w:val="00690739"/>
    <w:rsid w:val="006918E6"/>
    <w:rsid w:val="0069404D"/>
    <w:rsid w:val="00695535"/>
    <w:rsid w:val="006A2399"/>
    <w:rsid w:val="006A26B0"/>
    <w:rsid w:val="006A38C9"/>
    <w:rsid w:val="006A38DF"/>
    <w:rsid w:val="006A4173"/>
    <w:rsid w:val="006A4B3E"/>
    <w:rsid w:val="006A7070"/>
    <w:rsid w:val="006A7180"/>
    <w:rsid w:val="006A76AA"/>
    <w:rsid w:val="006A7982"/>
    <w:rsid w:val="006A7E84"/>
    <w:rsid w:val="006B10B7"/>
    <w:rsid w:val="006B1724"/>
    <w:rsid w:val="006B2F83"/>
    <w:rsid w:val="006B4828"/>
    <w:rsid w:val="006B5B47"/>
    <w:rsid w:val="006B727D"/>
    <w:rsid w:val="006C050B"/>
    <w:rsid w:val="006C05AE"/>
    <w:rsid w:val="006C1E29"/>
    <w:rsid w:val="006C281D"/>
    <w:rsid w:val="006C29C2"/>
    <w:rsid w:val="006C2E18"/>
    <w:rsid w:val="006C3A20"/>
    <w:rsid w:val="006C496D"/>
    <w:rsid w:val="006C4F9A"/>
    <w:rsid w:val="006C51E1"/>
    <w:rsid w:val="006C549B"/>
    <w:rsid w:val="006C5EC9"/>
    <w:rsid w:val="006C604A"/>
    <w:rsid w:val="006C6670"/>
    <w:rsid w:val="006C6F10"/>
    <w:rsid w:val="006C6F6A"/>
    <w:rsid w:val="006D0A1D"/>
    <w:rsid w:val="006D0DF3"/>
    <w:rsid w:val="006D1FFB"/>
    <w:rsid w:val="006D29C8"/>
    <w:rsid w:val="006D2A99"/>
    <w:rsid w:val="006D33C9"/>
    <w:rsid w:val="006D4A4A"/>
    <w:rsid w:val="006D619E"/>
    <w:rsid w:val="006D6DC3"/>
    <w:rsid w:val="006E0832"/>
    <w:rsid w:val="006E0EF8"/>
    <w:rsid w:val="006E1BC3"/>
    <w:rsid w:val="006E2676"/>
    <w:rsid w:val="006E4CAE"/>
    <w:rsid w:val="006E4E61"/>
    <w:rsid w:val="006E5281"/>
    <w:rsid w:val="006E6AB6"/>
    <w:rsid w:val="006E6FA2"/>
    <w:rsid w:val="006E7F31"/>
    <w:rsid w:val="006F093D"/>
    <w:rsid w:val="006F0C1B"/>
    <w:rsid w:val="006F12F6"/>
    <w:rsid w:val="006F182C"/>
    <w:rsid w:val="006F4D0C"/>
    <w:rsid w:val="006F4E92"/>
    <w:rsid w:val="006F603A"/>
    <w:rsid w:val="006F64AD"/>
    <w:rsid w:val="006F658C"/>
    <w:rsid w:val="006F77F0"/>
    <w:rsid w:val="006F78BD"/>
    <w:rsid w:val="00700342"/>
    <w:rsid w:val="00700AD0"/>
    <w:rsid w:val="00703E0C"/>
    <w:rsid w:val="00704053"/>
    <w:rsid w:val="00704343"/>
    <w:rsid w:val="00705037"/>
    <w:rsid w:val="007057A9"/>
    <w:rsid w:val="00706B69"/>
    <w:rsid w:val="0070706D"/>
    <w:rsid w:val="007113AF"/>
    <w:rsid w:val="00712887"/>
    <w:rsid w:val="00712CB0"/>
    <w:rsid w:val="00713379"/>
    <w:rsid w:val="00713C9A"/>
    <w:rsid w:val="0071467B"/>
    <w:rsid w:val="007148DF"/>
    <w:rsid w:val="00717343"/>
    <w:rsid w:val="00717AB5"/>
    <w:rsid w:val="00717B6E"/>
    <w:rsid w:val="00717EE5"/>
    <w:rsid w:val="007232EA"/>
    <w:rsid w:val="00723B47"/>
    <w:rsid w:val="00724BE2"/>
    <w:rsid w:val="00725ECC"/>
    <w:rsid w:val="00726195"/>
    <w:rsid w:val="00727E68"/>
    <w:rsid w:val="00730D5C"/>
    <w:rsid w:val="00731D13"/>
    <w:rsid w:val="00732A6F"/>
    <w:rsid w:val="00732FE3"/>
    <w:rsid w:val="00733744"/>
    <w:rsid w:val="00734D7F"/>
    <w:rsid w:val="00735E1C"/>
    <w:rsid w:val="0073671A"/>
    <w:rsid w:val="00737947"/>
    <w:rsid w:val="0074022F"/>
    <w:rsid w:val="0074196B"/>
    <w:rsid w:val="007419BF"/>
    <w:rsid w:val="00742596"/>
    <w:rsid w:val="0074324C"/>
    <w:rsid w:val="00744BAE"/>
    <w:rsid w:val="00744FEB"/>
    <w:rsid w:val="007475AF"/>
    <w:rsid w:val="00747B27"/>
    <w:rsid w:val="00747FCB"/>
    <w:rsid w:val="00750E13"/>
    <w:rsid w:val="0075145C"/>
    <w:rsid w:val="007523AD"/>
    <w:rsid w:val="007553E5"/>
    <w:rsid w:val="00755AE0"/>
    <w:rsid w:val="00755B2E"/>
    <w:rsid w:val="00755E6E"/>
    <w:rsid w:val="00756F6F"/>
    <w:rsid w:val="0076011F"/>
    <w:rsid w:val="00760D06"/>
    <w:rsid w:val="00761861"/>
    <w:rsid w:val="00761A78"/>
    <w:rsid w:val="00764F4D"/>
    <w:rsid w:val="007667EE"/>
    <w:rsid w:val="007670DA"/>
    <w:rsid w:val="0077013B"/>
    <w:rsid w:val="00770C6A"/>
    <w:rsid w:val="007719F4"/>
    <w:rsid w:val="00772BEC"/>
    <w:rsid w:val="007738F9"/>
    <w:rsid w:val="00774DDE"/>
    <w:rsid w:val="00775ABC"/>
    <w:rsid w:val="00776B0B"/>
    <w:rsid w:val="00781B18"/>
    <w:rsid w:val="00782780"/>
    <w:rsid w:val="00782C21"/>
    <w:rsid w:val="0078428A"/>
    <w:rsid w:val="007846DC"/>
    <w:rsid w:val="0078601B"/>
    <w:rsid w:val="007861FB"/>
    <w:rsid w:val="00786B3F"/>
    <w:rsid w:val="00787695"/>
    <w:rsid w:val="00790C59"/>
    <w:rsid w:val="00792A59"/>
    <w:rsid w:val="0079417D"/>
    <w:rsid w:val="00794737"/>
    <w:rsid w:val="00795261"/>
    <w:rsid w:val="00796A66"/>
    <w:rsid w:val="00796DE9"/>
    <w:rsid w:val="00797027"/>
    <w:rsid w:val="007979F3"/>
    <w:rsid w:val="007A0048"/>
    <w:rsid w:val="007A1458"/>
    <w:rsid w:val="007A18C6"/>
    <w:rsid w:val="007A3937"/>
    <w:rsid w:val="007A3B05"/>
    <w:rsid w:val="007A4661"/>
    <w:rsid w:val="007A526D"/>
    <w:rsid w:val="007A5318"/>
    <w:rsid w:val="007A5C4D"/>
    <w:rsid w:val="007A6B58"/>
    <w:rsid w:val="007A743F"/>
    <w:rsid w:val="007B365D"/>
    <w:rsid w:val="007B3FF7"/>
    <w:rsid w:val="007B460B"/>
    <w:rsid w:val="007B4BA5"/>
    <w:rsid w:val="007C0313"/>
    <w:rsid w:val="007C079E"/>
    <w:rsid w:val="007C08EC"/>
    <w:rsid w:val="007C1190"/>
    <w:rsid w:val="007C3D12"/>
    <w:rsid w:val="007C41D4"/>
    <w:rsid w:val="007C48BF"/>
    <w:rsid w:val="007C4F86"/>
    <w:rsid w:val="007C611E"/>
    <w:rsid w:val="007C63E5"/>
    <w:rsid w:val="007C6A4B"/>
    <w:rsid w:val="007C6C56"/>
    <w:rsid w:val="007D0451"/>
    <w:rsid w:val="007D2D4E"/>
    <w:rsid w:val="007D51EF"/>
    <w:rsid w:val="007D6907"/>
    <w:rsid w:val="007E116D"/>
    <w:rsid w:val="007E3D15"/>
    <w:rsid w:val="007E5784"/>
    <w:rsid w:val="007E60FD"/>
    <w:rsid w:val="007E61F0"/>
    <w:rsid w:val="007F0CCC"/>
    <w:rsid w:val="007F0E13"/>
    <w:rsid w:val="007F0ECA"/>
    <w:rsid w:val="007F1BDB"/>
    <w:rsid w:val="007F33F5"/>
    <w:rsid w:val="007F3A28"/>
    <w:rsid w:val="007F4030"/>
    <w:rsid w:val="007F49FA"/>
    <w:rsid w:val="007F512A"/>
    <w:rsid w:val="007F53DA"/>
    <w:rsid w:val="007F5401"/>
    <w:rsid w:val="007F691B"/>
    <w:rsid w:val="007F781D"/>
    <w:rsid w:val="00800AAC"/>
    <w:rsid w:val="00800EBE"/>
    <w:rsid w:val="00801866"/>
    <w:rsid w:val="00802AA9"/>
    <w:rsid w:val="008034A6"/>
    <w:rsid w:val="00803A81"/>
    <w:rsid w:val="00803F91"/>
    <w:rsid w:val="00805531"/>
    <w:rsid w:val="00806388"/>
    <w:rsid w:val="00806BE7"/>
    <w:rsid w:val="008102D6"/>
    <w:rsid w:val="00810AFB"/>
    <w:rsid w:val="00810BC0"/>
    <w:rsid w:val="0081374F"/>
    <w:rsid w:val="008137D9"/>
    <w:rsid w:val="0081410B"/>
    <w:rsid w:val="00815B41"/>
    <w:rsid w:val="0081663D"/>
    <w:rsid w:val="0081686C"/>
    <w:rsid w:val="00816D7F"/>
    <w:rsid w:val="008227F4"/>
    <w:rsid w:val="00824780"/>
    <w:rsid w:val="008257F9"/>
    <w:rsid w:val="00831B73"/>
    <w:rsid w:val="0083435E"/>
    <w:rsid w:val="00834E92"/>
    <w:rsid w:val="0083595D"/>
    <w:rsid w:val="00836E91"/>
    <w:rsid w:val="008406E9"/>
    <w:rsid w:val="00840720"/>
    <w:rsid w:val="008410DA"/>
    <w:rsid w:val="008417E9"/>
    <w:rsid w:val="008422A2"/>
    <w:rsid w:val="008444EA"/>
    <w:rsid w:val="008455DF"/>
    <w:rsid w:val="008503C8"/>
    <w:rsid w:val="00851385"/>
    <w:rsid w:val="00851BFC"/>
    <w:rsid w:val="00851CC8"/>
    <w:rsid w:val="00852150"/>
    <w:rsid w:val="00853F59"/>
    <w:rsid w:val="008549F0"/>
    <w:rsid w:val="00854BDA"/>
    <w:rsid w:val="00855EA1"/>
    <w:rsid w:val="00855FE1"/>
    <w:rsid w:val="00856B7B"/>
    <w:rsid w:val="00856FBD"/>
    <w:rsid w:val="00857516"/>
    <w:rsid w:val="0086080E"/>
    <w:rsid w:val="00860A30"/>
    <w:rsid w:val="00863CCC"/>
    <w:rsid w:val="008656E6"/>
    <w:rsid w:val="00865B71"/>
    <w:rsid w:val="00866157"/>
    <w:rsid w:val="008719EC"/>
    <w:rsid w:val="00873D0F"/>
    <w:rsid w:val="008741E7"/>
    <w:rsid w:val="008745F5"/>
    <w:rsid w:val="00874B71"/>
    <w:rsid w:val="0087504C"/>
    <w:rsid w:val="008758B4"/>
    <w:rsid w:val="008759B0"/>
    <w:rsid w:val="00875F5B"/>
    <w:rsid w:val="0087678A"/>
    <w:rsid w:val="00877E04"/>
    <w:rsid w:val="00880E2A"/>
    <w:rsid w:val="00881243"/>
    <w:rsid w:val="00881957"/>
    <w:rsid w:val="00882636"/>
    <w:rsid w:val="00882D10"/>
    <w:rsid w:val="00883143"/>
    <w:rsid w:val="00884FB9"/>
    <w:rsid w:val="00885D26"/>
    <w:rsid w:val="00887B97"/>
    <w:rsid w:val="00887C2A"/>
    <w:rsid w:val="00887FE9"/>
    <w:rsid w:val="008904B2"/>
    <w:rsid w:val="008917CC"/>
    <w:rsid w:val="00891840"/>
    <w:rsid w:val="00891856"/>
    <w:rsid w:val="00891AC1"/>
    <w:rsid w:val="008922C5"/>
    <w:rsid w:val="008933EA"/>
    <w:rsid w:val="0089378E"/>
    <w:rsid w:val="008945F6"/>
    <w:rsid w:val="00895068"/>
    <w:rsid w:val="00895756"/>
    <w:rsid w:val="008A09C6"/>
    <w:rsid w:val="008A17F6"/>
    <w:rsid w:val="008A1C10"/>
    <w:rsid w:val="008A367B"/>
    <w:rsid w:val="008A3E02"/>
    <w:rsid w:val="008A5D34"/>
    <w:rsid w:val="008A5E24"/>
    <w:rsid w:val="008A6624"/>
    <w:rsid w:val="008A728E"/>
    <w:rsid w:val="008B158C"/>
    <w:rsid w:val="008B2E5E"/>
    <w:rsid w:val="008B384B"/>
    <w:rsid w:val="008B38FF"/>
    <w:rsid w:val="008B4683"/>
    <w:rsid w:val="008B6360"/>
    <w:rsid w:val="008B6A8A"/>
    <w:rsid w:val="008B7D54"/>
    <w:rsid w:val="008C08F8"/>
    <w:rsid w:val="008C0C7D"/>
    <w:rsid w:val="008C2465"/>
    <w:rsid w:val="008C3B12"/>
    <w:rsid w:val="008C3C93"/>
    <w:rsid w:val="008C3E26"/>
    <w:rsid w:val="008C435D"/>
    <w:rsid w:val="008C5211"/>
    <w:rsid w:val="008C53C7"/>
    <w:rsid w:val="008C5ABF"/>
    <w:rsid w:val="008D139C"/>
    <w:rsid w:val="008D1F78"/>
    <w:rsid w:val="008D2EB9"/>
    <w:rsid w:val="008D31B9"/>
    <w:rsid w:val="008D421A"/>
    <w:rsid w:val="008D4A6B"/>
    <w:rsid w:val="008D4A6C"/>
    <w:rsid w:val="008D4AD0"/>
    <w:rsid w:val="008D5890"/>
    <w:rsid w:val="008D5EC6"/>
    <w:rsid w:val="008D6480"/>
    <w:rsid w:val="008D6575"/>
    <w:rsid w:val="008D7933"/>
    <w:rsid w:val="008E11E4"/>
    <w:rsid w:val="008E275B"/>
    <w:rsid w:val="008E4165"/>
    <w:rsid w:val="008E4C7F"/>
    <w:rsid w:val="008E5C74"/>
    <w:rsid w:val="008E60AF"/>
    <w:rsid w:val="008E66B0"/>
    <w:rsid w:val="008E7E48"/>
    <w:rsid w:val="008F2F06"/>
    <w:rsid w:val="008F34BD"/>
    <w:rsid w:val="008F58AC"/>
    <w:rsid w:val="008F6436"/>
    <w:rsid w:val="0090087C"/>
    <w:rsid w:val="009025DF"/>
    <w:rsid w:val="00902E29"/>
    <w:rsid w:val="009037B4"/>
    <w:rsid w:val="00903F94"/>
    <w:rsid w:val="00904275"/>
    <w:rsid w:val="009042E8"/>
    <w:rsid w:val="00906AC3"/>
    <w:rsid w:val="009071BE"/>
    <w:rsid w:val="0090774D"/>
    <w:rsid w:val="00910CB9"/>
    <w:rsid w:val="00912F34"/>
    <w:rsid w:val="00913470"/>
    <w:rsid w:val="0091380D"/>
    <w:rsid w:val="00913843"/>
    <w:rsid w:val="009139B0"/>
    <w:rsid w:val="00913ACE"/>
    <w:rsid w:val="009142C2"/>
    <w:rsid w:val="0091456E"/>
    <w:rsid w:val="0091554B"/>
    <w:rsid w:val="00916CE6"/>
    <w:rsid w:val="00917810"/>
    <w:rsid w:val="00921B64"/>
    <w:rsid w:val="0092210C"/>
    <w:rsid w:val="00923813"/>
    <w:rsid w:val="009247C7"/>
    <w:rsid w:val="00925C65"/>
    <w:rsid w:val="00926646"/>
    <w:rsid w:val="00931F5C"/>
    <w:rsid w:val="0093228E"/>
    <w:rsid w:val="009322B4"/>
    <w:rsid w:val="00933509"/>
    <w:rsid w:val="009342F9"/>
    <w:rsid w:val="00934A10"/>
    <w:rsid w:val="00935212"/>
    <w:rsid w:val="00935651"/>
    <w:rsid w:val="009356BA"/>
    <w:rsid w:val="00940934"/>
    <w:rsid w:val="00940D45"/>
    <w:rsid w:val="00941D57"/>
    <w:rsid w:val="00943C73"/>
    <w:rsid w:val="00943DDB"/>
    <w:rsid w:val="009447B1"/>
    <w:rsid w:val="0094591F"/>
    <w:rsid w:val="00945D0B"/>
    <w:rsid w:val="009463C0"/>
    <w:rsid w:val="009463D6"/>
    <w:rsid w:val="009469F4"/>
    <w:rsid w:val="0095124E"/>
    <w:rsid w:val="009513D3"/>
    <w:rsid w:val="009516FF"/>
    <w:rsid w:val="00951845"/>
    <w:rsid w:val="00951A43"/>
    <w:rsid w:val="00953AC0"/>
    <w:rsid w:val="009550D9"/>
    <w:rsid w:val="009556F9"/>
    <w:rsid w:val="009557D2"/>
    <w:rsid w:val="00957DC5"/>
    <w:rsid w:val="009617E8"/>
    <w:rsid w:val="00961E3D"/>
    <w:rsid w:val="0096242A"/>
    <w:rsid w:val="0096292D"/>
    <w:rsid w:val="00963A27"/>
    <w:rsid w:val="00963D24"/>
    <w:rsid w:val="00964E0A"/>
    <w:rsid w:val="00966005"/>
    <w:rsid w:val="0096796F"/>
    <w:rsid w:val="009700C4"/>
    <w:rsid w:val="009721A1"/>
    <w:rsid w:val="009726B9"/>
    <w:rsid w:val="0097349B"/>
    <w:rsid w:val="009747D4"/>
    <w:rsid w:val="009750B6"/>
    <w:rsid w:val="00975470"/>
    <w:rsid w:val="0097620A"/>
    <w:rsid w:val="00976E86"/>
    <w:rsid w:val="00980848"/>
    <w:rsid w:val="00980D14"/>
    <w:rsid w:val="00980D41"/>
    <w:rsid w:val="00981069"/>
    <w:rsid w:val="0098226B"/>
    <w:rsid w:val="0098349A"/>
    <w:rsid w:val="0098475B"/>
    <w:rsid w:val="00984CC2"/>
    <w:rsid w:val="00985181"/>
    <w:rsid w:val="00986C31"/>
    <w:rsid w:val="00986E75"/>
    <w:rsid w:val="0098762C"/>
    <w:rsid w:val="00987E87"/>
    <w:rsid w:val="0099047A"/>
    <w:rsid w:val="009908F4"/>
    <w:rsid w:val="00990BF6"/>
    <w:rsid w:val="00991283"/>
    <w:rsid w:val="00992728"/>
    <w:rsid w:val="0099333C"/>
    <w:rsid w:val="009938CA"/>
    <w:rsid w:val="00994316"/>
    <w:rsid w:val="00994D18"/>
    <w:rsid w:val="009951D9"/>
    <w:rsid w:val="00995251"/>
    <w:rsid w:val="00995FF7"/>
    <w:rsid w:val="00996374"/>
    <w:rsid w:val="009966BF"/>
    <w:rsid w:val="00997751"/>
    <w:rsid w:val="009A01D0"/>
    <w:rsid w:val="009A1686"/>
    <w:rsid w:val="009A1959"/>
    <w:rsid w:val="009A1FD3"/>
    <w:rsid w:val="009A264A"/>
    <w:rsid w:val="009A404E"/>
    <w:rsid w:val="009A48C0"/>
    <w:rsid w:val="009A490A"/>
    <w:rsid w:val="009A5FD0"/>
    <w:rsid w:val="009A6045"/>
    <w:rsid w:val="009A6996"/>
    <w:rsid w:val="009A6CB7"/>
    <w:rsid w:val="009A6DE5"/>
    <w:rsid w:val="009A78EC"/>
    <w:rsid w:val="009B092E"/>
    <w:rsid w:val="009B26BC"/>
    <w:rsid w:val="009B27B9"/>
    <w:rsid w:val="009B298B"/>
    <w:rsid w:val="009B4672"/>
    <w:rsid w:val="009B50E2"/>
    <w:rsid w:val="009C00A5"/>
    <w:rsid w:val="009C039A"/>
    <w:rsid w:val="009C1700"/>
    <w:rsid w:val="009C19F9"/>
    <w:rsid w:val="009C3290"/>
    <w:rsid w:val="009C3316"/>
    <w:rsid w:val="009C3B2B"/>
    <w:rsid w:val="009C3DED"/>
    <w:rsid w:val="009C4C25"/>
    <w:rsid w:val="009C56AB"/>
    <w:rsid w:val="009C57E6"/>
    <w:rsid w:val="009C645A"/>
    <w:rsid w:val="009C6506"/>
    <w:rsid w:val="009C75B6"/>
    <w:rsid w:val="009C7E7B"/>
    <w:rsid w:val="009D02CC"/>
    <w:rsid w:val="009D121D"/>
    <w:rsid w:val="009D249E"/>
    <w:rsid w:val="009D3D5F"/>
    <w:rsid w:val="009D424C"/>
    <w:rsid w:val="009D53CC"/>
    <w:rsid w:val="009D6C1B"/>
    <w:rsid w:val="009D75DB"/>
    <w:rsid w:val="009E04CC"/>
    <w:rsid w:val="009E3769"/>
    <w:rsid w:val="009E3875"/>
    <w:rsid w:val="009E3CF4"/>
    <w:rsid w:val="009E4A0A"/>
    <w:rsid w:val="009E6250"/>
    <w:rsid w:val="009E62B2"/>
    <w:rsid w:val="009E7320"/>
    <w:rsid w:val="009F1EE2"/>
    <w:rsid w:val="009F26D0"/>
    <w:rsid w:val="009F2AFE"/>
    <w:rsid w:val="009F2D1E"/>
    <w:rsid w:val="009F31AE"/>
    <w:rsid w:val="009F43D5"/>
    <w:rsid w:val="009F6116"/>
    <w:rsid w:val="009F7745"/>
    <w:rsid w:val="00A002CB"/>
    <w:rsid w:val="00A019D6"/>
    <w:rsid w:val="00A021AF"/>
    <w:rsid w:val="00A02CE6"/>
    <w:rsid w:val="00A02FF6"/>
    <w:rsid w:val="00A03488"/>
    <w:rsid w:val="00A044BE"/>
    <w:rsid w:val="00A0461F"/>
    <w:rsid w:val="00A0470E"/>
    <w:rsid w:val="00A0663D"/>
    <w:rsid w:val="00A0682F"/>
    <w:rsid w:val="00A11956"/>
    <w:rsid w:val="00A1228E"/>
    <w:rsid w:val="00A12A70"/>
    <w:rsid w:val="00A1385B"/>
    <w:rsid w:val="00A13B81"/>
    <w:rsid w:val="00A14B1E"/>
    <w:rsid w:val="00A14C69"/>
    <w:rsid w:val="00A162BF"/>
    <w:rsid w:val="00A17264"/>
    <w:rsid w:val="00A20F1A"/>
    <w:rsid w:val="00A21DB9"/>
    <w:rsid w:val="00A23676"/>
    <w:rsid w:val="00A24394"/>
    <w:rsid w:val="00A244D8"/>
    <w:rsid w:val="00A245B8"/>
    <w:rsid w:val="00A245E5"/>
    <w:rsid w:val="00A269F3"/>
    <w:rsid w:val="00A2743D"/>
    <w:rsid w:val="00A3032D"/>
    <w:rsid w:val="00A32E48"/>
    <w:rsid w:val="00A33CA1"/>
    <w:rsid w:val="00A33CE5"/>
    <w:rsid w:val="00A34D4C"/>
    <w:rsid w:val="00A34E41"/>
    <w:rsid w:val="00A3567C"/>
    <w:rsid w:val="00A35841"/>
    <w:rsid w:val="00A35C8B"/>
    <w:rsid w:val="00A37F38"/>
    <w:rsid w:val="00A40994"/>
    <w:rsid w:val="00A4110F"/>
    <w:rsid w:val="00A41C15"/>
    <w:rsid w:val="00A42436"/>
    <w:rsid w:val="00A42934"/>
    <w:rsid w:val="00A42CA1"/>
    <w:rsid w:val="00A43526"/>
    <w:rsid w:val="00A44909"/>
    <w:rsid w:val="00A47C1E"/>
    <w:rsid w:val="00A504B1"/>
    <w:rsid w:val="00A50F56"/>
    <w:rsid w:val="00A5128A"/>
    <w:rsid w:val="00A51F01"/>
    <w:rsid w:val="00A51F7F"/>
    <w:rsid w:val="00A53C5F"/>
    <w:rsid w:val="00A54CE5"/>
    <w:rsid w:val="00A54D57"/>
    <w:rsid w:val="00A5504D"/>
    <w:rsid w:val="00A55540"/>
    <w:rsid w:val="00A5785A"/>
    <w:rsid w:val="00A60875"/>
    <w:rsid w:val="00A60887"/>
    <w:rsid w:val="00A610C0"/>
    <w:rsid w:val="00A61C78"/>
    <w:rsid w:val="00A6303E"/>
    <w:rsid w:val="00A638CD"/>
    <w:rsid w:val="00A64A1F"/>
    <w:rsid w:val="00A6618A"/>
    <w:rsid w:val="00A66882"/>
    <w:rsid w:val="00A672F4"/>
    <w:rsid w:val="00A70A3E"/>
    <w:rsid w:val="00A70DC1"/>
    <w:rsid w:val="00A738CC"/>
    <w:rsid w:val="00A73DEB"/>
    <w:rsid w:val="00A74AAD"/>
    <w:rsid w:val="00A74FD0"/>
    <w:rsid w:val="00A770EF"/>
    <w:rsid w:val="00A80346"/>
    <w:rsid w:val="00A804E4"/>
    <w:rsid w:val="00A8158E"/>
    <w:rsid w:val="00A82E60"/>
    <w:rsid w:val="00A84D7B"/>
    <w:rsid w:val="00A85C09"/>
    <w:rsid w:val="00A866CD"/>
    <w:rsid w:val="00A8717F"/>
    <w:rsid w:val="00A87B66"/>
    <w:rsid w:val="00A915A2"/>
    <w:rsid w:val="00A91D27"/>
    <w:rsid w:val="00A92D15"/>
    <w:rsid w:val="00A9453E"/>
    <w:rsid w:val="00A952D7"/>
    <w:rsid w:val="00A95694"/>
    <w:rsid w:val="00A96304"/>
    <w:rsid w:val="00A96895"/>
    <w:rsid w:val="00AA1CB0"/>
    <w:rsid w:val="00AA30A4"/>
    <w:rsid w:val="00AA43DE"/>
    <w:rsid w:val="00AA522C"/>
    <w:rsid w:val="00AA56BA"/>
    <w:rsid w:val="00AA58E7"/>
    <w:rsid w:val="00AA6109"/>
    <w:rsid w:val="00AA6962"/>
    <w:rsid w:val="00AA7260"/>
    <w:rsid w:val="00AB211B"/>
    <w:rsid w:val="00AB2A5A"/>
    <w:rsid w:val="00AB3BC7"/>
    <w:rsid w:val="00AB3F39"/>
    <w:rsid w:val="00AB4816"/>
    <w:rsid w:val="00AB481C"/>
    <w:rsid w:val="00AC15EC"/>
    <w:rsid w:val="00AC3C18"/>
    <w:rsid w:val="00AC40F6"/>
    <w:rsid w:val="00AC4205"/>
    <w:rsid w:val="00AC4A04"/>
    <w:rsid w:val="00AD0742"/>
    <w:rsid w:val="00AD09AD"/>
    <w:rsid w:val="00AD0BC3"/>
    <w:rsid w:val="00AD1A49"/>
    <w:rsid w:val="00AD1ADE"/>
    <w:rsid w:val="00AD47EE"/>
    <w:rsid w:val="00AD5232"/>
    <w:rsid w:val="00AD5732"/>
    <w:rsid w:val="00AD5CA6"/>
    <w:rsid w:val="00AD6A2C"/>
    <w:rsid w:val="00AD6C2A"/>
    <w:rsid w:val="00AD7CE6"/>
    <w:rsid w:val="00AE04D8"/>
    <w:rsid w:val="00AE0FB4"/>
    <w:rsid w:val="00AE296F"/>
    <w:rsid w:val="00AE373F"/>
    <w:rsid w:val="00AE38E5"/>
    <w:rsid w:val="00AE4275"/>
    <w:rsid w:val="00AE4CBE"/>
    <w:rsid w:val="00AE4FF0"/>
    <w:rsid w:val="00AE55E1"/>
    <w:rsid w:val="00AE5A04"/>
    <w:rsid w:val="00AE6142"/>
    <w:rsid w:val="00AF412D"/>
    <w:rsid w:val="00AF4155"/>
    <w:rsid w:val="00AF47BC"/>
    <w:rsid w:val="00AF4959"/>
    <w:rsid w:val="00AF5B06"/>
    <w:rsid w:val="00AF5FA3"/>
    <w:rsid w:val="00AF75CE"/>
    <w:rsid w:val="00AF7B27"/>
    <w:rsid w:val="00B003BD"/>
    <w:rsid w:val="00B01077"/>
    <w:rsid w:val="00B01C56"/>
    <w:rsid w:val="00B0235E"/>
    <w:rsid w:val="00B02A5B"/>
    <w:rsid w:val="00B046E5"/>
    <w:rsid w:val="00B0494F"/>
    <w:rsid w:val="00B04D5B"/>
    <w:rsid w:val="00B04F56"/>
    <w:rsid w:val="00B05221"/>
    <w:rsid w:val="00B06299"/>
    <w:rsid w:val="00B07290"/>
    <w:rsid w:val="00B07530"/>
    <w:rsid w:val="00B07F01"/>
    <w:rsid w:val="00B10E74"/>
    <w:rsid w:val="00B11721"/>
    <w:rsid w:val="00B11843"/>
    <w:rsid w:val="00B127F1"/>
    <w:rsid w:val="00B12A68"/>
    <w:rsid w:val="00B13588"/>
    <w:rsid w:val="00B13962"/>
    <w:rsid w:val="00B15B5F"/>
    <w:rsid w:val="00B166AF"/>
    <w:rsid w:val="00B16E65"/>
    <w:rsid w:val="00B17AD0"/>
    <w:rsid w:val="00B20646"/>
    <w:rsid w:val="00B20A94"/>
    <w:rsid w:val="00B227DC"/>
    <w:rsid w:val="00B2289A"/>
    <w:rsid w:val="00B2330E"/>
    <w:rsid w:val="00B23433"/>
    <w:rsid w:val="00B23681"/>
    <w:rsid w:val="00B25FD5"/>
    <w:rsid w:val="00B266B0"/>
    <w:rsid w:val="00B27315"/>
    <w:rsid w:val="00B273C7"/>
    <w:rsid w:val="00B27BD9"/>
    <w:rsid w:val="00B30859"/>
    <w:rsid w:val="00B31F24"/>
    <w:rsid w:val="00B320CD"/>
    <w:rsid w:val="00B329DE"/>
    <w:rsid w:val="00B32E55"/>
    <w:rsid w:val="00B335C3"/>
    <w:rsid w:val="00B33B56"/>
    <w:rsid w:val="00B34EEB"/>
    <w:rsid w:val="00B3517F"/>
    <w:rsid w:val="00B35987"/>
    <w:rsid w:val="00B35D8A"/>
    <w:rsid w:val="00B3651B"/>
    <w:rsid w:val="00B3749B"/>
    <w:rsid w:val="00B41542"/>
    <w:rsid w:val="00B42FC7"/>
    <w:rsid w:val="00B43A72"/>
    <w:rsid w:val="00B469C9"/>
    <w:rsid w:val="00B472F8"/>
    <w:rsid w:val="00B4755F"/>
    <w:rsid w:val="00B47B84"/>
    <w:rsid w:val="00B47F3F"/>
    <w:rsid w:val="00B50F1D"/>
    <w:rsid w:val="00B5152A"/>
    <w:rsid w:val="00B52202"/>
    <w:rsid w:val="00B53E19"/>
    <w:rsid w:val="00B54230"/>
    <w:rsid w:val="00B54C07"/>
    <w:rsid w:val="00B55581"/>
    <w:rsid w:val="00B563E0"/>
    <w:rsid w:val="00B57197"/>
    <w:rsid w:val="00B57531"/>
    <w:rsid w:val="00B57866"/>
    <w:rsid w:val="00B57BF3"/>
    <w:rsid w:val="00B60040"/>
    <w:rsid w:val="00B6024A"/>
    <w:rsid w:val="00B6028D"/>
    <w:rsid w:val="00B618CC"/>
    <w:rsid w:val="00B61AF0"/>
    <w:rsid w:val="00B6484A"/>
    <w:rsid w:val="00B65AEB"/>
    <w:rsid w:val="00B65D1A"/>
    <w:rsid w:val="00B66821"/>
    <w:rsid w:val="00B709F7"/>
    <w:rsid w:val="00B72C16"/>
    <w:rsid w:val="00B72E52"/>
    <w:rsid w:val="00B72E7F"/>
    <w:rsid w:val="00B751A6"/>
    <w:rsid w:val="00B759DB"/>
    <w:rsid w:val="00B75EC0"/>
    <w:rsid w:val="00B77981"/>
    <w:rsid w:val="00B80819"/>
    <w:rsid w:val="00B80E44"/>
    <w:rsid w:val="00B81BAB"/>
    <w:rsid w:val="00B8721C"/>
    <w:rsid w:val="00B878B2"/>
    <w:rsid w:val="00B87C93"/>
    <w:rsid w:val="00B91517"/>
    <w:rsid w:val="00B91E66"/>
    <w:rsid w:val="00B929B9"/>
    <w:rsid w:val="00B92BD9"/>
    <w:rsid w:val="00B9402E"/>
    <w:rsid w:val="00B94486"/>
    <w:rsid w:val="00BA08DF"/>
    <w:rsid w:val="00BA139C"/>
    <w:rsid w:val="00BA13D6"/>
    <w:rsid w:val="00BA1FBD"/>
    <w:rsid w:val="00BA2654"/>
    <w:rsid w:val="00BA28C9"/>
    <w:rsid w:val="00BA321E"/>
    <w:rsid w:val="00BA4576"/>
    <w:rsid w:val="00BA4F75"/>
    <w:rsid w:val="00BA5E7C"/>
    <w:rsid w:val="00BB0913"/>
    <w:rsid w:val="00BB162D"/>
    <w:rsid w:val="00BB3D11"/>
    <w:rsid w:val="00BB6298"/>
    <w:rsid w:val="00BC00DC"/>
    <w:rsid w:val="00BC0B61"/>
    <w:rsid w:val="00BC1864"/>
    <w:rsid w:val="00BC2D0D"/>
    <w:rsid w:val="00BC2DA3"/>
    <w:rsid w:val="00BC3CE2"/>
    <w:rsid w:val="00BC5856"/>
    <w:rsid w:val="00BC62E4"/>
    <w:rsid w:val="00BC6374"/>
    <w:rsid w:val="00BC683D"/>
    <w:rsid w:val="00BC6D64"/>
    <w:rsid w:val="00BC6D75"/>
    <w:rsid w:val="00BC6FA2"/>
    <w:rsid w:val="00BD0A40"/>
    <w:rsid w:val="00BD0A99"/>
    <w:rsid w:val="00BD25C6"/>
    <w:rsid w:val="00BD271D"/>
    <w:rsid w:val="00BD35FB"/>
    <w:rsid w:val="00BD37E4"/>
    <w:rsid w:val="00BD43D3"/>
    <w:rsid w:val="00BD491B"/>
    <w:rsid w:val="00BD4C30"/>
    <w:rsid w:val="00BD4F46"/>
    <w:rsid w:val="00BD6406"/>
    <w:rsid w:val="00BD6D08"/>
    <w:rsid w:val="00BE032B"/>
    <w:rsid w:val="00BE0E0E"/>
    <w:rsid w:val="00BE1A45"/>
    <w:rsid w:val="00BE3A06"/>
    <w:rsid w:val="00BE49CE"/>
    <w:rsid w:val="00BE7287"/>
    <w:rsid w:val="00BF1A02"/>
    <w:rsid w:val="00BF23D3"/>
    <w:rsid w:val="00BF331F"/>
    <w:rsid w:val="00BF3633"/>
    <w:rsid w:val="00C01BE3"/>
    <w:rsid w:val="00C02E53"/>
    <w:rsid w:val="00C03B69"/>
    <w:rsid w:val="00C04346"/>
    <w:rsid w:val="00C04A68"/>
    <w:rsid w:val="00C0554E"/>
    <w:rsid w:val="00C05EEB"/>
    <w:rsid w:val="00C05F3F"/>
    <w:rsid w:val="00C067BC"/>
    <w:rsid w:val="00C06C56"/>
    <w:rsid w:val="00C06F7D"/>
    <w:rsid w:val="00C07069"/>
    <w:rsid w:val="00C075D3"/>
    <w:rsid w:val="00C07F9C"/>
    <w:rsid w:val="00C10E46"/>
    <w:rsid w:val="00C1133D"/>
    <w:rsid w:val="00C11426"/>
    <w:rsid w:val="00C12353"/>
    <w:rsid w:val="00C15AE9"/>
    <w:rsid w:val="00C16CFE"/>
    <w:rsid w:val="00C1785C"/>
    <w:rsid w:val="00C2067F"/>
    <w:rsid w:val="00C20ADD"/>
    <w:rsid w:val="00C20C78"/>
    <w:rsid w:val="00C2100C"/>
    <w:rsid w:val="00C21044"/>
    <w:rsid w:val="00C2162C"/>
    <w:rsid w:val="00C21CAD"/>
    <w:rsid w:val="00C229A7"/>
    <w:rsid w:val="00C2345D"/>
    <w:rsid w:val="00C249D2"/>
    <w:rsid w:val="00C259DB"/>
    <w:rsid w:val="00C267F8"/>
    <w:rsid w:val="00C27A01"/>
    <w:rsid w:val="00C31AF1"/>
    <w:rsid w:val="00C31AF5"/>
    <w:rsid w:val="00C31CED"/>
    <w:rsid w:val="00C32600"/>
    <w:rsid w:val="00C33295"/>
    <w:rsid w:val="00C35E12"/>
    <w:rsid w:val="00C36FBB"/>
    <w:rsid w:val="00C373AD"/>
    <w:rsid w:val="00C378EC"/>
    <w:rsid w:val="00C37AFD"/>
    <w:rsid w:val="00C4361F"/>
    <w:rsid w:val="00C43BD8"/>
    <w:rsid w:val="00C44180"/>
    <w:rsid w:val="00C44B25"/>
    <w:rsid w:val="00C45326"/>
    <w:rsid w:val="00C46119"/>
    <w:rsid w:val="00C465D0"/>
    <w:rsid w:val="00C51A77"/>
    <w:rsid w:val="00C52962"/>
    <w:rsid w:val="00C53186"/>
    <w:rsid w:val="00C53C2F"/>
    <w:rsid w:val="00C5426E"/>
    <w:rsid w:val="00C54AA9"/>
    <w:rsid w:val="00C54B2E"/>
    <w:rsid w:val="00C55133"/>
    <w:rsid w:val="00C5583D"/>
    <w:rsid w:val="00C55AF7"/>
    <w:rsid w:val="00C57A15"/>
    <w:rsid w:val="00C57C36"/>
    <w:rsid w:val="00C57C75"/>
    <w:rsid w:val="00C605C2"/>
    <w:rsid w:val="00C610C1"/>
    <w:rsid w:val="00C61B36"/>
    <w:rsid w:val="00C62443"/>
    <w:rsid w:val="00C6422D"/>
    <w:rsid w:val="00C66391"/>
    <w:rsid w:val="00C66FA8"/>
    <w:rsid w:val="00C70B65"/>
    <w:rsid w:val="00C75578"/>
    <w:rsid w:val="00C75FE7"/>
    <w:rsid w:val="00C84FEE"/>
    <w:rsid w:val="00C85712"/>
    <w:rsid w:val="00C87028"/>
    <w:rsid w:val="00C91149"/>
    <w:rsid w:val="00C916E7"/>
    <w:rsid w:val="00C9278B"/>
    <w:rsid w:val="00C927A8"/>
    <w:rsid w:val="00C947BD"/>
    <w:rsid w:val="00C94DB1"/>
    <w:rsid w:val="00C955BD"/>
    <w:rsid w:val="00C95D4A"/>
    <w:rsid w:val="00C96799"/>
    <w:rsid w:val="00C96CBC"/>
    <w:rsid w:val="00CA07A2"/>
    <w:rsid w:val="00CA2E73"/>
    <w:rsid w:val="00CA5A22"/>
    <w:rsid w:val="00CA5B84"/>
    <w:rsid w:val="00CA7E21"/>
    <w:rsid w:val="00CB0920"/>
    <w:rsid w:val="00CB1CAC"/>
    <w:rsid w:val="00CB3A5A"/>
    <w:rsid w:val="00CB492B"/>
    <w:rsid w:val="00CB7ED7"/>
    <w:rsid w:val="00CC14EE"/>
    <w:rsid w:val="00CC20E9"/>
    <w:rsid w:val="00CC21CF"/>
    <w:rsid w:val="00CC2805"/>
    <w:rsid w:val="00CC2F62"/>
    <w:rsid w:val="00CC3071"/>
    <w:rsid w:val="00CC5113"/>
    <w:rsid w:val="00CC6AC2"/>
    <w:rsid w:val="00CC7C00"/>
    <w:rsid w:val="00CD07D2"/>
    <w:rsid w:val="00CD2871"/>
    <w:rsid w:val="00CD33A6"/>
    <w:rsid w:val="00CD510F"/>
    <w:rsid w:val="00CD614B"/>
    <w:rsid w:val="00CD7BCE"/>
    <w:rsid w:val="00CE05B4"/>
    <w:rsid w:val="00CE11AB"/>
    <w:rsid w:val="00CE21BE"/>
    <w:rsid w:val="00CE2BFF"/>
    <w:rsid w:val="00CE49BA"/>
    <w:rsid w:val="00CE4C6F"/>
    <w:rsid w:val="00CE5014"/>
    <w:rsid w:val="00CE6295"/>
    <w:rsid w:val="00CE67F4"/>
    <w:rsid w:val="00CE6863"/>
    <w:rsid w:val="00CE6A5A"/>
    <w:rsid w:val="00CE7363"/>
    <w:rsid w:val="00CE75C0"/>
    <w:rsid w:val="00CF0822"/>
    <w:rsid w:val="00CF083A"/>
    <w:rsid w:val="00CF1A80"/>
    <w:rsid w:val="00CF1ABC"/>
    <w:rsid w:val="00CF22DA"/>
    <w:rsid w:val="00CF6C34"/>
    <w:rsid w:val="00D00BF3"/>
    <w:rsid w:val="00D013BC"/>
    <w:rsid w:val="00D02279"/>
    <w:rsid w:val="00D0397C"/>
    <w:rsid w:val="00D03C78"/>
    <w:rsid w:val="00D04683"/>
    <w:rsid w:val="00D047D8"/>
    <w:rsid w:val="00D0538A"/>
    <w:rsid w:val="00D0565B"/>
    <w:rsid w:val="00D05FA3"/>
    <w:rsid w:val="00D0723C"/>
    <w:rsid w:val="00D073A7"/>
    <w:rsid w:val="00D07AC9"/>
    <w:rsid w:val="00D11561"/>
    <w:rsid w:val="00D13C02"/>
    <w:rsid w:val="00D202F1"/>
    <w:rsid w:val="00D21735"/>
    <w:rsid w:val="00D226F0"/>
    <w:rsid w:val="00D248C1"/>
    <w:rsid w:val="00D26074"/>
    <w:rsid w:val="00D303A8"/>
    <w:rsid w:val="00D31A31"/>
    <w:rsid w:val="00D31C9A"/>
    <w:rsid w:val="00D31F86"/>
    <w:rsid w:val="00D326CB"/>
    <w:rsid w:val="00D32AC4"/>
    <w:rsid w:val="00D34F60"/>
    <w:rsid w:val="00D35AC0"/>
    <w:rsid w:val="00D3680A"/>
    <w:rsid w:val="00D36CEC"/>
    <w:rsid w:val="00D42712"/>
    <w:rsid w:val="00D44084"/>
    <w:rsid w:val="00D46245"/>
    <w:rsid w:val="00D473A8"/>
    <w:rsid w:val="00D505A5"/>
    <w:rsid w:val="00D51A11"/>
    <w:rsid w:val="00D533CF"/>
    <w:rsid w:val="00D5353E"/>
    <w:rsid w:val="00D5396A"/>
    <w:rsid w:val="00D53D55"/>
    <w:rsid w:val="00D546BA"/>
    <w:rsid w:val="00D557FB"/>
    <w:rsid w:val="00D5659D"/>
    <w:rsid w:val="00D56848"/>
    <w:rsid w:val="00D56B2B"/>
    <w:rsid w:val="00D575CA"/>
    <w:rsid w:val="00D61567"/>
    <w:rsid w:val="00D62089"/>
    <w:rsid w:val="00D63328"/>
    <w:rsid w:val="00D63830"/>
    <w:rsid w:val="00D6483C"/>
    <w:rsid w:val="00D64890"/>
    <w:rsid w:val="00D648D1"/>
    <w:rsid w:val="00D657CA"/>
    <w:rsid w:val="00D66C21"/>
    <w:rsid w:val="00D67688"/>
    <w:rsid w:val="00D7437C"/>
    <w:rsid w:val="00D74918"/>
    <w:rsid w:val="00D7505C"/>
    <w:rsid w:val="00D752BE"/>
    <w:rsid w:val="00D75440"/>
    <w:rsid w:val="00D8035B"/>
    <w:rsid w:val="00D80566"/>
    <w:rsid w:val="00D816C1"/>
    <w:rsid w:val="00D816D6"/>
    <w:rsid w:val="00D844D8"/>
    <w:rsid w:val="00D851F3"/>
    <w:rsid w:val="00D85F86"/>
    <w:rsid w:val="00D8643F"/>
    <w:rsid w:val="00D90455"/>
    <w:rsid w:val="00D91662"/>
    <w:rsid w:val="00D94C6B"/>
    <w:rsid w:val="00D95D70"/>
    <w:rsid w:val="00D96BCC"/>
    <w:rsid w:val="00D96F6A"/>
    <w:rsid w:val="00DA000F"/>
    <w:rsid w:val="00DA1003"/>
    <w:rsid w:val="00DA219F"/>
    <w:rsid w:val="00DA2AE5"/>
    <w:rsid w:val="00DA3414"/>
    <w:rsid w:val="00DA3E5F"/>
    <w:rsid w:val="00DA43AE"/>
    <w:rsid w:val="00DA48DB"/>
    <w:rsid w:val="00DA4C06"/>
    <w:rsid w:val="00DA5FA8"/>
    <w:rsid w:val="00DA6559"/>
    <w:rsid w:val="00DB3689"/>
    <w:rsid w:val="00DB5DC2"/>
    <w:rsid w:val="00DB6C3A"/>
    <w:rsid w:val="00DB6E6E"/>
    <w:rsid w:val="00DB71A1"/>
    <w:rsid w:val="00DB7682"/>
    <w:rsid w:val="00DC0439"/>
    <w:rsid w:val="00DC08BB"/>
    <w:rsid w:val="00DC08DF"/>
    <w:rsid w:val="00DC2129"/>
    <w:rsid w:val="00DC3177"/>
    <w:rsid w:val="00DC4FFF"/>
    <w:rsid w:val="00DC5764"/>
    <w:rsid w:val="00DC5808"/>
    <w:rsid w:val="00DC59B7"/>
    <w:rsid w:val="00DC688E"/>
    <w:rsid w:val="00DC6AB5"/>
    <w:rsid w:val="00DC7A21"/>
    <w:rsid w:val="00DD0783"/>
    <w:rsid w:val="00DD41F9"/>
    <w:rsid w:val="00DD4583"/>
    <w:rsid w:val="00DD5A95"/>
    <w:rsid w:val="00DD5B9A"/>
    <w:rsid w:val="00DD5BC3"/>
    <w:rsid w:val="00DD6D80"/>
    <w:rsid w:val="00DD7855"/>
    <w:rsid w:val="00DD788F"/>
    <w:rsid w:val="00DE131E"/>
    <w:rsid w:val="00DE2CFF"/>
    <w:rsid w:val="00DE3F1C"/>
    <w:rsid w:val="00DE4EB9"/>
    <w:rsid w:val="00DE75BD"/>
    <w:rsid w:val="00DE7C01"/>
    <w:rsid w:val="00DE7FF9"/>
    <w:rsid w:val="00DF0C51"/>
    <w:rsid w:val="00DF10AC"/>
    <w:rsid w:val="00DF154F"/>
    <w:rsid w:val="00DF4303"/>
    <w:rsid w:val="00DF609C"/>
    <w:rsid w:val="00DF6AE2"/>
    <w:rsid w:val="00DF7515"/>
    <w:rsid w:val="00E0131B"/>
    <w:rsid w:val="00E01EE8"/>
    <w:rsid w:val="00E02522"/>
    <w:rsid w:val="00E0383B"/>
    <w:rsid w:val="00E05D29"/>
    <w:rsid w:val="00E06F21"/>
    <w:rsid w:val="00E10808"/>
    <w:rsid w:val="00E1094A"/>
    <w:rsid w:val="00E1160E"/>
    <w:rsid w:val="00E117C4"/>
    <w:rsid w:val="00E130E0"/>
    <w:rsid w:val="00E13FC7"/>
    <w:rsid w:val="00E1460E"/>
    <w:rsid w:val="00E14DB6"/>
    <w:rsid w:val="00E15C7B"/>
    <w:rsid w:val="00E160CC"/>
    <w:rsid w:val="00E21576"/>
    <w:rsid w:val="00E21B68"/>
    <w:rsid w:val="00E220FA"/>
    <w:rsid w:val="00E2216E"/>
    <w:rsid w:val="00E25E3A"/>
    <w:rsid w:val="00E2653A"/>
    <w:rsid w:val="00E26F19"/>
    <w:rsid w:val="00E2743A"/>
    <w:rsid w:val="00E3163C"/>
    <w:rsid w:val="00E32040"/>
    <w:rsid w:val="00E32713"/>
    <w:rsid w:val="00E32944"/>
    <w:rsid w:val="00E3319D"/>
    <w:rsid w:val="00E3569F"/>
    <w:rsid w:val="00E356C3"/>
    <w:rsid w:val="00E3715E"/>
    <w:rsid w:val="00E4223E"/>
    <w:rsid w:val="00E42375"/>
    <w:rsid w:val="00E42BB1"/>
    <w:rsid w:val="00E42FAB"/>
    <w:rsid w:val="00E43161"/>
    <w:rsid w:val="00E4474C"/>
    <w:rsid w:val="00E44969"/>
    <w:rsid w:val="00E45680"/>
    <w:rsid w:val="00E4632B"/>
    <w:rsid w:val="00E475E6"/>
    <w:rsid w:val="00E501BB"/>
    <w:rsid w:val="00E514E2"/>
    <w:rsid w:val="00E54156"/>
    <w:rsid w:val="00E55C72"/>
    <w:rsid w:val="00E56DF3"/>
    <w:rsid w:val="00E56E19"/>
    <w:rsid w:val="00E618FE"/>
    <w:rsid w:val="00E621B2"/>
    <w:rsid w:val="00E64040"/>
    <w:rsid w:val="00E64326"/>
    <w:rsid w:val="00E65645"/>
    <w:rsid w:val="00E65C72"/>
    <w:rsid w:val="00E6664D"/>
    <w:rsid w:val="00E67102"/>
    <w:rsid w:val="00E673C2"/>
    <w:rsid w:val="00E74043"/>
    <w:rsid w:val="00E740F1"/>
    <w:rsid w:val="00E754CB"/>
    <w:rsid w:val="00E75C25"/>
    <w:rsid w:val="00E769AE"/>
    <w:rsid w:val="00E81D77"/>
    <w:rsid w:val="00E83191"/>
    <w:rsid w:val="00E83F9D"/>
    <w:rsid w:val="00E84704"/>
    <w:rsid w:val="00E85BFD"/>
    <w:rsid w:val="00E86A01"/>
    <w:rsid w:val="00E8712E"/>
    <w:rsid w:val="00E875CF"/>
    <w:rsid w:val="00E90690"/>
    <w:rsid w:val="00E90DA8"/>
    <w:rsid w:val="00E9216E"/>
    <w:rsid w:val="00E9238A"/>
    <w:rsid w:val="00E929E1"/>
    <w:rsid w:val="00E938F4"/>
    <w:rsid w:val="00E93B90"/>
    <w:rsid w:val="00E95D26"/>
    <w:rsid w:val="00E95FD3"/>
    <w:rsid w:val="00E96CC5"/>
    <w:rsid w:val="00E97C25"/>
    <w:rsid w:val="00EA17E5"/>
    <w:rsid w:val="00EA2222"/>
    <w:rsid w:val="00EA234C"/>
    <w:rsid w:val="00EA2C03"/>
    <w:rsid w:val="00EA2CDF"/>
    <w:rsid w:val="00EA2D76"/>
    <w:rsid w:val="00EA2F4C"/>
    <w:rsid w:val="00EA31C2"/>
    <w:rsid w:val="00EA34C3"/>
    <w:rsid w:val="00EA37EC"/>
    <w:rsid w:val="00EA4064"/>
    <w:rsid w:val="00EA4405"/>
    <w:rsid w:val="00EA545F"/>
    <w:rsid w:val="00EA5B99"/>
    <w:rsid w:val="00EA5E2E"/>
    <w:rsid w:val="00EA6DAB"/>
    <w:rsid w:val="00EA7801"/>
    <w:rsid w:val="00EA7E80"/>
    <w:rsid w:val="00EB2046"/>
    <w:rsid w:val="00EB5317"/>
    <w:rsid w:val="00EB58B2"/>
    <w:rsid w:val="00EC0690"/>
    <w:rsid w:val="00EC5980"/>
    <w:rsid w:val="00EC5B6B"/>
    <w:rsid w:val="00ED017F"/>
    <w:rsid w:val="00ED01FC"/>
    <w:rsid w:val="00ED0ADF"/>
    <w:rsid w:val="00ED102F"/>
    <w:rsid w:val="00ED117E"/>
    <w:rsid w:val="00ED19EB"/>
    <w:rsid w:val="00ED393D"/>
    <w:rsid w:val="00ED4C6F"/>
    <w:rsid w:val="00ED5AA5"/>
    <w:rsid w:val="00ED667E"/>
    <w:rsid w:val="00ED70E2"/>
    <w:rsid w:val="00ED765F"/>
    <w:rsid w:val="00ED7838"/>
    <w:rsid w:val="00EE021B"/>
    <w:rsid w:val="00EE0323"/>
    <w:rsid w:val="00EE0D37"/>
    <w:rsid w:val="00EE12B3"/>
    <w:rsid w:val="00EE1AC5"/>
    <w:rsid w:val="00EE1DDF"/>
    <w:rsid w:val="00EE2036"/>
    <w:rsid w:val="00EE233F"/>
    <w:rsid w:val="00EE3E0D"/>
    <w:rsid w:val="00EE4293"/>
    <w:rsid w:val="00EE4E44"/>
    <w:rsid w:val="00EE51D1"/>
    <w:rsid w:val="00EE5302"/>
    <w:rsid w:val="00EE6425"/>
    <w:rsid w:val="00EE65D4"/>
    <w:rsid w:val="00EE6AA7"/>
    <w:rsid w:val="00EE6E5C"/>
    <w:rsid w:val="00EE7E7D"/>
    <w:rsid w:val="00EF172C"/>
    <w:rsid w:val="00EF1BF1"/>
    <w:rsid w:val="00EF1D4D"/>
    <w:rsid w:val="00EF7228"/>
    <w:rsid w:val="00EF7377"/>
    <w:rsid w:val="00F00321"/>
    <w:rsid w:val="00F009E1"/>
    <w:rsid w:val="00F015D8"/>
    <w:rsid w:val="00F02170"/>
    <w:rsid w:val="00F0284F"/>
    <w:rsid w:val="00F03CFD"/>
    <w:rsid w:val="00F0560F"/>
    <w:rsid w:val="00F057A2"/>
    <w:rsid w:val="00F05B78"/>
    <w:rsid w:val="00F05ECC"/>
    <w:rsid w:val="00F06158"/>
    <w:rsid w:val="00F1025F"/>
    <w:rsid w:val="00F10AA8"/>
    <w:rsid w:val="00F11504"/>
    <w:rsid w:val="00F147A3"/>
    <w:rsid w:val="00F151A1"/>
    <w:rsid w:val="00F1526C"/>
    <w:rsid w:val="00F205FB"/>
    <w:rsid w:val="00F207A5"/>
    <w:rsid w:val="00F21390"/>
    <w:rsid w:val="00F217BF"/>
    <w:rsid w:val="00F21D15"/>
    <w:rsid w:val="00F21F3F"/>
    <w:rsid w:val="00F223DA"/>
    <w:rsid w:val="00F2614F"/>
    <w:rsid w:val="00F26E9F"/>
    <w:rsid w:val="00F27210"/>
    <w:rsid w:val="00F27836"/>
    <w:rsid w:val="00F27907"/>
    <w:rsid w:val="00F31A4A"/>
    <w:rsid w:val="00F31CAD"/>
    <w:rsid w:val="00F31FAA"/>
    <w:rsid w:val="00F324D6"/>
    <w:rsid w:val="00F32F46"/>
    <w:rsid w:val="00F33416"/>
    <w:rsid w:val="00F34649"/>
    <w:rsid w:val="00F34B40"/>
    <w:rsid w:val="00F3600A"/>
    <w:rsid w:val="00F36125"/>
    <w:rsid w:val="00F36676"/>
    <w:rsid w:val="00F375C6"/>
    <w:rsid w:val="00F37724"/>
    <w:rsid w:val="00F43477"/>
    <w:rsid w:val="00F434CF"/>
    <w:rsid w:val="00F43AB3"/>
    <w:rsid w:val="00F43B75"/>
    <w:rsid w:val="00F44CCE"/>
    <w:rsid w:val="00F456AA"/>
    <w:rsid w:val="00F463EE"/>
    <w:rsid w:val="00F46F1C"/>
    <w:rsid w:val="00F512E6"/>
    <w:rsid w:val="00F526B1"/>
    <w:rsid w:val="00F55656"/>
    <w:rsid w:val="00F55CE7"/>
    <w:rsid w:val="00F5650F"/>
    <w:rsid w:val="00F566B9"/>
    <w:rsid w:val="00F573AE"/>
    <w:rsid w:val="00F57632"/>
    <w:rsid w:val="00F6177E"/>
    <w:rsid w:val="00F61866"/>
    <w:rsid w:val="00F6289C"/>
    <w:rsid w:val="00F640AB"/>
    <w:rsid w:val="00F64B4B"/>
    <w:rsid w:val="00F66121"/>
    <w:rsid w:val="00F66735"/>
    <w:rsid w:val="00F66DBA"/>
    <w:rsid w:val="00F67514"/>
    <w:rsid w:val="00F67803"/>
    <w:rsid w:val="00F67DBB"/>
    <w:rsid w:val="00F70234"/>
    <w:rsid w:val="00F70621"/>
    <w:rsid w:val="00F706C9"/>
    <w:rsid w:val="00F75518"/>
    <w:rsid w:val="00F760FD"/>
    <w:rsid w:val="00F7776F"/>
    <w:rsid w:val="00F80250"/>
    <w:rsid w:val="00F81709"/>
    <w:rsid w:val="00F81DCF"/>
    <w:rsid w:val="00F833FF"/>
    <w:rsid w:val="00F838D8"/>
    <w:rsid w:val="00F83B45"/>
    <w:rsid w:val="00F85D65"/>
    <w:rsid w:val="00F85EDF"/>
    <w:rsid w:val="00F86BF0"/>
    <w:rsid w:val="00F870EA"/>
    <w:rsid w:val="00F87328"/>
    <w:rsid w:val="00F8788F"/>
    <w:rsid w:val="00F879DF"/>
    <w:rsid w:val="00F87C70"/>
    <w:rsid w:val="00F90471"/>
    <w:rsid w:val="00F90480"/>
    <w:rsid w:val="00F90E61"/>
    <w:rsid w:val="00F914EC"/>
    <w:rsid w:val="00F91AFC"/>
    <w:rsid w:val="00F938DF"/>
    <w:rsid w:val="00F94FEA"/>
    <w:rsid w:val="00F97BAB"/>
    <w:rsid w:val="00FA14A9"/>
    <w:rsid w:val="00FA2266"/>
    <w:rsid w:val="00FA2690"/>
    <w:rsid w:val="00FA3B2A"/>
    <w:rsid w:val="00FA5D24"/>
    <w:rsid w:val="00FA5EEA"/>
    <w:rsid w:val="00FA749D"/>
    <w:rsid w:val="00FA7D38"/>
    <w:rsid w:val="00FB0543"/>
    <w:rsid w:val="00FB124D"/>
    <w:rsid w:val="00FB2C27"/>
    <w:rsid w:val="00FB2E71"/>
    <w:rsid w:val="00FB30D7"/>
    <w:rsid w:val="00FB5897"/>
    <w:rsid w:val="00FB7339"/>
    <w:rsid w:val="00FB7C21"/>
    <w:rsid w:val="00FC1C48"/>
    <w:rsid w:val="00FC295A"/>
    <w:rsid w:val="00FC3FD1"/>
    <w:rsid w:val="00FC6215"/>
    <w:rsid w:val="00FC6C15"/>
    <w:rsid w:val="00FC778A"/>
    <w:rsid w:val="00FD00EC"/>
    <w:rsid w:val="00FD0403"/>
    <w:rsid w:val="00FD0486"/>
    <w:rsid w:val="00FD13F2"/>
    <w:rsid w:val="00FD1927"/>
    <w:rsid w:val="00FD1C95"/>
    <w:rsid w:val="00FD1EF4"/>
    <w:rsid w:val="00FD235C"/>
    <w:rsid w:val="00FD4A5D"/>
    <w:rsid w:val="00FD5192"/>
    <w:rsid w:val="00FD5675"/>
    <w:rsid w:val="00FD6F34"/>
    <w:rsid w:val="00FD7E5B"/>
    <w:rsid w:val="00FE2CA5"/>
    <w:rsid w:val="00FE2F1F"/>
    <w:rsid w:val="00FE5A73"/>
    <w:rsid w:val="00FE5DF2"/>
    <w:rsid w:val="00FF17F9"/>
    <w:rsid w:val="00FF32A1"/>
    <w:rsid w:val="00FF5C95"/>
    <w:rsid w:val="00FF5E54"/>
    <w:rsid w:val="00FF7C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B7"/>
    <w:rPr>
      <w:sz w:val="24"/>
      <w:szCs w:val="24"/>
    </w:rPr>
  </w:style>
  <w:style w:type="paragraph" w:styleId="Heading1">
    <w:name w:val="heading 1"/>
    <w:basedOn w:val="Normal"/>
    <w:next w:val="Normal"/>
    <w:link w:val="Heading1Char"/>
    <w:qFormat/>
    <w:rsid w:val="007D6907"/>
    <w:pPr>
      <w:jc w:val="center"/>
      <w:outlineLvl w:val="0"/>
    </w:pPr>
    <w:rPr>
      <w:b/>
      <w:bCs/>
      <w:sz w:val="32"/>
      <w:szCs w:val="20"/>
    </w:rPr>
  </w:style>
  <w:style w:type="paragraph" w:styleId="Heading2">
    <w:name w:val="heading 2"/>
    <w:basedOn w:val="Normal"/>
    <w:next w:val="Normal"/>
    <w:qFormat/>
    <w:rsid w:val="00A50F56"/>
    <w:pPr>
      <w:keepNext/>
      <w:spacing w:before="240" w:after="60"/>
      <w:outlineLvl w:val="1"/>
    </w:pPr>
    <w:rPr>
      <w:b/>
      <w:bCs/>
      <w:iCs/>
      <w:sz w:val="28"/>
      <w:szCs w:val="28"/>
    </w:rPr>
  </w:style>
  <w:style w:type="paragraph" w:styleId="Heading3">
    <w:name w:val="heading 3"/>
    <w:basedOn w:val="SHeading3"/>
    <w:next w:val="Normal"/>
    <w:qFormat/>
    <w:rsid w:val="00A50F56"/>
    <w:pPr>
      <w:outlineLvl w:val="2"/>
    </w:pPr>
  </w:style>
  <w:style w:type="paragraph" w:styleId="Heading4">
    <w:name w:val="heading 4"/>
    <w:basedOn w:val="Normal"/>
    <w:next w:val="Normal"/>
    <w:qFormat/>
    <w:rsid w:val="007D690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D6907"/>
    <w:pPr>
      <w:spacing w:after="160" w:line="240" w:lineRule="exact"/>
    </w:pPr>
    <w:rPr>
      <w:rFonts w:ascii="Verdana" w:hAnsi="Verdana"/>
      <w:noProof/>
      <w:sz w:val="20"/>
      <w:szCs w:val="20"/>
    </w:rPr>
  </w:style>
  <w:style w:type="paragraph" w:styleId="NormalWeb">
    <w:name w:val="Normal (Web)"/>
    <w:basedOn w:val="Normal"/>
    <w:link w:val="NormalWebChar"/>
    <w:rsid w:val="007D6907"/>
    <w:pPr>
      <w:spacing w:before="100" w:beforeAutospacing="1" w:after="100" w:afterAutospacing="1"/>
    </w:pPr>
  </w:style>
  <w:style w:type="paragraph" w:customStyle="1" w:styleId="Pa9">
    <w:name w:val="Pa9"/>
    <w:basedOn w:val="Normal"/>
    <w:next w:val="Normal"/>
    <w:rsid w:val="007D6907"/>
    <w:pPr>
      <w:autoSpaceDE w:val="0"/>
      <w:autoSpaceDN w:val="0"/>
      <w:adjustRightInd w:val="0"/>
      <w:spacing w:line="221" w:lineRule="atLeast"/>
    </w:pPr>
  </w:style>
  <w:style w:type="character" w:customStyle="1" w:styleId="A2">
    <w:name w:val="A2"/>
    <w:rsid w:val="007D6907"/>
    <w:rPr>
      <w:color w:val="000000"/>
    </w:rPr>
  </w:style>
  <w:style w:type="character" w:customStyle="1" w:styleId="ed-reports-ppp-measuretitle1">
    <w:name w:val="ed-reports-ppp-measuretitle1"/>
    <w:basedOn w:val="DefaultParagraphFont"/>
    <w:rsid w:val="007D6907"/>
    <w:rPr>
      <w:rFonts w:ascii="Arial" w:hAnsi="Arial" w:cs="Arial" w:hint="default"/>
      <w:b/>
      <w:bCs/>
      <w:sz w:val="20"/>
      <w:szCs w:val="20"/>
    </w:rPr>
  </w:style>
  <w:style w:type="character" w:customStyle="1" w:styleId="ed-reports-ppp-measuredesc1">
    <w:name w:val="ed-reports-ppp-measuredesc1"/>
    <w:basedOn w:val="DefaultParagraphFont"/>
    <w:rsid w:val="007D6907"/>
    <w:rPr>
      <w:rFonts w:ascii="Arial" w:hAnsi="Arial" w:cs="Arial" w:hint="default"/>
      <w:sz w:val="20"/>
      <w:szCs w:val="20"/>
    </w:rPr>
  </w:style>
  <w:style w:type="character" w:styleId="CommentReference">
    <w:name w:val="annotation reference"/>
    <w:basedOn w:val="DefaultParagraphFont"/>
    <w:semiHidden/>
    <w:rsid w:val="007D6907"/>
    <w:rPr>
      <w:sz w:val="16"/>
      <w:szCs w:val="16"/>
    </w:rPr>
  </w:style>
  <w:style w:type="paragraph" w:styleId="CommentText">
    <w:name w:val="annotation text"/>
    <w:basedOn w:val="Normal"/>
    <w:link w:val="CommentTextChar"/>
    <w:semiHidden/>
    <w:rsid w:val="007D6907"/>
    <w:rPr>
      <w:sz w:val="20"/>
      <w:szCs w:val="20"/>
    </w:rPr>
  </w:style>
  <w:style w:type="paragraph" w:styleId="CommentSubject">
    <w:name w:val="annotation subject"/>
    <w:basedOn w:val="CommentText"/>
    <w:next w:val="CommentText"/>
    <w:semiHidden/>
    <w:rsid w:val="007D6907"/>
    <w:rPr>
      <w:b/>
      <w:bCs/>
    </w:rPr>
  </w:style>
  <w:style w:type="paragraph" w:styleId="BalloonText">
    <w:name w:val="Balloon Text"/>
    <w:basedOn w:val="Normal"/>
    <w:semiHidden/>
    <w:rsid w:val="007D6907"/>
    <w:rPr>
      <w:rFonts w:ascii="Tahoma" w:hAnsi="Tahoma" w:cs="Tahoma"/>
      <w:sz w:val="16"/>
      <w:szCs w:val="16"/>
    </w:rPr>
  </w:style>
  <w:style w:type="paragraph" w:styleId="Footer">
    <w:name w:val="footer"/>
    <w:basedOn w:val="Normal"/>
    <w:link w:val="FooterChar"/>
    <w:uiPriority w:val="99"/>
    <w:rsid w:val="007D6907"/>
    <w:pPr>
      <w:tabs>
        <w:tab w:val="center" w:pos="4320"/>
        <w:tab w:val="right" w:pos="8640"/>
      </w:tabs>
    </w:pPr>
  </w:style>
  <w:style w:type="character" w:styleId="PageNumber">
    <w:name w:val="page number"/>
    <w:basedOn w:val="DefaultParagraphFont"/>
    <w:rsid w:val="007D6907"/>
  </w:style>
  <w:style w:type="character" w:styleId="FollowedHyperlink">
    <w:name w:val="FollowedHyperlink"/>
    <w:basedOn w:val="DefaultParagraphFont"/>
    <w:rsid w:val="00FB124D"/>
    <w:rPr>
      <w:color w:val="800080"/>
      <w:u w:val="single"/>
    </w:rPr>
  </w:style>
  <w:style w:type="character" w:styleId="Strong">
    <w:name w:val="Strong"/>
    <w:basedOn w:val="DefaultParagraphFont"/>
    <w:qFormat/>
    <w:rsid w:val="007D6907"/>
    <w:rPr>
      <w:b/>
      <w:bCs/>
    </w:rPr>
  </w:style>
  <w:style w:type="character" w:customStyle="1" w:styleId="ed-reports-ppp-measuretabletext1">
    <w:name w:val="ed-reports-ppp-measuretabletext1"/>
    <w:basedOn w:val="DefaultParagraphFont"/>
    <w:rsid w:val="007D6907"/>
    <w:rPr>
      <w:rFonts w:ascii="Arial" w:hAnsi="Arial" w:cs="Arial" w:hint="default"/>
      <w:sz w:val="20"/>
      <w:szCs w:val="20"/>
    </w:rPr>
  </w:style>
  <w:style w:type="paragraph" w:styleId="Header">
    <w:name w:val="header"/>
    <w:basedOn w:val="Normal"/>
    <w:rsid w:val="007D6907"/>
    <w:pPr>
      <w:tabs>
        <w:tab w:val="center" w:pos="4320"/>
        <w:tab w:val="right" w:pos="8640"/>
      </w:tabs>
    </w:pPr>
  </w:style>
  <w:style w:type="paragraph" w:customStyle="1" w:styleId="TOCPgnumber">
    <w:name w:val="TOC Pg number"/>
    <w:basedOn w:val="Normal"/>
    <w:rsid w:val="007D6907"/>
    <w:pPr>
      <w:spacing w:after="120"/>
      <w:jc w:val="right"/>
    </w:pPr>
    <w:rPr>
      <w:b/>
      <w:bCs/>
      <w:szCs w:val="20"/>
    </w:rPr>
  </w:style>
  <w:style w:type="character" w:styleId="Hyperlink">
    <w:name w:val="Hyperlink"/>
    <w:basedOn w:val="DefaultParagraphFont"/>
    <w:uiPriority w:val="99"/>
    <w:rsid w:val="007D6907"/>
    <w:rPr>
      <w:color w:val="0000FF"/>
      <w:u w:val="single"/>
    </w:rPr>
  </w:style>
  <w:style w:type="character" w:styleId="Emphasis">
    <w:name w:val="Emphasis"/>
    <w:basedOn w:val="DefaultParagraphFont"/>
    <w:qFormat/>
    <w:rsid w:val="007D6907"/>
    <w:rPr>
      <w:i/>
      <w:iCs/>
    </w:rPr>
  </w:style>
  <w:style w:type="paragraph" w:customStyle="1" w:styleId="pa14">
    <w:name w:val="pa14"/>
    <w:basedOn w:val="Normal"/>
    <w:rsid w:val="007D6907"/>
    <w:pPr>
      <w:spacing w:line="241" w:lineRule="atLeast"/>
    </w:pPr>
  </w:style>
  <w:style w:type="character" w:customStyle="1" w:styleId="a5">
    <w:name w:val="a5"/>
    <w:basedOn w:val="DefaultParagraphFont"/>
    <w:rsid w:val="007D6907"/>
    <w:rPr>
      <w:color w:val="000000"/>
    </w:rPr>
  </w:style>
  <w:style w:type="paragraph" w:styleId="Caption">
    <w:name w:val="caption"/>
    <w:basedOn w:val="Normal"/>
    <w:next w:val="Normal"/>
    <w:qFormat/>
    <w:rsid w:val="00FB7C21"/>
    <w:pPr>
      <w:jc w:val="center"/>
    </w:pPr>
    <w:rPr>
      <w:b/>
      <w:bCs/>
      <w:szCs w:val="20"/>
    </w:rPr>
  </w:style>
  <w:style w:type="paragraph" w:styleId="FootnoteText">
    <w:name w:val="footnote text"/>
    <w:basedOn w:val="Normal"/>
    <w:semiHidden/>
    <w:rsid w:val="00A002CB"/>
    <w:rPr>
      <w:sz w:val="20"/>
      <w:szCs w:val="20"/>
    </w:rPr>
  </w:style>
  <w:style w:type="character" w:styleId="FootnoteReference">
    <w:name w:val="footnote reference"/>
    <w:basedOn w:val="DefaultParagraphFont"/>
    <w:semiHidden/>
    <w:rsid w:val="00A002CB"/>
    <w:rPr>
      <w:vertAlign w:val="superscript"/>
    </w:rPr>
  </w:style>
  <w:style w:type="paragraph" w:customStyle="1" w:styleId="SHeading1">
    <w:name w:val="S Heading 1"/>
    <w:basedOn w:val="NormalWeb"/>
    <w:link w:val="SHeading1Char"/>
    <w:rsid w:val="00732FE3"/>
    <w:pPr>
      <w:spacing w:before="0" w:beforeAutospacing="0" w:after="0" w:afterAutospacing="0"/>
      <w:jc w:val="center"/>
    </w:pPr>
    <w:rPr>
      <w:b/>
      <w:sz w:val="32"/>
      <w:szCs w:val="32"/>
    </w:rPr>
  </w:style>
  <w:style w:type="paragraph" w:customStyle="1" w:styleId="SHeading2">
    <w:name w:val="S Heading 2"/>
    <w:basedOn w:val="Normal"/>
    <w:rsid w:val="00A03488"/>
    <w:rPr>
      <w:b/>
      <w:sz w:val="28"/>
      <w:szCs w:val="28"/>
    </w:rPr>
  </w:style>
  <w:style w:type="paragraph" w:customStyle="1" w:styleId="SHeading3">
    <w:name w:val="S Heading 3"/>
    <w:basedOn w:val="Normal"/>
    <w:rsid w:val="00205EBC"/>
    <w:rPr>
      <w:b/>
    </w:rPr>
  </w:style>
  <w:style w:type="character" w:customStyle="1" w:styleId="NormalWebChar">
    <w:name w:val="Normal (Web) Char"/>
    <w:basedOn w:val="DefaultParagraphFont"/>
    <w:link w:val="NormalWeb"/>
    <w:rsid w:val="00880E2A"/>
    <w:rPr>
      <w:sz w:val="24"/>
      <w:szCs w:val="24"/>
      <w:lang w:val="en-US" w:eastAsia="en-US" w:bidi="ar-SA"/>
    </w:rPr>
  </w:style>
  <w:style w:type="character" w:customStyle="1" w:styleId="SHeading1Char">
    <w:name w:val="S Heading 1 Char"/>
    <w:basedOn w:val="NormalWebChar"/>
    <w:link w:val="SHeading1"/>
    <w:rsid w:val="00880E2A"/>
    <w:rPr>
      <w:b/>
      <w:sz w:val="32"/>
      <w:szCs w:val="32"/>
      <w:lang w:val="en-US" w:eastAsia="en-US" w:bidi="ar-SA"/>
    </w:rPr>
  </w:style>
  <w:style w:type="paragraph" w:styleId="TOC2">
    <w:name w:val="toc 2"/>
    <w:basedOn w:val="Normal"/>
    <w:next w:val="Normal"/>
    <w:autoRedefine/>
    <w:uiPriority w:val="39"/>
    <w:rsid w:val="006B5B47"/>
    <w:pPr>
      <w:ind w:left="240"/>
    </w:pPr>
  </w:style>
  <w:style w:type="paragraph" w:styleId="TOC1">
    <w:name w:val="toc 1"/>
    <w:basedOn w:val="Normal"/>
    <w:next w:val="Normal"/>
    <w:autoRedefine/>
    <w:uiPriority w:val="39"/>
    <w:rsid w:val="00435BB7"/>
    <w:pPr>
      <w:spacing w:after="240"/>
    </w:pPr>
  </w:style>
  <w:style w:type="paragraph" w:styleId="TOC3">
    <w:name w:val="toc 3"/>
    <w:basedOn w:val="Normal"/>
    <w:next w:val="Normal"/>
    <w:autoRedefine/>
    <w:uiPriority w:val="39"/>
    <w:rsid w:val="006B5B47"/>
    <w:pPr>
      <w:ind w:left="480"/>
    </w:pPr>
  </w:style>
  <w:style w:type="paragraph" w:customStyle="1" w:styleId="STitle">
    <w:name w:val="S Title"/>
    <w:basedOn w:val="Heading1"/>
    <w:rsid w:val="006B5B47"/>
    <w:pPr>
      <w:spacing w:after="120"/>
    </w:pPr>
    <w:rPr>
      <w:sz w:val="48"/>
      <w:szCs w:val="48"/>
    </w:rPr>
  </w:style>
  <w:style w:type="paragraph" w:styleId="ListParagraph">
    <w:name w:val="List Paragraph"/>
    <w:basedOn w:val="Normal"/>
    <w:uiPriority w:val="34"/>
    <w:qFormat/>
    <w:rsid w:val="00E05D29"/>
    <w:pPr>
      <w:ind w:left="720"/>
      <w:contextualSpacing/>
    </w:pPr>
  </w:style>
  <w:style w:type="table" w:styleId="TableGrid">
    <w:name w:val="Table Grid"/>
    <w:basedOn w:val="TableNormal"/>
    <w:rsid w:val="000D2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3A7535"/>
  </w:style>
  <w:style w:type="character" w:customStyle="1" w:styleId="Heading1Char">
    <w:name w:val="Heading 1 Char"/>
    <w:basedOn w:val="DefaultParagraphFont"/>
    <w:link w:val="Heading1"/>
    <w:rsid w:val="0054402A"/>
    <w:rPr>
      <w:b/>
      <w:bCs/>
      <w:sz w:val="32"/>
    </w:rPr>
  </w:style>
  <w:style w:type="character" w:customStyle="1" w:styleId="FooterChar">
    <w:name w:val="Footer Char"/>
    <w:basedOn w:val="DefaultParagraphFont"/>
    <w:link w:val="Footer"/>
    <w:uiPriority w:val="99"/>
    <w:rsid w:val="001714B7"/>
    <w:rPr>
      <w:sz w:val="24"/>
      <w:szCs w:val="24"/>
    </w:rPr>
  </w:style>
  <w:style w:type="paragraph" w:styleId="TOCHeading">
    <w:name w:val="TOC Heading"/>
    <w:basedOn w:val="Heading1"/>
    <w:next w:val="Normal"/>
    <w:uiPriority w:val="39"/>
    <w:semiHidden/>
    <w:unhideWhenUsed/>
    <w:qFormat/>
    <w:rsid w:val="000E6DA5"/>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B7"/>
    <w:rPr>
      <w:sz w:val="24"/>
      <w:szCs w:val="24"/>
    </w:rPr>
  </w:style>
  <w:style w:type="paragraph" w:styleId="Heading1">
    <w:name w:val="heading 1"/>
    <w:basedOn w:val="Normal"/>
    <w:next w:val="Normal"/>
    <w:link w:val="Heading1Char"/>
    <w:qFormat/>
    <w:rsid w:val="007D6907"/>
    <w:pPr>
      <w:jc w:val="center"/>
      <w:outlineLvl w:val="0"/>
    </w:pPr>
    <w:rPr>
      <w:b/>
      <w:bCs/>
      <w:sz w:val="32"/>
      <w:szCs w:val="20"/>
    </w:rPr>
  </w:style>
  <w:style w:type="paragraph" w:styleId="Heading2">
    <w:name w:val="heading 2"/>
    <w:basedOn w:val="Normal"/>
    <w:next w:val="Normal"/>
    <w:qFormat/>
    <w:rsid w:val="00A50F56"/>
    <w:pPr>
      <w:keepNext/>
      <w:spacing w:before="240" w:after="60"/>
      <w:outlineLvl w:val="1"/>
    </w:pPr>
    <w:rPr>
      <w:b/>
      <w:bCs/>
      <w:iCs/>
      <w:sz w:val="28"/>
      <w:szCs w:val="28"/>
    </w:rPr>
  </w:style>
  <w:style w:type="paragraph" w:styleId="Heading3">
    <w:name w:val="heading 3"/>
    <w:basedOn w:val="SHeading3"/>
    <w:next w:val="Normal"/>
    <w:qFormat/>
    <w:rsid w:val="00A50F56"/>
    <w:pPr>
      <w:outlineLvl w:val="2"/>
    </w:pPr>
  </w:style>
  <w:style w:type="paragraph" w:styleId="Heading4">
    <w:name w:val="heading 4"/>
    <w:basedOn w:val="Normal"/>
    <w:next w:val="Normal"/>
    <w:qFormat/>
    <w:rsid w:val="007D690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D6907"/>
    <w:pPr>
      <w:spacing w:after="160" w:line="240" w:lineRule="exact"/>
    </w:pPr>
    <w:rPr>
      <w:rFonts w:ascii="Verdana" w:hAnsi="Verdana"/>
      <w:noProof/>
      <w:sz w:val="20"/>
      <w:szCs w:val="20"/>
    </w:rPr>
  </w:style>
  <w:style w:type="paragraph" w:styleId="NormalWeb">
    <w:name w:val="Normal (Web)"/>
    <w:basedOn w:val="Normal"/>
    <w:link w:val="NormalWebChar"/>
    <w:rsid w:val="007D6907"/>
    <w:pPr>
      <w:spacing w:before="100" w:beforeAutospacing="1" w:after="100" w:afterAutospacing="1"/>
    </w:pPr>
  </w:style>
  <w:style w:type="paragraph" w:customStyle="1" w:styleId="Pa9">
    <w:name w:val="Pa9"/>
    <w:basedOn w:val="Normal"/>
    <w:next w:val="Normal"/>
    <w:rsid w:val="007D6907"/>
    <w:pPr>
      <w:autoSpaceDE w:val="0"/>
      <w:autoSpaceDN w:val="0"/>
      <w:adjustRightInd w:val="0"/>
      <w:spacing w:line="221" w:lineRule="atLeast"/>
    </w:pPr>
  </w:style>
  <w:style w:type="character" w:customStyle="1" w:styleId="A2">
    <w:name w:val="A2"/>
    <w:rsid w:val="007D6907"/>
    <w:rPr>
      <w:color w:val="000000"/>
    </w:rPr>
  </w:style>
  <w:style w:type="character" w:customStyle="1" w:styleId="ed-reports-ppp-measuretitle1">
    <w:name w:val="ed-reports-ppp-measuretitle1"/>
    <w:basedOn w:val="DefaultParagraphFont"/>
    <w:rsid w:val="007D6907"/>
    <w:rPr>
      <w:rFonts w:ascii="Arial" w:hAnsi="Arial" w:cs="Arial" w:hint="default"/>
      <w:b/>
      <w:bCs/>
      <w:sz w:val="20"/>
      <w:szCs w:val="20"/>
    </w:rPr>
  </w:style>
  <w:style w:type="character" w:customStyle="1" w:styleId="ed-reports-ppp-measuredesc1">
    <w:name w:val="ed-reports-ppp-measuredesc1"/>
    <w:basedOn w:val="DefaultParagraphFont"/>
    <w:rsid w:val="007D6907"/>
    <w:rPr>
      <w:rFonts w:ascii="Arial" w:hAnsi="Arial" w:cs="Arial" w:hint="default"/>
      <w:sz w:val="20"/>
      <w:szCs w:val="20"/>
    </w:rPr>
  </w:style>
  <w:style w:type="character" w:styleId="CommentReference">
    <w:name w:val="annotation reference"/>
    <w:basedOn w:val="DefaultParagraphFont"/>
    <w:semiHidden/>
    <w:rsid w:val="007D6907"/>
    <w:rPr>
      <w:sz w:val="16"/>
      <w:szCs w:val="16"/>
    </w:rPr>
  </w:style>
  <w:style w:type="paragraph" w:styleId="CommentText">
    <w:name w:val="annotation text"/>
    <w:basedOn w:val="Normal"/>
    <w:link w:val="CommentTextChar"/>
    <w:semiHidden/>
    <w:rsid w:val="007D6907"/>
    <w:rPr>
      <w:sz w:val="20"/>
      <w:szCs w:val="20"/>
    </w:rPr>
  </w:style>
  <w:style w:type="paragraph" w:styleId="CommentSubject">
    <w:name w:val="annotation subject"/>
    <w:basedOn w:val="CommentText"/>
    <w:next w:val="CommentText"/>
    <w:semiHidden/>
    <w:rsid w:val="007D6907"/>
    <w:rPr>
      <w:b/>
      <w:bCs/>
    </w:rPr>
  </w:style>
  <w:style w:type="paragraph" w:styleId="BalloonText">
    <w:name w:val="Balloon Text"/>
    <w:basedOn w:val="Normal"/>
    <w:semiHidden/>
    <w:rsid w:val="007D6907"/>
    <w:rPr>
      <w:rFonts w:ascii="Tahoma" w:hAnsi="Tahoma" w:cs="Tahoma"/>
      <w:sz w:val="16"/>
      <w:szCs w:val="16"/>
    </w:rPr>
  </w:style>
  <w:style w:type="paragraph" w:styleId="Footer">
    <w:name w:val="footer"/>
    <w:basedOn w:val="Normal"/>
    <w:link w:val="FooterChar"/>
    <w:uiPriority w:val="99"/>
    <w:rsid w:val="007D6907"/>
    <w:pPr>
      <w:tabs>
        <w:tab w:val="center" w:pos="4320"/>
        <w:tab w:val="right" w:pos="8640"/>
      </w:tabs>
    </w:pPr>
  </w:style>
  <w:style w:type="character" w:styleId="PageNumber">
    <w:name w:val="page number"/>
    <w:basedOn w:val="DefaultParagraphFont"/>
    <w:rsid w:val="007D6907"/>
  </w:style>
  <w:style w:type="character" w:styleId="FollowedHyperlink">
    <w:name w:val="FollowedHyperlink"/>
    <w:basedOn w:val="DefaultParagraphFont"/>
    <w:rsid w:val="00FB124D"/>
    <w:rPr>
      <w:color w:val="800080"/>
      <w:u w:val="single"/>
    </w:rPr>
  </w:style>
  <w:style w:type="character" w:styleId="Strong">
    <w:name w:val="Strong"/>
    <w:basedOn w:val="DefaultParagraphFont"/>
    <w:qFormat/>
    <w:rsid w:val="007D6907"/>
    <w:rPr>
      <w:b/>
      <w:bCs/>
    </w:rPr>
  </w:style>
  <w:style w:type="character" w:customStyle="1" w:styleId="ed-reports-ppp-measuretabletext1">
    <w:name w:val="ed-reports-ppp-measuretabletext1"/>
    <w:basedOn w:val="DefaultParagraphFont"/>
    <w:rsid w:val="007D6907"/>
    <w:rPr>
      <w:rFonts w:ascii="Arial" w:hAnsi="Arial" w:cs="Arial" w:hint="default"/>
      <w:sz w:val="20"/>
      <w:szCs w:val="20"/>
    </w:rPr>
  </w:style>
  <w:style w:type="paragraph" w:styleId="Header">
    <w:name w:val="header"/>
    <w:basedOn w:val="Normal"/>
    <w:rsid w:val="007D6907"/>
    <w:pPr>
      <w:tabs>
        <w:tab w:val="center" w:pos="4320"/>
        <w:tab w:val="right" w:pos="8640"/>
      </w:tabs>
    </w:pPr>
  </w:style>
  <w:style w:type="paragraph" w:customStyle="1" w:styleId="TOCPgnumber">
    <w:name w:val="TOC Pg number"/>
    <w:basedOn w:val="Normal"/>
    <w:rsid w:val="007D6907"/>
    <w:pPr>
      <w:spacing w:after="120"/>
      <w:jc w:val="right"/>
    </w:pPr>
    <w:rPr>
      <w:b/>
      <w:bCs/>
      <w:szCs w:val="20"/>
    </w:rPr>
  </w:style>
  <w:style w:type="character" w:styleId="Hyperlink">
    <w:name w:val="Hyperlink"/>
    <w:basedOn w:val="DefaultParagraphFont"/>
    <w:uiPriority w:val="99"/>
    <w:rsid w:val="007D6907"/>
    <w:rPr>
      <w:color w:val="0000FF"/>
      <w:u w:val="single"/>
    </w:rPr>
  </w:style>
  <w:style w:type="character" w:styleId="Emphasis">
    <w:name w:val="Emphasis"/>
    <w:basedOn w:val="DefaultParagraphFont"/>
    <w:qFormat/>
    <w:rsid w:val="007D6907"/>
    <w:rPr>
      <w:i/>
      <w:iCs/>
    </w:rPr>
  </w:style>
  <w:style w:type="paragraph" w:customStyle="1" w:styleId="pa14">
    <w:name w:val="pa14"/>
    <w:basedOn w:val="Normal"/>
    <w:rsid w:val="007D6907"/>
    <w:pPr>
      <w:spacing w:line="241" w:lineRule="atLeast"/>
    </w:pPr>
  </w:style>
  <w:style w:type="character" w:customStyle="1" w:styleId="a5">
    <w:name w:val="a5"/>
    <w:basedOn w:val="DefaultParagraphFont"/>
    <w:rsid w:val="007D6907"/>
    <w:rPr>
      <w:color w:val="000000"/>
    </w:rPr>
  </w:style>
  <w:style w:type="paragraph" w:styleId="Caption">
    <w:name w:val="caption"/>
    <w:basedOn w:val="Normal"/>
    <w:next w:val="Normal"/>
    <w:qFormat/>
    <w:rsid w:val="00FB7C21"/>
    <w:pPr>
      <w:jc w:val="center"/>
    </w:pPr>
    <w:rPr>
      <w:b/>
      <w:bCs/>
      <w:szCs w:val="20"/>
    </w:rPr>
  </w:style>
  <w:style w:type="paragraph" w:styleId="FootnoteText">
    <w:name w:val="footnote text"/>
    <w:basedOn w:val="Normal"/>
    <w:semiHidden/>
    <w:rsid w:val="00A002CB"/>
    <w:rPr>
      <w:sz w:val="20"/>
      <w:szCs w:val="20"/>
    </w:rPr>
  </w:style>
  <w:style w:type="character" w:styleId="FootnoteReference">
    <w:name w:val="footnote reference"/>
    <w:basedOn w:val="DefaultParagraphFont"/>
    <w:semiHidden/>
    <w:rsid w:val="00A002CB"/>
    <w:rPr>
      <w:vertAlign w:val="superscript"/>
    </w:rPr>
  </w:style>
  <w:style w:type="paragraph" w:customStyle="1" w:styleId="SHeading1">
    <w:name w:val="S Heading 1"/>
    <w:basedOn w:val="NormalWeb"/>
    <w:link w:val="SHeading1Char"/>
    <w:rsid w:val="00732FE3"/>
    <w:pPr>
      <w:spacing w:before="0" w:beforeAutospacing="0" w:after="0" w:afterAutospacing="0"/>
      <w:jc w:val="center"/>
    </w:pPr>
    <w:rPr>
      <w:b/>
      <w:sz w:val="32"/>
      <w:szCs w:val="32"/>
    </w:rPr>
  </w:style>
  <w:style w:type="paragraph" w:customStyle="1" w:styleId="SHeading2">
    <w:name w:val="S Heading 2"/>
    <w:basedOn w:val="Normal"/>
    <w:rsid w:val="00A03488"/>
    <w:rPr>
      <w:b/>
      <w:sz w:val="28"/>
      <w:szCs w:val="28"/>
    </w:rPr>
  </w:style>
  <w:style w:type="paragraph" w:customStyle="1" w:styleId="SHeading3">
    <w:name w:val="S Heading 3"/>
    <w:basedOn w:val="Normal"/>
    <w:rsid w:val="00205EBC"/>
    <w:rPr>
      <w:b/>
    </w:rPr>
  </w:style>
  <w:style w:type="character" w:customStyle="1" w:styleId="NormalWebChar">
    <w:name w:val="Normal (Web) Char"/>
    <w:basedOn w:val="DefaultParagraphFont"/>
    <w:link w:val="NormalWeb"/>
    <w:rsid w:val="00880E2A"/>
    <w:rPr>
      <w:sz w:val="24"/>
      <w:szCs w:val="24"/>
      <w:lang w:val="en-US" w:eastAsia="en-US" w:bidi="ar-SA"/>
    </w:rPr>
  </w:style>
  <w:style w:type="character" w:customStyle="1" w:styleId="SHeading1Char">
    <w:name w:val="S Heading 1 Char"/>
    <w:basedOn w:val="NormalWebChar"/>
    <w:link w:val="SHeading1"/>
    <w:rsid w:val="00880E2A"/>
    <w:rPr>
      <w:b/>
      <w:sz w:val="32"/>
      <w:szCs w:val="32"/>
      <w:lang w:val="en-US" w:eastAsia="en-US" w:bidi="ar-SA"/>
    </w:rPr>
  </w:style>
  <w:style w:type="paragraph" w:styleId="TOC2">
    <w:name w:val="toc 2"/>
    <w:basedOn w:val="Normal"/>
    <w:next w:val="Normal"/>
    <w:autoRedefine/>
    <w:uiPriority w:val="39"/>
    <w:rsid w:val="006B5B47"/>
    <w:pPr>
      <w:ind w:left="240"/>
    </w:pPr>
  </w:style>
  <w:style w:type="paragraph" w:styleId="TOC1">
    <w:name w:val="toc 1"/>
    <w:basedOn w:val="Normal"/>
    <w:next w:val="Normal"/>
    <w:autoRedefine/>
    <w:uiPriority w:val="39"/>
    <w:rsid w:val="00435BB7"/>
    <w:pPr>
      <w:spacing w:after="240"/>
    </w:pPr>
  </w:style>
  <w:style w:type="paragraph" w:styleId="TOC3">
    <w:name w:val="toc 3"/>
    <w:basedOn w:val="Normal"/>
    <w:next w:val="Normal"/>
    <w:autoRedefine/>
    <w:uiPriority w:val="39"/>
    <w:rsid w:val="006B5B47"/>
    <w:pPr>
      <w:ind w:left="480"/>
    </w:pPr>
  </w:style>
  <w:style w:type="paragraph" w:customStyle="1" w:styleId="STitle">
    <w:name w:val="S Title"/>
    <w:basedOn w:val="Heading1"/>
    <w:rsid w:val="006B5B47"/>
    <w:pPr>
      <w:spacing w:after="120"/>
    </w:pPr>
    <w:rPr>
      <w:sz w:val="48"/>
      <w:szCs w:val="48"/>
    </w:rPr>
  </w:style>
  <w:style w:type="paragraph" w:styleId="ListParagraph">
    <w:name w:val="List Paragraph"/>
    <w:basedOn w:val="Normal"/>
    <w:uiPriority w:val="34"/>
    <w:qFormat/>
    <w:rsid w:val="00E05D29"/>
    <w:pPr>
      <w:ind w:left="720"/>
      <w:contextualSpacing/>
    </w:pPr>
  </w:style>
  <w:style w:type="table" w:styleId="TableGrid">
    <w:name w:val="Table Grid"/>
    <w:basedOn w:val="TableNormal"/>
    <w:rsid w:val="000D2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3A7535"/>
  </w:style>
  <w:style w:type="character" w:customStyle="1" w:styleId="Heading1Char">
    <w:name w:val="Heading 1 Char"/>
    <w:basedOn w:val="DefaultParagraphFont"/>
    <w:link w:val="Heading1"/>
    <w:rsid w:val="0054402A"/>
    <w:rPr>
      <w:b/>
      <w:bCs/>
      <w:sz w:val="32"/>
    </w:rPr>
  </w:style>
  <w:style w:type="character" w:customStyle="1" w:styleId="FooterChar">
    <w:name w:val="Footer Char"/>
    <w:basedOn w:val="DefaultParagraphFont"/>
    <w:link w:val="Footer"/>
    <w:uiPriority w:val="99"/>
    <w:rsid w:val="001714B7"/>
    <w:rPr>
      <w:sz w:val="24"/>
      <w:szCs w:val="24"/>
    </w:rPr>
  </w:style>
  <w:style w:type="paragraph" w:styleId="TOCHeading">
    <w:name w:val="TOC Heading"/>
    <w:basedOn w:val="Heading1"/>
    <w:next w:val="Normal"/>
    <w:uiPriority w:val="39"/>
    <w:semiHidden/>
    <w:unhideWhenUsed/>
    <w:qFormat/>
    <w:rsid w:val="000E6DA5"/>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20">
      <w:bodyDiv w:val="1"/>
      <w:marLeft w:val="0"/>
      <w:marRight w:val="0"/>
      <w:marTop w:val="0"/>
      <w:marBottom w:val="0"/>
      <w:divBdr>
        <w:top w:val="none" w:sz="0" w:space="0" w:color="auto"/>
        <w:left w:val="none" w:sz="0" w:space="0" w:color="auto"/>
        <w:bottom w:val="none" w:sz="0" w:space="0" w:color="auto"/>
        <w:right w:val="none" w:sz="0" w:space="0" w:color="auto"/>
      </w:divBdr>
    </w:div>
    <w:div w:id="20131723">
      <w:bodyDiv w:val="1"/>
      <w:marLeft w:val="0"/>
      <w:marRight w:val="0"/>
      <w:marTop w:val="0"/>
      <w:marBottom w:val="0"/>
      <w:divBdr>
        <w:top w:val="none" w:sz="0" w:space="0" w:color="auto"/>
        <w:left w:val="none" w:sz="0" w:space="0" w:color="auto"/>
        <w:bottom w:val="none" w:sz="0" w:space="0" w:color="auto"/>
        <w:right w:val="none" w:sz="0" w:space="0" w:color="auto"/>
      </w:divBdr>
    </w:div>
    <w:div w:id="39403337">
      <w:bodyDiv w:val="1"/>
      <w:marLeft w:val="0"/>
      <w:marRight w:val="0"/>
      <w:marTop w:val="0"/>
      <w:marBottom w:val="0"/>
      <w:divBdr>
        <w:top w:val="none" w:sz="0" w:space="0" w:color="auto"/>
        <w:left w:val="none" w:sz="0" w:space="0" w:color="auto"/>
        <w:bottom w:val="none" w:sz="0" w:space="0" w:color="auto"/>
        <w:right w:val="none" w:sz="0" w:space="0" w:color="auto"/>
      </w:divBdr>
    </w:div>
    <w:div w:id="39983403">
      <w:bodyDiv w:val="1"/>
      <w:marLeft w:val="0"/>
      <w:marRight w:val="0"/>
      <w:marTop w:val="0"/>
      <w:marBottom w:val="0"/>
      <w:divBdr>
        <w:top w:val="none" w:sz="0" w:space="0" w:color="auto"/>
        <w:left w:val="none" w:sz="0" w:space="0" w:color="auto"/>
        <w:bottom w:val="none" w:sz="0" w:space="0" w:color="auto"/>
        <w:right w:val="none" w:sz="0" w:space="0" w:color="auto"/>
      </w:divBdr>
    </w:div>
    <w:div w:id="48454413">
      <w:bodyDiv w:val="1"/>
      <w:marLeft w:val="0"/>
      <w:marRight w:val="0"/>
      <w:marTop w:val="0"/>
      <w:marBottom w:val="0"/>
      <w:divBdr>
        <w:top w:val="none" w:sz="0" w:space="0" w:color="auto"/>
        <w:left w:val="none" w:sz="0" w:space="0" w:color="auto"/>
        <w:bottom w:val="none" w:sz="0" w:space="0" w:color="auto"/>
        <w:right w:val="none" w:sz="0" w:space="0" w:color="auto"/>
      </w:divBdr>
    </w:div>
    <w:div w:id="51318941">
      <w:bodyDiv w:val="1"/>
      <w:marLeft w:val="0"/>
      <w:marRight w:val="0"/>
      <w:marTop w:val="0"/>
      <w:marBottom w:val="0"/>
      <w:divBdr>
        <w:top w:val="none" w:sz="0" w:space="0" w:color="auto"/>
        <w:left w:val="none" w:sz="0" w:space="0" w:color="auto"/>
        <w:bottom w:val="none" w:sz="0" w:space="0" w:color="auto"/>
        <w:right w:val="none" w:sz="0" w:space="0" w:color="auto"/>
      </w:divBdr>
    </w:div>
    <w:div w:id="95179100">
      <w:bodyDiv w:val="1"/>
      <w:marLeft w:val="0"/>
      <w:marRight w:val="0"/>
      <w:marTop w:val="0"/>
      <w:marBottom w:val="0"/>
      <w:divBdr>
        <w:top w:val="none" w:sz="0" w:space="0" w:color="auto"/>
        <w:left w:val="none" w:sz="0" w:space="0" w:color="auto"/>
        <w:bottom w:val="none" w:sz="0" w:space="0" w:color="auto"/>
        <w:right w:val="none" w:sz="0" w:space="0" w:color="auto"/>
      </w:divBdr>
    </w:div>
    <w:div w:id="124391228">
      <w:bodyDiv w:val="1"/>
      <w:marLeft w:val="0"/>
      <w:marRight w:val="0"/>
      <w:marTop w:val="0"/>
      <w:marBottom w:val="0"/>
      <w:divBdr>
        <w:top w:val="none" w:sz="0" w:space="0" w:color="auto"/>
        <w:left w:val="none" w:sz="0" w:space="0" w:color="auto"/>
        <w:bottom w:val="none" w:sz="0" w:space="0" w:color="auto"/>
        <w:right w:val="none" w:sz="0" w:space="0" w:color="auto"/>
      </w:divBdr>
    </w:div>
    <w:div w:id="132600532">
      <w:bodyDiv w:val="1"/>
      <w:marLeft w:val="0"/>
      <w:marRight w:val="0"/>
      <w:marTop w:val="0"/>
      <w:marBottom w:val="0"/>
      <w:divBdr>
        <w:top w:val="none" w:sz="0" w:space="0" w:color="auto"/>
        <w:left w:val="none" w:sz="0" w:space="0" w:color="auto"/>
        <w:bottom w:val="none" w:sz="0" w:space="0" w:color="auto"/>
        <w:right w:val="none" w:sz="0" w:space="0" w:color="auto"/>
      </w:divBdr>
    </w:div>
    <w:div w:id="135532403">
      <w:bodyDiv w:val="1"/>
      <w:marLeft w:val="0"/>
      <w:marRight w:val="0"/>
      <w:marTop w:val="0"/>
      <w:marBottom w:val="0"/>
      <w:divBdr>
        <w:top w:val="none" w:sz="0" w:space="0" w:color="auto"/>
        <w:left w:val="none" w:sz="0" w:space="0" w:color="auto"/>
        <w:bottom w:val="none" w:sz="0" w:space="0" w:color="auto"/>
        <w:right w:val="none" w:sz="0" w:space="0" w:color="auto"/>
      </w:divBdr>
    </w:div>
    <w:div w:id="138694127">
      <w:bodyDiv w:val="1"/>
      <w:marLeft w:val="0"/>
      <w:marRight w:val="0"/>
      <w:marTop w:val="0"/>
      <w:marBottom w:val="0"/>
      <w:divBdr>
        <w:top w:val="none" w:sz="0" w:space="0" w:color="auto"/>
        <w:left w:val="none" w:sz="0" w:space="0" w:color="auto"/>
        <w:bottom w:val="none" w:sz="0" w:space="0" w:color="auto"/>
        <w:right w:val="none" w:sz="0" w:space="0" w:color="auto"/>
      </w:divBdr>
    </w:div>
    <w:div w:id="140778596">
      <w:bodyDiv w:val="1"/>
      <w:marLeft w:val="0"/>
      <w:marRight w:val="0"/>
      <w:marTop w:val="0"/>
      <w:marBottom w:val="0"/>
      <w:divBdr>
        <w:top w:val="none" w:sz="0" w:space="0" w:color="auto"/>
        <w:left w:val="none" w:sz="0" w:space="0" w:color="auto"/>
        <w:bottom w:val="none" w:sz="0" w:space="0" w:color="auto"/>
        <w:right w:val="none" w:sz="0" w:space="0" w:color="auto"/>
      </w:divBdr>
    </w:div>
    <w:div w:id="165245710">
      <w:bodyDiv w:val="1"/>
      <w:marLeft w:val="0"/>
      <w:marRight w:val="0"/>
      <w:marTop w:val="0"/>
      <w:marBottom w:val="0"/>
      <w:divBdr>
        <w:top w:val="none" w:sz="0" w:space="0" w:color="auto"/>
        <w:left w:val="none" w:sz="0" w:space="0" w:color="auto"/>
        <w:bottom w:val="none" w:sz="0" w:space="0" w:color="auto"/>
        <w:right w:val="none" w:sz="0" w:space="0" w:color="auto"/>
      </w:divBdr>
    </w:div>
    <w:div w:id="182476668">
      <w:bodyDiv w:val="1"/>
      <w:marLeft w:val="0"/>
      <w:marRight w:val="0"/>
      <w:marTop w:val="0"/>
      <w:marBottom w:val="0"/>
      <w:divBdr>
        <w:top w:val="none" w:sz="0" w:space="0" w:color="auto"/>
        <w:left w:val="none" w:sz="0" w:space="0" w:color="auto"/>
        <w:bottom w:val="none" w:sz="0" w:space="0" w:color="auto"/>
        <w:right w:val="none" w:sz="0" w:space="0" w:color="auto"/>
      </w:divBdr>
    </w:div>
    <w:div w:id="196431278">
      <w:bodyDiv w:val="1"/>
      <w:marLeft w:val="0"/>
      <w:marRight w:val="0"/>
      <w:marTop w:val="0"/>
      <w:marBottom w:val="0"/>
      <w:divBdr>
        <w:top w:val="none" w:sz="0" w:space="0" w:color="auto"/>
        <w:left w:val="none" w:sz="0" w:space="0" w:color="auto"/>
        <w:bottom w:val="none" w:sz="0" w:space="0" w:color="auto"/>
        <w:right w:val="none" w:sz="0" w:space="0" w:color="auto"/>
      </w:divBdr>
    </w:div>
    <w:div w:id="200018655">
      <w:bodyDiv w:val="1"/>
      <w:marLeft w:val="0"/>
      <w:marRight w:val="0"/>
      <w:marTop w:val="0"/>
      <w:marBottom w:val="0"/>
      <w:divBdr>
        <w:top w:val="none" w:sz="0" w:space="0" w:color="auto"/>
        <w:left w:val="none" w:sz="0" w:space="0" w:color="auto"/>
        <w:bottom w:val="none" w:sz="0" w:space="0" w:color="auto"/>
        <w:right w:val="none" w:sz="0" w:space="0" w:color="auto"/>
      </w:divBdr>
    </w:div>
    <w:div w:id="204827956">
      <w:bodyDiv w:val="1"/>
      <w:marLeft w:val="0"/>
      <w:marRight w:val="0"/>
      <w:marTop w:val="0"/>
      <w:marBottom w:val="0"/>
      <w:divBdr>
        <w:top w:val="none" w:sz="0" w:space="0" w:color="auto"/>
        <w:left w:val="none" w:sz="0" w:space="0" w:color="auto"/>
        <w:bottom w:val="none" w:sz="0" w:space="0" w:color="auto"/>
        <w:right w:val="none" w:sz="0" w:space="0" w:color="auto"/>
      </w:divBdr>
    </w:div>
    <w:div w:id="251937177">
      <w:bodyDiv w:val="1"/>
      <w:marLeft w:val="0"/>
      <w:marRight w:val="0"/>
      <w:marTop w:val="0"/>
      <w:marBottom w:val="0"/>
      <w:divBdr>
        <w:top w:val="none" w:sz="0" w:space="0" w:color="auto"/>
        <w:left w:val="none" w:sz="0" w:space="0" w:color="auto"/>
        <w:bottom w:val="none" w:sz="0" w:space="0" w:color="auto"/>
        <w:right w:val="none" w:sz="0" w:space="0" w:color="auto"/>
      </w:divBdr>
    </w:div>
    <w:div w:id="258291050">
      <w:bodyDiv w:val="1"/>
      <w:marLeft w:val="0"/>
      <w:marRight w:val="0"/>
      <w:marTop w:val="0"/>
      <w:marBottom w:val="0"/>
      <w:divBdr>
        <w:top w:val="none" w:sz="0" w:space="0" w:color="auto"/>
        <w:left w:val="none" w:sz="0" w:space="0" w:color="auto"/>
        <w:bottom w:val="none" w:sz="0" w:space="0" w:color="auto"/>
        <w:right w:val="none" w:sz="0" w:space="0" w:color="auto"/>
      </w:divBdr>
    </w:div>
    <w:div w:id="310135966">
      <w:bodyDiv w:val="1"/>
      <w:marLeft w:val="0"/>
      <w:marRight w:val="0"/>
      <w:marTop w:val="0"/>
      <w:marBottom w:val="0"/>
      <w:divBdr>
        <w:top w:val="none" w:sz="0" w:space="0" w:color="auto"/>
        <w:left w:val="none" w:sz="0" w:space="0" w:color="auto"/>
        <w:bottom w:val="none" w:sz="0" w:space="0" w:color="auto"/>
        <w:right w:val="none" w:sz="0" w:space="0" w:color="auto"/>
      </w:divBdr>
    </w:div>
    <w:div w:id="322707929">
      <w:bodyDiv w:val="1"/>
      <w:marLeft w:val="0"/>
      <w:marRight w:val="0"/>
      <w:marTop w:val="0"/>
      <w:marBottom w:val="0"/>
      <w:divBdr>
        <w:top w:val="none" w:sz="0" w:space="0" w:color="auto"/>
        <w:left w:val="none" w:sz="0" w:space="0" w:color="auto"/>
        <w:bottom w:val="none" w:sz="0" w:space="0" w:color="auto"/>
        <w:right w:val="none" w:sz="0" w:space="0" w:color="auto"/>
      </w:divBdr>
    </w:div>
    <w:div w:id="330641121">
      <w:bodyDiv w:val="1"/>
      <w:marLeft w:val="0"/>
      <w:marRight w:val="0"/>
      <w:marTop w:val="0"/>
      <w:marBottom w:val="0"/>
      <w:divBdr>
        <w:top w:val="none" w:sz="0" w:space="0" w:color="auto"/>
        <w:left w:val="none" w:sz="0" w:space="0" w:color="auto"/>
        <w:bottom w:val="none" w:sz="0" w:space="0" w:color="auto"/>
        <w:right w:val="none" w:sz="0" w:space="0" w:color="auto"/>
      </w:divBdr>
    </w:div>
    <w:div w:id="345908950">
      <w:bodyDiv w:val="1"/>
      <w:marLeft w:val="0"/>
      <w:marRight w:val="0"/>
      <w:marTop w:val="0"/>
      <w:marBottom w:val="0"/>
      <w:divBdr>
        <w:top w:val="none" w:sz="0" w:space="0" w:color="auto"/>
        <w:left w:val="none" w:sz="0" w:space="0" w:color="auto"/>
        <w:bottom w:val="none" w:sz="0" w:space="0" w:color="auto"/>
        <w:right w:val="none" w:sz="0" w:space="0" w:color="auto"/>
      </w:divBdr>
    </w:div>
    <w:div w:id="376244354">
      <w:bodyDiv w:val="1"/>
      <w:marLeft w:val="0"/>
      <w:marRight w:val="0"/>
      <w:marTop w:val="0"/>
      <w:marBottom w:val="0"/>
      <w:divBdr>
        <w:top w:val="none" w:sz="0" w:space="0" w:color="auto"/>
        <w:left w:val="none" w:sz="0" w:space="0" w:color="auto"/>
        <w:bottom w:val="none" w:sz="0" w:space="0" w:color="auto"/>
        <w:right w:val="none" w:sz="0" w:space="0" w:color="auto"/>
      </w:divBdr>
    </w:div>
    <w:div w:id="406728799">
      <w:bodyDiv w:val="1"/>
      <w:marLeft w:val="0"/>
      <w:marRight w:val="0"/>
      <w:marTop w:val="0"/>
      <w:marBottom w:val="0"/>
      <w:divBdr>
        <w:top w:val="none" w:sz="0" w:space="0" w:color="auto"/>
        <w:left w:val="none" w:sz="0" w:space="0" w:color="auto"/>
        <w:bottom w:val="none" w:sz="0" w:space="0" w:color="auto"/>
        <w:right w:val="none" w:sz="0" w:space="0" w:color="auto"/>
      </w:divBdr>
    </w:div>
    <w:div w:id="446387794">
      <w:bodyDiv w:val="1"/>
      <w:marLeft w:val="0"/>
      <w:marRight w:val="0"/>
      <w:marTop w:val="0"/>
      <w:marBottom w:val="0"/>
      <w:divBdr>
        <w:top w:val="none" w:sz="0" w:space="0" w:color="auto"/>
        <w:left w:val="none" w:sz="0" w:space="0" w:color="auto"/>
        <w:bottom w:val="none" w:sz="0" w:space="0" w:color="auto"/>
        <w:right w:val="none" w:sz="0" w:space="0" w:color="auto"/>
      </w:divBdr>
    </w:div>
    <w:div w:id="471866409">
      <w:bodyDiv w:val="1"/>
      <w:marLeft w:val="0"/>
      <w:marRight w:val="0"/>
      <w:marTop w:val="0"/>
      <w:marBottom w:val="0"/>
      <w:divBdr>
        <w:top w:val="none" w:sz="0" w:space="0" w:color="auto"/>
        <w:left w:val="none" w:sz="0" w:space="0" w:color="auto"/>
        <w:bottom w:val="none" w:sz="0" w:space="0" w:color="auto"/>
        <w:right w:val="none" w:sz="0" w:space="0" w:color="auto"/>
      </w:divBdr>
    </w:div>
    <w:div w:id="478232739">
      <w:bodyDiv w:val="1"/>
      <w:marLeft w:val="0"/>
      <w:marRight w:val="0"/>
      <w:marTop w:val="0"/>
      <w:marBottom w:val="0"/>
      <w:divBdr>
        <w:top w:val="none" w:sz="0" w:space="0" w:color="auto"/>
        <w:left w:val="none" w:sz="0" w:space="0" w:color="auto"/>
        <w:bottom w:val="none" w:sz="0" w:space="0" w:color="auto"/>
        <w:right w:val="none" w:sz="0" w:space="0" w:color="auto"/>
      </w:divBdr>
    </w:div>
    <w:div w:id="480538599">
      <w:bodyDiv w:val="1"/>
      <w:marLeft w:val="0"/>
      <w:marRight w:val="0"/>
      <w:marTop w:val="0"/>
      <w:marBottom w:val="0"/>
      <w:divBdr>
        <w:top w:val="none" w:sz="0" w:space="0" w:color="auto"/>
        <w:left w:val="none" w:sz="0" w:space="0" w:color="auto"/>
        <w:bottom w:val="none" w:sz="0" w:space="0" w:color="auto"/>
        <w:right w:val="none" w:sz="0" w:space="0" w:color="auto"/>
      </w:divBdr>
    </w:div>
    <w:div w:id="488598094">
      <w:bodyDiv w:val="1"/>
      <w:marLeft w:val="0"/>
      <w:marRight w:val="0"/>
      <w:marTop w:val="0"/>
      <w:marBottom w:val="0"/>
      <w:divBdr>
        <w:top w:val="none" w:sz="0" w:space="0" w:color="auto"/>
        <w:left w:val="none" w:sz="0" w:space="0" w:color="auto"/>
        <w:bottom w:val="none" w:sz="0" w:space="0" w:color="auto"/>
        <w:right w:val="none" w:sz="0" w:space="0" w:color="auto"/>
      </w:divBdr>
    </w:div>
    <w:div w:id="493495986">
      <w:bodyDiv w:val="1"/>
      <w:marLeft w:val="0"/>
      <w:marRight w:val="0"/>
      <w:marTop w:val="0"/>
      <w:marBottom w:val="0"/>
      <w:divBdr>
        <w:top w:val="none" w:sz="0" w:space="0" w:color="auto"/>
        <w:left w:val="none" w:sz="0" w:space="0" w:color="auto"/>
        <w:bottom w:val="none" w:sz="0" w:space="0" w:color="auto"/>
        <w:right w:val="none" w:sz="0" w:space="0" w:color="auto"/>
      </w:divBdr>
    </w:div>
    <w:div w:id="527723932">
      <w:bodyDiv w:val="1"/>
      <w:marLeft w:val="0"/>
      <w:marRight w:val="0"/>
      <w:marTop w:val="0"/>
      <w:marBottom w:val="0"/>
      <w:divBdr>
        <w:top w:val="none" w:sz="0" w:space="0" w:color="auto"/>
        <w:left w:val="none" w:sz="0" w:space="0" w:color="auto"/>
        <w:bottom w:val="none" w:sz="0" w:space="0" w:color="auto"/>
        <w:right w:val="none" w:sz="0" w:space="0" w:color="auto"/>
      </w:divBdr>
    </w:div>
    <w:div w:id="553859121">
      <w:bodyDiv w:val="1"/>
      <w:marLeft w:val="0"/>
      <w:marRight w:val="0"/>
      <w:marTop w:val="0"/>
      <w:marBottom w:val="0"/>
      <w:divBdr>
        <w:top w:val="none" w:sz="0" w:space="0" w:color="auto"/>
        <w:left w:val="none" w:sz="0" w:space="0" w:color="auto"/>
        <w:bottom w:val="none" w:sz="0" w:space="0" w:color="auto"/>
        <w:right w:val="none" w:sz="0" w:space="0" w:color="auto"/>
      </w:divBdr>
    </w:div>
    <w:div w:id="554514039">
      <w:bodyDiv w:val="1"/>
      <w:marLeft w:val="0"/>
      <w:marRight w:val="0"/>
      <w:marTop w:val="0"/>
      <w:marBottom w:val="0"/>
      <w:divBdr>
        <w:top w:val="none" w:sz="0" w:space="0" w:color="auto"/>
        <w:left w:val="none" w:sz="0" w:space="0" w:color="auto"/>
        <w:bottom w:val="none" w:sz="0" w:space="0" w:color="auto"/>
        <w:right w:val="none" w:sz="0" w:space="0" w:color="auto"/>
      </w:divBdr>
    </w:div>
    <w:div w:id="556746112">
      <w:bodyDiv w:val="1"/>
      <w:marLeft w:val="0"/>
      <w:marRight w:val="0"/>
      <w:marTop w:val="0"/>
      <w:marBottom w:val="0"/>
      <w:divBdr>
        <w:top w:val="none" w:sz="0" w:space="0" w:color="auto"/>
        <w:left w:val="none" w:sz="0" w:space="0" w:color="auto"/>
        <w:bottom w:val="none" w:sz="0" w:space="0" w:color="auto"/>
        <w:right w:val="none" w:sz="0" w:space="0" w:color="auto"/>
      </w:divBdr>
    </w:div>
    <w:div w:id="580916356">
      <w:bodyDiv w:val="1"/>
      <w:marLeft w:val="0"/>
      <w:marRight w:val="0"/>
      <w:marTop w:val="0"/>
      <w:marBottom w:val="0"/>
      <w:divBdr>
        <w:top w:val="none" w:sz="0" w:space="0" w:color="auto"/>
        <w:left w:val="none" w:sz="0" w:space="0" w:color="auto"/>
        <w:bottom w:val="none" w:sz="0" w:space="0" w:color="auto"/>
        <w:right w:val="none" w:sz="0" w:space="0" w:color="auto"/>
      </w:divBdr>
    </w:div>
    <w:div w:id="584994682">
      <w:bodyDiv w:val="1"/>
      <w:marLeft w:val="0"/>
      <w:marRight w:val="0"/>
      <w:marTop w:val="0"/>
      <w:marBottom w:val="0"/>
      <w:divBdr>
        <w:top w:val="none" w:sz="0" w:space="0" w:color="auto"/>
        <w:left w:val="none" w:sz="0" w:space="0" w:color="auto"/>
        <w:bottom w:val="none" w:sz="0" w:space="0" w:color="auto"/>
        <w:right w:val="none" w:sz="0" w:space="0" w:color="auto"/>
      </w:divBdr>
    </w:div>
    <w:div w:id="599721536">
      <w:bodyDiv w:val="1"/>
      <w:marLeft w:val="0"/>
      <w:marRight w:val="0"/>
      <w:marTop w:val="0"/>
      <w:marBottom w:val="0"/>
      <w:divBdr>
        <w:top w:val="none" w:sz="0" w:space="0" w:color="auto"/>
        <w:left w:val="none" w:sz="0" w:space="0" w:color="auto"/>
        <w:bottom w:val="none" w:sz="0" w:space="0" w:color="auto"/>
        <w:right w:val="none" w:sz="0" w:space="0" w:color="auto"/>
      </w:divBdr>
    </w:div>
    <w:div w:id="614285999">
      <w:bodyDiv w:val="1"/>
      <w:marLeft w:val="0"/>
      <w:marRight w:val="0"/>
      <w:marTop w:val="0"/>
      <w:marBottom w:val="0"/>
      <w:divBdr>
        <w:top w:val="none" w:sz="0" w:space="0" w:color="auto"/>
        <w:left w:val="none" w:sz="0" w:space="0" w:color="auto"/>
        <w:bottom w:val="none" w:sz="0" w:space="0" w:color="auto"/>
        <w:right w:val="none" w:sz="0" w:space="0" w:color="auto"/>
      </w:divBdr>
    </w:div>
    <w:div w:id="660620271">
      <w:bodyDiv w:val="1"/>
      <w:marLeft w:val="0"/>
      <w:marRight w:val="0"/>
      <w:marTop w:val="0"/>
      <w:marBottom w:val="0"/>
      <w:divBdr>
        <w:top w:val="none" w:sz="0" w:space="0" w:color="auto"/>
        <w:left w:val="none" w:sz="0" w:space="0" w:color="auto"/>
        <w:bottom w:val="none" w:sz="0" w:space="0" w:color="auto"/>
        <w:right w:val="none" w:sz="0" w:space="0" w:color="auto"/>
      </w:divBdr>
      <w:divsChild>
        <w:div w:id="801458472">
          <w:marLeft w:val="0"/>
          <w:marRight w:val="0"/>
          <w:marTop w:val="0"/>
          <w:marBottom w:val="360"/>
          <w:divBdr>
            <w:top w:val="single" w:sz="18" w:space="0" w:color="FF3300"/>
            <w:left w:val="none" w:sz="0" w:space="0" w:color="auto"/>
            <w:bottom w:val="none" w:sz="0" w:space="0" w:color="auto"/>
            <w:right w:val="none" w:sz="0" w:space="0" w:color="auto"/>
          </w:divBdr>
          <w:divsChild>
            <w:div w:id="2101678152">
              <w:marLeft w:val="0"/>
              <w:marRight w:val="0"/>
              <w:marTop w:val="0"/>
              <w:marBottom w:val="0"/>
              <w:divBdr>
                <w:top w:val="none" w:sz="0" w:space="0" w:color="auto"/>
                <w:left w:val="none" w:sz="0" w:space="0" w:color="auto"/>
                <w:bottom w:val="none" w:sz="0" w:space="0" w:color="auto"/>
                <w:right w:val="none" w:sz="0" w:space="0" w:color="auto"/>
              </w:divBdr>
              <w:divsChild>
                <w:div w:id="733969690">
                  <w:marLeft w:val="0"/>
                  <w:marRight w:val="-5040"/>
                  <w:marTop w:val="0"/>
                  <w:marBottom w:val="0"/>
                  <w:divBdr>
                    <w:top w:val="none" w:sz="0" w:space="0" w:color="auto"/>
                    <w:left w:val="none" w:sz="0" w:space="0" w:color="auto"/>
                    <w:bottom w:val="none" w:sz="0" w:space="0" w:color="auto"/>
                    <w:right w:val="none" w:sz="0" w:space="0" w:color="auto"/>
                  </w:divBdr>
                  <w:divsChild>
                    <w:div w:id="1777871285">
                      <w:marLeft w:val="0"/>
                      <w:marRight w:val="0"/>
                      <w:marTop w:val="360"/>
                      <w:marBottom w:val="0"/>
                      <w:divBdr>
                        <w:top w:val="none" w:sz="0" w:space="0" w:color="auto"/>
                        <w:left w:val="none" w:sz="0" w:space="0" w:color="auto"/>
                        <w:bottom w:val="none" w:sz="0" w:space="0" w:color="auto"/>
                        <w:right w:val="none" w:sz="0" w:space="0" w:color="auto"/>
                      </w:divBdr>
                      <w:divsChild>
                        <w:div w:id="13110572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675038214">
      <w:bodyDiv w:val="1"/>
      <w:marLeft w:val="0"/>
      <w:marRight w:val="0"/>
      <w:marTop w:val="0"/>
      <w:marBottom w:val="0"/>
      <w:divBdr>
        <w:top w:val="none" w:sz="0" w:space="0" w:color="auto"/>
        <w:left w:val="none" w:sz="0" w:space="0" w:color="auto"/>
        <w:bottom w:val="none" w:sz="0" w:space="0" w:color="auto"/>
        <w:right w:val="none" w:sz="0" w:space="0" w:color="auto"/>
      </w:divBdr>
    </w:div>
    <w:div w:id="676926315">
      <w:bodyDiv w:val="1"/>
      <w:marLeft w:val="0"/>
      <w:marRight w:val="0"/>
      <w:marTop w:val="0"/>
      <w:marBottom w:val="0"/>
      <w:divBdr>
        <w:top w:val="none" w:sz="0" w:space="0" w:color="auto"/>
        <w:left w:val="none" w:sz="0" w:space="0" w:color="auto"/>
        <w:bottom w:val="none" w:sz="0" w:space="0" w:color="auto"/>
        <w:right w:val="none" w:sz="0" w:space="0" w:color="auto"/>
      </w:divBdr>
    </w:div>
    <w:div w:id="679158759">
      <w:bodyDiv w:val="1"/>
      <w:marLeft w:val="0"/>
      <w:marRight w:val="0"/>
      <w:marTop w:val="0"/>
      <w:marBottom w:val="0"/>
      <w:divBdr>
        <w:top w:val="none" w:sz="0" w:space="0" w:color="auto"/>
        <w:left w:val="none" w:sz="0" w:space="0" w:color="auto"/>
        <w:bottom w:val="none" w:sz="0" w:space="0" w:color="auto"/>
        <w:right w:val="none" w:sz="0" w:space="0" w:color="auto"/>
      </w:divBdr>
    </w:div>
    <w:div w:id="683215525">
      <w:bodyDiv w:val="1"/>
      <w:marLeft w:val="0"/>
      <w:marRight w:val="0"/>
      <w:marTop w:val="0"/>
      <w:marBottom w:val="0"/>
      <w:divBdr>
        <w:top w:val="none" w:sz="0" w:space="0" w:color="auto"/>
        <w:left w:val="none" w:sz="0" w:space="0" w:color="auto"/>
        <w:bottom w:val="none" w:sz="0" w:space="0" w:color="auto"/>
        <w:right w:val="none" w:sz="0" w:space="0" w:color="auto"/>
      </w:divBdr>
    </w:div>
    <w:div w:id="684720149">
      <w:bodyDiv w:val="1"/>
      <w:marLeft w:val="0"/>
      <w:marRight w:val="0"/>
      <w:marTop w:val="0"/>
      <w:marBottom w:val="0"/>
      <w:divBdr>
        <w:top w:val="none" w:sz="0" w:space="0" w:color="auto"/>
        <w:left w:val="none" w:sz="0" w:space="0" w:color="auto"/>
        <w:bottom w:val="none" w:sz="0" w:space="0" w:color="auto"/>
        <w:right w:val="none" w:sz="0" w:space="0" w:color="auto"/>
      </w:divBdr>
    </w:div>
    <w:div w:id="695271840">
      <w:bodyDiv w:val="1"/>
      <w:marLeft w:val="0"/>
      <w:marRight w:val="0"/>
      <w:marTop w:val="0"/>
      <w:marBottom w:val="0"/>
      <w:divBdr>
        <w:top w:val="none" w:sz="0" w:space="0" w:color="auto"/>
        <w:left w:val="none" w:sz="0" w:space="0" w:color="auto"/>
        <w:bottom w:val="none" w:sz="0" w:space="0" w:color="auto"/>
        <w:right w:val="none" w:sz="0" w:space="0" w:color="auto"/>
      </w:divBdr>
    </w:div>
    <w:div w:id="701370698">
      <w:bodyDiv w:val="1"/>
      <w:marLeft w:val="0"/>
      <w:marRight w:val="0"/>
      <w:marTop w:val="0"/>
      <w:marBottom w:val="0"/>
      <w:divBdr>
        <w:top w:val="none" w:sz="0" w:space="0" w:color="auto"/>
        <w:left w:val="none" w:sz="0" w:space="0" w:color="auto"/>
        <w:bottom w:val="none" w:sz="0" w:space="0" w:color="auto"/>
        <w:right w:val="none" w:sz="0" w:space="0" w:color="auto"/>
      </w:divBdr>
    </w:div>
    <w:div w:id="744256580">
      <w:bodyDiv w:val="1"/>
      <w:marLeft w:val="0"/>
      <w:marRight w:val="0"/>
      <w:marTop w:val="0"/>
      <w:marBottom w:val="0"/>
      <w:divBdr>
        <w:top w:val="none" w:sz="0" w:space="0" w:color="auto"/>
        <w:left w:val="none" w:sz="0" w:space="0" w:color="auto"/>
        <w:bottom w:val="none" w:sz="0" w:space="0" w:color="auto"/>
        <w:right w:val="none" w:sz="0" w:space="0" w:color="auto"/>
      </w:divBdr>
    </w:div>
    <w:div w:id="765268810">
      <w:bodyDiv w:val="1"/>
      <w:marLeft w:val="0"/>
      <w:marRight w:val="0"/>
      <w:marTop w:val="0"/>
      <w:marBottom w:val="0"/>
      <w:divBdr>
        <w:top w:val="none" w:sz="0" w:space="0" w:color="auto"/>
        <w:left w:val="none" w:sz="0" w:space="0" w:color="auto"/>
        <w:bottom w:val="none" w:sz="0" w:space="0" w:color="auto"/>
        <w:right w:val="none" w:sz="0" w:space="0" w:color="auto"/>
      </w:divBdr>
    </w:div>
    <w:div w:id="765540463">
      <w:bodyDiv w:val="1"/>
      <w:marLeft w:val="0"/>
      <w:marRight w:val="0"/>
      <w:marTop w:val="0"/>
      <w:marBottom w:val="0"/>
      <w:divBdr>
        <w:top w:val="none" w:sz="0" w:space="0" w:color="auto"/>
        <w:left w:val="none" w:sz="0" w:space="0" w:color="auto"/>
        <w:bottom w:val="none" w:sz="0" w:space="0" w:color="auto"/>
        <w:right w:val="none" w:sz="0" w:space="0" w:color="auto"/>
      </w:divBdr>
    </w:div>
    <w:div w:id="786124149">
      <w:bodyDiv w:val="1"/>
      <w:marLeft w:val="0"/>
      <w:marRight w:val="0"/>
      <w:marTop w:val="0"/>
      <w:marBottom w:val="0"/>
      <w:divBdr>
        <w:top w:val="none" w:sz="0" w:space="0" w:color="auto"/>
        <w:left w:val="none" w:sz="0" w:space="0" w:color="auto"/>
        <w:bottom w:val="none" w:sz="0" w:space="0" w:color="auto"/>
        <w:right w:val="none" w:sz="0" w:space="0" w:color="auto"/>
      </w:divBdr>
    </w:div>
    <w:div w:id="825705451">
      <w:bodyDiv w:val="1"/>
      <w:marLeft w:val="0"/>
      <w:marRight w:val="0"/>
      <w:marTop w:val="0"/>
      <w:marBottom w:val="0"/>
      <w:divBdr>
        <w:top w:val="none" w:sz="0" w:space="0" w:color="auto"/>
        <w:left w:val="none" w:sz="0" w:space="0" w:color="auto"/>
        <w:bottom w:val="none" w:sz="0" w:space="0" w:color="auto"/>
        <w:right w:val="none" w:sz="0" w:space="0" w:color="auto"/>
      </w:divBdr>
    </w:div>
    <w:div w:id="840046337">
      <w:bodyDiv w:val="1"/>
      <w:marLeft w:val="0"/>
      <w:marRight w:val="0"/>
      <w:marTop w:val="0"/>
      <w:marBottom w:val="0"/>
      <w:divBdr>
        <w:top w:val="none" w:sz="0" w:space="0" w:color="auto"/>
        <w:left w:val="none" w:sz="0" w:space="0" w:color="auto"/>
        <w:bottom w:val="none" w:sz="0" w:space="0" w:color="auto"/>
        <w:right w:val="none" w:sz="0" w:space="0" w:color="auto"/>
      </w:divBdr>
    </w:div>
    <w:div w:id="851839930">
      <w:bodyDiv w:val="1"/>
      <w:marLeft w:val="0"/>
      <w:marRight w:val="0"/>
      <w:marTop w:val="0"/>
      <w:marBottom w:val="0"/>
      <w:divBdr>
        <w:top w:val="none" w:sz="0" w:space="0" w:color="auto"/>
        <w:left w:val="none" w:sz="0" w:space="0" w:color="auto"/>
        <w:bottom w:val="none" w:sz="0" w:space="0" w:color="auto"/>
        <w:right w:val="none" w:sz="0" w:space="0" w:color="auto"/>
      </w:divBdr>
    </w:div>
    <w:div w:id="858742788">
      <w:bodyDiv w:val="1"/>
      <w:marLeft w:val="0"/>
      <w:marRight w:val="0"/>
      <w:marTop w:val="0"/>
      <w:marBottom w:val="0"/>
      <w:divBdr>
        <w:top w:val="none" w:sz="0" w:space="0" w:color="auto"/>
        <w:left w:val="none" w:sz="0" w:space="0" w:color="auto"/>
        <w:bottom w:val="none" w:sz="0" w:space="0" w:color="auto"/>
        <w:right w:val="none" w:sz="0" w:space="0" w:color="auto"/>
      </w:divBdr>
    </w:div>
    <w:div w:id="860782466">
      <w:bodyDiv w:val="1"/>
      <w:marLeft w:val="0"/>
      <w:marRight w:val="0"/>
      <w:marTop w:val="0"/>
      <w:marBottom w:val="0"/>
      <w:divBdr>
        <w:top w:val="none" w:sz="0" w:space="0" w:color="auto"/>
        <w:left w:val="none" w:sz="0" w:space="0" w:color="auto"/>
        <w:bottom w:val="none" w:sz="0" w:space="0" w:color="auto"/>
        <w:right w:val="none" w:sz="0" w:space="0" w:color="auto"/>
      </w:divBdr>
    </w:div>
    <w:div w:id="867335851">
      <w:bodyDiv w:val="1"/>
      <w:marLeft w:val="0"/>
      <w:marRight w:val="0"/>
      <w:marTop w:val="0"/>
      <w:marBottom w:val="0"/>
      <w:divBdr>
        <w:top w:val="none" w:sz="0" w:space="0" w:color="auto"/>
        <w:left w:val="none" w:sz="0" w:space="0" w:color="auto"/>
        <w:bottom w:val="none" w:sz="0" w:space="0" w:color="auto"/>
        <w:right w:val="none" w:sz="0" w:space="0" w:color="auto"/>
      </w:divBdr>
    </w:div>
    <w:div w:id="873807966">
      <w:bodyDiv w:val="1"/>
      <w:marLeft w:val="0"/>
      <w:marRight w:val="0"/>
      <w:marTop w:val="0"/>
      <w:marBottom w:val="0"/>
      <w:divBdr>
        <w:top w:val="none" w:sz="0" w:space="0" w:color="auto"/>
        <w:left w:val="none" w:sz="0" w:space="0" w:color="auto"/>
        <w:bottom w:val="none" w:sz="0" w:space="0" w:color="auto"/>
        <w:right w:val="none" w:sz="0" w:space="0" w:color="auto"/>
      </w:divBdr>
    </w:div>
    <w:div w:id="874544213">
      <w:bodyDiv w:val="1"/>
      <w:marLeft w:val="0"/>
      <w:marRight w:val="0"/>
      <w:marTop w:val="0"/>
      <w:marBottom w:val="0"/>
      <w:divBdr>
        <w:top w:val="none" w:sz="0" w:space="0" w:color="auto"/>
        <w:left w:val="none" w:sz="0" w:space="0" w:color="auto"/>
        <w:bottom w:val="none" w:sz="0" w:space="0" w:color="auto"/>
        <w:right w:val="none" w:sz="0" w:space="0" w:color="auto"/>
      </w:divBdr>
    </w:div>
    <w:div w:id="889657210">
      <w:bodyDiv w:val="1"/>
      <w:marLeft w:val="0"/>
      <w:marRight w:val="0"/>
      <w:marTop w:val="0"/>
      <w:marBottom w:val="0"/>
      <w:divBdr>
        <w:top w:val="none" w:sz="0" w:space="0" w:color="auto"/>
        <w:left w:val="none" w:sz="0" w:space="0" w:color="auto"/>
        <w:bottom w:val="none" w:sz="0" w:space="0" w:color="auto"/>
        <w:right w:val="none" w:sz="0" w:space="0" w:color="auto"/>
      </w:divBdr>
    </w:div>
    <w:div w:id="899899374">
      <w:bodyDiv w:val="1"/>
      <w:marLeft w:val="0"/>
      <w:marRight w:val="0"/>
      <w:marTop w:val="0"/>
      <w:marBottom w:val="0"/>
      <w:divBdr>
        <w:top w:val="none" w:sz="0" w:space="0" w:color="auto"/>
        <w:left w:val="none" w:sz="0" w:space="0" w:color="auto"/>
        <w:bottom w:val="none" w:sz="0" w:space="0" w:color="auto"/>
        <w:right w:val="none" w:sz="0" w:space="0" w:color="auto"/>
      </w:divBdr>
    </w:div>
    <w:div w:id="900022331">
      <w:bodyDiv w:val="1"/>
      <w:marLeft w:val="0"/>
      <w:marRight w:val="0"/>
      <w:marTop w:val="0"/>
      <w:marBottom w:val="0"/>
      <w:divBdr>
        <w:top w:val="none" w:sz="0" w:space="0" w:color="auto"/>
        <w:left w:val="none" w:sz="0" w:space="0" w:color="auto"/>
        <w:bottom w:val="none" w:sz="0" w:space="0" w:color="auto"/>
        <w:right w:val="none" w:sz="0" w:space="0" w:color="auto"/>
      </w:divBdr>
    </w:div>
    <w:div w:id="906383243">
      <w:bodyDiv w:val="1"/>
      <w:marLeft w:val="0"/>
      <w:marRight w:val="0"/>
      <w:marTop w:val="0"/>
      <w:marBottom w:val="0"/>
      <w:divBdr>
        <w:top w:val="none" w:sz="0" w:space="0" w:color="auto"/>
        <w:left w:val="none" w:sz="0" w:space="0" w:color="auto"/>
        <w:bottom w:val="none" w:sz="0" w:space="0" w:color="auto"/>
        <w:right w:val="none" w:sz="0" w:space="0" w:color="auto"/>
      </w:divBdr>
    </w:div>
    <w:div w:id="912590947">
      <w:bodyDiv w:val="1"/>
      <w:marLeft w:val="0"/>
      <w:marRight w:val="0"/>
      <w:marTop w:val="0"/>
      <w:marBottom w:val="0"/>
      <w:divBdr>
        <w:top w:val="none" w:sz="0" w:space="0" w:color="auto"/>
        <w:left w:val="none" w:sz="0" w:space="0" w:color="auto"/>
        <w:bottom w:val="none" w:sz="0" w:space="0" w:color="auto"/>
        <w:right w:val="none" w:sz="0" w:space="0" w:color="auto"/>
      </w:divBdr>
    </w:div>
    <w:div w:id="925530524">
      <w:bodyDiv w:val="1"/>
      <w:marLeft w:val="0"/>
      <w:marRight w:val="0"/>
      <w:marTop w:val="0"/>
      <w:marBottom w:val="0"/>
      <w:divBdr>
        <w:top w:val="none" w:sz="0" w:space="0" w:color="auto"/>
        <w:left w:val="none" w:sz="0" w:space="0" w:color="auto"/>
        <w:bottom w:val="none" w:sz="0" w:space="0" w:color="auto"/>
        <w:right w:val="none" w:sz="0" w:space="0" w:color="auto"/>
      </w:divBdr>
    </w:div>
    <w:div w:id="927232022">
      <w:bodyDiv w:val="1"/>
      <w:marLeft w:val="0"/>
      <w:marRight w:val="0"/>
      <w:marTop w:val="0"/>
      <w:marBottom w:val="0"/>
      <w:divBdr>
        <w:top w:val="none" w:sz="0" w:space="0" w:color="auto"/>
        <w:left w:val="none" w:sz="0" w:space="0" w:color="auto"/>
        <w:bottom w:val="none" w:sz="0" w:space="0" w:color="auto"/>
        <w:right w:val="none" w:sz="0" w:space="0" w:color="auto"/>
      </w:divBdr>
    </w:div>
    <w:div w:id="945619856">
      <w:bodyDiv w:val="1"/>
      <w:marLeft w:val="0"/>
      <w:marRight w:val="0"/>
      <w:marTop w:val="0"/>
      <w:marBottom w:val="0"/>
      <w:divBdr>
        <w:top w:val="none" w:sz="0" w:space="0" w:color="auto"/>
        <w:left w:val="none" w:sz="0" w:space="0" w:color="auto"/>
        <w:bottom w:val="none" w:sz="0" w:space="0" w:color="auto"/>
        <w:right w:val="none" w:sz="0" w:space="0" w:color="auto"/>
      </w:divBdr>
    </w:div>
    <w:div w:id="999578967">
      <w:bodyDiv w:val="1"/>
      <w:marLeft w:val="0"/>
      <w:marRight w:val="0"/>
      <w:marTop w:val="0"/>
      <w:marBottom w:val="0"/>
      <w:divBdr>
        <w:top w:val="none" w:sz="0" w:space="0" w:color="auto"/>
        <w:left w:val="none" w:sz="0" w:space="0" w:color="auto"/>
        <w:bottom w:val="none" w:sz="0" w:space="0" w:color="auto"/>
        <w:right w:val="none" w:sz="0" w:space="0" w:color="auto"/>
      </w:divBdr>
    </w:div>
    <w:div w:id="1003170381">
      <w:bodyDiv w:val="1"/>
      <w:marLeft w:val="0"/>
      <w:marRight w:val="0"/>
      <w:marTop w:val="0"/>
      <w:marBottom w:val="0"/>
      <w:divBdr>
        <w:top w:val="none" w:sz="0" w:space="0" w:color="auto"/>
        <w:left w:val="none" w:sz="0" w:space="0" w:color="auto"/>
        <w:bottom w:val="none" w:sz="0" w:space="0" w:color="auto"/>
        <w:right w:val="none" w:sz="0" w:space="0" w:color="auto"/>
      </w:divBdr>
    </w:div>
    <w:div w:id="1018507031">
      <w:bodyDiv w:val="1"/>
      <w:marLeft w:val="0"/>
      <w:marRight w:val="0"/>
      <w:marTop w:val="0"/>
      <w:marBottom w:val="0"/>
      <w:divBdr>
        <w:top w:val="none" w:sz="0" w:space="0" w:color="auto"/>
        <w:left w:val="none" w:sz="0" w:space="0" w:color="auto"/>
        <w:bottom w:val="none" w:sz="0" w:space="0" w:color="auto"/>
        <w:right w:val="none" w:sz="0" w:space="0" w:color="auto"/>
      </w:divBdr>
    </w:div>
    <w:div w:id="1070613910">
      <w:bodyDiv w:val="1"/>
      <w:marLeft w:val="0"/>
      <w:marRight w:val="0"/>
      <w:marTop w:val="0"/>
      <w:marBottom w:val="0"/>
      <w:divBdr>
        <w:top w:val="none" w:sz="0" w:space="0" w:color="auto"/>
        <w:left w:val="none" w:sz="0" w:space="0" w:color="auto"/>
        <w:bottom w:val="none" w:sz="0" w:space="0" w:color="auto"/>
        <w:right w:val="none" w:sz="0" w:space="0" w:color="auto"/>
      </w:divBdr>
    </w:div>
    <w:div w:id="1095900149">
      <w:bodyDiv w:val="1"/>
      <w:marLeft w:val="0"/>
      <w:marRight w:val="0"/>
      <w:marTop w:val="0"/>
      <w:marBottom w:val="0"/>
      <w:divBdr>
        <w:top w:val="none" w:sz="0" w:space="0" w:color="auto"/>
        <w:left w:val="none" w:sz="0" w:space="0" w:color="auto"/>
        <w:bottom w:val="none" w:sz="0" w:space="0" w:color="auto"/>
        <w:right w:val="none" w:sz="0" w:space="0" w:color="auto"/>
      </w:divBdr>
    </w:div>
    <w:div w:id="1107115665">
      <w:bodyDiv w:val="1"/>
      <w:marLeft w:val="0"/>
      <w:marRight w:val="0"/>
      <w:marTop w:val="0"/>
      <w:marBottom w:val="0"/>
      <w:divBdr>
        <w:top w:val="none" w:sz="0" w:space="0" w:color="auto"/>
        <w:left w:val="none" w:sz="0" w:space="0" w:color="auto"/>
        <w:bottom w:val="none" w:sz="0" w:space="0" w:color="auto"/>
        <w:right w:val="none" w:sz="0" w:space="0" w:color="auto"/>
      </w:divBdr>
    </w:div>
    <w:div w:id="1112164685">
      <w:bodyDiv w:val="1"/>
      <w:marLeft w:val="0"/>
      <w:marRight w:val="0"/>
      <w:marTop w:val="0"/>
      <w:marBottom w:val="0"/>
      <w:divBdr>
        <w:top w:val="none" w:sz="0" w:space="0" w:color="auto"/>
        <w:left w:val="none" w:sz="0" w:space="0" w:color="auto"/>
        <w:bottom w:val="none" w:sz="0" w:space="0" w:color="auto"/>
        <w:right w:val="none" w:sz="0" w:space="0" w:color="auto"/>
      </w:divBdr>
    </w:div>
    <w:div w:id="1123693479">
      <w:bodyDiv w:val="1"/>
      <w:marLeft w:val="0"/>
      <w:marRight w:val="0"/>
      <w:marTop w:val="0"/>
      <w:marBottom w:val="0"/>
      <w:divBdr>
        <w:top w:val="none" w:sz="0" w:space="0" w:color="auto"/>
        <w:left w:val="none" w:sz="0" w:space="0" w:color="auto"/>
        <w:bottom w:val="none" w:sz="0" w:space="0" w:color="auto"/>
        <w:right w:val="none" w:sz="0" w:space="0" w:color="auto"/>
      </w:divBdr>
    </w:div>
    <w:div w:id="1127746479">
      <w:bodyDiv w:val="1"/>
      <w:marLeft w:val="0"/>
      <w:marRight w:val="0"/>
      <w:marTop w:val="0"/>
      <w:marBottom w:val="0"/>
      <w:divBdr>
        <w:top w:val="none" w:sz="0" w:space="0" w:color="auto"/>
        <w:left w:val="none" w:sz="0" w:space="0" w:color="auto"/>
        <w:bottom w:val="none" w:sz="0" w:space="0" w:color="auto"/>
        <w:right w:val="none" w:sz="0" w:space="0" w:color="auto"/>
      </w:divBdr>
    </w:div>
    <w:div w:id="1130510611">
      <w:bodyDiv w:val="1"/>
      <w:marLeft w:val="0"/>
      <w:marRight w:val="0"/>
      <w:marTop w:val="0"/>
      <w:marBottom w:val="0"/>
      <w:divBdr>
        <w:top w:val="none" w:sz="0" w:space="0" w:color="auto"/>
        <w:left w:val="none" w:sz="0" w:space="0" w:color="auto"/>
        <w:bottom w:val="none" w:sz="0" w:space="0" w:color="auto"/>
        <w:right w:val="none" w:sz="0" w:space="0" w:color="auto"/>
      </w:divBdr>
    </w:div>
    <w:div w:id="1131485520">
      <w:bodyDiv w:val="1"/>
      <w:marLeft w:val="0"/>
      <w:marRight w:val="0"/>
      <w:marTop w:val="0"/>
      <w:marBottom w:val="0"/>
      <w:divBdr>
        <w:top w:val="none" w:sz="0" w:space="0" w:color="auto"/>
        <w:left w:val="none" w:sz="0" w:space="0" w:color="auto"/>
        <w:bottom w:val="none" w:sz="0" w:space="0" w:color="auto"/>
        <w:right w:val="none" w:sz="0" w:space="0" w:color="auto"/>
      </w:divBdr>
    </w:div>
    <w:div w:id="1152335833">
      <w:bodyDiv w:val="1"/>
      <w:marLeft w:val="0"/>
      <w:marRight w:val="0"/>
      <w:marTop w:val="0"/>
      <w:marBottom w:val="0"/>
      <w:divBdr>
        <w:top w:val="none" w:sz="0" w:space="0" w:color="auto"/>
        <w:left w:val="none" w:sz="0" w:space="0" w:color="auto"/>
        <w:bottom w:val="none" w:sz="0" w:space="0" w:color="auto"/>
        <w:right w:val="none" w:sz="0" w:space="0" w:color="auto"/>
      </w:divBdr>
    </w:div>
    <w:div w:id="1153713101">
      <w:bodyDiv w:val="1"/>
      <w:marLeft w:val="0"/>
      <w:marRight w:val="0"/>
      <w:marTop w:val="0"/>
      <w:marBottom w:val="0"/>
      <w:divBdr>
        <w:top w:val="none" w:sz="0" w:space="0" w:color="auto"/>
        <w:left w:val="none" w:sz="0" w:space="0" w:color="auto"/>
        <w:bottom w:val="none" w:sz="0" w:space="0" w:color="auto"/>
        <w:right w:val="none" w:sz="0" w:space="0" w:color="auto"/>
      </w:divBdr>
    </w:div>
    <w:div w:id="1157645426">
      <w:bodyDiv w:val="1"/>
      <w:marLeft w:val="0"/>
      <w:marRight w:val="0"/>
      <w:marTop w:val="0"/>
      <w:marBottom w:val="0"/>
      <w:divBdr>
        <w:top w:val="none" w:sz="0" w:space="0" w:color="auto"/>
        <w:left w:val="none" w:sz="0" w:space="0" w:color="auto"/>
        <w:bottom w:val="none" w:sz="0" w:space="0" w:color="auto"/>
        <w:right w:val="none" w:sz="0" w:space="0" w:color="auto"/>
      </w:divBdr>
    </w:div>
    <w:div w:id="1158418878">
      <w:bodyDiv w:val="1"/>
      <w:marLeft w:val="0"/>
      <w:marRight w:val="0"/>
      <w:marTop w:val="0"/>
      <w:marBottom w:val="0"/>
      <w:divBdr>
        <w:top w:val="none" w:sz="0" w:space="0" w:color="auto"/>
        <w:left w:val="none" w:sz="0" w:space="0" w:color="auto"/>
        <w:bottom w:val="none" w:sz="0" w:space="0" w:color="auto"/>
        <w:right w:val="none" w:sz="0" w:space="0" w:color="auto"/>
      </w:divBdr>
    </w:div>
    <w:div w:id="1172602256">
      <w:bodyDiv w:val="1"/>
      <w:marLeft w:val="0"/>
      <w:marRight w:val="0"/>
      <w:marTop w:val="0"/>
      <w:marBottom w:val="0"/>
      <w:divBdr>
        <w:top w:val="none" w:sz="0" w:space="0" w:color="auto"/>
        <w:left w:val="none" w:sz="0" w:space="0" w:color="auto"/>
        <w:bottom w:val="none" w:sz="0" w:space="0" w:color="auto"/>
        <w:right w:val="none" w:sz="0" w:space="0" w:color="auto"/>
      </w:divBdr>
    </w:div>
    <w:div w:id="1188104064">
      <w:bodyDiv w:val="1"/>
      <w:marLeft w:val="0"/>
      <w:marRight w:val="0"/>
      <w:marTop w:val="0"/>
      <w:marBottom w:val="0"/>
      <w:divBdr>
        <w:top w:val="none" w:sz="0" w:space="0" w:color="auto"/>
        <w:left w:val="none" w:sz="0" w:space="0" w:color="auto"/>
        <w:bottom w:val="none" w:sz="0" w:space="0" w:color="auto"/>
        <w:right w:val="none" w:sz="0" w:space="0" w:color="auto"/>
      </w:divBdr>
    </w:div>
    <w:div w:id="1205632135">
      <w:bodyDiv w:val="1"/>
      <w:marLeft w:val="0"/>
      <w:marRight w:val="0"/>
      <w:marTop w:val="0"/>
      <w:marBottom w:val="0"/>
      <w:divBdr>
        <w:top w:val="none" w:sz="0" w:space="0" w:color="auto"/>
        <w:left w:val="none" w:sz="0" w:space="0" w:color="auto"/>
        <w:bottom w:val="none" w:sz="0" w:space="0" w:color="auto"/>
        <w:right w:val="none" w:sz="0" w:space="0" w:color="auto"/>
      </w:divBdr>
    </w:div>
    <w:div w:id="1218930538">
      <w:bodyDiv w:val="1"/>
      <w:marLeft w:val="0"/>
      <w:marRight w:val="0"/>
      <w:marTop w:val="0"/>
      <w:marBottom w:val="0"/>
      <w:divBdr>
        <w:top w:val="none" w:sz="0" w:space="0" w:color="auto"/>
        <w:left w:val="none" w:sz="0" w:space="0" w:color="auto"/>
        <w:bottom w:val="none" w:sz="0" w:space="0" w:color="auto"/>
        <w:right w:val="none" w:sz="0" w:space="0" w:color="auto"/>
      </w:divBdr>
    </w:div>
    <w:div w:id="1257247447">
      <w:bodyDiv w:val="1"/>
      <w:marLeft w:val="0"/>
      <w:marRight w:val="0"/>
      <w:marTop w:val="0"/>
      <w:marBottom w:val="0"/>
      <w:divBdr>
        <w:top w:val="none" w:sz="0" w:space="0" w:color="auto"/>
        <w:left w:val="none" w:sz="0" w:space="0" w:color="auto"/>
        <w:bottom w:val="none" w:sz="0" w:space="0" w:color="auto"/>
        <w:right w:val="none" w:sz="0" w:space="0" w:color="auto"/>
      </w:divBdr>
    </w:div>
    <w:div w:id="1269463419">
      <w:bodyDiv w:val="1"/>
      <w:marLeft w:val="0"/>
      <w:marRight w:val="0"/>
      <w:marTop w:val="0"/>
      <w:marBottom w:val="0"/>
      <w:divBdr>
        <w:top w:val="none" w:sz="0" w:space="0" w:color="auto"/>
        <w:left w:val="none" w:sz="0" w:space="0" w:color="auto"/>
        <w:bottom w:val="none" w:sz="0" w:space="0" w:color="auto"/>
        <w:right w:val="none" w:sz="0" w:space="0" w:color="auto"/>
      </w:divBdr>
    </w:div>
    <w:div w:id="1319113256">
      <w:bodyDiv w:val="1"/>
      <w:marLeft w:val="0"/>
      <w:marRight w:val="0"/>
      <w:marTop w:val="0"/>
      <w:marBottom w:val="0"/>
      <w:divBdr>
        <w:top w:val="none" w:sz="0" w:space="0" w:color="auto"/>
        <w:left w:val="none" w:sz="0" w:space="0" w:color="auto"/>
        <w:bottom w:val="none" w:sz="0" w:space="0" w:color="auto"/>
        <w:right w:val="none" w:sz="0" w:space="0" w:color="auto"/>
      </w:divBdr>
    </w:div>
    <w:div w:id="1326780282">
      <w:bodyDiv w:val="1"/>
      <w:marLeft w:val="0"/>
      <w:marRight w:val="0"/>
      <w:marTop w:val="0"/>
      <w:marBottom w:val="0"/>
      <w:divBdr>
        <w:top w:val="none" w:sz="0" w:space="0" w:color="auto"/>
        <w:left w:val="none" w:sz="0" w:space="0" w:color="auto"/>
        <w:bottom w:val="none" w:sz="0" w:space="0" w:color="auto"/>
        <w:right w:val="none" w:sz="0" w:space="0" w:color="auto"/>
      </w:divBdr>
    </w:div>
    <w:div w:id="1338658205">
      <w:bodyDiv w:val="1"/>
      <w:marLeft w:val="0"/>
      <w:marRight w:val="0"/>
      <w:marTop w:val="0"/>
      <w:marBottom w:val="0"/>
      <w:divBdr>
        <w:top w:val="none" w:sz="0" w:space="0" w:color="auto"/>
        <w:left w:val="none" w:sz="0" w:space="0" w:color="auto"/>
        <w:bottom w:val="none" w:sz="0" w:space="0" w:color="auto"/>
        <w:right w:val="none" w:sz="0" w:space="0" w:color="auto"/>
      </w:divBdr>
    </w:div>
    <w:div w:id="1370062176">
      <w:bodyDiv w:val="1"/>
      <w:marLeft w:val="0"/>
      <w:marRight w:val="0"/>
      <w:marTop w:val="0"/>
      <w:marBottom w:val="0"/>
      <w:divBdr>
        <w:top w:val="none" w:sz="0" w:space="0" w:color="auto"/>
        <w:left w:val="none" w:sz="0" w:space="0" w:color="auto"/>
        <w:bottom w:val="none" w:sz="0" w:space="0" w:color="auto"/>
        <w:right w:val="none" w:sz="0" w:space="0" w:color="auto"/>
      </w:divBdr>
    </w:div>
    <w:div w:id="1375038376">
      <w:bodyDiv w:val="1"/>
      <w:marLeft w:val="0"/>
      <w:marRight w:val="0"/>
      <w:marTop w:val="0"/>
      <w:marBottom w:val="0"/>
      <w:divBdr>
        <w:top w:val="none" w:sz="0" w:space="0" w:color="auto"/>
        <w:left w:val="none" w:sz="0" w:space="0" w:color="auto"/>
        <w:bottom w:val="none" w:sz="0" w:space="0" w:color="auto"/>
        <w:right w:val="none" w:sz="0" w:space="0" w:color="auto"/>
      </w:divBdr>
    </w:div>
    <w:div w:id="1375344548">
      <w:bodyDiv w:val="1"/>
      <w:marLeft w:val="0"/>
      <w:marRight w:val="0"/>
      <w:marTop w:val="0"/>
      <w:marBottom w:val="0"/>
      <w:divBdr>
        <w:top w:val="none" w:sz="0" w:space="0" w:color="auto"/>
        <w:left w:val="none" w:sz="0" w:space="0" w:color="auto"/>
        <w:bottom w:val="none" w:sz="0" w:space="0" w:color="auto"/>
        <w:right w:val="none" w:sz="0" w:space="0" w:color="auto"/>
      </w:divBdr>
    </w:div>
    <w:div w:id="1401447031">
      <w:bodyDiv w:val="1"/>
      <w:marLeft w:val="0"/>
      <w:marRight w:val="0"/>
      <w:marTop w:val="0"/>
      <w:marBottom w:val="0"/>
      <w:divBdr>
        <w:top w:val="none" w:sz="0" w:space="0" w:color="auto"/>
        <w:left w:val="none" w:sz="0" w:space="0" w:color="auto"/>
        <w:bottom w:val="none" w:sz="0" w:space="0" w:color="auto"/>
        <w:right w:val="none" w:sz="0" w:space="0" w:color="auto"/>
      </w:divBdr>
    </w:div>
    <w:div w:id="1405645351">
      <w:bodyDiv w:val="1"/>
      <w:marLeft w:val="0"/>
      <w:marRight w:val="0"/>
      <w:marTop w:val="0"/>
      <w:marBottom w:val="0"/>
      <w:divBdr>
        <w:top w:val="none" w:sz="0" w:space="0" w:color="auto"/>
        <w:left w:val="none" w:sz="0" w:space="0" w:color="auto"/>
        <w:bottom w:val="none" w:sz="0" w:space="0" w:color="auto"/>
        <w:right w:val="none" w:sz="0" w:space="0" w:color="auto"/>
      </w:divBdr>
    </w:div>
    <w:div w:id="1407650523">
      <w:bodyDiv w:val="1"/>
      <w:marLeft w:val="0"/>
      <w:marRight w:val="0"/>
      <w:marTop w:val="0"/>
      <w:marBottom w:val="0"/>
      <w:divBdr>
        <w:top w:val="none" w:sz="0" w:space="0" w:color="auto"/>
        <w:left w:val="none" w:sz="0" w:space="0" w:color="auto"/>
        <w:bottom w:val="none" w:sz="0" w:space="0" w:color="auto"/>
        <w:right w:val="none" w:sz="0" w:space="0" w:color="auto"/>
      </w:divBdr>
    </w:div>
    <w:div w:id="1409500938">
      <w:bodyDiv w:val="1"/>
      <w:marLeft w:val="0"/>
      <w:marRight w:val="0"/>
      <w:marTop w:val="0"/>
      <w:marBottom w:val="0"/>
      <w:divBdr>
        <w:top w:val="none" w:sz="0" w:space="0" w:color="auto"/>
        <w:left w:val="none" w:sz="0" w:space="0" w:color="auto"/>
        <w:bottom w:val="none" w:sz="0" w:space="0" w:color="auto"/>
        <w:right w:val="none" w:sz="0" w:space="0" w:color="auto"/>
      </w:divBdr>
    </w:div>
    <w:div w:id="1410469820">
      <w:bodyDiv w:val="1"/>
      <w:marLeft w:val="0"/>
      <w:marRight w:val="0"/>
      <w:marTop w:val="0"/>
      <w:marBottom w:val="0"/>
      <w:divBdr>
        <w:top w:val="none" w:sz="0" w:space="0" w:color="auto"/>
        <w:left w:val="none" w:sz="0" w:space="0" w:color="auto"/>
        <w:bottom w:val="none" w:sz="0" w:space="0" w:color="auto"/>
        <w:right w:val="none" w:sz="0" w:space="0" w:color="auto"/>
      </w:divBdr>
    </w:div>
    <w:div w:id="1423531294">
      <w:bodyDiv w:val="1"/>
      <w:marLeft w:val="0"/>
      <w:marRight w:val="0"/>
      <w:marTop w:val="0"/>
      <w:marBottom w:val="0"/>
      <w:divBdr>
        <w:top w:val="none" w:sz="0" w:space="0" w:color="auto"/>
        <w:left w:val="none" w:sz="0" w:space="0" w:color="auto"/>
        <w:bottom w:val="none" w:sz="0" w:space="0" w:color="auto"/>
        <w:right w:val="none" w:sz="0" w:space="0" w:color="auto"/>
      </w:divBdr>
    </w:div>
    <w:div w:id="1433284390">
      <w:bodyDiv w:val="1"/>
      <w:marLeft w:val="0"/>
      <w:marRight w:val="0"/>
      <w:marTop w:val="0"/>
      <w:marBottom w:val="0"/>
      <w:divBdr>
        <w:top w:val="none" w:sz="0" w:space="0" w:color="auto"/>
        <w:left w:val="none" w:sz="0" w:space="0" w:color="auto"/>
        <w:bottom w:val="none" w:sz="0" w:space="0" w:color="auto"/>
        <w:right w:val="none" w:sz="0" w:space="0" w:color="auto"/>
      </w:divBdr>
    </w:div>
    <w:div w:id="1439986308">
      <w:bodyDiv w:val="1"/>
      <w:marLeft w:val="0"/>
      <w:marRight w:val="0"/>
      <w:marTop w:val="0"/>
      <w:marBottom w:val="0"/>
      <w:divBdr>
        <w:top w:val="none" w:sz="0" w:space="0" w:color="auto"/>
        <w:left w:val="none" w:sz="0" w:space="0" w:color="auto"/>
        <w:bottom w:val="none" w:sz="0" w:space="0" w:color="auto"/>
        <w:right w:val="none" w:sz="0" w:space="0" w:color="auto"/>
      </w:divBdr>
    </w:div>
    <w:div w:id="1443265313">
      <w:bodyDiv w:val="1"/>
      <w:marLeft w:val="0"/>
      <w:marRight w:val="0"/>
      <w:marTop w:val="0"/>
      <w:marBottom w:val="0"/>
      <w:divBdr>
        <w:top w:val="none" w:sz="0" w:space="0" w:color="auto"/>
        <w:left w:val="none" w:sz="0" w:space="0" w:color="auto"/>
        <w:bottom w:val="none" w:sz="0" w:space="0" w:color="auto"/>
        <w:right w:val="none" w:sz="0" w:space="0" w:color="auto"/>
      </w:divBdr>
    </w:div>
    <w:div w:id="1461413625">
      <w:bodyDiv w:val="1"/>
      <w:marLeft w:val="0"/>
      <w:marRight w:val="0"/>
      <w:marTop w:val="0"/>
      <w:marBottom w:val="0"/>
      <w:divBdr>
        <w:top w:val="none" w:sz="0" w:space="0" w:color="auto"/>
        <w:left w:val="none" w:sz="0" w:space="0" w:color="auto"/>
        <w:bottom w:val="none" w:sz="0" w:space="0" w:color="auto"/>
        <w:right w:val="none" w:sz="0" w:space="0" w:color="auto"/>
      </w:divBdr>
    </w:div>
    <w:div w:id="1495488775">
      <w:bodyDiv w:val="1"/>
      <w:marLeft w:val="0"/>
      <w:marRight w:val="0"/>
      <w:marTop w:val="0"/>
      <w:marBottom w:val="0"/>
      <w:divBdr>
        <w:top w:val="none" w:sz="0" w:space="0" w:color="auto"/>
        <w:left w:val="none" w:sz="0" w:space="0" w:color="auto"/>
        <w:bottom w:val="none" w:sz="0" w:space="0" w:color="auto"/>
        <w:right w:val="none" w:sz="0" w:space="0" w:color="auto"/>
      </w:divBdr>
    </w:div>
    <w:div w:id="1539003455">
      <w:bodyDiv w:val="1"/>
      <w:marLeft w:val="0"/>
      <w:marRight w:val="0"/>
      <w:marTop w:val="0"/>
      <w:marBottom w:val="0"/>
      <w:divBdr>
        <w:top w:val="none" w:sz="0" w:space="0" w:color="auto"/>
        <w:left w:val="none" w:sz="0" w:space="0" w:color="auto"/>
        <w:bottom w:val="none" w:sz="0" w:space="0" w:color="auto"/>
        <w:right w:val="none" w:sz="0" w:space="0" w:color="auto"/>
      </w:divBdr>
    </w:div>
    <w:div w:id="1547833543">
      <w:bodyDiv w:val="1"/>
      <w:marLeft w:val="0"/>
      <w:marRight w:val="0"/>
      <w:marTop w:val="0"/>
      <w:marBottom w:val="0"/>
      <w:divBdr>
        <w:top w:val="none" w:sz="0" w:space="0" w:color="auto"/>
        <w:left w:val="none" w:sz="0" w:space="0" w:color="auto"/>
        <w:bottom w:val="none" w:sz="0" w:space="0" w:color="auto"/>
        <w:right w:val="none" w:sz="0" w:space="0" w:color="auto"/>
      </w:divBdr>
    </w:div>
    <w:div w:id="1554658794">
      <w:bodyDiv w:val="1"/>
      <w:marLeft w:val="0"/>
      <w:marRight w:val="0"/>
      <w:marTop w:val="0"/>
      <w:marBottom w:val="0"/>
      <w:divBdr>
        <w:top w:val="none" w:sz="0" w:space="0" w:color="auto"/>
        <w:left w:val="none" w:sz="0" w:space="0" w:color="auto"/>
        <w:bottom w:val="none" w:sz="0" w:space="0" w:color="auto"/>
        <w:right w:val="none" w:sz="0" w:space="0" w:color="auto"/>
      </w:divBdr>
    </w:div>
    <w:div w:id="1556889832">
      <w:bodyDiv w:val="1"/>
      <w:marLeft w:val="0"/>
      <w:marRight w:val="0"/>
      <w:marTop w:val="0"/>
      <w:marBottom w:val="0"/>
      <w:divBdr>
        <w:top w:val="none" w:sz="0" w:space="0" w:color="auto"/>
        <w:left w:val="none" w:sz="0" w:space="0" w:color="auto"/>
        <w:bottom w:val="none" w:sz="0" w:space="0" w:color="auto"/>
        <w:right w:val="none" w:sz="0" w:space="0" w:color="auto"/>
      </w:divBdr>
    </w:div>
    <w:div w:id="1565676133">
      <w:bodyDiv w:val="1"/>
      <w:marLeft w:val="0"/>
      <w:marRight w:val="0"/>
      <w:marTop w:val="0"/>
      <w:marBottom w:val="0"/>
      <w:divBdr>
        <w:top w:val="none" w:sz="0" w:space="0" w:color="auto"/>
        <w:left w:val="none" w:sz="0" w:space="0" w:color="auto"/>
        <w:bottom w:val="none" w:sz="0" w:space="0" w:color="auto"/>
        <w:right w:val="none" w:sz="0" w:space="0" w:color="auto"/>
      </w:divBdr>
    </w:div>
    <w:div w:id="1601330351">
      <w:bodyDiv w:val="1"/>
      <w:marLeft w:val="0"/>
      <w:marRight w:val="0"/>
      <w:marTop w:val="0"/>
      <w:marBottom w:val="0"/>
      <w:divBdr>
        <w:top w:val="none" w:sz="0" w:space="0" w:color="auto"/>
        <w:left w:val="none" w:sz="0" w:space="0" w:color="auto"/>
        <w:bottom w:val="none" w:sz="0" w:space="0" w:color="auto"/>
        <w:right w:val="none" w:sz="0" w:space="0" w:color="auto"/>
      </w:divBdr>
    </w:div>
    <w:div w:id="1624573380">
      <w:bodyDiv w:val="1"/>
      <w:marLeft w:val="0"/>
      <w:marRight w:val="0"/>
      <w:marTop w:val="0"/>
      <w:marBottom w:val="0"/>
      <w:divBdr>
        <w:top w:val="none" w:sz="0" w:space="0" w:color="auto"/>
        <w:left w:val="none" w:sz="0" w:space="0" w:color="auto"/>
        <w:bottom w:val="none" w:sz="0" w:space="0" w:color="auto"/>
        <w:right w:val="none" w:sz="0" w:space="0" w:color="auto"/>
      </w:divBdr>
    </w:div>
    <w:div w:id="1627269256">
      <w:bodyDiv w:val="1"/>
      <w:marLeft w:val="0"/>
      <w:marRight w:val="0"/>
      <w:marTop w:val="0"/>
      <w:marBottom w:val="0"/>
      <w:divBdr>
        <w:top w:val="none" w:sz="0" w:space="0" w:color="auto"/>
        <w:left w:val="none" w:sz="0" w:space="0" w:color="auto"/>
        <w:bottom w:val="none" w:sz="0" w:space="0" w:color="auto"/>
        <w:right w:val="none" w:sz="0" w:space="0" w:color="auto"/>
      </w:divBdr>
    </w:div>
    <w:div w:id="1630359104">
      <w:bodyDiv w:val="1"/>
      <w:marLeft w:val="0"/>
      <w:marRight w:val="0"/>
      <w:marTop w:val="0"/>
      <w:marBottom w:val="0"/>
      <w:divBdr>
        <w:top w:val="none" w:sz="0" w:space="0" w:color="auto"/>
        <w:left w:val="none" w:sz="0" w:space="0" w:color="auto"/>
        <w:bottom w:val="none" w:sz="0" w:space="0" w:color="auto"/>
        <w:right w:val="none" w:sz="0" w:space="0" w:color="auto"/>
      </w:divBdr>
    </w:div>
    <w:div w:id="1645160053">
      <w:bodyDiv w:val="1"/>
      <w:marLeft w:val="0"/>
      <w:marRight w:val="0"/>
      <w:marTop w:val="0"/>
      <w:marBottom w:val="0"/>
      <w:divBdr>
        <w:top w:val="none" w:sz="0" w:space="0" w:color="auto"/>
        <w:left w:val="none" w:sz="0" w:space="0" w:color="auto"/>
        <w:bottom w:val="none" w:sz="0" w:space="0" w:color="auto"/>
        <w:right w:val="none" w:sz="0" w:space="0" w:color="auto"/>
      </w:divBdr>
    </w:div>
    <w:div w:id="1654946512">
      <w:bodyDiv w:val="1"/>
      <w:marLeft w:val="0"/>
      <w:marRight w:val="0"/>
      <w:marTop w:val="0"/>
      <w:marBottom w:val="0"/>
      <w:divBdr>
        <w:top w:val="none" w:sz="0" w:space="0" w:color="auto"/>
        <w:left w:val="none" w:sz="0" w:space="0" w:color="auto"/>
        <w:bottom w:val="none" w:sz="0" w:space="0" w:color="auto"/>
        <w:right w:val="none" w:sz="0" w:space="0" w:color="auto"/>
      </w:divBdr>
    </w:div>
    <w:div w:id="1655646239">
      <w:bodyDiv w:val="1"/>
      <w:marLeft w:val="0"/>
      <w:marRight w:val="0"/>
      <w:marTop w:val="0"/>
      <w:marBottom w:val="0"/>
      <w:divBdr>
        <w:top w:val="none" w:sz="0" w:space="0" w:color="auto"/>
        <w:left w:val="none" w:sz="0" w:space="0" w:color="auto"/>
        <w:bottom w:val="none" w:sz="0" w:space="0" w:color="auto"/>
        <w:right w:val="none" w:sz="0" w:space="0" w:color="auto"/>
      </w:divBdr>
    </w:div>
    <w:div w:id="1661618621">
      <w:bodyDiv w:val="1"/>
      <w:marLeft w:val="0"/>
      <w:marRight w:val="0"/>
      <w:marTop w:val="0"/>
      <w:marBottom w:val="0"/>
      <w:divBdr>
        <w:top w:val="none" w:sz="0" w:space="0" w:color="auto"/>
        <w:left w:val="none" w:sz="0" w:space="0" w:color="auto"/>
        <w:bottom w:val="none" w:sz="0" w:space="0" w:color="auto"/>
        <w:right w:val="none" w:sz="0" w:space="0" w:color="auto"/>
      </w:divBdr>
    </w:div>
    <w:div w:id="1666205838">
      <w:bodyDiv w:val="1"/>
      <w:marLeft w:val="0"/>
      <w:marRight w:val="0"/>
      <w:marTop w:val="0"/>
      <w:marBottom w:val="0"/>
      <w:divBdr>
        <w:top w:val="none" w:sz="0" w:space="0" w:color="auto"/>
        <w:left w:val="none" w:sz="0" w:space="0" w:color="auto"/>
        <w:bottom w:val="none" w:sz="0" w:space="0" w:color="auto"/>
        <w:right w:val="none" w:sz="0" w:space="0" w:color="auto"/>
      </w:divBdr>
    </w:div>
    <w:div w:id="1674986945">
      <w:bodyDiv w:val="1"/>
      <w:marLeft w:val="0"/>
      <w:marRight w:val="0"/>
      <w:marTop w:val="0"/>
      <w:marBottom w:val="0"/>
      <w:divBdr>
        <w:top w:val="none" w:sz="0" w:space="0" w:color="auto"/>
        <w:left w:val="none" w:sz="0" w:space="0" w:color="auto"/>
        <w:bottom w:val="none" w:sz="0" w:space="0" w:color="auto"/>
        <w:right w:val="none" w:sz="0" w:space="0" w:color="auto"/>
      </w:divBdr>
    </w:div>
    <w:div w:id="1676345474">
      <w:bodyDiv w:val="1"/>
      <w:marLeft w:val="0"/>
      <w:marRight w:val="0"/>
      <w:marTop w:val="0"/>
      <w:marBottom w:val="0"/>
      <w:divBdr>
        <w:top w:val="none" w:sz="0" w:space="0" w:color="auto"/>
        <w:left w:val="none" w:sz="0" w:space="0" w:color="auto"/>
        <w:bottom w:val="none" w:sz="0" w:space="0" w:color="auto"/>
        <w:right w:val="none" w:sz="0" w:space="0" w:color="auto"/>
      </w:divBdr>
    </w:div>
    <w:div w:id="1697735344">
      <w:bodyDiv w:val="1"/>
      <w:marLeft w:val="0"/>
      <w:marRight w:val="0"/>
      <w:marTop w:val="0"/>
      <w:marBottom w:val="0"/>
      <w:divBdr>
        <w:top w:val="none" w:sz="0" w:space="0" w:color="auto"/>
        <w:left w:val="none" w:sz="0" w:space="0" w:color="auto"/>
        <w:bottom w:val="none" w:sz="0" w:space="0" w:color="auto"/>
        <w:right w:val="none" w:sz="0" w:space="0" w:color="auto"/>
      </w:divBdr>
    </w:div>
    <w:div w:id="1745764702">
      <w:bodyDiv w:val="1"/>
      <w:marLeft w:val="0"/>
      <w:marRight w:val="0"/>
      <w:marTop w:val="0"/>
      <w:marBottom w:val="0"/>
      <w:divBdr>
        <w:top w:val="none" w:sz="0" w:space="0" w:color="auto"/>
        <w:left w:val="none" w:sz="0" w:space="0" w:color="auto"/>
        <w:bottom w:val="none" w:sz="0" w:space="0" w:color="auto"/>
        <w:right w:val="none" w:sz="0" w:space="0" w:color="auto"/>
      </w:divBdr>
    </w:div>
    <w:div w:id="1754936389">
      <w:bodyDiv w:val="1"/>
      <w:marLeft w:val="0"/>
      <w:marRight w:val="0"/>
      <w:marTop w:val="0"/>
      <w:marBottom w:val="0"/>
      <w:divBdr>
        <w:top w:val="none" w:sz="0" w:space="0" w:color="auto"/>
        <w:left w:val="none" w:sz="0" w:space="0" w:color="auto"/>
        <w:bottom w:val="none" w:sz="0" w:space="0" w:color="auto"/>
        <w:right w:val="none" w:sz="0" w:space="0" w:color="auto"/>
      </w:divBdr>
    </w:div>
    <w:div w:id="1755857484">
      <w:bodyDiv w:val="1"/>
      <w:marLeft w:val="0"/>
      <w:marRight w:val="0"/>
      <w:marTop w:val="0"/>
      <w:marBottom w:val="0"/>
      <w:divBdr>
        <w:top w:val="none" w:sz="0" w:space="0" w:color="auto"/>
        <w:left w:val="none" w:sz="0" w:space="0" w:color="auto"/>
        <w:bottom w:val="none" w:sz="0" w:space="0" w:color="auto"/>
        <w:right w:val="none" w:sz="0" w:space="0" w:color="auto"/>
      </w:divBdr>
    </w:div>
    <w:div w:id="1763530390">
      <w:bodyDiv w:val="1"/>
      <w:marLeft w:val="0"/>
      <w:marRight w:val="0"/>
      <w:marTop w:val="0"/>
      <w:marBottom w:val="0"/>
      <w:divBdr>
        <w:top w:val="none" w:sz="0" w:space="0" w:color="auto"/>
        <w:left w:val="none" w:sz="0" w:space="0" w:color="auto"/>
        <w:bottom w:val="none" w:sz="0" w:space="0" w:color="auto"/>
        <w:right w:val="none" w:sz="0" w:space="0" w:color="auto"/>
      </w:divBdr>
    </w:div>
    <w:div w:id="1792087920">
      <w:bodyDiv w:val="1"/>
      <w:marLeft w:val="0"/>
      <w:marRight w:val="0"/>
      <w:marTop w:val="0"/>
      <w:marBottom w:val="0"/>
      <w:divBdr>
        <w:top w:val="none" w:sz="0" w:space="0" w:color="auto"/>
        <w:left w:val="none" w:sz="0" w:space="0" w:color="auto"/>
        <w:bottom w:val="none" w:sz="0" w:space="0" w:color="auto"/>
        <w:right w:val="none" w:sz="0" w:space="0" w:color="auto"/>
      </w:divBdr>
    </w:div>
    <w:div w:id="1792935781">
      <w:bodyDiv w:val="1"/>
      <w:marLeft w:val="0"/>
      <w:marRight w:val="0"/>
      <w:marTop w:val="0"/>
      <w:marBottom w:val="0"/>
      <w:divBdr>
        <w:top w:val="none" w:sz="0" w:space="0" w:color="auto"/>
        <w:left w:val="none" w:sz="0" w:space="0" w:color="auto"/>
        <w:bottom w:val="none" w:sz="0" w:space="0" w:color="auto"/>
        <w:right w:val="none" w:sz="0" w:space="0" w:color="auto"/>
      </w:divBdr>
    </w:div>
    <w:div w:id="1805730545">
      <w:bodyDiv w:val="1"/>
      <w:marLeft w:val="0"/>
      <w:marRight w:val="0"/>
      <w:marTop w:val="0"/>
      <w:marBottom w:val="0"/>
      <w:divBdr>
        <w:top w:val="none" w:sz="0" w:space="0" w:color="auto"/>
        <w:left w:val="none" w:sz="0" w:space="0" w:color="auto"/>
        <w:bottom w:val="none" w:sz="0" w:space="0" w:color="auto"/>
        <w:right w:val="none" w:sz="0" w:space="0" w:color="auto"/>
      </w:divBdr>
    </w:div>
    <w:div w:id="1808818486">
      <w:bodyDiv w:val="1"/>
      <w:marLeft w:val="0"/>
      <w:marRight w:val="0"/>
      <w:marTop w:val="0"/>
      <w:marBottom w:val="0"/>
      <w:divBdr>
        <w:top w:val="none" w:sz="0" w:space="0" w:color="auto"/>
        <w:left w:val="none" w:sz="0" w:space="0" w:color="auto"/>
        <w:bottom w:val="none" w:sz="0" w:space="0" w:color="auto"/>
        <w:right w:val="none" w:sz="0" w:space="0" w:color="auto"/>
      </w:divBdr>
    </w:div>
    <w:div w:id="1809736165">
      <w:bodyDiv w:val="1"/>
      <w:marLeft w:val="0"/>
      <w:marRight w:val="0"/>
      <w:marTop w:val="0"/>
      <w:marBottom w:val="0"/>
      <w:divBdr>
        <w:top w:val="none" w:sz="0" w:space="0" w:color="auto"/>
        <w:left w:val="none" w:sz="0" w:space="0" w:color="auto"/>
        <w:bottom w:val="none" w:sz="0" w:space="0" w:color="auto"/>
        <w:right w:val="none" w:sz="0" w:space="0" w:color="auto"/>
      </w:divBdr>
    </w:div>
    <w:div w:id="1837914240">
      <w:bodyDiv w:val="1"/>
      <w:marLeft w:val="0"/>
      <w:marRight w:val="0"/>
      <w:marTop w:val="0"/>
      <w:marBottom w:val="0"/>
      <w:divBdr>
        <w:top w:val="none" w:sz="0" w:space="0" w:color="auto"/>
        <w:left w:val="none" w:sz="0" w:space="0" w:color="auto"/>
        <w:bottom w:val="none" w:sz="0" w:space="0" w:color="auto"/>
        <w:right w:val="none" w:sz="0" w:space="0" w:color="auto"/>
      </w:divBdr>
    </w:div>
    <w:div w:id="1849364617">
      <w:bodyDiv w:val="1"/>
      <w:marLeft w:val="0"/>
      <w:marRight w:val="0"/>
      <w:marTop w:val="0"/>
      <w:marBottom w:val="0"/>
      <w:divBdr>
        <w:top w:val="none" w:sz="0" w:space="0" w:color="auto"/>
        <w:left w:val="none" w:sz="0" w:space="0" w:color="auto"/>
        <w:bottom w:val="none" w:sz="0" w:space="0" w:color="auto"/>
        <w:right w:val="none" w:sz="0" w:space="0" w:color="auto"/>
      </w:divBdr>
    </w:div>
    <w:div w:id="1853453141">
      <w:bodyDiv w:val="1"/>
      <w:marLeft w:val="0"/>
      <w:marRight w:val="0"/>
      <w:marTop w:val="0"/>
      <w:marBottom w:val="0"/>
      <w:divBdr>
        <w:top w:val="none" w:sz="0" w:space="0" w:color="auto"/>
        <w:left w:val="none" w:sz="0" w:space="0" w:color="auto"/>
        <w:bottom w:val="none" w:sz="0" w:space="0" w:color="auto"/>
        <w:right w:val="none" w:sz="0" w:space="0" w:color="auto"/>
      </w:divBdr>
    </w:div>
    <w:div w:id="1866551778">
      <w:bodyDiv w:val="1"/>
      <w:marLeft w:val="0"/>
      <w:marRight w:val="0"/>
      <w:marTop w:val="0"/>
      <w:marBottom w:val="0"/>
      <w:divBdr>
        <w:top w:val="none" w:sz="0" w:space="0" w:color="auto"/>
        <w:left w:val="none" w:sz="0" w:space="0" w:color="auto"/>
        <w:bottom w:val="none" w:sz="0" w:space="0" w:color="auto"/>
        <w:right w:val="none" w:sz="0" w:space="0" w:color="auto"/>
      </w:divBdr>
    </w:div>
    <w:div w:id="1887258819">
      <w:bodyDiv w:val="1"/>
      <w:marLeft w:val="0"/>
      <w:marRight w:val="0"/>
      <w:marTop w:val="0"/>
      <w:marBottom w:val="0"/>
      <w:divBdr>
        <w:top w:val="none" w:sz="0" w:space="0" w:color="auto"/>
        <w:left w:val="none" w:sz="0" w:space="0" w:color="auto"/>
        <w:bottom w:val="none" w:sz="0" w:space="0" w:color="auto"/>
        <w:right w:val="none" w:sz="0" w:space="0" w:color="auto"/>
      </w:divBdr>
    </w:div>
    <w:div w:id="1896577370">
      <w:bodyDiv w:val="1"/>
      <w:marLeft w:val="0"/>
      <w:marRight w:val="0"/>
      <w:marTop w:val="0"/>
      <w:marBottom w:val="0"/>
      <w:divBdr>
        <w:top w:val="none" w:sz="0" w:space="0" w:color="auto"/>
        <w:left w:val="none" w:sz="0" w:space="0" w:color="auto"/>
        <w:bottom w:val="none" w:sz="0" w:space="0" w:color="auto"/>
        <w:right w:val="none" w:sz="0" w:space="0" w:color="auto"/>
      </w:divBdr>
    </w:div>
    <w:div w:id="1905221129">
      <w:bodyDiv w:val="1"/>
      <w:marLeft w:val="0"/>
      <w:marRight w:val="0"/>
      <w:marTop w:val="0"/>
      <w:marBottom w:val="0"/>
      <w:divBdr>
        <w:top w:val="none" w:sz="0" w:space="0" w:color="auto"/>
        <w:left w:val="none" w:sz="0" w:space="0" w:color="auto"/>
        <w:bottom w:val="none" w:sz="0" w:space="0" w:color="auto"/>
        <w:right w:val="none" w:sz="0" w:space="0" w:color="auto"/>
      </w:divBdr>
    </w:div>
    <w:div w:id="1914004885">
      <w:bodyDiv w:val="1"/>
      <w:marLeft w:val="0"/>
      <w:marRight w:val="0"/>
      <w:marTop w:val="0"/>
      <w:marBottom w:val="0"/>
      <w:divBdr>
        <w:top w:val="none" w:sz="0" w:space="0" w:color="auto"/>
        <w:left w:val="none" w:sz="0" w:space="0" w:color="auto"/>
        <w:bottom w:val="none" w:sz="0" w:space="0" w:color="auto"/>
        <w:right w:val="none" w:sz="0" w:space="0" w:color="auto"/>
      </w:divBdr>
    </w:div>
    <w:div w:id="1930892555">
      <w:bodyDiv w:val="1"/>
      <w:marLeft w:val="0"/>
      <w:marRight w:val="0"/>
      <w:marTop w:val="0"/>
      <w:marBottom w:val="0"/>
      <w:divBdr>
        <w:top w:val="none" w:sz="0" w:space="0" w:color="auto"/>
        <w:left w:val="none" w:sz="0" w:space="0" w:color="auto"/>
        <w:bottom w:val="none" w:sz="0" w:space="0" w:color="auto"/>
        <w:right w:val="none" w:sz="0" w:space="0" w:color="auto"/>
      </w:divBdr>
    </w:div>
    <w:div w:id="1934895112">
      <w:bodyDiv w:val="1"/>
      <w:marLeft w:val="0"/>
      <w:marRight w:val="0"/>
      <w:marTop w:val="0"/>
      <w:marBottom w:val="0"/>
      <w:divBdr>
        <w:top w:val="none" w:sz="0" w:space="0" w:color="auto"/>
        <w:left w:val="none" w:sz="0" w:space="0" w:color="auto"/>
        <w:bottom w:val="none" w:sz="0" w:space="0" w:color="auto"/>
        <w:right w:val="none" w:sz="0" w:space="0" w:color="auto"/>
      </w:divBdr>
    </w:div>
    <w:div w:id="1953971473">
      <w:bodyDiv w:val="1"/>
      <w:marLeft w:val="0"/>
      <w:marRight w:val="0"/>
      <w:marTop w:val="0"/>
      <w:marBottom w:val="0"/>
      <w:divBdr>
        <w:top w:val="none" w:sz="0" w:space="0" w:color="auto"/>
        <w:left w:val="none" w:sz="0" w:space="0" w:color="auto"/>
        <w:bottom w:val="none" w:sz="0" w:space="0" w:color="auto"/>
        <w:right w:val="none" w:sz="0" w:space="0" w:color="auto"/>
      </w:divBdr>
    </w:div>
    <w:div w:id="1977372664">
      <w:bodyDiv w:val="1"/>
      <w:marLeft w:val="0"/>
      <w:marRight w:val="0"/>
      <w:marTop w:val="0"/>
      <w:marBottom w:val="0"/>
      <w:divBdr>
        <w:top w:val="none" w:sz="0" w:space="0" w:color="auto"/>
        <w:left w:val="none" w:sz="0" w:space="0" w:color="auto"/>
        <w:bottom w:val="none" w:sz="0" w:space="0" w:color="auto"/>
        <w:right w:val="none" w:sz="0" w:space="0" w:color="auto"/>
      </w:divBdr>
    </w:div>
    <w:div w:id="2005543296">
      <w:bodyDiv w:val="1"/>
      <w:marLeft w:val="0"/>
      <w:marRight w:val="0"/>
      <w:marTop w:val="0"/>
      <w:marBottom w:val="0"/>
      <w:divBdr>
        <w:top w:val="none" w:sz="0" w:space="0" w:color="auto"/>
        <w:left w:val="none" w:sz="0" w:space="0" w:color="auto"/>
        <w:bottom w:val="none" w:sz="0" w:space="0" w:color="auto"/>
        <w:right w:val="none" w:sz="0" w:space="0" w:color="auto"/>
      </w:divBdr>
    </w:div>
    <w:div w:id="2011250310">
      <w:bodyDiv w:val="1"/>
      <w:marLeft w:val="0"/>
      <w:marRight w:val="0"/>
      <w:marTop w:val="0"/>
      <w:marBottom w:val="0"/>
      <w:divBdr>
        <w:top w:val="none" w:sz="0" w:space="0" w:color="auto"/>
        <w:left w:val="none" w:sz="0" w:space="0" w:color="auto"/>
        <w:bottom w:val="none" w:sz="0" w:space="0" w:color="auto"/>
        <w:right w:val="none" w:sz="0" w:space="0" w:color="auto"/>
      </w:divBdr>
    </w:div>
    <w:div w:id="2022202920">
      <w:bodyDiv w:val="1"/>
      <w:marLeft w:val="0"/>
      <w:marRight w:val="0"/>
      <w:marTop w:val="0"/>
      <w:marBottom w:val="0"/>
      <w:divBdr>
        <w:top w:val="none" w:sz="0" w:space="0" w:color="auto"/>
        <w:left w:val="none" w:sz="0" w:space="0" w:color="auto"/>
        <w:bottom w:val="none" w:sz="0" w:space="0" w:color="auto"/>
        <w:right w:val="none" w:sz="0" w:space="0" w:color="auto"/>
      </w:divBdr>
    </w:div>
    <w:div w:id="2027058373">
      <w:bodyDiv w:val="1"/>
      <w:marLeft w:val="0"/>
      <w:marRight w:val="0"/>
      <w:marTop w:val="0"/>
      <w:marBottom w:val="0"/>
      <w:divBdr>
        <w:top w:val="none" w:sz="0" w:space="0" w:color="auto"/>
        <w:left w:val="none" w:sz="0" w:space="0" w:color="auto"/>
        <w:bottom w:val="none" w:sz="0" w:space="0" w:color="auto"/>
        <w:right w:val="none" w:sz="0" w:space="0" w:color="auto"/>
      </w:divBdr>
    </w:div>
    <w:div w:id="2044280367">
      <w:bodyDiv w:val="1"/>
      <w:marLeft w:val="0"/>
      <w:marRight w:val="0"/>
      <w:marTop w:val="0"/>
      <w:marBottom w:val="0"/>
      <w:divBdr>
        <w:top w:val="none" w:sz="0" w:space="0" w:color="auto"/>
        <w:left w:val="none" w:sz="0" w:space="0" w:color="auto"/>
        <w:bottom w:val="none" w:sz="0" w:space="0" w:color="auto"/>
        <w:right w:val="none" w:sz="0" w:space="0" w:color="auto"/>
      </w:divBdr>
    </w:div>
    <w:div w:id="2052070241">
      <w:bodyDiv w:val="1"/>
      <w:marLeft w:val="0"/>
      <w:marRight w:val="0"/>
      <w:marTop w:val="0"/>
      <w:marBottom w:val="0"/>
      <w:divBdr>
        <w:top w:val="none" w:sz="0" w:space="0" w:color="auto"/>
        <w:left w:val="none" w:sz="0" w:space="0" w:color="auto"/>
        <w:bottom w:val="none" w:sz="0" w:space="0" w:color="auto"/>
        <w:right w:val="none" w:sz="0" w:space="0" w:color="auto"/>
      </w:divBdr>
    </w:div>
    <w:div w:id="2052458221">
      <w:bodyDiv w:val="1"/>
      <w:marLeft w:val="0"/>
      <w:marRight w:val="0"/>
      <w:marTop w:val="0"/>
      <w:marBottom w:val="0"/>
      <w:divBdr>
        <w:top w:val="none" w:sz="0" w:space="0" w:color="auto"/>
        <w:left w:val="none" w:sz="0" w:space="0" w:color="auto"/>
        <w:bottom w:val="none" w:sz="0" w:space="0" w:color="auto"/>
        <w:right w:val="none" w:sz="0" w:space="0" w:color="auto"/>
      </w:divBdr>
    </w:div>
    <w:div w:id="2063170709">
      <w:bodyDiv w:val="1"/>
      <w:marLeft w:val="0"/>
      <w:marRight w:val="0"/>
      <w:marTop w:val="0"/>
      <w:marBottom w:val="0"/>
      <w:divBdr>
        <w:top w:val="none" w:sz="0" w:space="0" w:color="auto"/>
        <w:left w:val="none" w:sz="0" w:space="0" w:color="auto"/>
        <w:bottom w:val="none" w:sz="0" w:space="0" w:color="auto"/>
        <w:right w:val="none" w:sz="0" w:space="0" w:color="auto"/>
      </w:divBdr>
    </w:div>
    <w:div w:id="2070374369">
      <w:bodyDiv w:val="1"/>
      <w:marLeft w:val="0"/>
      <w:marRight w:val="0"/>
      <w:marTop w:val="0"/>
      <w:marBottom w:val="0"/>
      <w:divBdr>
        <w:top w:val="none" w:sz="0" w:space="0" w:color="auto"/>
        <w:left w:val="none" w:sz="0" w:space="0" w:color="auto"/>
        <w:bottom w:val="none" w:sz="0" w:space="0" w:color="auto"/>
        <w:right w:val="none" w:sz="0" w:space="0" w:color="auto"/>
      </w:divBdr>
    </w:div>
    <w:div w:id="2073581859">
      <w:bodyDiv w:val="1"/>
      <w:marLeft w:val="0"/>
      <w:marRight w:val="0"/>
      <w:marTop w:val="0"/>
      <w:marBottom w:val="0"/>
      <w:divBdr>
        <w:top w:val="none" w:sz="0" w:space="0" w:color="auto"/>
        <w:left w:val="none" w:sz="0" w:space="0" w:color="auto"/>
        <w:bottom w:val="none" w:sz="0" w:space="0" w:color="auto"/>
        <w:right w:val="none" w:sz="0" w:space="0" w:color="auto"/>
      </w:divBdr>
    </w:div>
    <w:div w:id="2076391156">
      <w:bodyDiv w:val="1"/>
      <w:marLeft w:val="0"/>
      <w:marRight w:val="0"/>
      <w:marTop w:val="0"/>
      <w:marBottom w:val="0"/>
      <w:divBdr>
        <w:top w:val="none" w:sz="0" w:space="0" w:color="auto"/>
        <w:left w:val="none" w:sz="0" w:space="0" w:color="auto"/>
        <w:bottom w:val="none" w:sz="0" w:space="0" w:color="auto"/>
        <w:right w:val="none" w:sz="0" w:space="0" w:color="auto"/>
      </w:divBdr>
    </w:div>
    <w:div w:id="2076736631">
      <w:bodyDiv w:val="1"/>
      <w:marLeft w:val="0"/>
      <w:marRight w:val="0"/>
      <w:marTop w:val="0"/>
      <w:marBottom w:val="0"/>
      <w:divBdr>
        <w:top w:val="none" w:sz="0" w:space="0" w:color="auto"/>
        <w:left w:val="none" w:sz="0" w:space="0" w:color="auto"/>
        <w:bottom w:val="none" w:sz="0" w:space="0" w:color="auto"/>
        <w:right w:val="none" w:sz="0" w:space="0" w:color="auto"/>
      </w:divBdr>
    </w:div>
    <w:div w:id="2098481858">
      <w:bodyDiv w:val="1"/>
      <w:marLeft w:val="0"/>
      <w:marRight w:val="0"/>
      <w:marTop w:val="0"/>
      <w:marBottom w:val="0"/>
      <w:divBdr>
        <w:top w:val="none" w:sz="0" w:space="0" w:color="auto"/>
        <w:left w:val="none" w:sz="0" w:space="0" w:color="auto"/>
        <w:bottom w:val="none" w:sz="0" w:space="0" w:color="auto"/>
        <w:right w:val="none" w:sz="0" w:space="0" w:color="auto"/>
      </w:divBdr>
    </w:div>
    <w:div w:id="213905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4.xlsx"/><Relationship Id="rId3" Type="http://schemas.openxmlformats.org/officeDocument/2006/relationships/styles" Target="styles.xml"/><Relationship Id="rId21" Type="http://schemas.openxmlformats.org/officeDocument/2006/relationships/hyperlink" Target="http://www.nap.edu/openbook.php?record_id=10022&amp;page=86" TargetMode="Externa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hyperlink" Target="http://ies.ed.gov/ncee/pdf/2008402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sedl.org/pubs/fam107/fam107.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Microsoft_Excel_Worksheet2.xlsx"/><Relationship Id="rId22" Type="http://schemas.openxmlformats.org/officeDocument/2006/relationships/hyperlink" Target="http://childcare.wceruw.org/pdf/pp/year2_executive_summary_and_brief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564D6-CD87-4364-B2B6-58B5445D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8197</Words>
  <Characters>46729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21st CCLC Performance Data: 2012–13 (MSWord)</vt:lpstr>
    </vt:vector>
  </TitlesOfParts>
  <LinksUpToDate>false</LinksUpToDate>
  <CharactersWithSpaces>54817</CharactersWithSpaces>
  <SharedDoc>false</SharedDoc>
  <HLinks>
    <vt:vector size="42" baseType="variant">
      <vt:variant>
        <vt:i4>4391010</vt:i4>
      </vt:variant>
      <vt:variant>
        <vt:i4>444</vt:i4>
      </vt:variant>
      <vt:variant>
        <vt:i4>0</vt:i4>
      </vt:variant>
      <vt:variant>
        <vt:i4>5</vt:i4>
      </vt:variant>
      <vt:variant>
        <vt:lpwstr>http://childcare.wceruw.org/pdf/pp/study_of_after_school_activities_descriptive_report_year1.pdf</vt:lpwstr>
      </vt:variant>
      <vt:variant>
        <vt:lpwstr/>
      </vt:variant>
      <vt:variant>
        <vt:i4>6881369</vt:i4>
      </vt:variant>
      <vt:variant>
        <vt:i4>441</vt:i4>
      </vt:variant>
      <vt:variant>
        <vt:i4>0</vt:i4>
      </vt:variant>
      <vt:variant>
        <vt:i4>5</vt:i4>
      </vt:variant>
      <vt:variant>
        <vt:lpwstr>http://childcare.wceruw.org/pdf/pp/year2_executive_summary_and_brief_report.pdf</vt:lpwstr>
      </vt:variant>
      <vt:variant>
        <vt:lpwstr/>
      </vt:variant>
      <vt:variant>
        <vt:i4>6815857</vt:i4>
      </vt:variant>
      <vt:variant>
        <vt:i4>438</vt:i4>
      </vt:variant>
      <vt:variant>
        <vt:i4>0</vt:i4>
      </vt:variant>
      <vt:variant>
        <vt:i4>5</vt:i4>
      </vt:variant>
      <vt:variant>
        <vt:lpwstr>http://www.srcd.org/documents/publications/spr/spr22-2.pdf</vt:lpwstr>
      </vt:variant>
      <vt:variant>
        <vt:lpwstr/>
      </vt:variant>
      <vt:variant>
        <vt:i4>7929871</vt:i4>
      </vt:variant>
      <vt:variant>
        <vt:i4>435</vt:i4>
      </vt:variant>
      <vt:variant>
        <vt:i4>0</vt:i4>
      </vt:variant>
      <vt:variant>
        <vt:i4>5</vt:i4>
      </vt:variant>
      <vt:variant>
        <vt:lpwstr>http://www.nap.edu/openbook.php?record_id=10022&amp;page=86</vt:lpwstr>
      </vt:variant>
      <vt:variant>
        <vt:lpwstr/>
      </vt:variant>
      <vt:variant>
        <vt:i4>6488117</vt:i4>
      </vt:variant>
      <vt:variant>
        <vt:i4>432</vt:i4>
      </vt:variant>
      <vt:variant>
        <vt:i4>0</vt:i4>
      </vt:variant>
      <vt:variant>
        <vt:i4>5</vt:i4>
      </vt:variant>
      <vt:variant>
        <vt:lpwstr>http://www.casel.org/downloads/ASP-Full.pdf</vt:lpwstr>
      </vt:variant>
      <vt:variant>
        <vt:lpwstr/>
      </vt:variant>
      <vt:variant>
        <vt:i4>6553633</vt:i4>
      </vt:variant>
      <vt:variant>
        <vt:i4>429</vt:i4>
      </vt:variant>
      <vt:variant>
        <vt:i4>0</vt:i4>
      </vt:variant>
      <vt:variant>
        <vt:i4>5</vt:i4>
      </vt:variant>
      <vt:variant>
        <vt:lpwstr>http://ies.ed.gov/ncee/pdf/20084021.pdf</vt:lpwstr>
      </vt:variant>
      <vt:variant>
        <vt:lpwstr/>
      </vt:variant>
      <vt:variant>
        <vt:i4>2883706</vt:i4>
      </vt:variant>
      <vt:variant>
        <vt:i4>426</vt:i4>
      </vt:variant>
      <vt:variant>
        <vt:i4>0</vt:i4>
      </vt:variant>
      <vt:variant>
        <vt:i4>5</vt:i4>
      </vt:variant>
      <vt:variant>
        <vt:lpwstr>http://www.sedl.org/pubs/fam107/fam107.pdf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CCLC Performance Data: 2012–13 (MSWord)</dc:title>
  <dc:creator>U.S Department of Education</dc:creator>
  <cp:lastModifiedBy/>
  <cp:revision>1</cp:revision>
  <dcterms:created xsi:type="dcterms:W3CDTF">2016-03-18T19:15:00Z</dcterms:created>
  <dcterms:modified xsi:type="dcterms:W3CDTF">2016-03-22T18:54:00Z</dcterms:modified>
</cp:coreProperties>
</file>