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C036" w14:textId="77777777" w:rsidR="00802E99" w:rsidRPr="00F3019F" w:rsidRDefault="00C825C6" w:rsidP="00F3019F">
      <w:pPr>
        <w:pStyle w:val="Heading1"/>
      </w:pPr>
      <w:bookmarkStart w:id="0" w:name="_GoBack"/>
      <w:r>
        <w:t>Summary of Part 686 – TEACH Grants</w:t>
      </w:r>
    </w:p>
    <w:bookmarkEnd w:id="0"/>
    <w:p w14:paraId="60ABC217" w14:textId="77777777" w:rsidR="00802E99" w:rsidRPr="00F3019F" w:rsidRDefault="00802E99" w:rsidP="00F3019F">
      <w:pPr>
        <w:pStyle w:val="Heading2"/>
      </w:pPr>
      <w:r w:rsidRPr="00F3019F">
        <w:t>Subpart A – Scope, Purpose, and General Definitions</w:t>
      </w:r>
    </w:p>
    <w:p w14:paraId="3841CA8B" w14:textId="77777777" w:rsidR="00802E99" w:rsidRPr="006153FE" w:rsidRDefault="00802E99" w:rsidP="00F3019F">
      <w:pPr>
        <w:pStyle w:val="Heading3"/>
      </w:pPr>
      <w:r w:rsidRPr="00F3019F">
        <w:t>§ 686.1</w:t>
      </w:r>
      <w:r w:rsidR="009C696D" w:rsidRPr="00F3019F">
        <w:t xml:space="preserve"> </w:t>
      </w:r>
      <w:r w:rsidRPr="00F3019F">
        <w:t>Scope and purpose.</w:t>
      </w:r>
    </w:p>
    <w:p w14:paraId="4F03F656" w14:textId="77777777" w:rsidR="00230354" w:rsidRPr="00230354" w:rsidRDefault="00230354" w:rsidP="00802E99">
      <w:pPr>
        <w:numPr>
          <w:ilvl w:val="0"/>
          <w:numId w:val="1"/>
        </w:numPr>
        <w:spacing w:after="0" w:line="240" w:lineRule="auto"/>
        <w:rPr>
          <w:b/>
          <w:bCs/>
        </w:rPr>
      </w:pPr>
      <w:r>
        <w:t>Revise the description of the TEACH Grant Program to clarify that grant recipients can satisfy the service obligation by teaching for an educational service agency serving low-income students.  In addition, as a result of the change to the definition of school in 668.2, this regulation would also provide that grant recipients can satisfy their teaching obligation by teaching at a private school serving low-income students.</w:t>
      </w:r>
    </w:p>
    <w:p w14:paraId="660E11CA" w14:textId="77777777" w:rsidR="00802E99" w:rsidRPr="006153FE" w:rsidRDefault="00235733" w:rsidP="00802E99">
      <w:pPr>
        <w:numPr>
          <w:ilvl w:val="0"/>
          <w:numId w:val="1"/>
        </w:numPr>
        <w:spacing w:after="0" w:line="240" w:lineRule="auto"/>
        <w:rPr>
          <w:b/>
          <w:bCs/>
        </w:rPr>
      </w:pPr>
      <w:r w:rsidRPr="006153FE">
        <w:rPr>
          <w:bCs/>
        </w:rPr>
        <w:t xml:space="preserve">Clarify that </w:t>
      </w:r>
      <w:r w:rsidR="00802E99" w:rsidRPr="006153FE">
        <w:rPr>
          <w:bCs/>
        </w:rPr>
        <w:t xml:space="preserve">the </w:t>
      </w:r>
      <w:r w:rsidR="0091008C" w:rsidRPr="006153FE">
        <w:rPr>
          <w:bCs/>
        </w:rPr>
        <w:t>eight</w:t>
      </w:r>
      <w:r w:rsidR="00802E99" w:rsidRPr="006153FE">
        <w:rPr>
          <w:bCs/>
        </w:rPr>
        <w:t xml:space="preserve">-year period for completing the service obligation </w:t>
      </w:r>
      <w:r w:rsidRPr="006153FE">
        <w:rPr>
          <w:bCs/>
        </w:rPr>
        <w:t xml:space="preserve">begins </w:t>
      </w:r>
      <w:r w:rsidR="00802E99" w:rsidRPr="006153FE">
        <w:rPr>
          <w:bCs/>
        </w:rPr>
        <w:t xml:space="preserve">when the </w:t>
      </w:r>
      <w:r w:rsidRPr="006153FE">
        <w:rPr>
          <w:bCs/>
        </w:rPr>
        <w:t xml:space="preserve">grant </w:t>
      </w:r>
      <w:r w:rsidR="00802E99" w:rsidRPr="006153FE">
        <w:rPr>
          <w:bCs/>
        </w:rPr>
        <w:t xml:space="preserve">recipient ceases enrollment at the institution where he or she received </w:t>
      </w:r>
      <w:r w:rsidRPr="006153FE">
        <w:rPr>
          <w:bCs/>
        </w:rPr>
        <w:t xml:space="preserve">a </w:t>
      </w:r>
      <w:r w:rsidR="00802E99" w:rsidRPr="006153FE">
        <w:rPr>
          <w:bCs/>
        </w:rPr>
        <w:t xml:space="preserve">TEACH Grant. </w:t>
      </w:r>
      <w:r w:rsidR="009D7E8A" w:rsidRPr="006153FE">
        <w:rPr>
          <w:bCs/>
        </w:rPr>
        <w:t xml:space="preserve"> </w:t>
      </w:r>
      <w:r w:rsidR="003B1179" w:rsidRPr="006153FE">
        <w:rPr>
          <w:bCs/>
        </w:rPr>
        <w:t>This is for consistency with existing regulatory language elsewhere in Part 686 and with current operational practice.</w:t>
      </w:r>
      <w:r w:rsidR="00802E99" w:rsidRPr="006153FE">
        <w:rPr>
          <w:bCs/>
        </w:rPr>
        <w:t xml:space="preserve"> </w:t>
      </w:r>
      <w:r w:rsidR="009D7E8A" w:rsidRPr="006153FE">
        <w:rPr>
          <w:bCs/>
        </w:rPr>
        <w:t xml:space="preserve"> </w:t>
      </w:r>
      <w:r w:rsidR="003B1179" w:rsidRPr="006153FE">
        <w:rPr>
          <w:bCs/>
        </w:rPr>
        <w:t xml:space="preserve">Make conforming changes where needed in other sections of the regulations. </w:t>
      </w:r>
    </w:p>
    <w:p w14:paraId="44CD5656" w14:textId="77777777" w:rsidR="00802E99" w:rsidRPr="006153FE" w:rsidRDefault="009312BC" w:rsidP="008D5F93">
      <w:pPr>
        <w:numPr>
          <w:ilvl w:val="0"/>
          <w:numId w:val="1"/>
        </w:numPr>
        <w:spacing w:after="0" w:line="240" w:lineRule="auto"/>
        <w:rPr>
          <w:b/>
          <w:bCs/>
        </w:rPr>
      </w:pPr>
      <w:r w:rsidRPr="006153FE">
        <w:rPr>
          <w:bCs/>
        </w:rPr>
        <w:t xml:space="preserve">Change the reference to Direct </w:t>
      </w:r>
      <w:r w:rsidR="00FA6E0F" w:rsidRPr="006153FE">
        <w:rPr>
          <w:bCs/>
        </w:rPr>
        <w:t xml:space="preserve">Unsubsidized Loans to match the terminology used </w:t>
      </w:r>
      <w:r w:rsidR="00235733" w:rsidRPr="006153FE">
        <w:rPr>
          <w:bCs/>
        </w:rPr>
        <w:t>in the Direct Loan Program regulations</w:t>
      </w:r>
      <w:r w:rsidR="00FA6E0F" w:rsidRPr="006153FE">
        <w:rPr>
          <w:bCs/>
        </w:rPr>
        <w:t xml:space="preserve">. </w:t>
      </w:r>
      <w:r w:rsidR="009D7E8A" w:rsidRPr="006153FE">
        <w:rPr>
          <w:bCs/>
        </w:rPr>
        <w:t xml:space="preserve"> </w:t>
      </w:r>
      <w:r w:rsidR="00FA6E0F" w:rsidRPr="006153FE">
        <w:rPr>
          <w:bCs/>
        </w:rPr>
        <w:t>M</w:t>
      </w:r>
      <w:r w:rsidRPr="006153FE">
        <w:rPr>
          <w:bCs/>
        </w:rPr>
        <w:t xml:space="preserve">ake </w:t>
      </w:r>
      <w:r w:rsidR="006D07BC" w:rsidRPr="006153FE">
        <w:rPr>
          <w:bCs/>
        </w:rPr>
        <w:t>conforming changes in other sections of the TEACH Grant regulations</w:t>
      </w:r>
      <w:r w:rsidR="00802E99" w:rsidRPr="006153FE">
        <w:rPr>
          <w:bCs/>
        </w:rPr>
        <w:t xml:space="preserve">. </w:t>
      </w:r>
    </w:p>
    <w:p w14:paraId="147606EC" w14:textId="77777777" w:rsidR="008D5F93" w:rsidRPr="006153FE" w:rsidRDefault="00802E99" w:rsidP="00F3019F">
      <w:pPr>
        <w:pStyle w:val="Heading3"/>
      </w:pPr>
      <w:r w:rsidRPr="00F3019F">
        <w:t>§ 686.2</w:t>
      </w:r>
      <w:r w:rsidR="009C696D" w:rsidRPr="00F3019F">
        <w:t xml:space="preserve"> </w:t>
      </w:r>
      <w:r w:rsidRPr="00F3019F">
        <w:t>Def</w:t>
      </w:r>
      <w:r w:rsidRPr="00F3019F">
        <w:rPr>
          <w:rStyle w:val="Heading3Char"/>
        </w:rPr>
        <w:t>i</w:t>
      </w:r>
      <w:r w:rsidRPr="00F3019F">
        <w:t>nitions.</w:t>
      </w:r>
    </w:p>
    <w:p w14:paraId="0EF451DF" w14:textId="77777777" w:rsidR="00FA6E0F" w:rsidRPr="006153FE" w:rsidRDefault="009312BC" w:rsidP="00FA6E0F">
      <w:pPr>
        <w:numPr>
          <w:ilvl w:val="0"/>
          <w:numId w:val="2"/>
        </w:numPr>
        <w:spacing w:after="0" w:line="240" w:lineRule="auto"/>
        <w:rPr>
          <w:bCs/>
        </w:rPr>
      </w:pPr>
      <w:r w:rsidRPr="006153FE">
        <w:rPr>
          <w:bCs/>
        </w:rPr>
        <w:t>Add a definition of</w:t>
      </w:r>
      <w:r w:rsidR="00802E99" w:rsidRPr="006153FE">
        <w:rPr>
          <w:bCs/>
        </w:rPr>
        <w:t xml:space="preserve"> the term “</w:t>
      </w:r>
      <w:r w:rsidR="00FA6E0F" w:rsidRPr="006153FE">
        <w:rPr>
          <w:bCs/>
        </w:rPr>
        <w:t>e</w:t>
      </w:r>
      <w:r w:rsidR="00802E99" w:rsidRPr="006153FE">
        <w:rPr>
          <w:bCs/>
        </w:rPr>
        <w:t xml:space="preserve">ducational service agency” </w:t>
      </w:r>
      <w:r w:rsidR="00FA6E0F" w:rsidRPr="006153FE">
        <w:rPr>
          <w:bCs/>
        </w:rPr>
        <w:t xml:space="preserve">to reflect a statutory change that allows grant recipients to satisfy the TEACH Grant service obligation by teaching for an educational service agency serving low-income students. </w:t>
      </w:r>
    </w:p>
    <w:p w14:paraId="4DF58C16" w14:textId="77777777" w:rsidR="00802E99" w:rsidRPr="006153FE" w:rsidRDefault="00FA6E0F" w:rsidP="00802E99">
      <w:pPr>
        <w:numPr>
          <w:ilvl w:val="0"/>
          <w:numId w:val="2"/>
        </w:numPr>
        <w:spacing w:after="0" w:line="240" w:lineRule="auto"/>
        <w:rPr>
          <w:bCs/>
        </w:rPr>
      </w:pPr>
      <w:r w:rsidRPr="006153FE">
        <w:rPr>
          <w:bCs/>
        </w:rPr>
        <w:t xml:space="preserve">Remove an unnecessary </w:t>
      </w:r>
      <w:r w:rsidR="00802E99" w:rsidRPr="006153FE">
        <w:rPr>
          <w:bCs/>
        </w:rPr>
        <w:t xml:space="preserve">cross-reference to the FFEL Program targeted teacher deferment regulations </w:t>
      </w:r>
      <w:r w:rsidR="006D07BC" w:rsidRPr="006153FE">
        <w:rPr>
          <w:bCs/>
        </w:rPr>
        <w:t xml:space="preserve">in </w:t>
      </w:r>
      <w:r w:rsidR="00802E99" w:rsidRPr="006153FE">
        <w:rPr>
          <w:bCs/>
        </w:rPr>
        <w:t>the definition of the term “high-need field</w:t>
      </w:r>
      <w:r w:rsidRPr="006153FE">
        <w:rPr>
          <w:bCs/>
        </w:rPr>
        <w:t>.</w:t>
      </w:r>
      <w:r w:rsidR="00802E99" w:rsidRPr="006153FE">
        <w:rPr>
          <w:bCs/>
        </w:rPr>
        <w:t>”</w:t>
      </w:r>
    </w:p>
    <w:p w14:paraId="600C0B0C" w14:textId="77777777" w:rsidR="007E5AAF" w:rsidRPr="006153FE" w:rsidRDefault="00766F6F" w:rsidP="00802E99">
      <w:pPr>
        <w:numPr>
          <w:ilvl w:val="0"/>
          <w:numId w:val="2"/>
        </w:numPr>
        <w:spacing w:after="0" w:line="240" w:lineRule="auto"/>
        <w:rPr>
          <w:bCs/>
        </w:rPr>
      </w:pPr>
      <w:r w:rsidRPr="006153FE">
        <w:rPr>
          <w:bCs/>
        </w:rPr>
        <w:t>R</w:t>
      </w:r>
      <w:r w:rsidR="00FA6E0F" w:rsidRPr="006153FE">
        <w:rPr>
          <w:bCs/>
        </w:rPr>
        <w:t>evise the definition of the term “highly-qualified”</w:t>
      </w:r>
      <w:r w:rsidR="007E5AAF" w:rsidRPr="006153FE">
        <w:rPr>
          <w:bCs/>
        </w:rPr>
        <w:t>—</w:t>
      </w:r>
    </w:p>
    <w:p w14:paraId="4910AA25" w14:textId="77777777" w:rsidR="007E5AAF" w:rsidRPr="006153FE" w:rsidRDefault="00951AD2" w:rsidP="007E5AAF">
      <w:pPr>
        <w:numPr>
          <w:ilvl w:val="1"/>
          <w:numId w:val="2"/>
        </w:numPr>
        <w:spacing w:after="0" w:line="240" w:lineRule="auto"/>
        <w:rPr>
          <w:bCs/>
        </w:rPr>
      </w:pPr>
      <w:r w:rsidRPr="006153FE">
        <w:rPr>
          <w:bCs/>
        </w:rPr>
        <w:t>For clarity, replace</w:t>
      </w:r>
      <w:r w:rsidR="00FA6E0F" w:rsidRPr="006153FE">
        <w:rPr>
          <w:bCs/>
        </w:rPr>
        <w:t xml:space="preserve"> the existing cross-reference to the Elementary and Secondary Education Act of 1965 (ESEA) with </w:t>
      </w:r>
      <w:r w:rsidR="00802E99" w:rsidRPr="006153FE">
        <w:rPr>
          <w:bCs/>
        </w:rPr>
        <w:t xml:space="preserve">the full text of the definition </w:t>
      </w:r>
      <w:r w:rsidR="00FA6E0F" w:rsidRPr="006153FE">
        <w:rPr>
          <w:bCs/>
        </w:rPr>
        <w:t>from the ESEA</w:t>
      </w:r>
      <w:r w:rsidR="007E5AAF" w:rsidRPr="006153FE">
        <w:rPr>
          <w:bCs/>
        </w:rPr>
        <w:t>; and</w:t>
      </w:r>
    </w:p>
    <w:p w14:paraId="1F5C1EAA" w14:textId="77777777" w:rsidR="00802E99" w:rsidRPr="006153FE" w:rsidRDefault="007E5AAF" w:rsidP="007E5AAF">
      <w:pPr>
        <w:numPr>
          <w:ilvl w:val="1"/>
          <w:numId w:val="2"/>
        </w:numPr>
        <w:spacing w:after="0" w:line="240" w:lineRule="auto"/>
        <w:rPr>
          <w:bCs/>
        </w:rPr>
      </w:pPr>
      <w:r w:rsidRPr="006153FE">
        <w:rPr>
          <w:bCs/>
        </w:rPr>
        <w:t>F</w:t>
      </w:r>
      <w:r w:rsidR="00766F6F" w:rsidRPr="006153FE">
        <w:rPr>
          <w:bCs/>
        </w:rPr>
        <w:t>or consistency with the “highly-qualified” definition used for purposes of the Direct Loan Teacher Loan Forgiveness Program, add</w:t>
      </w:r>
      <w:r w:rsidR="006F5CA5" w:rsidRPr="006153FE">
        <w:rPr>
          <w:bCs/>
        </w:rPr>
        <w:t>ed language to cover</w:t>
      </w:r>
      <w:r w:rsidR="009D7E8A" w:rsidRPr="006153FE">
        <w:rPr>
          <w:bCs/>
        </w:rPr>
        <w:t xml:space="preserve"> </w:t>
      </w:r>
      <w:r w:rsidR="00766F6F" w:rsidRPr="006153FE">
        <w:rPr>
          <w:bCs/>
        </w:rPr>
        <w:t xml:space="preserve">private school teachers. </w:t>
      </w:r>
    </w:p>
    <w:p w14:paraId="2C1135B4" w14:textId="77777777" w:rsidR="00BD1A59" w:rsidRPr="006153FE" w:rsidRDefault="00766F6F" w:rsidP="00802E99">
      <w:pPr>
        <w:numPr>
          <w:ilvl w:val="0"/>
          <w:numId w:val="2"/>
        </w:numPr>
        <w:spacing w:after="0" w:line="240" w:lineRule="auto"/>
      </w:pPr>
      <w:r w:rsidRPr="006153FE">
        <w:rPr>
          <w:bCs/>
        </w:rPr>
        <w:t xml:space="preserve">Revise the definition of the term “school serving low-income students (low-income school)” </w:t>
      </w:r>
      <w:r w:rsidR="00BD1A59" w:rsidRPr="006153FE">
        <w:rPr>
          <w:bCs/>
        </w:rPr>
        <w:t>by—</w:t>
      </w:r>
    </w:p>
    <w:p w14:paraId="2B45FAFB" w14:textId="77777777" w:rsidR="00BD1A59" w:rsidRPr="006153FE" w:rsidRDefault="00BD1A59" w:rsidP="00BD1A59">
      <w:pPr>
        <w:numPr>
          <w:ilvl w:val="1"/>
          <w:numId w:val="2"/>
        </w:numPr>
        <w:spacing w:after="0" w:line="240" w:lineRule="auto"/>
      </w:pPr>
      <w:r w:rsidRPr="006153FE">
        <w:rPr>
          <w:bCs/>
        </w:rPr>
        <w:t>C</w:t>
      </w:r>
      <w:r w:rsidR="00766F6F" w:rsidRPr="006153FE">
        <w:rPr>
          <w:bCs/>
        </w:rPr>
        <w:t>larify</w:t>
      </w:r>
      <w:r w:rsidRPr="006153FE">
        <w:rPr>
          <w:bCs/>
        </w:rPr>
        <w:t>ing</w:t>
      </w:r>
      <w:r w:rsidR="00766F6F" w:rsidRPr="006153FE">
        <w:rPr>
          <w:bCs/>
        </w:rPr>
        <w:t xml:space="preserve"> that this </w:t>
      </w:r>
      <w:r w:rsidRPr="006153FE">
        <w:rPr>
          <w:bCs/>
        </w:rPr>
        <w:t xml:space="preserve">term </w:t>
      </w:r>
      <w:r w:rsidR="00766F6F" w:rsidRPr="006153FE">
        <w:rPr>
          <w:bCs/>
        </w:rPr>
        <w:t>includes educational service agencies serving low-income students</w:t>
      </w:r>
      <w:r w:rsidRPr="006153FE">
        <w:rPr>
          <w:bCs/>
        </w:rPr>
        <w:t>;</w:t>
      </w:r>
      <w:r w:rsidR="009D7E8A" w:rsidRPr="006153FE">
        <w:rPr>
          <w:bCs/>
        </w:rPr>
        <w:t xml:space="preserve"> </w:t>
      </w:r>
      <w:r w:rsidR="00802E99" w:rsidRPr="006153FE">
        <w:rPr>
          <w:bCs/>
        </w:rPr>
        <w:t xml:space="preserve"> </w:t>
      </w:r>
    </w:p>
    <w:p w14:paraId="36BA38B0" w14:textId="77777777" w:rsidR="00BD1A59" w:rsidRPr="006153FE" w:rsidRDefault="00BD1A59" w:rsidP="00BD1A59">
      <w:pPr>
        <w:numPr>
          <w:ilvl w:val="1"/>
          <w:numId w:val="2"/>
        </w:numPr>
        <w:spacing w:after="0" w:line="240" w:lineRule="auto"/>
      </w:pPr>
      <w:r w:rsidRPr="006153FE">
        <w:rPr>
          <w:bCs/>
        </w:rPr>
        <w:t>Updating the name of the Department’s directory of low-</w:t>
      </w:r>
      <w:r w:rsidRPr="006153FE">
        <w:t xml:space="preserve">income schools; </w:t>
      </w:r>
    </w:p>
    <w:p w14:paraId="211D990C" w14:textId="77777777" w:rsidR="00802E99" w:rsidRPr="006153FE" w:rsidRDefault="006F5CA5" w:rsidP="00BD1A59">
      <w:pPr>
        <w:numPr>
          <w:ilvl w:val="1"/>
          <w:numId w:val="2"/>
        </w:numPr>
        <w:spacing w:after="0" w:line="240" w:lineRule="auto"/>
      </w:pPr>
      <w:r w:rsidRPr="006153FE">
        <w:rPr>
          <w:bCs/>
        </w:rPr>
        <w:t>Simplifying</w:t>
      </w:r>
      <w:r w:rsidR="009D7E8A" w:rsidRPr="006153FE">
        <w:rPr>
          <w:bCs/>
        </w:rPr>
        <w:t xml:space="preserve"> </w:t>
      </w:r>
      <w:r w:rsidR="006D07BC" w:rsidRPr="006153FE">
        <w:rPr>
          <w:bCs/>
        </w:rPr>
        <w:t xml:space="preserve">the definition of "low-income school" </w:t>
      </w:r>
      <w:r w:rsidR="009D7E8A" w:rsidRPr="006153FE">
        <w:rPr>
          <w:bCs/>
        </w:rPr>
        <w:t>by r</w:t>
      </w:r>
      <w:r w:rsidR="00766F6F" w:rsidRPr="006153FE">
        <w:rPr>
          <w:bCs/>
        </w:rPr>
        <w:t xml:space="preserve">emoving unnecessary text that explains </w:t>
      </w:r>
      <w:r w:rsidR="00802E99" w:rsidRPr="006153FE">
        <w:rPr>
          <w:bCs/>
        </w:rPr>
        <w:t xml:space="preserve">the criteria for inclusion </w:t>
      </w:r>
      <w:r w:rsidR="00BD1A59" w:rsidRPr="006153FE">
        <w:rPr>
          <w:bCs/>
        </w:rPr>
        <w:t xml:space="preserve">of a school or educational service agency </w:t>
      </w:r>
      <w:r w:rsidR="00802E99" w:rsidRPr="006153FE">
        <w:rPr>
          <w:bCs/>
        </w:rPr>
        <w:t xml:space="preserve">in the </w:t>
      </w:r>
      <w:r w:rsidR="00377456" w:rsidRPr="006153FE">
        <w:rPr>
          <w:bCs/>
        </w:rPr>
        <w:t>Department's Teacher Cancellation Low-Income (</w:t>
      </w:r>
      <w:r w:rsidR="00802E99" w:rsidRPr="006153FE">
        <w:rPr>
          <w:bCs/>
        </w:rPr>
        <w:t>TCLI</w:t>
      </w:r>
      <w:r w:rsidR="00377456" w:rsidRPr="006153FE">
        <w:rPr>
          <w:bCs/>
        </w:rPr>
        <w:t>) Directory</w:t>
      </w:r>
      <w:r w:rsidR="00802E99" w:rsidRPr="006153FE">
        <w:rPr>
          <w:bCs/>
        </w:rPr>
        <w:t xml:space="preserve">, </w:t>
      </w:r>
      <w:r w:rsidR="00BD1A59" w:rsidRPr="006153FE">
        <w:rPr>
          <w:bCs/>
        </w:rPr>
        <w:t xml:space="preserve">retaining only the requirement </w:t>
      </w:r>
      <w:r w:rsidR="00802E99" w:rsidRPr="006153FE">
        <w:rPr>
          <w:bCs/>
        </w:rPr>
        <w:t xml:space="preserve">that the school or </w:t>
      </w:r>
      <w:r w:rsidR="00377456" w:rsidRPr="006153FE">
        <w:rPr>
          <w:bCs/>
        </w:rPr>
        <w:t>educational service agency</w:t>
      </w:r>
      <w:r w:rsidR="00802E99" w:rsidRPr="006153FE">
        <w:rPr>
          <w:bCs/>
        </w:rPr>
        <w:t xml:space="preserve"> must be listed in the TCLI</w:t>
      </w:r>
      <w:r w:rsidR="00377456" w:rsidRPr="006153FE">
        <w:rPr>
          <w:bCs/>
        </w:rPr>
        <w:t xml:space="preserve"> Directory</w:t>
      </w:r>
      <w:r w:rsidR="00BD1A59" w:rsidRPr="006153FE">
        <w:rPr>
          <w:bCs/>
        </w:rPr>
        <w:t>;</w:t>
      </w:r>
      <w:r w:rsidR="00802E99" w:rsidRPr="006153FE">
        <w:rPr>
          <w:bCs/>
        </w:rPr>
        <w:t xml:space="preserve"> </w:t>
      </w:r>
      <w:r w:rsidR="007E5AAF" w:rsidRPr="006153FE">
        <w:rPr>
          <w:bCs/>
        </w:rPr>
        <w:t>and</w:t>
      </w:r>
      <w:r w:rsidR="00802E99" w:rsidRPr="006153FE">
        <w:rPr>
          <w:bCs/>
        </w:rPr>
        <w:t xml:space="preserve"> </w:t>
      </w:r>
    </w:p>
    <w:p w14:paraId="0785246D" w14:textId="77777777" w:rsidR="00802E99" w:rsidRPr="006153FE" w:rsidRDefault="00BD1A59" w:rsidP="00BD1A59">
      <w:pPr>
        <w:numPr>
          <w:ilvl w:val="1"/>
          <w:numId w:val="2"/>
        </w:numPr>
        <w:spacing w:after="0" w:line="240" w:lineRule="auto"/>
      </w:pPr>
      <w:r w:rsidRPr="006153FE">
        <w:rPr>
          <w:bCs/>
        </w:rPr>
        <w:t>Adding language (currently in a different section o</w:t>
      </w:r>
      <w:r w:rsidR="007E5AAF" w:rsidRPr="006153FE">
        <w:rPr>
          <w:bCs/>
        </w:rPr>
        <w:t>f the TEACH Grant regulations) explaining</w:t>
      </w:r>
      <w:r w:rsidRPr="006153FE">
        <w:rPr>
          <w:bCs/>
        </w:rPr>
        <w:t xml:space="preserve"> the conditions under which teaching at a school or educational service agency that no longer qualifies as a low-income schoo</w:t>
      </w:r>
      <w:r w:rsidR="007E5AAF" w:rsidRPr="006153FE">
        <w:rPr>
          <w:bCs/>
        </w:rPr>
        <w:t>l</w:t>
      </w:r>
      <w:r w:rsidRPr="006153FE">
        <w:rPr>
          <w:bCs/>
        </w:rPr>
        <w:t xml:space="preserve"> may satisfy the TEACH Grant service obligation.</w:t>
      </w:r>
    </w:p>
    <w:p w14:paraId="19D30C84" w14:textId="77777777" w:rsidR="00FF569E" w:rsidRPr="006153FE" w:rsidRDefault="00FF569E" w:rsidP="00FF569E">
      <w:pPr>
        <w:spacing w:after="0" w:line="240" w:lineRule="auto"/>
        <w:rPr>
          <w:bCs/>
        </w:rPr>
      </w:pPr>
    </w:p>
    <w:p w14:paraId="5093F028" w14:textId="77777777" w:rsidR="00767972" w:rsidRPr="00F3019F" w:rsidRDefault="00767972" w:rsidP="00F3019F">
      <w:pPr>
        <w:pStyle w:val="Heading2"/>
      </w:pPr>
      <w:r w:rsidRPr="00F3019F">
        <w:lastRenderedPageBreak/>
        <w:t>Subpart B—Application Procedures</w:t>
      </w:r>
    </w:p>
    <w:p w14:paraId="5670FDF4" w14:textId="77777777" w:rsidR="00767972" w:rsidRPr="00F3019F" w:rsidRDefault="00F3019F" w:rsidP="00F3019F">
      <w:pPr>
        <w:pStyle w:val="Heading3"/>
      </w:pPr>
      <w:bookmarkStart w:id="1" w:name="se34.4.686_110"/>
      <w:bookmarkEnd w:id="1"/>
      <w:r>
        <w:t xml:space="preserve">§686.10 </w:t>
      </w:r>
      <w:r w:rsidR="00767972" w:rsidRPr="00F3019F">
        <w:t>Application.</w:t>
      </w:r>
    </w:p>
    <w:p w14:paraId="47CB6829" w14:textId="77777777" w:rsidR="00FF569E" w:rsidRPr="006153FE" w:rsidRDefault="007E5AAF" w:rsidP="00FF569E">
      <w:pPr>
        <w:numPr>
          <w:ilvl w:val="0"/>
          <w:numId w:val="3"/>
        </w:numPr>
        <w:spacing w:after="0" w:line="240" w:lineRule="auto"/>
        <w:rPr>
          <w:bCs/>
        </w:rPr>
      </w:pPr>
      <w:r w:rsidRPr="006153FE">
        <w:rPr>
          <w:bCs/>
        </w:rPr>
        <w:t xml:space="preserve">Replace </w:t>
      </w:r>
      <w:r w:rsidR="00767972" w:rsidRPr="006153FE">
        <w:rPr>
          <w:bCs/>
        </w:rPr>
        <w:t xml:space="preserve">the current </w:t>
      </w:r>
      <w:r w:rsidR="002124BB" w:rsidRPr="006153FE">
        <w:rPr>
          <w:bCs/>
        </w:rPr>
        <w:t>references to submitting an "</w:t>
      </w:r>
      <w:r w:rsidR="00767972" w:rsidRPr="006153FE">
        <w:rPr>
          <w:bCs/>
        </w:rPr>
        <w:t>application</w:t>
      </w:r>
      <w:r w:rsidR="002124BB" w:rsidRPr="006153FE">
        <w:rPr>
          <w:bCs/>
        </w:rPr>
        <w:t>"</w:t>
      </w:r>
      <w:r w:rsidR="00767972" w:rsidRPr="006153FE">
        <w:rPr>
          <w:bCs/>
        </w:rPr>
        <w:t xml:space="preserve"> </w:t>
      </w:r>
      <w:r w:rsidR="002124BB" w:rsidRPr="006153FE">
        <w:rPr>
          <w:bCs/>
        </w:rPr>
        <w:t>for a TEACH Grant</w:t>
      </w:r>
      <w:r w:rsidR="00767972" w:rsidRPr="006153FE">
        <w:rPr>
          <w:bCs/>
        </w:rPr>
        <w:t xml:space="preserve"> with </w:t>
      </w:r>
      <w:r w:rsidR="002124BB" w:rsidRPr="006153FE">
        <w:rPr>
          <w:bCs/>
        </w:rPr>
        <w:t xml:space="preserve">references to </w:t>
      </w:r>
      <w:r w:rsidR="00767972" w:rsidRPr="006153FE">
        <w:rPr>
          <w:bCs/>
        </w:rPr>
        <w:t>the Free Application for Federal Student Aid (FAFSA)</w:t>
      </w:r>
      <w:proofErr w:type="gramStart"/>
      <w:r w:rsidRPr="006153FE">
        <w:rPr>
          <w:bCs/>
        </w:rPr>
        <w:t>,</w:t>
      </w:r>
      <w:proofErr w:type="gramEnd"/>
      <w:r w:rsidR="00767972" w:rsidRPr="006153FE">
        <w:rPr>
          <w:bCs/>
        </w:rPr>
        <w:t xml:space="preserve"> because there is no separate TEACH Grant application. </w:t>
      </w:r>
      <w:r w:rsidRPr="006153FE">
        <w:rPr>
          <w:bCs/>
        </w:rPr>
        <w:t xml:space="preserve">Make conforming changes elsewhere in the regulations. </w:t>
      </w:r>
    </w:p>
    <w:p w14:paraId="6167C3A9" w14:textId="77777777" w:rsidR="00767972" w:rsidRPr="00F3019F" w:rsidRDefault="00F3019F" w:rsidP="00F3019F">
      <w:pPr>
        <w:pStyle w:val="Heading3"/>
      </w:pPr>
      <w:r>
        <w:t xml:space="preserve">§686.12 </w:t>
      </w:r>
      <w:r w:rsidR="00767972" w:rsidRPr="00F3019F">
        <w:t>Agreement to serve.</w:t>
      </w:r>
    </w:p>
    <w:p w14:paraId="64CA1145" w14:textId="77777777" w:rsidR="003F317E" w:rsidRPr="006153FE" w:rsidRDefault="005936CA" w:rsidP="003F317E">
      <w:pPr>
        <w:numPr>
          <w:ilvl w:val="0"/>
          <w:numId w:val="1"/>
        </w:numPr>
        <w:spacing w:after="0" w:line="240" w:lineRule="auto"/>
        <w:rPr>
          <w:b/>
          <w:bCs/>
        </w:rPr>
      </w:pPr>
      <w:r w:rsidRPr="006153FE">
        <w:rPr>
          <w:bCs/>
        </w:rPr>
        <w:t xml:space="preserve">Change the title of the section to “Agreement to serve and repay,” </w:t>
      </w:r>
      <w:r w:rsidR="003F317E" w:rsidRPr="006153FE">
        <w:rPr>
          <w:bCs/>
        </w:rPr>
        <w:t xml:space="preserve">to </w:t>
      </w:r>
      <w:r w:rsidR="003B1179" w:rsidRPr="006153FE">
        <w:rPr>
          <w:bCs/>
        </w:rPr>
        <w:t>emphasize</w:t>
      </w:r>
      <w:r w:rsidR="003F317E" w:rsidRPr="006153FE">
        <w:rPr>
          <w:bCs/>
        </w:rPr>
        <w:t xml:space="preserve"> that a </w:t>
      </w:r>
      <w:r w:rsidR="003B1179" w:rsidRPr="006153FE">
        <w:rPr>
          <w:bCs/>
        </w:rPr>
        <w:t xml:space="preserve">grant recipient </w:t>
      </w:r>
      <w:r w:rsidR="003F317E" w:rsidRPr="006153FE">
        <w:rPr>
          <w:bCs/>
        </w:rPr>
        <w:t xml:space="preserve">must either perform the service obligation or repay the grant as a loan.  </w:t>
      </w:r>
      <w:r w:rsidR="003B1179" w:rsidRPr="006153FE">
        <w:rPr>
          <w:bCs/>
        </w:rPr>
        <w:t xml:space="preserve">Make conforming changes elsewhere. </w:t>
      </w:r>
    </w:p>
    <w:p w14:paraId="37056CF8" w14:textId="77777777" w:rsidR="00767972" w:rsidRPr="006153FE" w:rsidRDefault="003B1179" w:rsidP="00767972">
      <w:pPr>
        <w:numPr>
          <w:ilvl w:val="0"/>
          <w:numId w:val="1"/>
        </w:numPr>
        <w:spacing w:after="0" w:line="240" w:lineRule="auto"/>
        <w:rPr>
          <w:bCs/>
        </w:rPr>
      </w:pPr>
      <w:r w:rsidRPr="006153FE">
        <w:rPr>
          <w:bCs/>
        </w:rPr>
        <w:t>Add</w:t>
      </w:r>
      <w:r w:rsidR="00767972" w:rsidRPr="006153FE">
        <w:rPr>
          <w:bCs/>
        </w:rPr>
        <w:t xml:space="preserve"> </w:t>
      </w:r>
      <w:r w:rsidR="00F4009E" w:rsidRPr="006153FE">
        <w:rPr>
          <w:bCs/>
        </w:rPr>
        <w:t>a requirement for</w:t>
      </w:r>
      <w:r w:rsidR="00767972" w:rsidRPr="006153FE">
        <w:rPr>
          <w:bCs/>
        </w:rPr>
        <w:t xml:space="preserve"> the grant recipient </w:t>
      </w:r>
      <w:r w:rsidR="00F4009E" w:rsidRPr="006153FE">
        <w:rPr>
          <w:bCs/>
        </w:rPr>
        <w:t xml:space="preserve">to </w:t>
      </w:r>
      <w:r w:rsidR="00767972" w:rsidRPr="006153FE">
        <w:rPr>
          <w:bCs/>
        </w:rPr>
        <w:t>promptly notify the Secretary of any changes of name, address, telephone number, or e-mail address, if the recipient has provided the Secretary with an e-mail address for receiving communications</w:t>
      </w:r>
      <w:r w:rsidR="00F4009E" w:rsidRPr="006153FE">
        <w:rPr>
          <w:bCs/>
        </w:rPr>
        <w:t xml:space="preserve">. </w:t>
      </w:r>
      <w:r w:rsidR="00166D54" w:rsidRPr="006153FE">
        <w:rPr>
          <w:bCs/>
        </w:rPr>
        <w:t xml:space="preserve"> </w:t>
      </w:r>
      <w:r w:rsidR="00F4009E" w:rsidRPr="006153FE">
        <w:rPr>
          <w:bCs/>
        </w:rPr>
        <w:t>This incorporates in</w:t>
      </w:r>
      <w:r w:rsidR="00C54E68" w:rsidRPr="006153FE">
        <w:rPr>
          <w:bCs/>
        </w:rPr>
        <w:t>to</w:t>
      </w:r>
      <w:r w:rsidR="00F4009E" w:rsidRPr="006153FE">
        <w:rPr>
          <w:bCs/>
        </w:rPr>
        <w:t xml:space="preserve"> the regulations</w:t>
      </w:r>
      <w:r w:rsidR="00767972" w:rsidRPr="006153FE">
        <w:rPr>
          <w:bCs/>
        </w:rPr>
        <w:t xml:space="preserve"> language that is </w:t>
      </w:r>
      <w:r w:rsidR="00F4009E" w:rsidRPr="006153FE">
        <w:rPr>
          <w:bCs/>
        </w:rPr>
        <w:t xml:space="preserve">currently </w:t>
      </w:r>
      <w:r w:rsidRPr="006153FE">
        <w:rPr>
          <w:bCs/>
        </w:rPr>
        <w:t>in</w:t>
      </w:r>
      <w:r w:rsidR="00767972" w:rsidRPr="006153FE">
        <w:rPr>
          <w:bCs/>
        </w:rPr>
        <w:t xml:space="preserve"> the </w:t>
      </w:r>
      <w:r w:rsidR="00F4009E" w:rsidRPr="006153FE">
        <w:rPr>
          <w:bCs/>
        </w:rPr>
        <w:t>Agreement to Serve (</w:t>
      </w:r>
      <w:r w:rsidR="00767972" w:rsidRPr="006153FE">
        <w:rPr>
          <w:bCs/>
        </w:rPr>
        <w:t>ATS</w:t>
      </w:r>
      <w:r w:rsidR="00F4009E" w:rsidRPr="006153FE">
        <w:rPr>
          <w:bCs/>
        </w:rPr>
        <w:t>)</w:t>
      </w:r>
      <w:r w:rsidRPr="006153FE">
        <w:rPr>
          <w:bCs/>
        </w:rPr>
        <w:t>.</w:t>
      </w:r>
      <w:r w:rsidR="00F4009E" w:rsidRPr="006153FE">
        <w:rPr>
          <w:bCs/>
        </w:rPr>
        <w:t xml:space="preserve"> </w:t>
      </w:r>
    </w:p>
    <w:p w14:paraId="663224F5" w14:textId="77777777" w:rsidR="00403F13" w:rsidRPr="006153FE" w:rsidRDefault="00951AD2" w:rsidP="00E447FA">
      <w:pPr>
        <w:numPr>
          <w:ilvl w:val="0"/>
          <w:numId w:val="1"/>
        </w:numPr>
        <w:spacing w:after="0" w:line="240" w:lineRule="auto"/>
        <w:rPr>
          <w:bCs/>
        </w:rPr>
      </w:pPr>
      <w:r w:rsidRPr="006153FE">
        <w:rPr>
          <w:bCs/>
        </w:rPr>
        <w:t xml:space="preserve">Add language to address the treatment of </w:t>
      </w:r>
      <w:r w:rsidR="00767972" w:rsidRPr="006153FE">
        <w:rPr>
          <w:bCs/>
        </w:rPr>
        <w:t>grant recipient</w:t>
      </w:r>
      <w:r w:rsidRPr="006153FE">
        <w:rPr>
          <w:bCs/>
        </w:rPr>
        <w:t>s who</w:t>
      </w:r>
      <w:r w:rsidR="00767972" w:rsidRPr="006153FE">
        <w:rPr>
          <w:bCs/>
        </w:rPr>
        <w:t xml:space="preserve"> withdraw from the institution where </w:t>
      </w:r>
      <w:r w:rsidRPr="006153FE">
        <w:rPr>
          <w:bCs/>
        </w:rPr>
        <w:t>they</w:t>
      </w:r>
      <w:r w:rsidR="00767972" w:rsidRPr="006153FE">
        <w:rPr>
          <w:bCs/>
        </w:rPr>
        <w:t xml:space="preserve"> received a TEACH Grant before completing the TEACH Grant-eligible program, then at a later date re-enroll in the same program, or in a different TEACH Grant-eligible program at the same academic level (undergraduate or graduate) as the prior program, at either the same school or a different school, and receive additional TEACH Grants</w:t>
      </w:r>
      <w:r w:rsidR="00403F13" w:rsidRPr="006153FE">
        <w:rPr>
          <w:bCs/>
        </w:rPr>
        <w:t>. Specifically—</w:t>
      </w:r>
    </w:p>
    <w:p w14:paraId="2CC0B40E" w14:textId="77777777" w:rsidR="00C54E68" w:rsidRPr="006153FE" w:rsidRDefault="00403F13" w:rsidP="00403F13">
      <w:pPr>
        <w:numPr>
          <w:ilvl w:val="1"/>
          <w:numId w:val="1"/>
        </w:numPr>
        <w:spacing w:after="0" w:line="240" w:lineRule="auto"/>
        <w:rPr>
          <w:bCs/>
        </w:rPr>
      </w:pPr>
      <w:r w:rsidRPr="006153FE">
        <w:rPr>
          <w:bCs/>
        </w:rPr>
        <w:t>Provide that in the situation described above,</w:t>
      </w:r>
      <w:r w:rsidR="00E447FA" w:rsidRPr="006153FE">
        <w:rPr>
          <w:bCs/>
        </w:rPr>
        <w:t xml:space="preserve"> the grant recipient must complete one service obligation for all grants received at the same academic level</w:t>
      </w:r>
      <w:r w:rsidR="00767972" w:rsidRPr="006153FE">
        <w:rPr>
          <w:bCs/>
        </w:rPr>
        <w:t xml:space="preserve">. </w:t>
      </w:r>
      <w:r w:rsidR="00E447FA" w:rsidRPr="006153FE">
        <w:rPr>
          <w:bCs/>
        </w:rPr>
        <w:t xml:space="preserve">This incorporates into the regulations </w:t>
      </w:r>
      <w:r w:rsidR="00951AD2" w:rsidRPr="006153FE">
        <w:rPr>
          <w:bCs/>
        </w:rPr>
        <w:t>current operational procedures for handling such situations</w:t>
      </w:r>
      <w:r w:rsidRPr="006153FE">
        <w:rPr>
          <w:bCs/>
        </w:rPr>
        <w:t>.</w:t>
      </w:r>
      <w:r w:rsidR="00951AD2" w:rsidRPr="006153FE">
        <w:rPr>
          <w:bCs/>
        </w:rPr>
        <w:t xml:space="preserve"> </w:t>
      </w:r>
    </w:p>
    <w:p w14:paraId="77C849E2" w14:textId="77777777" w:rsidR="00767972" w:rsidRPr="006153FE" w:rsidRDefault="00387D66" w:rsidP="00403F13">
      <w:pPr>
        <w:numPr>
          <w:ilvl w:val="1"/>
          <w:numId w:val="1"/>
        </w:numPr>
        <w:spacing w:after="0" w:line="240" w:lineRule="auto"/>
        <w:rPr>
          <w:bCs/>
        </w:rPr>
      </w:pPr>
      <w:r w:rsidRPr="006153FE">
        <w:rPr>
          <w:bCs/>
        </w:rPr>
        <w:t>P</w:t>
      </w:r>
      <w:r w:rsidR="0072353C" w:rsidRPr="006153FE">
        <w:rPr>
          <w:bCs/>
        </w:rPr>
        <w:t>rovide</w:t>
      </w:r>
      <w:r w:rsidR="00767972" w:rsidRPr="006153FE">
        <w:rPr>
          <w:bCs/>
        </w:rPr>
        <w:t xml:space="preserve"> that except</w:t>
      </w:r>
      <w:r w:rsidR="00403F13" w:rsidRPr="006153FE">
        <w:rPr>
          <w:bCs/>
        </w:rPr>
        <w:t xml:space="preserve"> in cases when a grant recipient completed one or more years of qualifying teaching during the period between withdrawal and reenrollment</w:t>
      </w:r>
      <w:r w:rsidR="00767972" w:rsidRPr="006153FE" w:rsidDel="008C0F1B">
        <w:rPr>
          <w:bCs/>
        </w:rPr>
        <w:t>,</w:t>
      </w:r>
      <w:r w:rsidR="00767972" w:rsidRPr="006153FE">
        <w:rPr>
          <w:bCs/>
        </w:rPr>
        <w:t xml:space="preserve"> the Secretary adjusts the starting date of the period for completing the service obligation to begin when the grant recipient ceases to be enrolled at the institution where he or she has re-enrolled.  </w:t>
      </w:r>
    </w:p>
    <w:p w14:paraId="59C76A45" w14:textId="77777777" w:rsidR="00767972" w:rsidRPr="006153FE" w:rsidRDefault="00387D66" w:rsidP="00403F13">
      <w:pPr>
        <w:numPr>
          <w:ilvl w:val="1"/>
          <w:numId w:val="1"/>
        </w:numPr>
        <w:spacing w:after="0" w:line="240" w:lineRule="auto"/>
        <w:rPr>
          <w:bCs/>
        </w:rPr>
      </w:pPr>
      <w:r w:rsidRPr="006153FE">
        <w:rPr>
          <w:bCs/>
        </w:rPr>
        <w:t>P</w:t>
      </w:r>
      <w:r w:rsidR="00E447FA" w:rsidRPr="006153FE">
        <w:rPr>
          <w:bCs/>
        </w:rPr>
        <w:t>rovide</w:t>
      </w:r>
      <w:r w:rsidR="00767972" w:rsidRPr="006153FE">
        <w:rPr>
          <w:bCs/>
        </w:rPr>
        <w:t xml:space="preserve"> that for a grant recipient who completed one or more complete academic years of creditable teaching service during the period between the grant recipient’s withdrawal and re-enrollment, the Secretary does not adjust the starting date of the period for completing the service obligation and applies the completed teaching service toward satisfaction of the grant recipient's service obligation. </w:t>
      </w:r>
      <w:r w:rsidR="00166D54" w:rsidRPr="006153FE">
        <w:rPr>
          <w:bCs/>
        </w:rPr>
        <w:t xml:space="preserve"> </w:t>
      </w:r>
      <w:r w:rsidR="00767972" w:rsidRPr="006153FE">
        <w:rPr>
          <w:bCs/>
        </w:rPr>
        <w:t>If the grant recipient continues to perform creditable teaching service after re-enrolling in a TEACH Grant-eligible program, the grant recipient may receive credit toward satisfaction of the service obligation for any complete academic years of creditable teaching performed while the recipient is concurrently enrolled in the TEACH Grant-eligible program only if the recipient does not request and receive a temporary suspension of the period for completing the service obligation.</w:t>
      </w:r>
    </w:p>
    <w:p w14:paraId="5244CCFB" w14:textId="77777777" w:rsidR="00767972" w:rsidRPr="006153FE" w:rsidRDefault="00E405BE" w:rsidP="00767972">
      <w:pPr>
        <w:numPr>
          <w:ilvl w:val="0"/>
          <w:numId w:val="1"/>
        </w:numPr>
        <w:spacing w:after="0" w:line="240" w:lineRule="auto"/>
        <w:rPr>
          <w:bCs/>
        </w:rPr>
      </w:pPr>
      <w:r w:rsidRPr="006153FE">
        <w:rPr>
          <w:bCs/>
        </w:rPr>
        <w:t xml:space="preserve">Clarify </w:t>
      </w:r>
      <w:r w:rsidR="00767972" w:rsidRPr="006153FE">
        <w:rPr>
          <w:bCs/>
        </w:rPr>
        <w:t>that the</w:t>
      </w:r>
      <w:r w:rsidR="0022536C" w:rsidRPr="006153FE">
        <w:rPr>
          <w:bCs/>
        </w:rPr>
        <w:t xml:space="preserve"> requirements for</w:t>
      </w:r>
      <w:r w:rsidR="00E447FA" w:rsidRPr="006153FE">
        <w:rPr>
          <w:bCs/>
        </w:rPr>
        <w:t xml:space="preserve"> "</w:t>
      </w:r>
      <w:r w:rsidRPr="006153FE">
        <w:rPr>
          <w:bCs/>
        </w:rPr>
        <w:t>m</w:t>
      </w:r>
      <w:r w:rsidR="00E447FA" w:rsidRPr="006153FE">
        <w:rPr>
          <w:bCs/>
        </w:rPr>
        <w:t>ajoring and serving in a high-need field,"</w:t>
      </w:r>
      <w:r w:rsidR="000013BD" w:rsidRPr="006153FE">
        <w:rPr>
          <w:bCs/>
        </w:rPr>
        <w:t xml:space="preserve"> </w:t>
      </w:r>
      <w:r w:rsidR="00767972" w:rsidRPr="006153FE">
        <w:rPr>
          <w:bCs/>
        </w:rPr>
        <w:t>are specific to teaching in a high-need field listed in the Nationwide List.</w:t>
      </w:r>
    </w:p>
    <w:p w14:paraId="347892F3" w14:textId="77777777" w:rsidR="00767972" w:rsidRPr="006153FE" w:rsidRDefault="00E405BE" w:rsidP="00767972">
      <w:pPr>
        <w:numPr>
          <w:ilvl w:val="0"/>
          <w:numId w:val="1"/>
        </w:numPr>
        <w:spacing w:after="0" w:line="240" w:lineRule="auto"/>
        <w:rPr>
          <w:bCs/>
        </w:rPr>
      </w:pPr>
      <w:r w:rsidRPr="006153FE">
        <w:rPr>
          <w:bCs/>
        </w:rPr>
        <w:t>To reflect a statutory change, p</w:t>
      </w:r>
      <w:r w:rsidR="0022536C" w:rsidRPr="006153FE">
        <w:rPr>
          <w:bCs/>
        </w:rPr>
        <w:t xml:space="preserve">rovide </w:t>
      </w:r>
      <w:r w:rsidR="00767972" w:rsidRPr="006153FE">
        <w:rPr>
          <w:bCs/>
        </w:rPr>
        <w:t>that to meet the teaching service obligation</w:t>
      </w:r>
      <w:r w:rsidRPr="006153FE">
        <w:rPr>
          <w:bCs/>
        </w:rPr>
        <w:t xml:space="preserve"> by teaching in</w:t>
      </w:r>
      <w:r w:rsidR="00767972" w:rsidRPr="006153FE">
        <w:rPr>
          <w:bCs/>
        </w:rPr>
        <w:t xml:space="preserve"> a high-need field </w:t>
      </w:r>
      <w:r w:rsidRPr="006153FE">
        <w:rPr>
          <w:bCs/>
        </w:rPr>
        <w:t xml:space="preserve">listed in the Nationwide List, the field </w:t>
      </w:r>
      <w:r w:rsidR="00767972" w:rsidRPr="006153FE">
        <w:rPr>
          <w:bCs/>
        </w:rPr>
        <w:t xml:space="preserve">must be listed in the Nationwide List for the State in which the grant recipient teaches at the time the recipient begins teaching in that field, even if that field subsequently loses its high-need designation for that State; or for teaching service performed on or after July 1, 2010, at the time the grant recipient begins teaching in that field or when the grant recipient signed the agreement to serve or received the </w:t>
      </w:r>
      <w:r w:rsidR="00767972" w:rsidRPr="006153FE">
        <w:rPr>
          <w:bCs/>
        </w:rPr>
        <w:lastRenderedPageBreak/>
        <w:t xml:space="preserve">TEACH Grant, even if that field subsequently loses its high-need designation for that State before the grant recipient begins teaching.  Conforming changes </w:t>
      </w:r>
      <w:r w:rsidR="0022536C" w:rsidRPr="006153FE">
        <w:rPr>
          <w:bCs/>
        </w:rPr>
        <w:t xml:space="preserve">were also </w:t>
      </w:r>
      <w:r w:rsidR="00767972" w:rsidRPr="006153FE">
        <w:rPr>
          <w:bCs/>
        </w:rPr>
        <w:t>made.</w:t>
      </w:r>
    </w:p>
    <w:p w14:paraId="10AA3EFC" w14:textId="77777777" w:rsidR="00767972" w:rsidRPr="00230354" w:rsidRDefault="00E405BE" w:rsidP="00802E99">
      <w:pPr>
        <w:numPr>
          <w:ilvl w:val="0"/>
          <w:numId w:val="1"/>
        </w:numPr>
        <w:spacing w:after="0" w:line="240" w:lineRule="auto"/>
        <w:rPr>
          <w:bCs/>
        </w:rPr>
      </w:pPr>
      <w:r w:rsidRPr="006153FE">
        <w:rPr>
          <w:bCs/>
        </w:rPr>
        <w:t xml:space="preserve">Provide </w:t>
      </w:r>
      <w:r w:rsidR="00767972" w:rsidRPr="006153FE">
        <w:rPr>
          <w:bCs/>
        </w:rPr>
        <w:t xml:space="preserve">that </w:t>
      </w:r>
      <w:r w:rsidR="00E447FA" w:rsidRPr="006153FE">
        <w:rPr>
          <w:bCs/>
        </w:rPr>
        <w:t xml:space="preserve">in the case of </w:t>
      </w:r>
      <w:r w:rsidR="00767972" w:rsidRPr="006153FE">
        <w:rPr>
          <w:bCs/>
        </w:rPr>
        <w:t xml:space="preserve">a grant recipient who has more than one service obligation </w:t>
      </w:r>
      <w:r w:rsidR="00E447FA" w:rsidRPr="006153FE">
        <w:rPr>
          <w:bCs/>
        </w:rPr>
        <w:t xml:space="preserve">and who intends to satisfy the service obligation by teaching in a high-need field that was listed in the Nationwide List at the time the grant recipient signed the agreement to serve or received a TEACH Grant, the grant recipient </w:t>
      </w:r>
      <w:r w:rsidR="00767972" w:rsidRPr="006153FE">
        <w:rPr>
          <w:bCs/>
        </w:rPr>
        <w:t>cannot satisfy all of the service obligations by teaching in the same high-need field unless that high-need field was listed in the Nationwide List for the State in which the grant recipient teaches at the time the grant recipient signed an agreement to serve or received a TEACH Grant associated with each of the grant recipient’s service obligations.</w:t>
      </w:r>
    </w:p>
    <w:p w14:paraId="6E3F00B1" w14:textId="77777777" w:rsidR="00B67250" w:rsidRPr="00F3019F" w:rsidRDefault="00B67250" w:rsidP="00F3019F">
      <w:pPr>
        <w:pStyle w:val="Heading2"/>
      </w:pPr>
      <w:r w:rsidRPr="00F3019F">
        <w:t>Subpart C—Determination of Awards</w:t>
      </w:r>
    </w:p>
    <w:p w14:paraId="020A7A85" w14:textId="77777777" w:rsidR="00B67250" w:rsidRPr="00F3019F" w:rsidRDefault="00F3019F" w:rsidP="00F3019F">
      <w:pPr>
        <w:pStyle w:val="Heading3"/>
      </w:pPr>
      <w:bookmarkStart w:id="2" w:name="se34.4.686_120"/>
      <w:bookmarkStart w:id="3" w:name="se34.4.686_121"/>
      <w:bookmarkEnd w:id="2"/>
      <w:bookmarkEnd w:id="3"/>
      <w:r>
        <w:t xml:space="preserve">§686.21 </w:t>
      </w:r>
      <w:r w:rsidR="00B67250" w:rsidRPr="00F3019F">
        <w:t>Calculation of a grant.</w:t>
      </w:r>
    </w:p>
    <w:p w14:paraId="670AE94D" w14:textId="77777777" w:rsidR="009A254B" w:rsidRPr="006153FE" w:rsidRDefault="00B67250" w:rsidP="00802E99">
      <w:pPr>
        <w:numPr>
          <w:ilvl w:val="0"/>
          <w:numId w:val="4"/>
        </w:numPr>
        <w:spacing w:after="0" w:line="240" w:lineRule="auto"/>
        <w:rPr>
          <w:bCs/>
        </w:rPr>
      </w:pPr>
      <w:r w:rsidRPr="006153FE">
        <w:rPr>
          <w:bCs/>
        </w:rPr>
        <w:t>Replaced the word “aggregate” with the word “total” and the word “master’s” with the words “graduate study” to be consistent with statutory language.</w:t>
      </w:r>
    </w:p>
    <w:p w14:paraId="28A51687" w14:textId="77777777" w:rsidR="009A254B" w:rsidRPr="00F3019F" w:rsidRDefault="00B67250" w:rsidP="00F3019F">
      <w:pPr>
        <w:pStyle w:val="Heading2"/>
      </w:pPr>
      <w:r w:rsidRPr="00F3019F">
        <w:t>Subpart D—Administration of Grant Payments</w:t>
      </w:r>
    </w:p>
    <w:p w14:paraId="605E0492" w14:textId="77777777" w:rsidR="00B67250" w:rsidRPr="00F3019F" w:rsidRDefault="00F3019F" w:rsidP="00F3019F">
      <w:pPr>
        <w:pStyle w:val="Heading3"/>
      </w:pPr>
      <w:bookmarkStart w:id="4" w:name="se34.4.686_130"/>
      <w:bookmarkStart w:id="5" w:name="se34.4.686_131"/>
      <w:bookmarkStart w:id="6" w:name="se34.4.686_132"/>
      <w:bookmarkEnd w:id="4"/>
      <w:bookmarkEnd w:id="5"/>
      <w:bookmarkEnd w:id="6"/>
      <w:r>
        <w:t xml:space="preserve">§686.32 </w:t>
      </w:r>
      <w:r w:rsidR="00B67250" w:rsidRPr="00F3019F">
        <w:t>Counseling requirements.</w:t>
      </w:r>
    </w:p>
    <w:p w14:paraId="11E2327A" w14:textId="77777777" w:rsidR="006E1834" w:rsidRPr="006153FE" w:rsidRDefault="00B67250" w:rsidP="00F3019F">
      <w:pPr>
        <w:pStyle w:val="ListParagraph"/>
        <w:numPr>
          <w:ilvl w:val="0"/>
          <w:numId w:val="4"/>
        </w:numPr>
        <w:rPr>
          <w:sz w:val="22"/>
          <w:szCs w:val="22"/>
        </w:rPr>
      </w:pPr>
      <w:r w:rsidRPr="006153FE">
        <w:rPr>
          <w:sz w:val="22"/>
          <w:szCs w:val="22"/>
        </w:rPr>
        <w:t xml:space="preserve">Add to initial and exit counseling </w:t>
      </w:r>
      <w:r w:rsidR="00A53080" w:rsidRPr="006153FE">
        <w:rPr>
          <w:sz w:val="22"/>
          <w:szCs w:val="22"/>
        </w:rPr>
        <w:t xml:space="preserve">a requirement </w:t>
      </w:r>
      <w:r w:rsidRPr="006153FE">
        <w:rPr>
          <w:sz w:val="22"/>
          <w:szCs w:val="22"/>
        </w:rPr>
        <w:t>that the grant recipient must be informed that</w:t>
      </w:r>
      <w:r w:rsidR="00B24DDC" w:rsidRPr="006153FE">
        <w:rPr>
          <w:sz w:val="22"/>
          <w:szCs w:val="22"/>
        </w:rPr>
        <w:t>,</w:t>
      </w:r>
      <w:r w:rsidRPr="006153FE">
        <w:rPr>
          <w:sz w:val="22"/>
          <w:szCs w:val="22"/>
        </w:rPr>
        <w:t xml:space="preserve"> in order for teaching </w:t>
      </w:r>
      <w:r w:rsidR="00A53080" w:rsidRPr="006153FE">
        <w:rPr>
          <w:sz w:val="22"/>
          <w:szCs w:val="22"/>
        </w:rPr>
        <w:t xml:space="preserve">in a high-need field listed in the Nationwide List </w:t>
      </w:r>
      <w:r w:rsidRPr="006153FE">
        <w:rPr>
          <w:sz w:val="22"/>
          <w:szCs w:val="22"/>
        </w:rPr>
        <w:t xml:space="preserve">to count towards the recipient's service obligation, the high-need field </w:t>
      </w:r>
      <w:r w:rsidR="00A53080" w:rsidRPr="006153FE">
        <w:rPr>
          <w:sz w:val="22"/>
          <w:szCs w:val="22"/>
        </w:rPr>
        <w:t>must be</w:t>
      </w:r>
      <w:r w:rsidRPr="006153FE">
        <w:rPr>
          <w:sz w:val="22"/>
          <w:szCs w:val="22"/>
        </w:rPr>
        <w:t xml:space="preserve"> listed in the Nationwide List for the State in which the grant recipient teaches</w:t>
      </w:r>
      <w:r w:rsidR="00A53080" w:rsidRPr="006153FE">
        <w:rPr>
          <w:sz w:val="22"/>
          <w:szCs w:val="22"/>
        </w:rPr>
        <w:t xml:space="preserve"> at the time the recipient begins teaching in that field</w:t>
      </w:r>
      <w:r w:rsidRPr="006153FE">
        <w:rPr>
          <w:sz w:val="22"/>
          <w:szCs w:val="22"/>
        </w:rPr>
        <w:t>, even if that field subsequently loses its high-need designation for that State; or</w:t>
      </w:r>
      <w:r w:rsidR="00A53080" w:rsidRPr="006153FE">
        <w:rPr>
          <w:sz w:val="22"/>
          <w:szCs w:val="22"/>
        </w:rPr>
        <w:t>,</w:t>
      </w:r>
      <w:r w:rsidRPr="006153FE">
        <w:rPr>
          <w:sz w:val="22"/>
          <w:szCs w:val="22"/>
        </w:rPr>
        <w:t xml:space="preserve"> for teaching service performed on or after July 1, 2010, </w:t>
      </w:r>
      <w:r w:rsidR="00A53080" w:rsidRPr="006153FE">
        <w:rPr>
          <w:sz w:val="22"/>
          <w:szCs w:val="22"/>
        </w:rPr>
        <w:t xml:space="preserve">the field must have been listed in the Nationwide List </w:t>
      </w:r>
      <w:r w:rsidRPr="006153FE">
        <w:rPr>
          <w:sz w:val="22"/>
          <w:szCs w:val="22"/>
        </w:rPr>
        <w:t xml:space="preserve">at the time </w:t>
      </w:r>
      <w:r w:rsidR="001B4AA7" w:rsidRPr="006153FE">
        <w:rPr>
          <w:sz w:val="22"/>
          <w:szCs w:val="22"/>
        </w:rPr>
        <w:t xml:space="preserve">the </w:t>
      </w:r>
      <w:r w:rsidRPr="006153FE">
        <w:rPr>
          <w:sz w:val="22"/>
          <w:szCs w:val="22"/>
        </w:rPr>
        <w:t>grant recipient signed the agreement to serve or received the TEACH Grant associated with the service obligation for which the teaching service is going to be performed, even if that field subsequently loses its high-need designation for that State before the grant recipient begins teaching in that field.</w:t>
      </w:r>
      <w:r w:rsidR="006E1834" w:rsidRPr="006153FE">
        <w:rPr>
          <w:sz w:val="22"/>
          <w:szCs w:val="22"/>
        </w:rPr>
        <w:t xml:space="preserve">  </w:t>
      </w:r>
    </w:p>
    <w:p w14:paraId="2DB73934" w14:textId="77777777" w:rsidR="00B67250" w:rsidRPr="006153FE" w:rsidRDefault="006E1834" w:rsidP="00F3019F">
      <w:pPr>
        <w:pStyle w:val="ListParagraph"/>
        <w:numPr>
          <w:ilvl w:val="0"/>
          <w:numId w:val="4"/>
        </w:numPr>
        <w:rPr>
          <w:sz w:val="22"/>
          <w:szCs w:val="22"/>
        </w:rPr>
      </w:pPr>
      <w:r w:rsidRPr="006153FE">
        <w:rPr>
          <w:sz w:val="22"/>
          <w:szCs w:val="22"/>
        </w:rPr>
        <w:t>However, a grant recipient who has more than one service obligation cannot satisfy all of the service obligations by teaching in the same high-need field unless that high-need field was listed in the Nationwide List for the State in which the grant recipient teaches at the time the grant recipient signed an agreement to serve or received a TEACH Grant associated with each of the grant recipient’s service obligations.</w:t>
      </w:r>
    </w:p>
    <w:p w14:paraId="691A5349" w14:textId="77777777" w:rsidR="00B67250" w:rsidRPr="006153FE" w:rsidRDefault="00B67250" w:rsidP="00F3019F">
      <w:pPr>
        <w:pStyle w:val="ListParagraph"/>
        <w:numPr>
          <w:ilvl w:val="0"/>
          <w:numId w:val="4"/>
        </w:numPr>
        <w:rPr>
          <w:sz w:val="22"/>
          <w:szCs w:val="22"/>
        </w:rPr>
      </w:pPr>
      <w:r w:rsidRPr="006153FE">
        <w:rPr>
          <w:sz w:val="22"/>
          <w:szCs w:val="22"/>
        </w:rPr>
        <w:t xml:space="preserve">Add to initial, subsequent, and exit counseling </w:t>
      </w:r>
      <w:r w:rsidR="00E405BE" w:rsidRPr="006153FE">
        <w:rPr>
          <w:sz w:val="22"/>
          <w:szCs w:val="22"/>
        </w:rPr>
        <w:t xml:space="preserve">a requirement to explain to the grant recipient </w:t>
      </w:r>
      <w:r w:rsidRPr="006153FE">
        <w:rPr>
          <w:sz w:val="22"/>
          <w:szCs w:val="22"/>
        </w:rPr>
        <w:t>that once a TEACH Grant is converted to a Direct Unsubsidized Loan it cannot be reconverted to a grant unless the grant was converted to a loan in error.</w:t>
      </w:r>
    </w:p>
    <w:p w14:paraId="31F9F7BB" w14:textId="77777777" w:rsidR="00085859" w:rsidRPr="006153FE" w:rsidRDefault="00E405BE" w:rsidP="00F3019F">
      <w:pPr>
        <w:pStyle w:val="ListParagraph"/>
        <w:numPr>
          <w:ilvl w:val="0"/>
          <w:numId w:val="4"/>
        </w:numPr>
        <w:rPr>
          <w:sz w:val="22"/>
          <w:szCs w:val="22"/>
        </w:rPr>
      </w:pPr>
      <w:r w:rsidRPr="006153FE">
        <w:rPr>
          <w:sz w:val="22"/>
          <w:szCs w:val="22"/>
        </w:rPr>
        <w:t xml:space="preserve">Add </w:t>
      </w:r>
      <w:r w:rsidR="00B67250" w:rsidRPr="006153FE">
        <w:rPr>
          <w:sz w:val="22"/>
          <w:szCs w:val="22"/>
        </w:rPr>
        <w:t xml:space="preserve">language </w:t>
      </w:r>
      <w:r w:rsidRPr="006153FE">
        <w:rPr>
          <w:sz w:val="22"/>
          <w:szCs w:val="22"/>
        </w:rPr>
        <w:t>to</w:t>
      </w:r>
      <w:r w:rsidR="00B67250" w:rsidRPr="006153FE">
        <w:rPr>
          <w:sz w:val="22"/>
          <w:szCs w:val="22"/>
        </w:rPr>
        <w:t xml:space="preserve"> </w:t>
      </w:r>
      <w:r w:rsidRPr="006153FE">
        <w:rPr>
          <w:sz w:val="22"/>
          <w:szCs w:val="22"/>
        </w:rPr>
        <w:t xml:space="preserve">the </w:t>
      </w:r>
      <w:r w:rsidR="00B67250" w:rsidRPr="006153FE">
        <w:rPr>
          <w:sz w:val="22"/>
          <w:szCs w:val="22"/>
        </w:rPr>
        <w:t xml:space="preserve">exit counseling </w:t>
      </w:r>
      <w:r w:rsidRPr="006153FE">
        <w:rPr>
          <w:sz w:val="22"/>
          <w:szCs w:val="22"/>
        </w:rPr>
        <w:t xml:space="preserve">requirements </w:t>
      </w:r>
      <w:r w:rsidR="00B24DDC" w:rsidRPr="006153FE">
        <w:rPr>
          <w:sz w:val="22"/>
          <w:szCs w:val="22"/>
        </w:rPr>
        <w:t xml:space="preserve">to reflect </w:t>
      </w:r>
      <w:r w:rsidR="00B67250" w:rsidRPr="006153FE">
        <w:rPr>
          <w:sz w:val="22"/>
          <w:szCs w:val="22"/>
        </w:rPr>
        <w:t>that the Secretary will regularly remind the recipient of the requirements that must be met to satisfy the service obligation, and of the timeframe within which the recipient must complete the service obligation.</w:t>
      </w:r>
    </w:p>
    <w:p w14:paraId="5DA17D19" w14:textId="77777777" w:rsidR="00085859" w:rsidRPr="006153FE" w:rsidRDefault="002C1B7E" w:rsidP="00F3019F">
      <w:pPr>
        <w:pStyle w:val="Heading2"/>
      </w:pPr>
      <w:r w:rsidRPr="00F3019F">
        <w:t>Subpart E—Service and Repayment Obligations</w:t>
      </w:r>
    </w:p>
    <w:p w14:paraId="174922D1" w14:textId="77777777" w:rsidR="002C1B7E" w:rsidRPr="00F3019F" w:rsidRDefault="002C1B7E" w:rsidP="00F3019F">
      <w:pPr>
        <w:pStyle w:val="Heading3"/>
      </w:pPr>
      <w:bookmarkStart w:id="7" w:name="se34.4.686_140"/>
      <w:bookmarkEnd w:id="7"/>
      <w:r w:rsidRPr="00F3019F">
        <w:t>§</w:t>
      </w:r>
      <w:proofErr w:type="gramStart"/>
      <w:r w:rsidRPr="00F3019F">
        <w:t>686.40  Documenting</w:t>
      </w:r>
      <w:proofErr w:type="gramEnd"/>
      <w:r w:rsidRPr="00F3019F">
        <w:t xml:space="preserve"> the service obligation.</w:t>
      </w:r>
    </w:p>
    <w:p w14:paraId="6BC973A1" w14:textId="77777777" w:rsidR="002C1B7E" w:rsidRPr="006153FE" w:rsidRDefault="004C60BA" w:rsidP="00F3019F">
      <w:pPr>
        <w:pStyle w:val="ListParagraph"/>
        <w:numPr>
          <w:ilvl w:val="0"/>
          <w:numId w:val="5"/>
        </w:numPr>
        <w:rPr>
          <w:sz w:val="22"/>
          <w:szCs w:val="22"/>
        </w:rPr>
      </w:pPr>
      <w:r w:rsidRPr="006153FE">
        <w:rPr>
          <w:sz w:val="22"/>
          <w:szCs w:val="22"/>
        </w:rPr>
        <w:t>Remove the requirement for grant recipients to notify the Secretary</w:t>
      </w:r>
      <w:r w:rsidR="002C1B7E" w:rsidRPr="006153FE">
        <w:rPr>
          <w:sz w:val="22"/>
          <w:szCs w:val="22"/>
        </w:rPr>
        <w:t xml:space="preserve"> within 120 days of completing or otherwise ceasing enrollment in a program of study for which a TEACH Grant was received </w:t>
      </w:r>
      <w:r w:rsidRPr="006153FE">
        <w:rPr>
          <w:sz w:val="22"/>
          <w:szCs w:val="22"/>
        </w:rPr>
        <w:t xml:space="preserve">that they are performing qualifying teaching service, or that they are not yet teaching, </w:t>
      </w:r>
      <w:r w:rsidRPr="006153FE">
        <w:rPr>
          <w:sz w:val="22"/>
          <w:szCs w:val="22"/>
        </w:rPr>
        <w:lastRenderedPageBreak/>
        <w:t>but intend to satisfy the service obligation. This requirement is no longer</w:t>
      </w:r>
      <w:r w:rsidR="002C1B7E" w:rsidRPr="006153FE">
        <w:rPr>
          <w:sz w:val="22"/>
          <w:szCs w:val="22"/>
        </w:rPr>
        <w:t xml:space="preserve"> needed due to changes in proposed §686.43.</w:t>
      </w:r>
    </w:p>
    <w:p w14:paraId="2A65E12C" w14:textId="77777777" w:rsidR="002C1B7E" w:rsidRPr="006153FE" w:rsidRDefault="004C60BA" w:rsidP="00F3019F">
      <w:pPr>
        <w:pStyle w:val="ListParagraph"/>
        <w:numPr>
          <w:ilvl w:val="0"/>
          <w:numId w:val="5"/>
        </w:numPr>
        <w:rPr>
          <w:sz w:val="22"/>
          <w:szCs w:val="22"/>
        </w:rPr>
      </w:pPr>
      <w:r w:rsidRPr="006153FE">
        <w:rPr>
          <w:sz w:val="22"/>
          <w:szCs w:val="22"/>
        </w:rPr>
        <w:t>Remove</w:t>
      </w:r>
      <w:r w:rsidR="002C1B7E" w:rsidRPr="006153FE">
        <w:rPr>
          <w:sz w:val="22"/>
          <w:szCs w:val="22"/>
        </w:rPr>
        <w:t xml:space="preserve"> language that relates to the </w:t>
      </w:r>
      <w:r w:rsidRPr="006153FE">
        <w:rPr>
          <w:sz w:val="22"/>
          <w:szCs w:val="22"/>
        </w:rPr>
        <w:t xml:space="preserve">determination of whether a school or educational service agency qualifies as a low-income school and move it to the </w:t>
      </w:r>
      <w:r w:rsidR="002C1B7E" w:rsidRPr="006153FE">
        <w:rPr>
          <w:sz w:val="22"/>
          <w:szCs w:val="22"/>
        </w:rPr>
        <w:t>definition of “school or educational service agency serving low-income students (low-income school)”.</w:t>
      </w:r>
    </w:p>
    <w:p w14:paraId="217C2E3A" w14:textId="77777777" w:rsidR="002C1B7E" w:rsidRPr="006153FE" w:rsidRDefault="00E405BE" w:rsidP="00F3019F">
      <w:pPr>
        <w:pStyle w:val="ListParagraph"/>
        <w:numPr>
          <w:ilvl w:val="0"/>
          <w:numId w:val="5"/>
        </w:numPr>
        <w:rPr>
          <w:sz w:val="22"/>
          <w:szCs w:val="22"/>
        </w:rPr>
      </w:pPr>
      <w:r w:rsidRPr="006153FE">
        <w:rPr>
          <w:sz w:val="22"/>
          <w:szCs w:val="22"/>
        </w:rPr>
        <w:t xml:space="preserve">Clarify </w:t>
      </w:r>
      <w:r w:rsidR="004C60BA" w:rsidRPr="006153FE">
        <w:rPr>
          <w:sz w:val="22"/>
          <w:szCs w:val="22"/>
        </w:rPr>
        <w:t xml:space="preserve">existing language </w:t>
      </w:r>
      <w:r w:rsidRPr="006153FE">
        <w:rPr>
          <w:sz w:val="22"/>
          <w:szCs w:val="22"/>
        </w:rPr>
        <w:t>explaining</w:t>
      </w:r>
      <w:r w:rsidR="0072353C" w:rsidRPr="006153FE">
        <w:rPr>
          <w:sz w:val="22"/>
          <w:szCs w:val="22"/>
        </w:rPr>
        <w:t xml:space="preserve"> </w:t>
      </w:r>
      <w:r w:rsidR="002C1B7E" w:rsidRPr="006153FE">
        <w:rPr>
          <w:sz w:val="22"/>
          <w:szCs w:val="22"/>
        </w:rPr>
        <w:t xml:space="preserve">that a grant recipient cannot satisfy the </w:t>
      </w:r>
      <w:r w:rsidR="004C60BA" w:rsidRPr="006153FE">
        <w:rPr>
          <w:sz w:val="22"/>
          <w:szCs w:val="22"/>
        </w:rPr>
        <w:t>requirement to teach in a high-need field</w:t>
      </w:r>
      <w:r w:rsidR="002C1B7E" w:rsidRPr="006153FE">
        <w:rPr>
          <w:sz w:val="22"/>
          <w:szCs w:val="22"/>
        </w:rPr>
        <w:t xml:space="preserve"> by teaching in a geographic region of a State that has been designated in the Nationwide List as having a shortage of elementary or secondary school teachers</w:t>
      </w:r>
      <w:r w:rsidR="004C60BA" w:rsidRPr="006153FE">
        <w:rPr>
          <w:sz w:val="22"/>
          <w:szCs w:val="22"/>
        </w:rPr>
        <w:t>, or by teaching in a specific grade level not associated with a specific high-need field that has been designated in the Nationwide List as having a shortage of teachers.</w:t>
      </w:r>
    </w:p>
    <w:p w14:paraId="3406275C" w14:textId="77777777" w:rsidR="002C1B7E" w:rsidRPr="006153FE" w:rsidRDefault="00727A13" w:rsidP="00F3019F">
      <w:pPr>
        <w:pStyle w:val="ListParagraph"/>
        <w:numPr>
          <w:ilvl w:val="0"/>
          <w:numId w:val="5"/>
        </w:numPr>
        <w:rPr>
          <w:sz w:val="22"/>
          <w:szCs w:val="22"/>
        </w:rPr>
      </w:pPr>
      <w:r w:rsidRPr="006153FE">
        <w:rPr>
          <w:sz w:val="22"/>
          <w:szCs w:val="22"/>
        </w:rPr>
        <w:t>Remove</w:t>
      </w:r>
      <w:r w:rsidR="0022536C" w:rsidRPr="006153FE">
        <w:rPr>
          <w:sz w:val="22"/>
          <w:szCs w:val="22"/>
        </w:rPr>
        <w:t xml:space="preserve"> </w:t>
      </w:r>
      <w:r w:rsidR="00D522C0" w:rsidRPr="006153FE">
        <w:rPr>
          <w:sz w:val="22"/>
          <w:szCs w:val="22"/>
        </w:rPr>
        <w:t>redundant language</w:t>
      </w:r>
      <w:r w:rsidR="002C1B7E" w:rsidRPr="006153FE">
        <w:rPr>
          <w:sz w:val="22"/>
          <w:szCs w:val="22"/>
        </w:rPr>
        <w:t xml:space="preserve"> related to </w:t>
      </w:r>
      <w:r w:rsidR="00D522C0" w:rsidRPr="006153FE">
        <w:rPr>
          <w:sz w:val="22"/>
          <w:szCs w:val="22"/>
        </w:rPr>
        <w:t xml:space="preserve">the </w:t>
      </w:r>
      <w:r w:rsidR="002C1B7E" w:rsidRPr="006153FE">
        <w:rPr>
          <w:sz w:val="22"/>
          <w:szCs w:val="22"/>
        </w:rPr>
        <w:t>high-need field requirement</w:t>
      </w:r>
      <w:r w:rsidR="00D522C0" w:rsidRPr="006153FE">
        <w:rPr>
          <w:sz w:val="22"/>
          <w:szCs w:val="22"/>
        </w:rPr>
        <w:t xml:space="preserve"> and replace with a cross-reference to where the high-need field requirement is explained</w:t>
      </w:r>
      <w:r w:rsidR="002C1B7E" w:rsidRPr="006153FE">
        <w:rPr>
          <w:sz w:val="22"/>
          <w:szCs w:val="22"/>
        </w:rPr>
        <w:t>.</w:t>
      </w:r>
    </w:p>
    <w:p w14:paraId="6B20C86A" w14:textId="77777777" w:rsidR="008D5F93" w:rsidRPr="006153FE" w:rsidRDefault="00E405BE" w:rsidP="00F3019F">
      <w:pPr>
        <w:pStyle w:val="ListParagraph"/>
        <w:numPr>
          <w:ilvl w:val="0"/>
          <w:numId w:val="5"/>
        </w:numPr>
        <w:rPr>
          <w:sz w:val="22"/>
          <w:szCs w:val="22"/>
        </w:rPr>
      </w:pPr>
      <w:r w:rsidRPr="006153FE">
        <w:rPr>
          <w:sz w:val="22"/>
          <w:szCs w:val="22"/>
        </w:rPr>
        <w:t>Add</w:t>
      </w:r>
      <w:r w:rsidR="002C1B7E" w:rsidRPr="006153FE">
        <w:rPr>
          <w:sz w:val="22"/>
          <w:szCs w:val="22"/>
        </w:rPr>
        <w:t xml:space="preserve"> “residing in or being employed in a federally declared major disaster area as defined in the Robert T. Stafford Disaster Relief and Emergency Assistance Act (42 U.S.C. 5122(2))” as a new circumstance that would allow less than a full year of teaching to be counted as one of a grant recipient’s required four complete elementary or secondary years of teaching.</w:t>
      </w:r>
    </w:p>
    <w:p w14:paraId="63B57C19" w14:textId="77777777" w:rsidR="002C1B7E" w:rsidRPr="00F3019F" w:rsidRDefault="00F3019F" w:rsidP="00F3019F">
      <w:pPr>
        <w:pStyle w:val="Heading3"/>
      </w:pPr>
      <w:r>
        <w:t xml:space="preserve">§686.41 </w:t>
      </w:r>
      <w:r w:rsidR="002C1B7E" w:rsidRPr="00F3019F">
        <w:t>Periods of suspension.</w:t>
      </w:r>
    </w:p>
    <w:p w14:paraId="4466B302" w14:textId="77777777" w:rsidR="008D5F93" w:rsidRPr="006153FE" w:rsidRDefault="00E405BE" w:rsidP="00F3019F">
      <w:pPr>
        <w:numPr>
          <w:ilvl w:val="0"/>
          <w:numId w:val="5"/>
        </w:numPr>
        <w:spacing w:after="0" w:line="240" w:lineRule="auto"/>
        <w:outlineLvl w:val="1"/>
        <w:rPr>
          <w:rFonts w:eastAsia="Times New Roman" w:cs="Arial"/>
          <w:bCs/>
        </w:rPr>
      </w:pPr>
      <w:r w:rsidRPr="006153FE">
        <w:rPr>
          <w:rFonts w:eastAsia="Times New Roman" w:cs="Arial"/>
          <w:bCs/>
        </w:rPr>
        <w:t>Add</w:t>
      </w:r>
      <w:r w:rsidR="002C1B7E" w:rsidRPr="006153FE">
        <w:rPr>
          <w:rFonts w:eastAsia="Times New Roman" w:cs="Arial"/>
          <w:bCs/>
        </w:rPr>
        <w:t xml:space="preserve"> “residing in or being employed in a federally declared major disaster area as defined in the Robert T. Stafford Disaster Relief and Emergency Assistance Act (42 U.S.C. 5122(2))” as </w:t>
      </w:r>
      <w:r w:rsidR="00A65931" w:rsidRPr="006153FE">
        <w:rPr>
          <w:rFonts w:eastAsia="Times New Roman" w:cs="Arial"/>
          <w:bCs/>
        </w:rPr>
        <w:t>an additional</w:t>
      </w:r>
      <w:r w:rsidR="002C1B7E" w:rsidRPr="006153FE">
        <w:rPr>
          <w:rFonts w:eastAsia="Times New Roman" w:cs="Arial"/>
          <w:bCs/>
        </w:rPr>
        <w:t xml:space="preserve"> </w:t>
      </w:r>
      <w:r w:rsidR="00D522C0" w:rsidRPr="006153FE">
        <w:rPr>
          <w:rFonts w:eastAsia="Times New Roman" w:cs="Arial"/>
          <w:bCs/>
        </w:rPr>
        <w:t xml:space="preserve">basis for a grant recipient to request a temporary suspension of the period for completing the service obligation. </w:t>
      </w:r>
      <w:r w:rsidRPr="006153FE">
        <w:rPr>
          <w:rFonts w:eastAsia="Times New Roman" w:cs="Arial"/>
          <w:bCs/>
        </w:rPr>
        <w:t xml:space="preserve">Provide for a </w:t>
      </w:r>
      <w:r w:rsidR="002C1B7E" w:rsidRPr="006153FE">
        <w:rPr>
          <w:rFonts w:eastAsia="Times New Roman" w:cs="Arial"/>
          <w:bCs/>
        </w:rPr>
        <w:t>separate 3-year limit</w:t>
      </w:r>
      <w:r w:rsidRPr="006153FE">
        <w:rPr>
          <w:rFonts w:eastAsia="Times New Roman" w:cs="Arial"/>
          <w:bCs/>
        </w:rPr>
        <w:t xml:space="preserve"> for this suspension, and </w:t>
      </w:r>
      <w:r w:rsidR="00A65931" w:rsidRPr="006153FE">
        <w:rPr>
          <w:rFonts w:eastAsia="Times New Roman" w:cs="Arial"/>
          <w:bCs/>
        </w:rPr>
        <w:t>allow for a representative to submit a request for a disaster suspension on the grant recipient's behalf.</w:t>
      </w:r>
    </w:p>
    <w:p w14:paraId="32EE2B18" w14:textId="77777777" w:rsidR="008D5F93" w:rsidRPr="006153FE" w:rsidRDefault="00F3019F" w:rsidP="00F3019F">
      <w:pPr>
        <w:pStyle w:val="Heading3"/>
      </w:pPr>
      <w:r>
        <w:t xml:space="preserve">§686.42 </w:t>
      </w:r>
      <w:r w:rsidR="002C1B7E" w:rsidRPr="00F3019F">
        <w:t>Discharge of agreement to serve.</w:t>
      </w:r>
    </w:p>
    <w:p w14:paraId="75F8099D" w14:textId="77777777" w:rsidR="002C1B7E" w:rsidRPr="006153FE" w:rsidRDefault="002C1B7E" w:rsidP="00F3019F">
      <w:pPr>
        <w:pStyle w:val="ListParagraph"/>
        <w:numPr>
          <w:ilvl w:val="0"/>
          <w:numId w:val="6"/>
        </w:numPr>
        <w:rPr>
          <w:sz w:val="22"/>
          <w:szCs w:val="22"/>
        </w:rPr>
      </w:pPr>
      <w:r w:rsidRPr="006153FE">
        <w:rPr>
          <w:sz w:val="22"/>
          <w:szCs w:val="22"/>
        </w:rPr>
        <w:t xml:space="preserve">Amend the regulations related to total and permanent disability to reflect the current procedures for discharging a TEACH Grant service obligation based on the grant recipient's total and permanent disability. </w:t>
      </w:r>
      <w:r w:rsidR="009565F7" w:rsidRPr="006153FE">
        <w:rPr>
          <w:sz w:val="22"/>
          <w:szCs w:val="22"/>
        </w:rPr>
        <w:t xml:space="preserve"> </w:t>
      </w:r>
      <w:r w:rsidRPr="006153FE">
        <w:rPr>
          <w:sz w:val="22"/>
          <w:szCs w:val="22"/>
        </w:rPr>
        <w:t>The existing regulatory language is obsolete.</w:t>
      </w:r>
    </w:p>
    <w:p w14:paraId="4795BA54" w14:textId="77777777" w:rsidR="002C1B7E" w:rsidRPr="006153FE" w:rsidRDefault="00E405BE" w:rsidP="00F3019F">
      <w:pPr>
        <w:pStyle w:val="ListParagraph"/>
        <w:numPr>
          <w:ilvl w:val="0"/>
          <w:numId w:val="6"/>
        </w:numPr>
        <w:rPr>
          <w:sz w:val="22"/>
          <w:szCs w:val="22"/>
        </w:rPr>
      </w:pPr>
      <w:r w:rsidRPr="006153FE">
        <w:rPr>
          <w:sz w:val="22"/>
          <w:szCs w:val="22"/>
        </w:rPr>
        <w:t xml:space="preserve">For consistency with existing military suspension language, </w:t>
      </w:r>
      <w:proofErr w:type="gramStart"/>
      <w:r w:rsidRPr="006153FE">
        <w:rPr>
          <w:sz w:val="22"/>
          <w:szCs w:val="22"/>
        </w:rPr>
        <w:t>add</w:t>
      </w:r>
      <w:proofErr w:type="gramEnd"/>
      <w:r w:rsidR="002C1B7E" w:rsidRPr="006153FE">
        <w:rPr>
          <w:sz w:val="22"/>
          <w:szCs w:val="22"/>
        </w:rPr>
        <w:t xml:space="preserve"> “a reserve component of the Armed Forces named in 10 U.S.C. 10101, or the National Guard” to the meaning of Armed Forces.</w:t>
      </w:r>
    </w:p>
    <w:p w14:paraId="561A10BD" w14:textId="77777777" w:rsidR="008D5F93" w:rsidRPr="006153FE" w:rsidRDefault="002C1B7E" w:rsidP="00F3019F">
      <w:pPr>
        <w:pStyle w:val="Heading3"/>
      </w:pPr>
      <w:r w:rsidRPr="00F3019F">
        <w:t>§686.43 Obligation to repay the grant.</w:t>
      </w:r>
    </w:p>
    <w:p w14:paraId="410115E6" w14:textId="77777777" w:rsidR="002C1B7E" w:rsidRPr="006153FE" w:rsidRDefault="00E405BE" w:rsidP="00F3019F">
      <w:pPr>
        <w:pStyle w:val="ListParagraph"/>
        <w:numPr>
          <w:ilvl w:val="0"/>
          <w:numId w:val="11"/>
        </w:numPr>
        <w:rPr>
          <w:sz w:val="22"/>
          <w:szCs w:val="22"/>
        </w:rPr>
      </w:pPr>
      <w:r w:rsidRPr="006153FE">
        <w:rPr>
          <w:sz w:val="22"/>
          <w:szCs w:val="22"/>
        </w:rPr>
        <w:t xml:space="preserve">Simplify </w:t>
      </w:r>
      <w:r w:rsidR="002C1B7E" w:rsidRPr="006153FE">
        <w:rPr>
          <w:sz w:val="22"/>
          <w:szCs w:val="22"/>
        </w:rPr>
        <w:t xml:space="preserve">the regulations that specify the conditions under which TEACH Grants are converted to loans to provide that, for all recipients, loan conversion will occur only if the grant recipient asks the Secretary to convert his or her TEACH Grants to loans, or the recipient fails to begin or maintain qualifying teaching service within a timeframe that would allow the recipient to satisfy the service obligation within the 8-year period. </w:t>
      </w:r>
    </w:p>
    <w:p w14:paraId="61B20054" w14:textId="77777777" w:rsidR="002C1B7E" w:rsidRPr="006153FE" w:rsidRDefault="00E405BE" w:rsidP="00F3019F">
      <w:pPr>
        <w:pStyle w:val="ListParagraph"/>
        <w:numPr>
          <w:ilvl w:val="0"/>
          <w:numId w:val="11"/>
        </w:numPr>
        <w:rPr>
          <w:sz w:val="22"/>
          <w:szCs w:val="22"/>
        </w:rPr>
      </w:pPr>
      <w:r w:rsidRPr="006153FE">
        <w:rPr>
          <w:sz w:val="22"/>
          <w:szCs w:val="22"/>
        </w:rPr>
        <w:t xml:space="preserve">Add </w:t>
      </w:r>
      <w:r w:rsidR="002C1B7E" w:rsidRPr="006153FE">
        <w:rPr>
          <w:sz w:val="22"/>
          <w:szCs w:val="22"/>
        </w:rPr>
        <w:t>language stating that the Secretary will provide recipients with information about the service obligation requirements at least annually, and for recipients whose grants have been converted to loans, will explain the process by which they may request reconsideration of the conversion if they believe that the grants were converted in error.</w:t>
      </w:r>
    </w:p>
    <w:p w14:paraId="04C38650" w14:textId="77777777" w:rsidR="00B67250" w:rsidRPr="006153FE" w:rsidRDefault="0062419A" w:rsidP="00802E99">
      <w:pPr>
        <w:pStyle w:val="ListParagraph"/>
        <w:numPr>
          <w:ilvl w:val="0"/>
          <w:numId w:val="11"/>
        </w:numPr>
        <w:rPr>
          <w:sz w:val="22"/>
          <w:szCs w:val="22"/>
        </w:rPr>
      </w:pPr>
      <w:r w:rsidRPr="006153FE">
        <w:rPr>
          <w:sz w:val="22"/>
          <w:szCs w:val="22"/>
        </w:rPr>
        <w:t>Provide that a recipient remains obligated to meet all service obligation requirements even if the recipient does not receive the notices from the Secretary previously described in this section.</w:t>
      </w:r>
    </w:p>
    <w:sectPr w:rsidR="00B67250" w:rsidRPr="006153F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84436" w14:textId="77777777" w:rsidR="00767991" w:rsidRDefault="00767991" w:rsidP="002C2E59">
      <w:pPr>
        <w:spacing w:after="0" w:line="240" w:lineRule="auto"/>
      </w:pPr>
      <w:r>
        <w:separator/>
      </w:r>
    </w:p>
  </w:endnote>
  <w:endnote w:type="continuationSeparator" w:id="0">
    <w:p w14:paraId="7548909B" w14:textId="77777777" w:rsidR="00767991" w:rsidRDefault="00767991" w:rsidP="002C2E59">
      <w:pPr>
        <w:spacing w:after="0" w:line="240" w:lineRule="auto"/>
      </w:pPr>
      <w:r>
        <w:continuationSeparator/>
      </w:r>
    </w:p>
  </w:endnote>
  <w:endnote w:type="continuationNotice" w:id="1">
    <w:p w14:paraId="6D4EB671" w14:textId="77777777" w:rsidR="00767991" w:rsidRDefault="00767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1ED90" w14:textId="77777777" w:rsidR="00150151" w:rsidRDefault="00150151" w:rsidP="00EA7CE8">
    <w:pPr>
      <w:pStyle w:val="Footer"/>
      <w:jc w:val="center"/>
    </w:pPr>
    <w:r>
      <w:fldChar w:fldCharType="begin"/>
    </w:r>
    <w:r>
      <w:instrText xml:space="preserve"> PAGE   \* MERGEFORMAT </w:instrText>
    </w:r>
    <w:r>
      <w:fldChar w:fldCharType="separate"/>
    </w:r>
    <w:r w:rsidR="00DB3DEF">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45ED6" w14:textId="77777777" w:rsidR="00767991" w:rsidRDefault="00767991" w:rsidP="002C2E59">
      <w:pPr>
        <w:spacing w:after="0" w:line="240" w:lineRule="auto"/>
      </w:pPr>
      <w:r>
        <w:separator/>
      </w:r>
    </w:p>
  </w:footnote>
  <w:footnote w:type="continuationSeparator" w:id="0">
    <w:p w14:paraId="431E50CA" w14:textId="77777777" w:rsidR="00767991" w:rsidRDefault="00767991" w:rsidP="002C2E59">
      <w:pPr>
        <w:spacing w:after="0" w:line="240" w:lineRule="auto"/>
      </w:pPr>
      <w:r>
        <w:continuationSeparator/>
      </w:r>
    </w:p>
  </w:footnote>
  <w:footnote w:type="continuationNotice" w:id="1">
    <w:p w14:paraId="22B260D7" w14:textId="77777777" w:rsidR="00767991" w:rsidRDefault="0076799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85E17" w14:textId="77777777" w:rsidR="00C019F0" w:rsidRPr="00C019F0" w:rsidRDefault="00C019F0" w:rsidP="00C019F0">
    <w:pPr>
      <w:pStyle w:val="Header"/>
      <w:jc w:val="center"/>
      <w:rPr>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84010"/>
    <w:multiLevelType w:val="hybridMultilevel"/>
    <w:tmpl w:val="1096A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C5F70"/>
    <w:multiLevelType w:val="hybridMultilevel"/>
    <w:tmpl w:val="35EE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34DE7"/>
    <w:multiLevelType w:val="hybridMultilevel"/>
    <w:tmpl w:val="DC0AF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446A9"/>
    <w:multiLevelType w:val="hybridMultilevel"/>
    <w:tmpl w:val="1022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76326"/>
    <w:multiLevelType w:val="hybridMultilevel"/>
    <w:tmpl w:val="D12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A1088"/>
    <w:multiLevelType w:val="hybridMultilevel"/>
    <w:tmpl w:val="B4B2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8247C"/>
    <w:multiLevelType w:val="hybridMultilevel"/>
    <w:tmpl w:val="A6A6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C760A"/>
    <w:multiLevelType w:val="hybridMultilevel"/>
    <w:tmpl w:val="4A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470EB"/>
    <w:multiLevelType w:val="hybridMultilevel"/>
    <w:tmpl w:val="05AE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6075C"/>
    <w:multiLevelType w:val="hybridMultilevel"/>
    <w:tmpl w:val="E6D0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277CE"/>
    <w:multiLevelType w:val="hybridMultilevel"/>
    <w:tmpl w:val="D4D6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7"/>
  </w:num>
  <w:num w:numId="6">
    <w:abstractNumId w:val="9"/>
  </w:num>
  <w:num w:numId="7">
    <w:abstractNumId w:val="1"/>
  </w:num>
  <w:num w:numId="8">
    <w:abstractNumId w:val="5"/>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99"/>
    <w:rsid w:val="000013BD"/>
    <w:rsid w:val="00055A3B"/>
    <w:rsid w:val="00074B4D"/>
    <w:rsid w:val="00085859"/>
    <w:rsid w:val="00087DD0"/>
    <w:rsid w:val="0009083A"/>
    <w:rsid w:val="000B0130"/>
    <w:rsid w:val="000F0714"/>
    <w:rsid w:val="000F54C8"/>
    <w:rsid w:val="0013339E"/>
    <w:rsid w:val="001467B8"/>
    <w:rsid w:val="00150151"/>
    <w:rsid w:val="00166D54"/>
    <w:rsid w:val="001679C6"/>
    <w:rsid w:val="00187F17"/>
    <w:rsid w:val="001A298A"/>
    <w:rsid w:val="001B4AA7"/>
    <w:rsid w:val="001C163E"/>
    <w:rsid w:val="002124BB"/>
    <w:rsid w:val="002217EF"/>
    <w:rsid w:val="0022536C"/>
    <w:rsid w:val="00230354"/>
    <w:rsid w:val="00230C14"/>
    <w:rsid w:val="00235733"/>
    <w:rsid w:val="00243110"/>
    <w:rsid w:val="002565FD"/>
    <w:rsid w:val="002577CE"/>
    <w:rsid w:val="00287B6B"/>
    <w:rsid w:val="002A7DFF"/>
    <w:rsid w:val="002C1B7E"/>
    <w:rsid w:val="002C2E59"/>
    <w:rsid w:val="002D2FFD"/>
    <w:rsid w:val="002E470E"/>
    <w:rsid w:val="00342BAF"/>
    <w:rsid w:val="003657A1"/>
    <w:rsid w:val="00377456"/>
    <w:rsid w:val="00387D66"/>
    <w:rsid w:val="003B1179"/>
    <w:rsid w:val="003F317E"/>
    <w:rsid w:val="003F60E6"/>
    <w:rsid w:val="00403F13"/>
    <w:rsid w:val="00425C57"/>
    <w:rsid w:val="0043681C"/>
    <w:rsid w:val="0044591E"/>
    <w:rsid w:val="0046070C"/>
    <w:rsid w:val="004716D3"/>
    <w:rsid w:val="00495DB4"/>
    <w:rsid w:val="004969D7"/>
    <w:rsid w:val="004B0651"/>
    <w:rsid w:val="004C60BA"/>
    <w:rsid w:val="00504FC9"/>
    <w:rsid w:val="005936CA"/>
    <w:rsid w:val="00593EFC"/>
    <w:rsid w:val="005A3EA1"/>
    <w:rsid w:val="005C0015"/>
    <w:rsid w:val="005D5677"/>
    <w:rsid w:val="006153FE"/>
    <w:rsid w:val="00623B81"/>
    <w:rsid w:val="0062419A"/>
    <w:rsid w:val="006335AE"/>
    <w:rsid w:val="00660E7C"/>
    <w:rsid w:val="006654BF"/>
    <w:rsid w:val="006807C4"/>
    <w:rsid w:val="006876C6"/>
    <w:rsid w:val="006B6757"/>
    <w:rsid w:val="006D07BC"/>
    <w:rsid w:val="006D489D"/>
    <w:rsid w:val="006E1834"/>
    <w:rsid w:val="006F5CA5"/>
    <w:rsid w:val="00700B86"/>
    <w:rsid w:val="0072353C"/>
    <w:rsid w:val="00723596"/>
    <w:rsid w:val="00727A13"/>
    <w:rsid w:val="00741B8B"/>
    <w:rsid w:val="007535F2"/>
    <w:rsid w:val="0076489D"/>
    <w:rsid w:val="00766F6F"/>
    <w:rsid w:val="00767972"/>
    <w:rsid w:val="00767991"/>
    <w:rsid w:val="007A5D90"/>
    <w:rsid w:val="007A6B72"/>
    <w:rsid w:val="007C3FB7"/>
    <w:rsid w:val="007E5AAF"/>
    <w:rsid w:val="00802E99"/>
    <w:rsid w:val="008C0F1B"/>
    <w:rsid w:val="008D5F93"/>
    <w:rsid w:val="008E72C4"/>
    <w:rsid w:val="0091008C"/>
    <w:rsid w:val="009312BC"/>
    <w:rsid w:val="00951AD2"/>
    <w:rsid w:val="009565F7"/>
    <w:rsid w:val="009950DB"/>
    <w:rsid w:val="009A254B"/>
    <w:rsid w:val="009B15FE"/>
    <w:rsid w:val="009C0573"/>
    <w:rsid w:val="009C696D"/>
    <w:rsid w:val="009D7E8A"/>
    <w:rsid w:val="009F7C88"/>
    <w:rsid w:val="00A356F1"/>
    <w:rsid w:val="00A45B60"/>
    <w:rsid w:val="00A53080"/>
    <w:rsid w:val="00A65931"/>
    <w:rsid w:val="00AA0423"/>
    <w:rsid w:val="00AA72F2"/>
    <w:rsid w:val="00B24DDC"/>
    <w:rsid w:val="00B5420C"/>
    <w:rsid w:val="00B61399"/>
    <w:rsid w:val="00B67250"/>
    <w:rsid w:val="00BD1A59"/>
    <w:rsid w:val="00C019F0"/>
    <w:rsid w:val="00C54E68"/>
    <w:rsid w:val="00C825C6"/>
    <w:rsid w:val="00D35DEA"/>
    <w:rsid w:val="00D42F6B"/>
    <w:rsid w:val="00D478A6"/>
    <w:rsid w:val="00D522C0"/>
    <w:rsid w:val="00DB3DEF"/>
    <w:rsid w:val="00DF0831"/>
    <w:rsid w:val="00E12D94"/>
    <w:rsid w:val="00E1746C"/>
    <w:rsid w:val="00E405BE"/>
    <w:rsid w:val="00E447FA"/>
    <w:rsid w:val="00E57263"/>
    <w:rsid w:val="00EA7CE8"/>
    <w:rsid w:val="00EF0576"/>
    <w:rsid w:val="00F10625"/>
    <w:rsid w:val="00F3019F"/>
    <w:rsid w:val="00F35C4A"/>
    <w:rsid w:val="00F36AF5"/>
    <w:rsid w:val="00F4009E"/>
    <w:rsid w:val="00FA6E0F"/>
    <w:rsid w:val="00FB5C92"/>
    <w:rsid w:val="00FC09F6"/>
    <w:rsid w:val="00FE002B"/>
    <w:rsid w:val="00FF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2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9E"/>
    <w:pPr>
      <w:spacing w:after="200" w:line="276" w:lineRule="auto"/>
    </w:pPr>
    <w:rPr>
      <w:sz w:val="22"/>
      <w:szCs w:val="22"/>
    </w:rPr>
  </w:style>
  <w:style w:type="paragraph" w:styleId="Heading1">
    <w:name w:val="heading 1"/>
    <w:basedOn w:val="Normal"/>
    <w:next w:val="Normal"/>
    <w:link w:val="Heading1Char"/>
    <w:uiPriority w:val="9"/>
    <w:qFormat/>
    <w:rsid w:val="00F3019F"/>
    <w:pPr>
      <w:keepNext/>
      <w:keepLines/>
      <w:spacing w:after="0" w:line="240" w:lineRule="auto"/>
      <w:outlineLvl w:val="0"/>
    </w:pPr>
    <w:rPr>
      <w:rFonts w:ascii="Arial Black" w:eastAsia="Times New Roman" w:hAnsi="Arial Black"/>
      <w:b/>
      <w:bCs/>
      <w:color w:val="365F91"/>
      <w:sz w:val="28"/>
      <w:szCs w:val="28"/>
    </w:rPr>
  </w:style>
  <w:style w:type="paragraph" w:styleId="Heading2">
    <w:name w:val="heading 2"/>
    <w:basedOn w:val="Normal"/>
    <w:next w:val="Normal"/>
    <w:link w:val="Heading2Char"/>
    <w:uiPriority w:val="9"/>
    <w:unhideWhenUsed/>
    <w:qFormat/>
    <w:rsid w:val="00F3019F"/>
    <w:pPr>
      <w:keepNext/>
      <w:keepLines/>
      <w:spacing w:before="200" w:after="0" w:line="240" w:lineRule="auto"/>
      <w:outlineLvl w:val="1"/>
    </w:pPr>
    <w:rPr>
      <w:rFonts w:ascii="Arial Black" w:eastAsia="Times New Roman" w:hAnsi="Arial Black"/>
      <w:b/>
      <w:bCs/>
      <w:color w:val="4F81BD"/>
      <w:sz w:val="26"/>
      <w:szCs w:val="26"/>
    </w:rPr>
  </w:style>
  <w:style w:type="paragraph" w:styleId="Heading3">
    <w:name w:val="heading 3"/>
    <w:basedOn w:val="Normal"/>
    <w:next w:val="Normal"/>
    <w:link w:val="Heading3Char"/>
    <w:uiPriority w:val="9"/>
    <w:unhideWhenUsed/>
    <w:qFormat/>
    <w:rsid w:val="00F3019F"/>
    <w:pPr>
      <w:keepNext/>
      <w:keepLines/>
      <w:spacing w:before="200" w:after="0" w:line="240" w:lineRule="auto"/>
      <w:outlineLvl w:val="2"/>
    </w:pPr>
    <w:rPr>
      <w:rFonts w:ascii="Arial Black" w:eastAsia="Times New Roman" w:hAnsi="Arial Black"/>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02E99"/>
    <w:rPr>
      <w:sz w:val="16"/>
      <w:szCs w:val="16"/>
    </w:rPr>
  </w:style>
  <w:style w:type="paragraph" w:styleId="CommentText">
    <w:name w:val="annotation text"/>
    <w:basedOn w:val="Normal"/>
    <w:link w:val="CommentTextChar"/>
    <w:uiPriority w:val="99"/>
    <w:unhideWhenUsed/>
    <w:rsid w:val="00802E99"/>
    <w:pPr>
      <w:spacing w:line="240" w:lineRule="auto"/>
    </w:pPr>
    <w:rPr>
      <w:sz w:val="20"/>
      <w:szCs w:val="20"/>
    </w:rPr>
  </w:style>
  <w:style w:type="character" w:customStyle="1" w:styleId="CommentTextChar">
    <w:name w:val="Comment Text Char"/>
    <w:basedOn w:val="DefaultParagraphFont"/>
    <w:link w:val="CommentText"/>
    <w:uiPriority w:val="99"/>
    <w:rsid w:val="00802E99"/>
  </w:style>
  <w:style w:type="paragraph" w:styleId="BalloonText">
    <w:name w:val="Balloon Text"/>
    <w:basedOn w:val="Normal"/>
    <w:link w:val="BalloonTextChar"/>
    <w:uiPriority w:val="99"/>
    <w:semiHidden/>
    <w:unhideWhenUsed/>
    <w:rsid w:val="00802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2E99"/>
    <w:rPr>
      <w:rFonts w:ascii="Tahoma" w:hAnsi="Tahoma" w:cs="Tahoma"/>
      <w:sz w:val="16"/>
      <w:szCs w:val="16"/>
    </w:rPr>
  </w:style>
  <w:style w:type="paragraph" w:styleId="Header">
    <w:name w:val="header"/>
    <w:basedOn w:val="Normal"/>
    <w:link w:val="HeaderChar"/>
    <w:uiPriority w:val="99"/>
    <w:unhideWhenUsed/>
    <w:rsid w:val="002C2E59"/>
    <w:pPr>
      <w:tabs>
        <w:tab w:val="center" w:pos="4680"/>
        <w:tab w:val="right" w:pos="9360"/>
      </w:tabs>
    </w:pPr>
  </w:style>
  <w:style w:type="character" w:customStyle="1" w:styleId="HeaderChar">
    <w:name w:val="Header Char"/>
    <w:link w:val="Header"/>
    <w:uiPriority w:val="99"/>
    <w:rsid w:val="002C2E59"/>
    <w:rPr>
      <w:sz w:val="22"/>
      <w:szCs w:val="22"/>
    </w:rPr>
  </w:style>
  <w:style w:type="paragraph" w:styleId="Footer">
    <w:name w:val="footer"/>
    <w:basedOn w:val="Normal"/>
    <w:link w:val="FooterChar"/>
    <w:uiPriority w:val="99"/>
    <w:unhideWhenUsed/>
    <w:rsid w:val="002C2E59"/>
    <w:pPr>
      <w:tabs>
        <w:tab w:val="center" w:pos="4680"/>
        <w:tab w:val="right" w:pos="9360"/>
      </w:tabs>
    </w:pPr>
  </w:style>
  <w:style w:type="character" w:customStyle="1" w:styleId="FooterChar">
    <w:name w:val="Footer Char"/>
    <w:link w:val="Footer"/>
    <w:uiPriority w:val="99"/>
    <w:rsid w:val="002C2E59"/>
    <w:rPr>
      <w:sz w:val="22"/>
      <w:szCs w:val="22"/>
    </w:rPr>
  </w:style>
  <w:style w:type="paragraph" w:styleId="CommentSubject">
    <w:name w:val="annotation subject"/>
    <w:basedOn w:val="CommentText"/>
    <w:next w:val="CommentText"/>
    <w:link w:val="CommentSubjectChar"/>
    <w:uiPriority w:val="99"/>
    <w:semiHidden/>
    <w:unhideWhenUsed/>
    <w:rsid w:val="003B1179"/>
    <w:pPr>
      <w:spacing w:line="276" w:lineRule="auto"/>
    </w:pPr>
    <w:rPr>
      <w:b/>
      <w:bCs/>
    </w:rPr>
  </w:style>
  <w:style w:type="character" w:customStyle="1" w:styleId="CommentSubjectChar">
    <w:name w:val="Comment Subject Char"/>
    <w:link w:val="CommentSubject"/>
    <w:uiPriority w:val="99"/>
    <w:semiHidden/>
    <w:rsid w:val="003B1179"/>
    <w:rPr>
      <w:b/>
      <w:bCs/>
    </w:rPr>
  </w:style>
  <w:style w:type="paragraph" w:styleId="Title">
    <w:name w:val="Title"/>
    <w:basedOn w:val="Normal"/>
    <w:next w:val="Normal"/>
    <w:link w:val="TitleChar"/>
    <w:uiPriority w:val="10"/>
    <w:qFormat/>
    <w:rsid w:val="00FB5C9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B5C92"/>
    <w:rPr>
      <w:rFonts w:ascii="Cambria" w:eastAsia="Times New Roman" w:hAnsi="Cambria" w:cs="Times New Roman"/>
      <w:b/>
      <w:bCs/>
      <w:kern w:val="28"/>
      <w:sz w:val="32"/>
      <w:szCs w:val="32"/>
    </w:rPr>
  </w:style>
  <w:style w:type="character" w:customStyle="1" w:styleId="Heading2Char">
    <w:name w:val="Heading 2 Char"/>
    <w:link w:val="Heading2"/>
    <w:uiPriority w:val="9"/>
    <w:rsid w:val="00F3019F"/>
    <w:rPr>
      <w:rFonts w:ascii="Arial Black" w:eastAsia="Times New Roman" w:hAnsi="Arial Black" w:cs="Times New Roman"/>
      <w:b/>
      <w:bCs/>
      <w:color w:val="4F81BD"/>
      <w:sz w:val="26"/>
      <w:szCs w:val="26"/>
    </w:rPr>
  </w:style>
  <w:style w:type="character" w:customStyle="1" w:styleId="Heading3Char">
    <w:name w:val="Heading 3 Char"/>
    <w:link w:val="Heading3"/>
    <w:uiPriority w:val="9"/>
    <w:rsid w:val="00F3019F"/>
    <w:rPr>
      <w:rFonts w:ascii="Arial Black" w:eastAsia="Times New Roman" w:hAnsi="Arial Black" w:cs="Times New Roman"/>
      <w:b/>
      <w:bCs/>
      <w:color w:val="4F81BD"/>
      <w:sz w:val="22"/>
      <w:szCs w:val="22"/>
    </w:rPr>
  </w:style>
  <w:style w:type="character" w:customStyle="1" w:styleId="Heading1Char">
    <w:name w:val="Heading 1 Char"/>
    <w:link w:val="Heading1"/>
    <w:uiPriority w:val="9"/>
    <w:rsid w:val="00F3019F"/>
    <w:rPr>
      <w:rFonts w:ascii="Arial Black" w:eastAsia="Times New Roman" w:hAnsi="Arial Black"/>
      <w:b/>
      <w:bCs/>
      <w:color w:val="365F91"/>
      <w:sz w:val="28"/>
      <w:szCs w:val="28"/>
    </w:rPr>
  </w:style>
  <w:style w:type="paragraph" w:styleId="ListParagraph">
    <w:name w:val="List Paragraph"/>
    <w:basedOn w:val="Normal"/>
    <w:uiPriority w:val="34"/>
    <w:qFormat/>
    <w:rsid w:val="00F3019F"/>
    <w:pPr>
      <w:spacing w:after="0" w:line="240" w:lineRule="auto"/>
      <w:ind w:left="720"/>
      <w:contextualSpacing/>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9E"/>
    <w:pPr>
      <w:spacing w:after="200" w:line="276" w:lineRule="auto"/>
    </w:pPr>
    <w:rPr>
      <w:sz w:val="22"/>
      <w:szCs w:val="22"/>
    </w:rPr>
  </w:style>
  <w:style w:type="paragraph" w:styleId="Heading1">
    <w:name w:val="heading 1"/>
    <w:basedOn w:val="Normal"/>
    <w:next w:val="Normal"/>
    <w:link w:val="Heading1Char"/>
    <w:uiPriority w:val="9"/>
    <w:qFormat/>
    <w:rsid w:val="00F3019F"/>
    <w:pPr>
      <w:keepNext/>
      <w:keepLines/>
      <w:spacing w:after="0" w:line="240" w:lineRule="auto"/>
      <w:outlineLvl w:val="0"/>
    </w:pPr>
    <w:rPr>
      <w:rFonts w:ascii="Arial Black" w:eastAsia="Times New Roman" w:hAnsi="Arial Black"/>
      <w:b/>
      <w:bCs/>
      <w:color w:val="365F91"/>
      <w:sz w:val="28"/>
      <w:szCs w:val="28"/>
    </w:rPr>
  </w:style>
  <w:style w:type="paragraph" w:styleId="Heading2">
    <w:name w:val="heading 2"/>
    <w:basedOn w:val="Normal"/>
    <w:next w:val="Normal"/>
    <w:link w:val="Heading2Char"/>
    <w:uiPriority w:val="9"/>
    <w:unhideWhenUsed/>
    <w:qFormat/>
    <w:rsid w:val="00F3019F"/>
    <w:pPr>
      <w:keepNext/>
      <w:keepLines/>
      <w:spacing w:before="200" w:after="0" w:line="240" w:lineRule="auto"/>
      <w:outlineLvl w:val="1"/>
    </w:pPr>
    <w:rPr>
      <w:rFonts w:ascii="Arial Black" w:eastAsia="Times New Roman" w:hAnsi="Arial Black"/>
      <w:b/>
      <w:bCs/>
      <w:color w:val="4F81BD"/>
      <w:sz w:val="26"/>
      <w:szCs w:val="26"/>
    </w:rPr>
  </w:style>
  <w:style w:type="paragraph" w:styleId="Heading3">
    <w:name w:val="heading 3"/>
    <w:basedOn w:val="Normal"/>
    <w:next w:val="Normal"/>
    <w:link w:val="Heading3Char"/>
    <w:uiPriority w:val="9"/>
    <w:unhideWhenUsed/>
    <w:qFormat/>
    <w:rsid w:val="00F3019F"/>
    <w:pPr>
      <w:keepNext/>
      <w:keepLines/>
      <w:spacing w:before="200" w:after="0" w:line="240" w:lineRule="auto"/>
      <w:outlineLvl w:val="2"/>
    </w:pPr>
    <w:rPr>
      <w:rFonts w:ascii="Arial Black" w:eastAsia="Times New Roman" w:hAnsi="Arial Black"/>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02E99"/>
    <w:rPr>
      <w:sz w:val="16"/>
      <w:szCs w:val="16"/>
    </w:rPr>
  </w:style>
  <w:style w:type="paragraph" w:styleId="CommentText">
    <w:name w:val="annotation text"/>
    <w:basedOn w:val="Normal"/>
    <w:link w:val="CommentTextChar"/>
    <w:uiPriority w:val="99"/>
    <w:unhideWhenUsed/>
    <w:rsid w:val="00802E99"/>
    <w:pPr>
      <w:spacing w:line="240" w:lineRule="auto"/>
    </w:pPr>
    <w:rPr>
      <w:sz w:val="20"/>
      <w:szCs w:val="20"/>
    </w:rPr>
  </w:style>
  <w:style w:type="character" w:customStyle="1" w:styleId="CommentTextChar">
    <w:name w:val="Comment Text Char"/>
    <w:basedOn w:val="DefaultParagraphFont"/>
    <w:link w:val="CommentText"/>
    <w:uiPriority w:val="99"/>
    <w:rsid w:val="00802E99"/>
  </w:style>
  <w:style w:type="paragraph" w:styleId="BalloonText">
    <w:name w:val="Balloon Text"/>
    <w:basedOn w:val="Normal"/>
    <w:link w:val="BalloonTextChar"/>
    <w:uiPriority w:val="99"/>
    <w:semiHidden/>
    <w:unhideWhenUsed/>
    <w:rsid w:val="00802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2E99"/>
    <w:rPr>
      <w:rFonts w:ascii="Tahoma" w:hAnsi="Tahoma" w:cs="Tahoma"/>
      <w:sz w:val="16"/>
      <w:szCs w:val="16"/>
    </w:rPr>
  </w:style>
  <w:style w:type="paragraph" w:styleId="Header">
    <w:name w:val="header"/>
    <w:basedOn w:val="Normal"/>
    <w:link w:val="HeaderChar"/>
    <w:uiPriority w:val="99"/>
    <w:unhideWhenUsed/>
    <w:rsid w:val="002C2E59"/>
    <w:pPr>
      <w:tabs>
        <w:tab w:val="center" w:pos="4680"/>
        <w:tab w:val="right" w:pos="9360"/>
      </w:tabs>
    </w:pPr>
  </w:style>
  <w:style w:type="character" w:customStyle="1" w:styleId="HeaderChar">
    <w:name w:val="Header Char"/>
    <w:link w:val="Header"/>
    <w:uiPriority w:val="99"/>
    <w:rsid w:val="002C2E59"/>
    <w:rPr>
      <w:sz w:val="22"/>
      <w:szCs w:val="22"/>
    </w:rPr>
  </w:style>
  <w:style w:type="paragraph" w:styleId="Footer">
    <w:name w:val="footer"/>
    <w:basedOn w:val="Normal"/>
    <w:link w:val="FooterChar"/>
    <w:uiPriority w:val="99"/>
    <w:unhideWhenUsed/>
    <w:rsid w:val="002C2E59"/>
    <w:pPr>
      <w:tabs>
        <w:tab w:val="center" w:pos="4680"/>
        <w:tab w:val="right" w:pos="9360"/>
      </w:tabs>
    </w:pPr>
  </w:style>
  <w:style w:type="character" w:customStyle="1" w:styleId="FooterChar">
    <w:name w:val="Footer Char"/>
    <w:link w:val="Footer"/>
    <w:uiPriority w:val="99"/>
    <w:rsid w:val="002C2E59"/>
    <w:rPr>
      <w:sz w:val="22"/>
      <w:szCs w:val="22"/>
    </w:rPr>
  </w:style>
  <w:style w:type="paragraph" w:styleId="CommentSubject">
    <w:name w:val="annotation subject"/>
    <w:basedOn w:val="CommentText"/>
    <w:next w:val="CommentText"/>
    <w:link w:val="CommentSubjectChar"/>
    <w:uiPriority w:val="99"/>
    <w:semiHidden/>
    <w:unhideWhenUsed/>
    <w:rsid w:val="003B1179"/>
    <w:pPr>
      <w:spacing w:line="276" w:lineRule="auto"/>
    </w:pPr>
    <w:rPr>
      <w:b/>
      <w:bCs/>
    </w:rPr>
  </w:style>
  <w:style w:type="character" w:customStyle="1" w:styleId="CommentSubjectChar">
    <w:name w:val="Comment Subject Char"/>
    <w:link w:val="CommentSubject"/>
    <w:uiPriority w:val="99"/>
    <w:semiHidden/>
    <w:rsid w:val="003B1179"/>
    <w:rPr>
      <w:b/>
      <w:bCs/>
    </w:rPr>
  </w:style>
  <w:style w:type="paragraph" w:styleId="Title">
    <w:name w:val="Title"/>
    <w:basedOn w:val="Normal"/>
    <w:next w:val="Normal"/>
    <w:link w:val="TitleChar"/>
    <w:uiPriority w:val="10"/>
    <w:qFormat/>
    <w:rsid w:val="00FB5C9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B5C92"/>
    <w:rPr>
      <w:rFonts w:ascii="Cambria" w:eastAsia="Times New Roman" w:hAnsi="Cambria" w:cs="Times New Roman"/>
      <w:b/>
      <w:bCs/>
      <w:kern w:val="28"/>
      <w:sz w:val="32"/>
      <w:szCs w:val="32"/>
    </w:rPr>
  </w:style>
  <w:style w:type="character" w:customStyle="1" w:styleId="Heading2Char">
    <w:name w:val="Heading 2 Char"/>
    <w:link w:val="Heading2"/>
    <w:uiPriority w:val="9"/>
    <w:rsid w:val="00F3019F"/>
    <w:rPr>
      <w:rFonts w:ascii="Arial Black" w:eastAsia="Times New Roman" w:hAnsi="Arial Black" w:cs="Times New Roman"/>
      <w:b/>
      <w:bCs/>
      <w:color w:val="4F81BD"/>
      <w:sz w:val="26"/>
      <w:szCs w:val="26"/>
    </w:rPr>
  </w:style>
  <w:style w:type="character" w:customStyle="1" w:styleId="Heading3Char">
    <w:name w:val="Heading 3 Char"/>
    <w:link w:val="Heading3"/>
    <w:uiPriority w:val="9"/>
    <w:rsid w:val="00F3019F"/>
    <w:rPr>
      <w:rFonts w:ascii="Arial Black" w:eastAsia="Times New Roman" w:hAnsi="Arial Black" w:cs="Times New Roman"/>
      <w:b/>
      <w:bCs/>
      <w:color w:val="4F81BD"/>
      <w:sz w:val="22"/>
      <w:szCs w:val="22"/>
    </w:rPr>
  </w:style>
  <w:style w:type="character" w:customStyle="1" w:styleId="Heading1Char">
    <w:name w:val="Heading 1 Char"/>
    <w:link w:val="Heading1"/>
    <w:uiPriority w:val="9"/>
    <w:rsid w:val="00F3019F"/>
    <w:rPr>
      <w:rFonts w:ascii="Arial Black" w:eastAsia="Times New Roman" w:hAnsi="Arial Black"/>
      <w:b/>
      <w:bCs/>
      <w:color w:val="365F91"/>
      <w:sz w:val="28"/>
      <w:szCs w:val="28"/>
    </w:rPr>
  </w:style>
  <w:style w:type="paragraph" w:styleId="ListParagraph">
    <w:name w:val="List Paragraph"/>
    <w:basedOn w:val="Normal"/>
    <w:uiPriority w:val="34"/>
    <w:qFormat/>
    <w:rsid w:val="00F3019F"/>
    <w:pPr>
      <w:spacing w:after="0" w:line="240" w:lineRule="auto"/>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CE0ECBBA06654DB9CF6361B5B2A5C3" ma:contentTypeVersion="0" ma:contentTypeDescription="Create a new document." ma:contentTypeScope="" ma:versionID="428858bfa4d5ea9067ff87568306a6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6249-C838-4958-90F5-8B87CD6A0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B162BB-886C-4D78-97FE-0353CDF31E4B}">
  <ds:schemaRefs>
    <ds:schemaRef ds:uri="http://schemas.microsoft.com/sharepoint/v3/contenttype/forms"/>
  </ds:schemaRefs>
</ds:datastoreItem>
</file>

<file path=customXml/itemProps3.xml><?xml version="1.0" encoding="utf-8"?>
<ds:datastoreItem xmlns:ds="http://schemas.openxmlformats.org/officeDocument/2006/customXml" ds:itemID="{F4DCBD4C-20A4-4C56-B62F-41ADA50A1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1BE354-4BE1-BB47-B498-279FED56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2031</Words>
  <Characters>11105</Characters>
  <Application>Microsoft Macintosh Word</Application>
  <DocSecurity>0</DocSecurity>
  <Lines>172</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Part 686 – TEACH Grants (MS Word)</dc:title>
  <dc:subject/>
  <dc:creator>U.S. Department of Education</dc:creator>
  <cp:keywords/>
  <dc:description/>
  <cp:lastModifiedBy>Alan Smigielski</cp:lastModifiedBy>
  <cp:revision>6</cp:revision>
  <cp:lastPrinted>2018-12-07T13:07:00Z</cp:lastPrinted>
  <dcterms:created xsi:type="dcterms:W3CDTF">2018-12-12T22:47:00Z</dcterms:created>
  <dcterms:modified xsi:type="dcterms:W3CDTF">2019-01-07T14:59:00Z</dcterms:modified>
  <cp:category/>
</cp:coreProperties>
</file>