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1EDB" w14:textId="1428D4FD" w:rsidR="00F43918" w:rsidRPr="00F43918" w:rsidRDefault="00063DC1" w:rsidP="00F43918">
      <w:pPr>
        <w:pStyle w:val="Heading1"/>
      </w:pPr>
      <w:bookmarkStart w:id="0" w:name="_top"/>
      <w:bookmarkStart w:id="1" w:name="_GoBack"/>
      <w:bookmarkEnd w:id="0"/>
      <w:r>
        <w:t>Summary of P</w:t>
      </w:r>
      <w:r w:rsidRPr="00F43918">
        <w:t>art 668—Student Assistance General Provisions</w:t>
      </w:r>
    </w:p>
    <w:bookmarkEnd w:id="1"/>
    <w:p w14:paraId="7A2D3B59" w14:textId="77777777" w:rsidR="00A03ADD" w:rsidRPr="00F43918" w:rsidRDefault="00A03ADD" w:rsidP="00F43918">
      <w:pPr>
        <w:pStyle w:val="Heading2"/>
      </w:pPr>
      <w:r w:rsidRPr="00F43918">
        <w:t>Subpart A—General</w:t>
      </w:r>
    </w:p>
    <w:p w14:paraId="0EFB8319" w14:textId="107F21DF" w:rsidR="00F43918" w:rsidRDefault="00A03ADD" w:rsidP="00F43918">
      <w:pPr>
        <w:pStyle w:val="Heading3"/>
      </w:pPr>
      <w:bookmarkStart w:id="2" w:name="se34.3.668_11"/>
      <w:bookmarkStart w:id="3" w:name="se34.3.668_12"/>
      <w:bookmarkEnd w:id="2"/>
      <w:bookmarkEnd w:id="3"/>
      <w:r w:rsidRPr="00F43918">
        <w:t>§</w:t>
      </w:r>
      <w:r w:rsidR="00521091" w:rsidRPr="00F43918">
        <w:t xml:space="preserve"> </w:t>
      </w:r>
      <w:proofErr w:type="gramStart"/>
      <w:r w:rsidR="00AF7696" w:rsidRPr="00F43918">
        <w:t>668.2  General</w:t>
      </w:r>
      <w:proofErr w:type="gramEnd"/>
      <w:r w:rsidR="00AF7696" w:rsidRPr="00F43918">
        <w:t xml:space="preserve"> Definitions</w:t>
      </w:r>
    </w:p>
    <w:p w14:paraId="7A2D3BD8" w14:textId="32CCBB5F" w:rsidR="00022D64" w:rsidRPr="009820A0" w:rsidRDefault="00AC662E" w:rsidP="00F43918">
      <w:pPr>
        <w:pStyle w:val="ListParagraph"/>
        <w:numPr>
          <w:ilvl w:val="0"/>
          <w:numId w:val="30"/>
        </w:numPr>
        <w:rPr>
          <w:rFonts w:eastAsia="Times New Roman"/>
          <w:sz w:val="22"/>
        </w:rPr>
      </w:pPr>
      <w:r w:rsidRPr="009820A0">
        <w:rPr>
          <w:rFonts w:eastAsia="Times New Roman"/>
          <w:sz w:val="22"/>
        </w:rPr>
        <w:t>Modifies the definition of a “Full-time student” to prevent a subscription-based program from providing title IV aid for retaken coursework</w:t>
      </w:r>
      <w:r w:rsidR="00022D64" w:rsidRPr="009820A0">
        <w:rPr>
          <w:rFonts w:eastAsia="Times New Roman"/>
          <w:sz w:val="22"/>
        </w:rPr>
        <w:t>, and provides that a minimum full time workload f</w:t>
      </w:r>
      <w:r w:rsidR="004452EF" w:rsidRPr="009820A0">
        <w:rPr>
          <w:rFonts w:eastAsia="Times New Roman"/>
          <w:sz w:val="22"/>
        </w:rPr>
        <w:t>or a subscription-based program</w:t>
      </w:r>
      <w:r w:rsidR="00022D64" w:rsidRPr="009820A0">
        <w:rPr>
          <w:rFonts w:eastAsia="Times New Roman"/>
          <w:sz w:val="22"/>
        </w:rPr>
        <w:t xml:space="preserve"> must be commensurate with the credit hour requirements for standard and non-standard term programs or correspondence coursework. </w:t>
      </w:r>
    </w:p>
    <w:p w14:paraId="3527C191" w14:textId="733CF098" w:rsidR="005E579F" w:rsidRPr="009820A0" w:rsidRDefault="005E579F" w:rsidP="00F43918">
      <w:pPr>
        <w:pStyle w:val="ListParagraph"/>
        <w:numPr>
          <w:ilvl w:val="0"/>
          <w:numId w:val="30"/>
        </w:numPr>
        <w:rPr>
          <w:rFonts w:eastAsia="Times New Roman"/>
          <w:sz w:val="22"/>
        </w:rPr>
      </w:pPr>
      <w:r w:rsidRPr="009820A0">
        <w:rPr>
          <w:rFonts w:eastAsia="Times New Roman"/>
          <w:sz w:val="22"/>
        </w:rPr>
        <w:t>Defines a “Subscription-based program” to create a framework for disbursing title IV aid – a student receives an initial disbursement but is then required to complete a cumulative number of credits before receiving aid in a subsequent period.</w:t>
      </w:r>
      <w:r w:rsidR="00AD6B48" w:rsidRPr="009820A0">
        <w:rPr>
          <w:rFonts w:eastAsia="Times New Roman"/>
          <w:sz w:val="22"/>
        </w:rPr>
        <w:t xml:space="preserve"> This new definition recognizes the growing use of subscription-based programs as an innovative me</w:t>
      </w:r>
      <w:r w:rsidR="00B81C28" w:rsidRPr="009820A0">
        <w:rPr>
          <w:rFonts w:eastAsia="Times New Roman"/>
          <w:sz w:val="22"/>
        </w:rPr>
        <w:t>chanism allowing purchase of</w:t>
      </w:r>
      <w:r w:rsidR="00AD6B48" w:rsidRPr="009820A0">
        <w:rPr>
          <w:rFonts w:eastAsia="Times New Roman"/>
          <w:sz w:val="22"/>
        </w:rPr>
        <w:t xml:space="preserve"> educational instruction over a “subscrip</w:t>
      </w:r>
      <w:r w:rsidR="00B81C28" w:rsidRPr="009820A0">
        <w:rPr>
          <w:rFonts w:eastAsia="Times New Roman"/>
          <w:sz w:val="22"/>
        </w:rPr>
        <w:t>tion period” during which time students</w:t>
      </w:r>
      <w:r w:rsidR="00AD6B48" w:rsidRPr="009820A0">
        <w:rPr>
          <w:rFonts w:eastAsia="Times New Roman"/>
          <w:sz w:val="22"/>
        </w:rPr>
        <w:t xml:space="preserve"> may demonstrate mastery of competencies at an individual pace. </w:t>
      </w:r>
      <w:r w:rsidR="007C67FB">
        <w:rPr>
          <w:rFonts w:eastAsia="Times New Roman"/>
          <w:sz w:val="22"/>
        </w:rPr>
        <w:t xml:space="preserve">The </w:t>
      </w:r>
      <w:r w:rsidR="00AD6B48" w:rsidRPr="009820A0">
        <w:rPr>
          <w:rFonts w:eastAsia="Times New Roman"/>
          <w:sz w:val="22"/>
        </w:rPr>
        <w:t xml:space="preserve">programs </w:t>
      </w:r>
      <w:r w:rsidR="007C67FB">
        <w:rPr>
          <w:rFonts w:eastAsia="Times New Roman"/>
          <w:sz w:val="22"/>
        </w:rPr>
        <w:t xml:space="preserve">to be covered by this definition </w:t>
      </w:r>
      <w:r w:rsidR="00AD6B48" w:rsidRPr="009820A0">
        <w:rPr>
          <w:rFonts w:eastAsia="Times New Roman"/>
          <w:sz w:val="22"/>
        </w:rPr>
        <w:t>are offered within a term-based framework, requiring schools to determine students’ enrollment status on a term-by-term basis. The definition provides a formula for doing this.</w:t>
      </w:r>
    </w:p>
    <w:p w14:paraId="2A02364C" w14:textId="44C92C2F" w:rsidR="005E579F" w:rsidRPr="009820A0" w:rsidRDefault="00596ABB" w:rsidP="00F43918">
      <w:pPr>
        <w:pStyle w:val="ListParagraph"/>
        <w:numPr>
          <w:ilvl w:val="0"/>
          <w:numId w:val="30"/>
        </w:numPr>
        <w:rPr>
          <w:rFonts w:eastAsia="Times New Roman"/>
          <w:sz w:val="22"/>
        </w:rPr>
      </w:pPr>
      <w:r w:rsidRPr="009820A0">
        <w:rPr>
          <w:rFonts w:eastAsia="Times New Roman"/>
          <w:sz w:val="22"/>
        </w:rPr>
        <w:t xml:space="preserve">Updates </w:t>
      </w:r>
      <w:r w:rsidR="005E579F" w:rsidRPr="009820A0">
        <w:rPr>
          <w:rFonts w:eastAsia="Times New Roman"/>
          <w:sz w:val="22"/>
        </w:rPr>
        <w:t xml:space="preserve">the </w:t>
      </w:r>
      <w:r w:rsidR="00B81C28" w:rsidRPr="009820A0">
        <w:rPr>
          <w:rFonts w:eastAsia="Times New Roman"/>
          <w:sz w:val="22"/>
        </w:rPr>
        <w:t xml:space="preserve">list </w:t>
      </w:r>
      <w:r w:rsidR="00373B96">
        <w:rPr>
          <w:rFonts w:eastAsia="Times New Roman"/>
          <w:sz w:val="22"/>
        </w:rPr>
        <w:t xml:space="preserve">of </w:t>
      </w:r>
      <w:r w:rsidR="00B81C28" w:rsidRPr="009820A0">
        <w:rPr>
          <w:rFonts w:eastAsia="Times New Roman"/>
          <w:sz w:val="22"/>
        </w:rPr>
        <w:t>administrati</w:t>
      </w:r>
      <w:r w:rsidR="00373B96">
        <w:rPr>
          <w:rFonts w:eastAsia="Times New Roman"/>
          <w:sz w:val="22"/>
        </w:rPr>
        <w:t>ve</w:t>
      </w:r>
      <w:r w:rsidR="00B81C28" w:rsidRPr="009820A0">
        <w:rPr>
          <w:rFonts w:eastAsia="Times New Roman"/>
          <w:sz w:val="22"/>
        </w:rPr>
        <w:t xml:space="preserve"> </w:t>
      </w:r>
      <w:r w:rsidR="00805482" w:rsidRPr="009820A0">
        <w:rPr>
          <w:rFonts w:eastAsia="Times New Roman"/>
          <w:sz w:val="22"/>
        </w:rPr>
        <w:t xml:space="preserve">functions </w:t>
      </w:r>
      <w:r w:rsidR="00B81C28" w:rsidRPr="009820A0">
        <w:rPr>
          <w:rFonts w:eastAsia="Times New Roman"/>
          <w:sz w:val="22"/>
        </w:rPr>
        <w:t xml:space="preserve">of title IV programs </w:t>
      </w:r>
      <w:r w:rsidR="00805482" w:rsidRPr="009820A0">
        <w:rPr>
          <w:rFonts w:eastAsia="Times New Roman"/>
          <w:sz w:val="22"/>
        </w:rPr>
        <w:t xml:space="preserve">performed </w:t>
      </w:r>
      <w:r w:rsidR="00B81C28" w:rsidRPr="009820A0">
        <w:rPr>
          <w:rFonts w:eastAsia="Times New Roman"/>
          <w:sz w:val="22"/>
        </w:rPr>
        <w:t xml:space="preserve">by </w:t>
      </w:r>
      <w:r w:rsidRPr="009820A0">
        <w:rPr>
          <w:rFonts w:eastAsia="Times New Roman"/>
          <w:sz w:val="22"/>
        </w:rPr>
        <w:t>a t</w:t>
      </w:r>
      <w:r w:rsidR="005E579F" w:rsidRPr="009820A0">
        <w:rPr>
          <w:rFonts w:eastAsia="Times New Roman"/>
          <w:sz w:val="22"/>
        </w:rPr>
        <w:t>hird-party servicer</w:t>
      </w:r>
      <w:r w:rsidRPr="009820A0">
        <w:rPr>
          <w:rFonts w:eastAsia="Times New Roman"/>
          <w:sz w:val="22"/>
        </w:rPr>
        <w:t xml:space="preserve"> to </w:t>
      </w:r>
      <w:r w:rsidR="00B81C28" w:rsidRPr="009820A0">
        <w:rPr>
          <w:rFonts w:eastAsia="Times New Roman"/>
          <w:sz w:val="22"/>
        </w:rPr>
        <w:t xml:space="preserve">include </w:t>
      </w:r>
      <w:r w:rsidR="00A01C11" w:rsidRPr="009820A0">
        <w:rPr>
          <w:rFonts w:eastAsia="Times New Roman"/>
          <w:sz w:val="22"/>
        </w:rPr>
        <w:t>“</w:t>
      </w:r>
      <w:r w:rsidRPr="009820A0">
        <w:rPr>
          <w:rFonts w:eastAsia="Times New Roman"/>
          <w:sz w:val="22"/>
        </w:rPr>
        <w:t>originating loans</w:t>
      </w:r>
      <w:r w:rsidR="00A01C11" w:rsidRPr="009820A0">
        <w:rPr>
          <w:rFonts w:eastAsia="Times New Roman"/>
          <w:sz w:val="22"/>
        </w:rPr>
        <w:t>”</w:t>
      </w:r>
      <w:r w:rsidR="00194F39" w:rsidRPr="009820A0">
        <w:rPr>
          <w:rFonts w:eastAsia="Times New Roman"/>
          <w:sz w:val="22"/>
        </w:rPr>
        <w:t xml:space="preserve"> under the Direct Loan program</w:t>
      </w:r>
      <w:r w:rsidR="00A01C11" w:rsidRPr="009820A0">
        <w:rPr>
          <w:rFonts w:eastAsia="Times New Roman"/>
          <w:sz w:val="22"/>
        </w:rPr>
        <w:t xml:space="preserve"> rather than </w:t>
      </w:r>
      <w:r w:rsidR="00B81C28" w:rsidRPr="009820A0">
        <w:rPr>
          <w:rFonts w:eastAsia="Times New Roman"/>
          <w:sz w:val="22"/>
        </w:rPr>
        <w:t>“certifying loans</w:t>
      </w:r>
      <w:r w:rsidR="00194F39" w:rsidRPr="009820A0">
        <w:rPr>
          <w:rFonts w:eastAsia="Times New Roman"/>
          <w:sz w:val="22"/>
        </w:rPr>
        <w:t xml:space="preserve">,” a process associated with the now defunct FFEL program. </w:t>
      </w:r>
    </w:p>
    <w:p w14:paraId="68262213" w14:textId="500AED4C" w:rsidR="00596ABB" w:rsidRPr="00870A7A" w:rsidRDefault="00194F39" w:rsidP="00870A7A">
      <w:pPr>
        <w:pStyle w:val="ListParagraph"/>
        <w:numPr>
          <w:ilvl w:val="0"/>
          <w:numId w:val="30"/>
        </w:numPr>
        <w:rPr>
          <w:rFonts w:eastAsia="Times New Roman"/>
        </w:rPr>
      </w:pPr>
      <w:r w:rsidRPr="009820A0">
        <w:rPr>
          <w:rFonts w:eastAsia="Times New Roman"/>
          <w:sz w:val="22"/>
        </w:rPr>
        <w:t>Removes references to the Federal Perkins Loan,</w:t>
      </w:r>
      <w:r w:rsidR="00F928FF" w:rsidRPr="009820A0">
        <w:rPr>
          <w:rFonts w:eastAsia="Times New Roman"/>
          <w:sz w:val="22"/>
        </w:rPr>
        <w:t xml:space="preserve"> FFEL,</w:t>
      </w:r>
      <w:r w:rsidRPr="009820A0">
        <w:rPr>
          <w:rFonts w:eastAsia="Times New Roman"/>
          <w:sz w:val="22"/>
        </w:rPr>
        <w:t xml:space="preserve"> </w:t>
      </w:r>
      <w:r w:rsidR="00F928FF" w:rsidRPr="009820A0">
        <w:rPr>
          <w:rFonts w:eastAsia="Times New Roman"/>
          <w:sz w:val="22"/>
        </w:rPr>
        <w:t>Academic Competitiveness Grant, and National SMART Grant programs, all of which are no longer in existence.</w:t>
      </w:r>
      <w:r w:rsidRPr="00870A7A">
        <w:rPr>
          <w:rFonts w:eastAsia="Times New Roman" w:cs="Arial"/>
          <w:color w:val="000000"/>
          <w:sz w:val="22"/>
          <w:szCs w:val="22"/>
        </w:rPr>
        <w:tab/>
      </w:r>
    </w:p>
    <w:p w14:paraId="7A2D3C34" w14:textId="0AE9E47F" w:rsidR="00A03ADD" w:rsidRPr="00F43918" w:rsidRDefault="00A03ADD" w:rsidP="00F43918">
      <w:pPr>
        <w:pStyle w:val="Heading3"/>
      </w:pPr>
      <w:bookmarkStart w:id="4" w:name="se34.3.668_13"/>
      <w:bookmarkEnd w:id="4"/>
      <w:r w:rsidRPr="00F43918">
        <w:t>§</w:t>
      </w:r>
      <w:r w:rsidR="00AF7696" w:rsidRPr="00F43918">
        <w:t xml:space="preserve"> </w:t>
      </w:r>
      <w:proofErr w:type="gramStart"/>
      <w:r w:rsidR="00AF7696" w:rsidRPr="00F43918">
        <w:t>668.3  Academic</w:t>
      </w:r>
      <w:proofErr w:type="gramEnd"/>
      <w:r w:rsidR="00AF7696" w:rsidRPr="00F43918">
        <w:t xml:space="preserve"> year</w:t>
      </w:r>
    </w:p>
    <w:p w14:paraId="4F645A7D" w14:textId="3DFC81D9" w:rsidR="00671581" w:rsidRDefault="00AF7696" w:rsidP="00292A05">
      <w:pPr>
        <w:pStyle w:val="ListParagraph"/>
        <w:numPr>
          <w:ilvl w:val="0"/>
          <w:numId w:val="6"/>
        </w:numPr>
        <w:shd w:val="clear" w:color="auto" w:fill="FFFFFF"/>
        <w:spacing w:after="100" w:afterAutospacing="1"/>
        <w:rPr>
          <w:rFonts w:eastAsia="Times New Roman" w:cs="Arial"/>
          <w:color w:val="000000"/>
          <w:sz w:val="22"/>
          <w:szCs w:val="22"/>
        </w:rPr>
      </w:pPr>
      <w:r w:rsidRPr="00F43918">
        <w:rPr>
          <w:rFonts w:eastAsia="Times New Roman"/>
          <w:sz w:val="22"/>
          <w:szCs w:val="22"/>
        </w:rPr>
        <w:t xml:space="preserve">Modifies the definition </w:t>
      </w:r>
      <w:r w:rsidR="00CC3E27" w:rsidRPr="00F43918">
        <w:rPr>
          <w:rFonts w:eastAsia="Times New Roman"/>
          <w:sz w:val="22"/>
          <w:szCs w:val="22"/>
        </w:rPr>
        <w:t xml:space="preserve">of a week of </w:t>
      </w:r>
      <w:r w:rsidR="00805482" w:rsidRPr="00F43918">
        <w:rPr>
          <w:rFonts w:eastAsia="Times New Roman"/>
          <w:sz w:val="22"/>
          <w:szCs w:val="22"/>
        </w:rPr>
        <w:t>ins</w:t>
      </w:r>
      <w:r w:rsidR="00805482">
        <w:rPr>
          <w:rFonts w:eastAsia="Times New Roman"/>
          <w:sz w:val="22"/>
          <w:szCs w:val="22"/>
        </w:rPr>
        <w:t>tructional</w:t>
      </w:r>
      <w:r w:rsidR="00805482" w:rsidRPr="00F43918">
        <w:rPr>
          <w:rFonts w:eastAsia="Times New Roman"/>
          <w:sz w:val="22"/>
          <w:szCs w:val="22"/>
        </w:rPr>
        <w:t xml:space="preserve"> </w:t>
      </w:r>
      <w:r w:rsidR="00CC3E27" w:rsidRPr="00F43918">
        <w:rPr>
          <w:rFonts w:eastAsia="Times New Roman"/>
          <w:sz w:val="22"/>
          <w:szCs w:val="22"/>
        </w:rPr>
        <w:t xml:space="preserve">time to be more flexible with respect to </w:t>
      </w:r>
      <w:r w:rsidR="00D94057" w:rsidRPr="00F43918">
        <w:rPr>
          <w:rFonts w:eastAsia="Times New Roman"/>
          <w:sz w:val="22"/>
          <w:szCs w:val="22"/>
        </w:rPr>
        <w:t>direct assessment</w:t>
      </w:r>
      <w:r w:rsidR="00CC3E27" w:rsidRPr="00F43918">
        <w:rPr>
          <w:rFonts w:eastAsia="Times New Roman"/>
          <w:sz w:val="22"/>
          <w:szCs w:val="22"/>
        </w:rPr>
        <w:t xml:space="preserve"> and asynchronous coursework and avoids forcing students to be involved in synchronous instruction </w:t>
      </w:r>
      <w:r w:rsidR="00805482">
        <w:rPr>
          <w:rFonts w:eastAsia="Times New Roman"/>
          <w:sz w:val="22"/>
          <w:szCs w:val="22"/>
        </w:rPr>
        <w:t>on a predetermined schedule</w:t>
      </w:r>
      <w:r w:rsidR="00CC3E27" w:rsidRPr="00F43918">
        <w:rPr>
          <w:rFonts w:eastAsia="Times New Roman"/>
          <w:sz w:val="22"/>
          <w:szCs w:val="22"/>
        </w:rPr>
        <w:t xml:space="preserve">.  </w:t>
      </w:r>
      <w:r w:rsidR="00D94057" w:rsidRPr="00F43918">
        <w:rPr>
          <w:rFonts w:eastAsia="Times New Roman"/>
          <w:sz w:val="22"/>
          <w:szCs w:val="22"/>
        </w:rPr>
        <w:t xml:space="preserve">Specifically, </w:t>
      </w:r>
      <w:r w:rsidR="007535CB" w:rsidRPr="00F43918">
        <w:rPr>
          <w:rFonts w:eastAsia="Times New Roman"/>
          <w:sz w:val="22"/>
          <w:szCs w:val="22"/>
        </w:rPr>
        <w:t>a</w:t>
      </w:r>
      <w:r w:rsidR="00D94057" w:rsidRPr="00F43918">
        <w:rPr>
          <w:rFonts w:eastAsia="Times New Roman" w:cs="Arial"/>
          <w:color w:val="000000"/>
          <w:sz w:val="22"/>
          <w:szCs w:val="22"/>
        </w:rPr>
        <w:t xml:space="preserve"> week of instructional time for a direct assessment program or a program offered using asynchronous coursework through distance education or correspondence, </w:t>
      </w:r>
      <w:r w:rsidR="00193174" w:rsidRPr="00F43918">
        <w:rPr>
          <w:rFonts w:eastAsia="Times New Roman" w:cs="Arial"/>
          <w:color w:val="000000"/>
          <w:sz w:val="22"/>
          <w:szCs w:val="22"/>
        </w:rPr>
        <w:t xml:space="preserve">is </w:t>
      </w:r>
      <w:r w:rsidR="00D94057" w:rsidRPr="00F43918">
        <w:rPr>
          <w:rFonts w:eastAsia="Times New Roman" w:cs="Arial"/>
          <w:color w:val="000000"/>
          <w:sz w:val="22"/>
          <w:szCs w:val="22"/>
        </w:rPr>
        <w:t>any week in which the institution makes available the instructional materials, other resources, and faculty support necessary for academic engagement and completion of course objectives and expects enrolled students to perform educational activities in fulfillment of program requirements</w:t>
      </w:r>
      <w:r w:rsidR="00350A00" w:rsidRPr="00F43918">
        <w:rPr>
          <w:rFonts w:eastAsia="Times New Roman" w:cs="Arial"/>
          <w:color w:val="000000"/>
          <w:sz w:val="22"/>
          <w:szCs w:val="22"/>
        </w:rPr>
        <w:t>.</w:t>
      </w:r>
      <w:r w:rsidR="00F90025" w:rsidRPr="00F43918">
        <w:rPr>
          <w:rFonts w:eastAsia="Times New Roman" w:cs="Arial"/>
          <w:color w:val="000000"/>
          <w:sz w:val="22"/>
          <w:szCs w:val="22"/>
        </w:rPr>
        <w:t xml:space="preserve"> </w:t>
      </w:r>
    </w:p>
    <w:p w14:paraId="49EF88A5" w14:textId="452BE69D" w:rsidR="00AF7696" w:rsidRPr="00F43918" w:rsidRDefault="00D61C65" w:rsidP="00AF7696">
      <w:pPr>
        <w:pStyle w:val="ListParagraph"/>
        <w:numPr>
          <w:ilvl w:val="0"/>
          <w:numId w:val="6"/>
        </w:numPr>
        <w:shd w:val="clear" w:color="auto" w:fill="FFFFFF"/>
        <w:spacing w:before="100" w:beforeAutospacing="1" w:after="100" w:afterAutospacing="1"/>
        <w:rPr>
          <w:rFonts w:eastAsia="Times New Roman" w:cs="Arial"/>
          <w:color w:val="000000"/>
          <w:sz w:val="22"/>
          <w:szCs w:val="22"/>
        </w:rPr>
      </w:pPr>
      <w:r w:rsidRPr="00F43918">
        <w:rPr>
          <w:rFonts w:eastAsia="Times New Roman" w:cs="Arial"/>
          <w:color w:val="000000"/>
          <w:sz w:val="22"/>
          <w:szCs w:val="22"/>
        </w:rPr>
        <w:t>A</w:t>
      </w:r>
      <w:r w:rsidR="00F90025" w:rsidRPr="00F43918">
        <w:rPr>
          <w:rFonts w:eastAsia="Times New Roman" w:cs="Arial"/>
          <w:color w:val="000000"/>
          <w:sz w:val="22"/>
          <w:szCs w:val="22"/>
        </w:rPr>
        <w:t xml:space="preserve">synchronous learning occurs when faculty and students interact at different </w:t>
      </w:r>
      <w:r w:rsidRPr="00F43918">
        <w:rPr>
          <w:rFonts w:eastAsia="Times New Roman" w:cs="Arial"/>
          <w:color w:val="000000"/>
          <w:sz w:val="22"/>
          <w:szCs w:val="22"/>
        </w:rPr>
        <w:t>times and different places.</w:t>
      </w:r>
      <w:r w:rsidR="00F90025" w:rsidRPr="00F43918">
        <w:rPr>
          <w:rFonts w:eastAsia="Times New Roman" w:cs="Arial"/>
          <w:color w:val="000000"/>
          <w:sz w:val="22"/>
          <w:szCs w:val="22"/>
        </w:rPr>
        <w:t xml:space="preserve"> </w:t>
      </w:r>
      <w:r w:rsidRPr="00F43918">
        <w:rPr>
          <w:rFonts w:eastAsia="Times New Roman" w:cs="Arial"/>
          <w:color w:val="000000"/>
          <w:sz w:val="22"/>
          <w:szCs w:val="22"/>
        </w:rPr>
        <w:t>T</w:t>
      </w:r>
      <w:r w:rsidR="00F90025" w:rsidRPr="00F43918">
        <w:rPr>
          <w:rFonts w:eastAsia="Times New Roman" w:cs="Arial"/>
          <w:color w:val="000000"/>
          <w:sz w:val="22"/>
          <w:szCs w:val="22"/>
        </w:rPr>
        <w:t>he current definition of a week of instructional time</w:t>
      </w:r>
      <w:r w:rsidRPr="00F43918">
        <w:rPr>
          <w:rFonts w:eastAsia="Times New Roman" w:cs="Arial"/>
          <w:color w:val="000000"/>
          <w:sz w:val="22"/>
          <w:szCs w:val="22"/>
        </w:rPr>
        <w:t xml:space="preserve"> (which requires at least one day of regularly scheduled instruction or examination over a consecutive seven-day period) </w:t>
      </w:r>
      <w:r w:rsidR="005E7D2C" w:rsidRPr="00F43918">
        <w:rPr>
          <w:rFonts w:eastAsia="Times New Roman" w:cs="Arial"/>
          <w:color w:val="000000"/>
          <w:sz w:val="22"/>
          <w:szCs w:val="22"/>
        </w:rPr>
        <w:t xml:space="preserve">does not account for this type of program structure. By clarifying that for a program offered using asynchronous coursework, a week of instructional time is </w:t>
      </w:r>
      <w:r w:rsidR="00805482">
        <w:rPr>
          <w:rFonts w:eastAsia="Times New Roman" w:cs="Arial"/>
          <w:color w:val="000000"/>
          <w:sz w:val="22"/>
          <w:szCs w:val="22"/>
        </w:rPr>
        <w:t>linked</w:t>
      </w:r>
      <w:r w:rsidR="00805482" w:rsidRPr="00F43918">
        <w:rPr>
          <w:rFonts w:eastAsia="Times New Roman" w:cs="Arial"/>
          <w:color w:val="000000"/>
          <w:sz w:val="22"/>
          <w:szCs w:val="22"/>
        </w:rPr>
        <w:t xml:space="preserve"> </w:t>
      </w:r>
      <w:r w:rsidR="005E7D2C" w:rsidRPr="00F43918">
        <w:rPr>
          <w:rFonts w:eastAsia="Times New Roman" w:cs="Arial"/>
          <w:color w:val="000000"/>
          <w:sz w:val="22"/>
          <w:szCs w:val="22"/>
        </w:rPr>
        <w:t xml:space="preserve">to the availability of instructional materials and faculty </w:t>
      </w:r>
      <w:r w:rsidR="00805482">
        <w:rPr>
          <w:rFonts w:eastAsia="Times New Roman" w:cs="Arial"/>
          <w:color w:val="000000"/>
          <w:sz w:val="22"/>
          <w:szCs w:val="22"/>
        </w:rPr>
        <w:t>interaction</w:t>
      </w:r>
      <w:r w:rsidR="007535CB" w:rsidRPr="00F43918">
        <w:rPr>
          <w:rFonts w:eastAsia="Times New Roman" w:cs="Arial"/>
          <w:color w:val="000000"/>
          <w:sz w:val="22"/>
          <w:szCs w:val="22"/>
        </w:rPr>
        <w:t>, the</w:t>
      </w:r>
      <w:r w:rsidR="00371182" w:rsidRPr="00F43918">
        <w:rPr>
          <w:rFonts w:eastAsia="Times New Roman" w:cs="Arial"/>
          <w:color w:val="000000"/>
          <w:sz w:val="22"/>
          <w:szCs w:val="22"/>
        </w:rPr>
        <w:t xml:space="preserve"> definition is sufficiently expanded to all types of instruction</w:t>
      </w:r>
      <w:r w:rsidR="00805482">
        <w:rPr>
          <w:rFonts w:eastAsia="Times New Roman" w:cs="Arial"/>
          <w:color w:val="000000"/>
          <w:sz w:val="22"/>
          <w:szCs w:val="22"/>
        </w:rPr>
        <w:t xml:space="preserve"> - </w:t>
      </w:r>
      <w:r w:rsidR="00371182" w:rsidRPr="00F43918">
        <w:rPr>
          <w:rFonts w:eastAsia="Times New Roman" w:cs="Arial"/>
          <w:color w:val="000000"/>
          <w:sz w:val="22"/>
          <w:szCs w:val="22"/>
        </w:rPr>
        <w:t xml:space="preserve">both synchronous and asynchronous. </w:t>
      </w:r>
    </w:p>
    <w:p w14:paraId="7A2D3C86" w14:textId="10BC9271" w:rsidR="00A03ADD" w:rsidRPr="00AE157D" w:rsidRDefault="00A03ADD" w:rsidP="00B407B0">
      <w:pPr>
        <w:pStyle w:val="Heading3"/>
      </w:pPr>
      <w:bookmarkStart w:id="5" w:name="se34.3.668_14"/>
      <w:bookmarkStart w:id="6" w:name="se34.3.668_15"/>
      <w:bookmarkEnd w:id="5"/>
      <w:bookmarkEnd w:id="6"/>
      <w:r w:rsidRPr="00AE157D">
        <w:t>§</w:t>
      </w:r>
      <w:r w:rsidR="00CA45C8" w:rsidRPr="00AE157D">
        <w:t xml:space="preserve"> </w:t>
      </w:r>
      <w:proofErr w:type="gramStart"/>
      <w:r w:rsidR="00CA45C8" w:rsidRPr="00AE157D">
        <w:t xml:space="preserve">668.5  </w:t>
      </w:r>
      <w:r w:rsidRPr="00AE157D">
        <w:t>Written</w:t>
      </w:r>
      <w:proofErr w:type="gramEnd"/>
      <w:r w:rsidRPr="00AE157D">
        <w:t xml:space="preserve"> arrangements to provide educational programs.</w:t>
      </w:r>
    </w:p>
    <w:p w14:paraId="3E7C455F" w14:textId="24332215" w:rsidR="00913562" w:rsidRPr="00671581" w:rsidRDefault="00F27F08" w:rsidP="00671581">
      <w:pPr>
        <w:pStyle w:val="ListParagraph"/>
        <w:numPr>
          <w:ilvl w:val="0"/>
          <w:numId w:val="6"/>
        </w:numPr>
        <w:rPr>
          <w:rFonts w:eastAsia="Times New Roman" w:cs="Arial"/>
          <w:color w:val="000000"/>
          <w:sz w:val="22"/>
          <w:szCs w:val="22"/>
        </w:rPr>
      </w:pPr>
      <w:r>
        <w:rPr>
          <w:rFonts w:eastAsia="Times New Roman" w:cs="Arial"/>
          <w:color w:val="000000"/>
          <w:sz w:val="22"/>
          <w:szCs w:val="22"/>
        </w:rPr>
        <w:t>Modifies</w:t>
      </w:r>
      <w:r w:rsidR="00B50703" w:rsidRPr="00AE157D">
        <w:rPr>
          <w:rFonts w:eastAsia="Times New Roman" w:cs="Arial"/>
          <w:color w:val="000000"/>
          <w:sz w:val="22"/>
          <w:szCs w:val="22"/>
        </w:rPr>
        <w:t xml:space="preserve"> the portion of a program that may be offered by an ineligible organization through a written arrangement </w:t>
      </w:r>
      <w:r w:rsidR="00302B00" w:rsidRPr="00AE157D">
        <w:rPr>
          <w:rFonts w:eastAsia="Times New Roman" w:cs="Arial"/>
          <w:color w:val="000000"/>
          <w:sz w:val="22"/>
          <w:szCs w:val="22"/>
        </w:rPr>
        <w:t xml:space="preserve">in order to encourage partnering with entities that </w:t>
      </w:r>
      <w:r w:rsidR="00805482">
        <w:rPr>
          <w:rFonts w:eastAsia="Times New Roman" w:cs="Arial"/>
          <w:color w:val="000000"/>
          <w:sz w:val="22"/>
          <w:szCs w:val="22"/>
        </w:rPr>
        <w:t xml:space="preserve">may have innovative solutions or technologies otherwise unavailable to colleges and universities, or that develop </w:t>
      </w:r>
      <w:r w:rsidR="00805482">
        <w:rPr>
          <w:rFonts w:eastAsia="Times New Roman" w:cs="Arial"/>
          <w:color w:val="000000"/>
          <w:sz w:val="22"/>
          <w:szCs w:val="22"/>
        </w:rPr>
        <w:lastRenderedPageBreak/>
        <w:t>programs and curricula that are</w:t>
      </w:r>
      <w:r w:rsidR="00671581">
        <w:rPr>
          <w:rFonts w:eastAsia="Times New Roman" w:cs="Arial"/>
          <w:color w:val="000000"/>
          <w:sz w:val="22"/>
          <w:szCs w:val="22"/>
        </w:rPr>
        <w:t xml:space="preserve"> more </w:t>
      </w:r>
      <w:proofErr w:type="gramStart"/>
      <w:r w:rsidR="00671581">
        <w:rPr>
          <w:rFonts w:eastAsia="Times New Roman" w:cs="Arial"/>
          <w:color w:val="000000"/>
          <w:sz w:val="22"/>
          <w:szCs w:val="22"/>
        </w:rPr>
        <w:t>workforce</w:t>
      </w:r>
      <w:proofErr w:type="gramEnd"/>
      <w:r w:rsidR="00671581">
        <w:rPr>
          <w:rFonts w:eastAsia="Times New Roman" w:cs="Arial"/>
          <w:color w:val="000000"/>
          <w:sz w:val="22"/>
          <w:szCs w:val="22"/>
        </w:rPr>
        <w:t xml:space="preserve"> responsive</w:t>
      </w:r>
      <w:r w:rsidR="00805482">
        <w:rPr>
          <w:rFonts w:eastAsia="Times New Roman" w:cs="Arial"/>
          <w:color w:val="000000"/>
          <w:sz w:val="22"/>
          <w:szCs w:val="22"/>
        </w:rPr>
        <w:t xml:space="preserve">.  This could include written agreements with employers, trade associations, unions or other </w:t>
      </w:r>
      <w:r w:rsidR="00EE7BF3">
        <w:rPr>
          <w:rFonts w:eastAsia="Times New Roman" w:cs="Arial"/>
          <w:color w:val="000000"/>
          <w:sz w:val="22"/>
          <w:szCs w:val="22"/>
        </w:rPr>
        <w:t xml:space="preserve">instructional </w:t>
      </w:r>
      <w:r w:rsidR="00805482">
        <w:rPr>
          <w:rFonts w:eastAsia="Times New Roman" w:cs="Arial"/>
          <w:color w:val="000000"/>
          <w:sz w:val="22"/>
          <w:szCs w:val="22"/>
        </w:rPr>
        <w:t xml:space="preserve">providers as part of </w:t>
      </w:r>
      <w:r w:rsidR="00DE00DC">
        <w:rPr>
          <w:rFonts w:eastAsia="Times New Roman" w:cs="Arial"/>
          <w:color w:val="000000"/>
          <w:sz w:val="22"/>
          <w:szCs w:val="22"/>
        </w:rPr>
        <w:t xml:space="preserve">an </w:t>
      </w:r>
      <w:r w:rsidR="00805482">
        <w:rPr>
          <w:rFonts w:eastAsia="Times New Roman" w:cs="Arial"/>
          <w:color w:val="000000"/>
          <w:sz w:val="22"/>
          <w:szCs w:val="22"/>
        </w:rPr>
        <w:t>apprenticeship program</w:t>
      </w:r>
      <w:r w:rsidR="00671581">
        <w:rPr>
          <w:rFonts w:eastAsia="Times New Roman" w:cs="Arial"/>
          <w:color w:val="000000"/>
          <w:sz w:val="22"/>
          <w:szCs w:val="22"/>
        </w:rPr>
        <w:t xml:space="preserve"> or </w:t>
      </w:r>
      <w:r w:rsidR="00805482">
        <w:rPr>
          <w:rFonts w:eastAsia="Times New Roman" w:cs="Arial"/>
          <w:color w:val="000000"/>
          <w:sz w:val="22"/>
          <w:szCs w:val="22"/>
        </w:rPr>
        <w:t>other</w:t>
      </w:r>
      <w:r w:rsidR="00671581">
        <w:rPr>
          <w:rFonts w:eastAsia="Times New Roman" w:cs="Arial"/>
          <w:color w:val="000000"/>
          <w:sz w:val="22"/>
          <w:szCs w:val="22"/>
        </w:rPr>
        <w:t xml:space="preserve"> “earn and learn” model</w:t>
      </w:r>
      <w:r w:rsidR="00805482">
        <w:rPr>
          <w:rFonts w:eastAsia="Times New Roman" w:cs="Arial"/>
          <w:color w:val="000000"/>
          <w:sz w:val="22"/>
          <w:szCs w:val="22"/>
        </w:rPr>
        <w:t xml:space="preserve"> </w:t>
      </w:r>
      <w:r w:rsidR="00805482" w:rsidRPr="00BA15EE">
        <w:rPr>
          <w:rFonts w:eastAsia="Times New Roman" w:cs="Arial"/>
          <w:color w:val="000000"/>
          <w:sz w:val="22"/>
          <w:szCs w:val="22"/>
        </w:rPr>
        <w:t xml:space="preserve">to ensure that students receive credit for all of the learning that takes place </w:t>
      </w:r>
      <w:r w:rsidR="00EE7BF3" w:rsidRPr="00BA15EE">
        <w:rPr>
          <w:rFonts w:eastAsia="Times New Roman" w:cs="Arial"/>
          <w:color w:val="000000"/>
          <w:sz w:val="22"/>
          <w:szCs w:val="22"/>
        </w:rPr>
        <w:t>throughout their program</w:t>
      </w:r>
      <w:r w:rsidR="00671581">
        <w:rPr>
          <w:rFonts w:eastAsia="Times New Roman" w:cs="Arial"/>
          <w:color w:val="000000"/>
          <w:sz w:val="22"/>
          <w:szCs w:val="22"/>
        </w:rPr>
        <w:t>.  Such arrangements can permit</w:t>
      </w:r>
      <w:r w:rsidR="00671581" w:rsidRPr="00AE157D">
        <w:rPr>
          <w:rFonts w:eastAsia="Times New Roman" w:cs="Arial"/>
          <w:color w:val="000000"/>
          <w:sz w:val="22"/>
          <w:szCs w:val="22"/>
        </w:rPr>
        <w:t xml:space="preserve"> institutions to respond quickly to workforce factors that affect the employability of graduates</w:t>
      </w:r>
      <w:r w:rsidR="00EE7BF3">
        <w:rPr>
          <w:rFonts w:eastAsia="Times New Roman" w:cs="Arial"/>
          <w:color w:val="000000"/>
          <w:sz w:val="22"/>
          <w:szCs w:val="22"/>
        </w:rPr>
        <w:t>, and reduce the cost to institutions of trying to stay current with the latest equipment and technology in use by employers</w:t>
      </w:r>
      <w:r w:rsidR="00671581" w:rsidRPr="00AE157D">
        <w:rPr>
          <w:rFonts w:eastAsia="Times New Roman" w:cs="Arial"/>
          <w:color w:val="000000"/>
          <w:sz w:val="22"/>
          <w:szCs w:val="22"/>
        </w:rPr>
        <w:t>.</w:t>
      </w:r>
      <w:r w:rsidR="006655FE">
        <w:rPr>
          <w:rFonts w:eastAsia="Times New Roman" w:cs="Arial"/>
          <w:color w:val="000000"/>
          <w:sz w:val="22"/>
          <w:szCs w:val="22"/>
        </w:rPr>
        <w:t xml:space="preserve">  Subject to some </w:t>
      </w:r>
      <w:r w:rsidR="00DD6B0B">
        <w:rPr>
          <w:rFonts w:eastAsia="Times New Roman" w:cs="Arial"/>
          <w:color w:val="000000"/>
          <w:sz w:val="22"/>
          <w:szCs w:val="22"/>
        </w:rPr>
        <w:t xml:space="preserve">existing </w:t>
      </w:r>
      <w:r w:rsidR="006655FE">
        <w:rPr>
          <w:rFonts w:eastAsia="Times New Roman" w:cs="Arial"/>
          <w:color w:val="000000"/>
          <w:sz w:val="22"/>
          <w:szCs w:val="22"/>
        </w:rPr>
        <w:t>restrictions,</w:t>
      </w:r>
    </w:p>
    <w:p w14:paraId="75CA36C2" w14:textId="60665E07" w:rsidR="0060326F" w:rsidRPr="00671581" w:rsidRDefault="00292A05" w:rsidP="00671581">
      <w:pPr>
        <w:pStyle w:val="ListParagraph"/>
        <w:numPr>
          <w:ilvl w:val="0"/>
          <w:numId w:val="28"/>
        </w:numPr>
        <w:rPr>
          <w:rFonts w:eastAsia="Times New Roman"/>
          <w:sz w:val="22"/>
          <w:szCs w:val="22"/>
        </w:rPr>
      </w:pPr>
      <w:r>
        <w:rPr>
          <w:rFonts w:eastAsia="Times New Roman"/>
          <w:sz w:val="22"/>
          <w:szCs w:val="22"/>
        </w:rPr>
        <w:t>A</w:t>
      </w:r>
      <w:r w:rsidR="0060326F" w:rsidRPr="00AE157D">
        <w:rPr>
          <w:rFonts w:eastAsia="Times New Roman"/>
          <w:sz w:val="22"/>
          <w:szCs w:val="22"/>
        </w:rPr>
        <w:t xml:space="preserve">n </w:t>
      </w:r>
      <w:r w:rsidR="00CC7A01">
        <w:rPr>
          <w:rFonts w:eastAsia="Times New Roman"/>
          <w:sz w:val="22"/>
          <w:szCs w:val="22"/>
        </w:rPr>
        <w:t xml:space="preserve">institution may enter into an agreement with an </w:t>
      </w:r>
      <w:r w:rsidR="0060326F" w:rsidRPr="00AE157D">
        <w:rPr>
          <w:rFonts w:eastAsia="Times New Roman"/>
          <w:sz w:val="22"/>
          <w:szCs w:val="22"/>
        </w:rPr>
        <w:t xml:space="preserve">ineligible organization </w:t>
      </w:r>
      <w:r w:rsidR="00CC7A01">
        <w:rPr>
          <w:rFonts w:eastAsia="Times New Roman"/>
          <w:sz w:val="22"/>
          <w:szCs w:val="22"/>
        </w:rPr>
        <w:t>to</w:t>
      </w:r>
      <w:r w:rsidR="00CC7A01" w:rsidRPr="00AE157D">
        <w:rPr>
          <w:rFonts w:eastAsia="Times New Roman"/>
          <w:sz w:val="22"/>
          <w:szCs w:val="22"/>
        </w:rPr>
        <w:t xml:space="preserve"> </w:t>
      </w:r>
      <w:r w:rsidR="0060326F" w:rsidRPr="00AE157D">
        <w:rPr>
          <w:rFonts w:eastAsia="Times New Roman"/>
          <w:sz w:val="22"/>
          <w:szCs w:val="22"/>
        </w:rPr>
        <w:t xml:space="preserve">provide up to </w:t>
      </w:r>
      <w:r w:rsidR="00F27F08">
        <w:rPr>
          <w:rFonts w:eastAsia="Times New Roman"/>
          <w:sz w:val="22"/>
          <w:szCs w:val="22"/>
        </w:rPr>
        <w:t>25</w:t>
      </w:r>
      <w:r w:rsidR="0060326F" w:rsidRPr="00AE157D">
        <w:rPr>
          <w:rFonts w:eastAsia="Times New Roman"/>
          <w:sz w:val="22"/>
          <w:szCs w:val="22"/>
        </w:rPr>
        <w:t xml:space="preserve"> percent of a program as long as the </w:t>
      </w:r>
      <w:r w:rsidR="00EE7BF3">
        <w:rPr>
          <w:rFonts w:eastAsia="Times New Roman"/>
          <w:sz w:val="22"/>
          <w:szCs w:val="22"/>
        </w:rPr>
        <w:t xml:space="preserve">eligible </w:t>
      </w:r>
      <w:r w:rsidR="0060326F" w:rsidRPr="00AE157D">
        <w:rPr>
          <w:rFonts w:eastAsia="Times New Roman"/>
          <w:sz w:val="22"/>
          <w:szCs w:val="22"/>
        </w:rPr>
        <w:t xml:space="preserve">institution notifies its accrediting agency. </w:t>
      </w:r>
    </w:p>
    <w:p w14:paraId="6EDC98DD" w14:textId="700C7A48" w:rsidR="0060326F" w:rsidRPr="00671581" w:rsidRDefault="00292A05" w:rsidP="00671581">
      <w:pPr>
        <w:pStyle w:val="ListParagraph"/>
        <w:numPr>
          <w:ilvl w:val="0"/>
          <w:numId w:val="29"/>
        </w:numPr>
        <w:shd w:val="clear" w:color="auto" w:fill="FFFFFF"/>
        <w:spacing w:before="100" w:beforeAutospacing="1" w:after="100" w:afterAutospacing="1"/>
        <w:ind w:left="1080"/>
        <w:rPr>
          <w:rFonts w:eastAsia="Times New Roman"/>
          <w:sz w:val="22"/>
          <w:szCs w:val="22"/>
        </w:rPr>
      </w:pPr>
      <w:r>
        <w:rPr>
          <w:rFonts w:eastAsia="Times New Roman"/>
          <w:color w:val="000000"/>
          <w:sz w:val="22"/>
          <w:szCs w:val="22"/>
        </w:rPr>
        <w:t>A</w:t>
      </w:r>
      <w:r w:rsidR="00C6149F" w:rsidRPr="00AE157D">
        <w:rPr>
          <w:rFonts w:eastAsia="Times New Roman"/>
          <w:color w:val="000000"/>
          <w:sz w:val="22"/>
          <w:szCs w:val="22"/>
        </w:rPr>
        <w:t>n</w:t>
      </w:r>
      <w:r w:rsidR="00CC7A01">
        <w:rPr>
          <w:rFonts w:eastAsia="Times New Roman"/>
          <w:color w:val="000000"/>
          <w:sz w:val="22"/>
          <w:szCs w:val="22"/>
        </w:rPr>
        <w:t xml:space="preserve"> institution may enter into an agreement with an</w:t>
      </w:r>
      <w:r w:rsidR="00C6149F" w:rsidRPr="00AE157D">
        <w:rPr>
          <w:rFonts w:eastAsia="Times New Roman"/>
          <w:color w:val="000000"/>
          <w:sz w:val="22"/>
          <w:szCs w:val="22"/>
        </w:rPr>
        <w:t xml:space="preserve"> ineligible organization </w:t>
      </w:r>
      <w:r w:rsidR="00CC7A01">
        <w:rPr>
          <w:rFonts w:eastAsia="Times New Roman"/>
          <w:color w:val="000000"/>
          <w:sz w:val="22"/>
          <w:szCs w:val="22"/>
        </w:rPr>
        <w:t>to</w:t>
      </w:r>
      <w:r w:rsidR="00CC7A01" w:rsidRPr="00AE157D">
        <w:rPr>
          <w:rFonts w:eastAsia="Times New Roman"/>
          <w:color w:val="000000"/>
          <w:sz w:val="22"/>
          <w:szCs w:val="22"/>
        </w:rPr>
        <w:t xml:space="preserve"> </w:t>
      </w:r>
      <w:r w:rsidR="00C6149F" w:rsidRPr="00AE157D">
        <w:rPr>
          <w:rFonts w:eastAsia="Times New Roman"/>
          <w:color w:val="000000"/>
          <w:sz w:val="22"/>
          <w:szCs w:val="22"/>
        </w:rPr>
        <w:t xml:space="preserve">provide </w:t>
      </w:r>
      <w:r w:rsidR="00F27F08">
        <w:rPr>
          <w:rFonts w:eastAsia="Times New Roman"/>
          <w:color w:val="000000"/>
          <w:sz w:val="22"/>
          <w:szCs w:val="22"/>
        </w:rPr>
        <w:t>more than 25</w:t>
      </w:r>
      <w:r w:rsidR="00C6149F" w:rsidRPr="00AE157D">
        <w:rPr>
          <w:rFonts w:eastAsia="Times New Roman"/>
          <w:color w:val="000000"/>
          <w:sz w:val="22"/>
          <w:szCs w:val="22"/>
        </w:rPr>
        <w:t xml:space="preserve"> percent of a program</w:t>
      </w:r>
      <w:r w:rsidR="00B407B0">
        <w:rPr>
          <w:rFonts w:eastAsia="Times New Roman"/>
          <w:color w:val="000000"/>
          <w:sz w:val="22"/>
          <w:szCs w:val="22"/>
        </w:rPr>
        <w:t>,</w:t>
      </w:r>
      <w:r w:rsidR="00C6149F" w:rsidRPr="00AE157D">
        <w:rPr>
          <w:rFonts w:eastAsia="Times New Roman"/>
          <w:color w:val="000000"/>
          <w:sz w:val="22"/>
          <w:szCs w:val="22"/>
        </w:rPr>
        <w:t xml:space="preserve"> but must obtain </w:t>
      </w:r>
      <w:r w:rsidR="00EE7BF3" w:rsidRPr="00BA15EE">
        <w:rPr>
          <w:rFonts w:eastAsia="Times New Roman"/>
          <w:color w:val="000000"/>
          <w:sz w:val="22"/>
          <w:szCs w:val="22"/>
        </w:rPr>
        <w:t xml:space="preserve">prior, written </w:t>
      </w:r>
      <w:r w:rsidR="00C6149F" w:rsidRPr="00BA15EE">
        <w:rPr>
          <w:rFonts w:eastAsia="Times New Roman"/>
          <w:color w:val="000000"/>
          <w:sz w:val="22"/>
          <w:szCs w:val="22"/>
        </w:rPr>
        <w:t>approval</w:t>
      </w:r>
      <w:r w:rsidR="00C6149F" w:rsidRPr="00AE157D">
        <w:rPr>
          <w:rFonts w:eastAsia="Times New Roman"/>
          <w:color w:val="000000"/>
          <w:sz w:val="22"/>
          <w:szCs w:val="22"/>
        </w:rPr>
        <w:t xml:space="preserve"> from the institution’s accrediting agency.</w:t>
      </w:r>
    </w:p>
    <w:p w14:paraId="76544EBF" w14:textId="0FB10782" w:rsidR="00935F4F" w:rsidRPr="00671581" w:rsidRDefault="006367D0" w:rsidP="00671581">
      <w:pPr>
        <w:pStyle w:val="ListParagraph"/>
        <w:numPr>
          <w:ilvl w:val="0"/>
          <w:numId w:val="27"/>
        </w:numPr>
        <w:tabs>
          <w:tab w:val="left" w:pos="4380"/>
        </w:tabs>
        <w:rPr>
          <w:rFonts w:eastAsia="Times New Roman" w:cs="Arial"/>
          <w:color w:val="000000"/>
          <w:sz w:val="22"/>
          <w:szCs w:val="22"/>
        </w:rPr>
      </w:pPr>
      <w:r w:rsidRPr="00AE157D">
        <w:rPr>
          <w:rFonts w:eastAsia="Times New Roman" w:cs="Arial"/>
          <w:color w:val="000000"/>
          <w:sz w:val="22"/>
          <w:szCs w:val="22"/>
        </w:rPr>
        <w:t>Establishes a formula for calculating the percentage of the progra</w:t>
      </w:r>
      <w:r w:rsidR="006A1001" w:rsidRPr="00AE157D">
        <w:rPr>
          <w:rFonts w:eastAsia="Times New Roman" w:cs="Arial"/>
          <w:color w:val="000000"/>
          <w:sz w:val="22"/>
          <w:szCs w:val="22"/>
        </w:rPr>
        <w:t xml:space="preserve">m offered </w:t>
      </w:r>
      <w:r w:rsidRPr="00AE157D">
        <w:rPr>
          <w:rFonts w:eastAsia="Times New Roman" w:cs="Arial"/>
          <w:color w:val="000000"/>
          <w:sz w:val="22"/>
          <w:szCs w:val="22"/>
        </w:rPr>
        <w:t>by an ineligible organization</w:t>
      </w:r>
      <w:r w:rsidR="006A1001" w:rsidRPr="00AE157D">
        <w:rPr>
          <w:rFonts w:eastAsia="Times New Roman" w:cs="Arial"/>
          <w:color w:val="000000"/>
          <w:sz w:val="22"/>
          <w:szCs w:val="22"/>
        </w:rPr>
        <w:t xml:space="preserve">. An ineligible organization </w:t>
      </w:r>
      <w:r w:rsidR="00EE7BF3">
        <w:rPr>
          <w:rFonts w:eastAsia="Times New Roman" w:cs="Arial"/>
          <w:color w:val="000000"/>
          <w:sz w:val="22"/>
          <w:szCs w:val="22"/>
        </w:rPr>
        <w:t>maintains</w:t>
      </w:r>
      <w:r w:rsidR="006A1001" w:rsidRPr="00AE157D">
        <w:rPr>
          <w:rFonts w:eastAsia="Times New Roman" w:cs="Arial"/>
          <w:color w:val="000000"/>
          <w:sz w:val="22"/>
          <w:szCs w:val="22"/>
        </w:rPr>
        <w:t xml:space="preserve"> authority or control over</w:t>
      </w:r>
      <w:r w:rsidR="00FE2F7A">
        <w:rPr>
          <w:rFonts w:eastAsia="Times New Roman" w:cs="Arial"/>
          <w:color w:val="000000"/>
          <w:sz w:val="22"/>
          <w:szCs w:val="22"/>
        </w:rPr>
        <w:t xml:space="preserve"> </w:t>
      </w:r>
      <w:r w:rsidR="00611AE0" w:rsidRPr="00AE157D">
        <w:rPr>
          <w:rFonts w:eastAsia="Times New Roman" w:cs="Arial"/>
          <w:color w:val="000000"/>
          <w:sz w:val="22"/>
          <w:szCs w:val="22"/>
        </w:rPr>
        <w:t xml:space="preserve">course </w:t>
      </w:r>
      <w:r w:rsidR="006A1001" w:rsidRPr="00AE157D">
        <w:rPr>
          <w:rFonts w:eastAsia="Times New Roman" w:cs="Arial"/>
          <w:color w:val="000000"/>
          <w:sz w:val="22"/>
          <w:szCs w:val="22"/>
        </w:rPr>
        <w:t>design</w:t>
      </w:r>
      <w:r w:rsidR="00611AE0" w:rsidRPr="00AE157D">
        <w:rPr>
          <w:rFonts w:eastAsia="Times New Roman" w:cs="Arial"/>
          <w:color w:val="000000"/>
          <w:sz w:val="22"/>
          <w:szCs w:val="22"/>
        </w:rPr>
        <w:t xml:space="preserve">, instruction </w:t>
      </w:r>
      <w:r w:rsidR="0055547E">
        <w:rPr>
          <w:rFonts w:eastAsia="Times New Roman" w:cs="Arial"/>
          <w:color w:val="000000"/>
          <w:sz w:val="22"/>
          <w:szCs w:val="22"/>
        </w:rPr>
        <w:t>or</w:t>
      </w:r>
      <w:r w:rsidR="00EE7BF3" w:rsidRPr="00AE157D">
        <w:rPr>
          <w:rFonts w:eastAsia="Times New Roman" w:cs="Arial"/>
          <w:color w:val="000000"/>
          <w:sz w:val="22"/>
          <w:szCs w:val="22"/>
        </w:rPr>
        <w:t xml:space="preserve"> </w:t>
      </w:r>
      <w:r w:rsidR="00611AE0" w:rsidRPr="00AE157D">
        <w:rPr>
          <w:rFonts w:eastAsia="Times New Roman" w:cs="Arial"/>
          <w:color w:val="000000"/>
          <w:sz w:val="22"/>
          <w:szCs w:val="22"/>
        </w:rPr>
        <w:t>assessment</w:t>
      </w:r>
      <w:r w:rsidR="00EE7BF3">
        <w:rPr>
          <w:rFonts w:eastAsia="Times New Roman" w:cs="Arial"/>
          <w:color w:val="000000"/>
          <w:sz w:val="22"/>
          <w:szCs w:val="22"/>
        </w:rPr>
        <w:t xml:space="preserve">, but may agree to work with the </w:t>
      </w:r>
      <w:r w:rsidR="00FE2F7A">
        <w:rPr>
          <w:rFonts w:eastAsia="Times New Roman" w:cs="Arial"/>
          <w:color w:val="000000"/>
          <w:sz w:val="22"/>
          <w:szCs w:val="22"/>
        </w:rPr>
        <w:t>eligible</w:t>
      </w:r>
      <w:r w:rsidR="00EE7BF3">
        <w:rPr>
          <w:rFonts w:eastAsia="Times New Roman" w:cs="Arial"/>
          <w:color w:val="000000"/>
          <w:sz w:val="22"/>
          <w:szCs w:val="22"/>
        </w:rPr>
        <w:t xml:space="preserve"> institution to make necessary modifications to align with the institution’s educational requirements</w:t>
      </w:r>
      <w:r w:rsidR="006A1001" w:rsidRPr="00AE157D">
        <w:rPr>
          <w:rFonts w:eastAsia="Times New Roman" w:cs="Arial"/>
          <w:color w:val="000000"/>
          <w:sz w:val="22"/>
          <w:szCs w:val="22"/>
        </w:rPr>
        <w:t>.</w:t>
      </w:r>
      <w:r w:rsidR="00935F4F" w:rsidRPr="00AE157D">
        <w:rPr>
          <w:rFonts w:eastAsia="Times New Roman" w:cs="Arial"/>
          <w:color w:val="000000"/>
          <w:sz w:val="22"/>
          <w:szCs w:val="22"/>
        </w:rPr>
        <w:t xml:space="preserve"> </w:t>
      </w:r>
      <w:r w:rsidR="00A01C11" w:rsidRPr="00AE157D">
        <w:rPr>
          <w:rFonts w:eastAsia="Times New Roman" w:cs="Arial"/>
          <w:color w:val="000000"/>
          <w:sz w:val="22"/>
          <w:szCs w:val="22"/>
        </w:rPr>
        <w:t xml:space="preserve"> </w:t>
      </w:r>
      <w:r w:rsidR="00935F4F" w:rsidRPr="00AE157D">
        <w:rPr>
          <w:rFonts w:eastAsia="Times New Roman" w:cs="Arial"/>
          <w:color w:val="000000"/>
          <w:sz w:val="22"/>
          <w:szCs w:val="22"/>
        </w:rPr>
        <w:t xml:space="preserve">This would allow for ineligible </w:t>
      </w:r>
      <w:proofErr w:type="gramStart"/>
      <w:r w:rsidR="00935F4F" w:rsidRPr="00AE157D">
        <w:rPr>
          <w:rFonts w:eastAsia="Times New Roman" w:cs="Arial"/>
          <w:color w:val="000000"/>
          <w:sz w:val="22"/>
          <w:szCs w:val="22"/>
        </w:rPr>
        <w:t>organizations which</w:t>
      </w:r>
      <w:proofErr w:type="gramEnd"/>
      <w:r w:rsidR="00935F4F" w:rsidRPr="00AE157D">
        <w:rPr>
          <w:rFonts w:eastAsia="Times New Roman" w:cs="Arial"/>
          <w:color w:val="000000"/>
          <w:sz w:val="22"/>
          <w:szCs w:val="22"/>
        </w:rPr>
        <w:t xml:space="preserve"> may be more aware of employer and industry needs than the institution itself, to structure programs in accordance with those needs. </w:t>
      </w:r>
      <w:r w:rsidR="001657C6" w:rsidRPr="00671581">
        <w:rPr>
          <w:rFonts w:eastAsia="Times New Roman" w:cs="Arial"/>
          <w:color w:val="000000"/>
          <w:sz w:val="22"/>
          <w:szCs w:val="22"/>
        </w:rPr>
        <w:tab/>
      </w:r>
    </w:p>
    <w:p w14:paraId="3C98BEAA" w14:textId="26298E6F" w:rsidR="00534913" w:rsidRDefault="000C7D6F" w:rsidP="001657C6">
      <w:pPr>
        <w:pStyle w:val="ListParagraph"/>
        <w:numPr>
          <w:ilvl w:val="0"/>
          <w:numId w:val="6"/>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C</w:t>
      </w:r>
      <w:r w:rsidR="001657C6" w:rsidRPr="00AE157D">
        <w:rPr>
          <w:rFonts w:eastAsia="Times New Roman" w:cs="Arial"/>
          <w:color w:val="000000"/>
          <w:sz w:val="22"/>
          <w:szCs w:val="22"/>
        </w:rPr>
        <w:t>larif</w:t>
      </w:r>
      <w:r w:rsidRPr="00AE157D">
        <w:rPr>
          <w:rFonts w:eastAsia="Times New Roman" w:cs="Arial"/>
          <w:color w:val="000000"/>
          <w:sz w:val="22"/>
          <w:szCs w:val="22"/>
        </w:rPr>
        <w:t>ies</w:t>
      </w:r>
      <w:r w:rsidR="005011E0" w:rsidRPr="00AE157D">
        <w:rPr>
          <w:rFonts w:eastAsia="Times New Roman" w:cs="Arial"/>
          <w:color w:val="000000"/>
          <w:sz w:val="22"/>
          <w:szCs w:val="22"/>
        </w:rPr>
        <w:t xml:space="preserve"> that written arrangements are not </w:t>
      </w:r>
      <w:r w:rsidR="006A7359">
        <w:rPr>
          <w:rFonts w:eastAsia="Times New Roman" w:cs="Arial"/>
          <w:color w:val="000000"/>
          <w:sz w:val="22"/>
          <w:szCs w:val="22"/>
        </w:rPr>
        <w:t>required in order to accept</w:t>
      </w:r>
      <w:r w:rsidR="00FE2F7A">
        <w:rPr>
          <w:rFonts w:eastAsia="Times New Roman" w:cs="Arial"/>
          <w:color w:val="000000"/>
          <w:sz w:val="22"/>
          <w:szCs w:val="22"/>
        </w:rPr>
        <w:t xml:space="preserve"> </w:t>
      </w:r>
      <w:r w:rsidR="001657C6" w:rsidRPr="00AE157D">
        <w:rPr>
          <w:rFonts w:eastAsia="Times New Roman" w:cs="Arial"/>
          <w:color w:val="000000"/>
          <w:sz w:val="22"/>
          <w:szCs w:val="22"/>
        </w:rPr>
        <w:t xml:space="preserve">transfer credits, </w:t>
      </w:r>
      <w:r w:rsidR="006A7359">
        <w:rPr>
          <w:rFonts w:eastAsia="Times New Roman" w:cs="Arial"/>
          <w:color w:val="000000"/>
          <w:sz w:val="22"/>
          <w:szCs w:val="22"/>
        </w:rPr>
        <w:t xml:space="preserve">award credit through </w:t>
      </w:r>
      <w:r w:rsidR="001657C6" w:rsidRPr="00AE157D">
        <w:rPr>
          <w:rFonts w:eastAsia="Times New Roman" w:cs="Arial"/>
          <w:color w:val="000000"/>
          <w:sz w:val="22"/>
          <w:szCs w:val="22"/>
        </w:rPr>
        <w:t xml:space="preserve">prior learning assessments, </w:t>
      </w:r>
      <w:r w:rsidR="006A7359">
        <w:rPr>
          <w:rFonts w:eastAsia="Times New Roman" w:cs="Arial"/>
          <w:color w:val="000000"/>
          <w:sz w:val="22"/>
          <w:szCs w:val="22"/>
        </w:rPr>
        <w:t xml:space="preserve">integrate third party instruction that leads to </w:t>
      </w:r>
      <w:proofErr w:type="gramStart"/>
      <w:r w:rsidR="006A7359">
        <w:rPr>
          <w:rFonts w:eastAsia="Times New Roman" w:cs="Arial"/>
          <w:color w:val="000000"/>
          <w:sz w:val="22"/>
          <w:szCs w:val="22"/>
        </w:rPr>
        <w:t xml:space="preserve">an </w:t>
      </w:r>
      <w:r w:rsidR="001657C6" w:rsidRPr="00AE157D">
        <w:rPr>
          <w:rFonts w:eastAsia="Times New Roman" w:cs="Arial"/>
          <w:color w:val="000000"/>
          <w:sz w:val="22"/>
          <w:szCs w:val="22"/>
        </w:rPr>
        <w:t xml:space="preserve"> industry</w:t>
      </w:r>
      <w:proofErr w:type="gramEnd"/>
      <w:r w:rsidR="001657C6" w:rsidRPr="00AE157D">
        <w:rPr>
          <w:rFonts w:eastAsia="Times New Roman" w:cs="Arial"/>
          <w:color w:val="000000"/>
          <w:sz w:val="22"/>
          <w:szCs w:val="22"/>
        </w:rPr>
        <w:t xml:space="preserve">-recognized </w:t>
      </w:r>
      <w:r w:rsidR="006A7359" w:rsidRPr="00AE157D">
        <w:rPr>
          <w:rFonts w:eastAsia="Times New Roman" w:cs="Arial"/>
          <w:color w:val="000000"/>
          <w:sz w:val="22"/>
          <w:szCs w:val="22"/>
        </w:rPr>
        <w:t>c</w:t>
      </w:r>
      <w:r w:rsidR="006A7359">
        <w:rPr>
          <w:rFonts w:eastAsia="Times New Roman" w:cs="Arial"/>
          <w:color w:val="000000"/>
          <w:sz w:val="22"/>
          <w:szCs w:val="22"/>
        </w:rPr>
        <w:t xml:space="preserve">ertification within </w:t>
      </w:r>
      <w:r w:rsidR="001657C6" w:rsidRPr="00AE157D">
        <w:rPr>
          <w:rFonts w:eastAsia="Times New Roman" w:cs="Arial"/>
          <w:color w:val="000000"/>
          <w:sz w:val="22"/>
          <w:szCs w:val="22"/>
        </w:rPr>
        <w:t xml:space="preserve">a degree or certificate program, or </w:t>
      </w:r>
      <w:r w:rsidR="006A7359">
        <w:rPr>
          <w:rFonts w:eastAsia="Times New Roman" w:cs="Arial"/>
          <w:color w:val="000000"/>
          <w:sz w:val="22"/>
          <w:szCs w:val="22"/>
        </w:rPr>
        <w:t xml:space="preserve">allow for the use of </w:t>
      </w:r>
      <w:r w:rsidR="001657C6" w:rsidRPr="00AE157D">
        <w:rPr>
          <w:rFonts w:eastAsia="Times New Roman" w:cs="Arial"/>
          <w:color w:val="000000"/>
          <w:sz w:val="22"/>
          <w:szCs w:val="22"/>
        </w:rPr>
        <w:t xml:space="preserve">learning resources provided by entities other than the institution for </w:t>
      </w:r>
      <w:r w:rsidR="006A7359">
        <w:rPr>
          <w:rFonts w:eastAsia="Times New Roman" w:cs="Arial"/>
          <w:color w:val="000000"/>
          <w:sz w:val="22"/>
          <w:szCs w:val="22"/>
        </w:rPr>
        <w:t xml:space="preserve">students engaged in </w:t>
      </w:r>
      <w:r w:rsidR="001657C6" w:rsidRPr="00AE157D">
        <w:rPr>
          <w:rFonts w:eastAsia="Times New Roman" w:cs="Arial"/>
          <w:color w:val="000000"/>
          <w:sz w:val="22"/>
          <w:szCs w:val="22"/>
        </w:rPr>
        <w:t>a direct assessment program</w:t>
      </w:r>
      <w:r w:rsidR="006A7359">
        <w:rPr>
          <w:rFonts w:eastAsia="Times New Roman" w:cs="Arial"/>
          <w:color w:val="000000"/>
          <w:sz w:val="22"/>
          <w:szCs w:val="22"/>
        </w:rPr>
        <w:t xml:space="preserve"> or course</w:t>
      </w:r>
      <w:r w:rsidR="001657C6" w:rsidRPr="00AE157D">
        <w:rPr>
          <w:rFonts w:eastAsia="Times New Roman" w:cs="Arial"/>
          <w:color w:val="000000"/>
          <w:sz w:val="22"/>
          <w:szCs w:val="22"/>
        </w:rPr>
        <w:t xml:space="preserve">. </w:t>
      </w:r>
    </w:p>
    <w:p w14:paraId="7A2D3CBF" w14:textId="77777777" w:rsidR="00A03ADD" w:rsidRPr="00AE157D" w:rsidRDefault="00A03ADD" w:rsidP="00671581">
      <w:pPr>
        <w:pStyle w:val="Heading3"/>
      </w:pPr>
      <w:bookmarkStart w:id="7" w:name="se34.3.668_16"/>
      <w:bookmarkStart w:id="8" w:name="se34.3.668_17"/>
      <w:bookmarkStart w:id="9" w:name="se34.3.668_18"/>
      <w:bookmarkEnd w:id="7"/>
      <w:bookmarkEnd w:id="8"/>
      <w:bookmarkEnd w:id="9"/>
      <w:proofErr w:type="gramStart"/>
      <w:r w:rsidRPr="00AE157D">
        <w:t>§668.8   Eligible program.</w:t>
      </w:r>
      <w:proofErr w:type="gramEnd"/>
    </w:p>
    <w:p w14:paraId="71E3FD65" w14:textId="317CDE55" w:rsidR="00080E25" w:rsidRPr="00292A05" w:rsidRDefault="006A7359" w:rsidP="00292A05">
      <w:pPr>
        <w:pStyle w:val="ListParagraph"/>
        <w:numPr>
          <w:ilvl w:val="0"/>
          <w:numId w:val="11"/>
        </w:numPr>
        <w:shd w:val="clear" w:color="auto" w:fill="FFFFFF"/>
        <w:spacing w:after="100" w:afterAutospacing="1"/>
        <w:rPr>
          <w:rFonts w:eastAsia="Times New Roman" w:cs="Arial"/>
          <w:color w:val="000000"/>
          <w:sz w:val="22"/>
          <w:szCs w:val="22"/>
        </w:rPr>
      </w:pPr>
      <w:r>
        <w:rPr>
          <w:rFonts w:eastAsia="Times New Roman" w:cs="Arial"/>
          <w:color w:val="000000"/>
          <w:sz w:val="22"/>
          <w:szCs w:val="22"/>
        </w:rPr>
        <w:t>R</w:t>
      </w:r>
      <w:r w:rsidR="00080E25" w:rsidRPr="00AE157D">
        <w:rPr>
          <w:rFonts w:eastAsia="Times New Roman" w:cs="Arial"/>
          <w:color w:val="000000"/>
          <w:sz w:val="22"/>
          <w:szCs w:val="22"/>
        </w:rPr>
        <w:t>elocates to the Program Participation Agreement the</w:t>
      </w:r>
      <w:r>
        <w:rPr>
          <w:rFonts w:eastAsia="Times New Roman" w:cs="Arial"/>
          <w:color w:val="000000"/>
          <w:sz w:val="22"/>
          <w:szCs w:val="22"/>
        </w:rPr>
        <w:t xml:space="preserve"> reasonable program </w:t>
      </w:r>
      <w:r w:rsidR="00DD6B0B">
        <w:rPr>
          <w:rFonts w:eastAsia="Times New Roman" w:cs="Arial"/>
          <w:color w:val="000000"/>
          <w:sz w:val="22"/>
          <w:szCs w:val="22"/>
        </w:rPr>
        <w:t>length</w:t>
      </w:r>
      <w:r w:rsidR="00DD6B0B" w:rsidRPr="00AE157D">
        <w:rPr>
          <w:rFonts w:eastAsia="Times New Roman" w:cs="Arial"/>
          <w:color w:val="000000"/>
          <w:sz w:val="22"/>
          <w:szCs w:val="22"/>
        </w:rPr>
        <w:t xml:space="preserve"> requirement</w:t>
      </w:r>
      <w:r w:rsidRPr="00292A05">
        <w:rPr>
          <w:rFonts w:eastAsia="Times New Roman" w:cs="Arial"/>
          <w:color w:val="000000"/>
          <w:sz w:val="22"/>
          <w:szCs w:val="22"/>
        </w:rPr>
        <w:t xml:space="preserve">.   </w:t>
      </w:r>
    </w:p>
    <w:p w14:paraId="56D826A1" w14:textId="6A1B7285" w:rsidR="00F27F08" w:rsidRPr="00F27F08" w:rsidRDefault="00895470" w:rsidP="00F27F08">
      <w:pPr>
        <w:pStyle w:val="ListParagraph"/>
        <w:numPr>
          <w:ilvl w:val="0"/>
          <w:numId w:val="11"/>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Simplifies the </w:t>
      </w:r>
      <w:r w:rsidRPr="00AE157D" w:rsidDel="006B2F4A">
        <w:rPr>
          <w:rFonts w:eastAsia="Times New Roman" w:cs="Arial"/>
          <w:color w:val="000000"/>
          <w:sz w:val="22"/>
          <w:szCs w:val="22"/>
        </w:rPr>
        <w:t xml:space="preserve">clock </w:t>
      </w:r>
      <w:r w:rsidRPr="00AE157D">
        <w:rPr>
          <w:rFonts w:eastAsia="Times New Roman" w:cs="Arial"/>
          <w:color w:val="000000"/>
          <w:sz w:val="22"/>
          <w:szCs w:val="22"/>
        </w:rPr>
        <w:t>to credit</w:t>
      </w:r>
      <w:r w:rsidR="006B2F4A" w:rsidRPr="00AE157D">
        <w:rPr>
          <w:rFonts w:eastAsia="Times New Roman" w:cs="Arial"/>
          <w:color w:val="000000"/>
          <w:sz w:val="22"/>
          <w:szCs w:val="22"/>
        </w:rPr>
        <w:t xml:space="preserve"> </w:t>
      </w:r>
      <w:r w:rsidRPr="00AE157D">
        <w:rPr>
          <w:rFonts w:eastAsia="Times New Roman" w:cs="Arial"/>
          <w:color w:val="000000"/>
          <w:sz w:val="22"/>
          <w:szCs w:val="22"/>
        </w:rPr>
        <w:t xml:space="preserve">hour conversion formula by providing that a semester or trimester hour must include at least 30 clock hours of instruction, or </w:t>
      </w:r>
      <w:r w:rsidR="00CF3C5C">
        <w:rPr>
          <w:rFonts w:eastAsia="Times New Roman" w:cs="Arial"/>
          <w:color w:val="000000"/>
          <w:sz w:val="22"/>
          <w:szCs w:val="22"/>
        </w:rPr>
        <w:t>that a</w:t>
      </w:r>
      <w:r w:rsidR="00CF3C5C" w:rsidRPr="00AE157D">
        <w:rPr>
          <w:rFonts w:eastAsia="Times New Roman" w:cs="Arial"/>
          <w:color w:val="000000"/>
          <w:sz w:val="22"/>
          <w:szCs w:val="22"/>
        </w:rPr>
        <w:t xml:space="preserve"> </w:t>
      </w:r>
      <w:r w:rsidRPr="00AE157D">
        <w:rPr>
          <w:rFonts w:eastAsia="Times New Roman" w:cs="Arial"/>
          <w:color w:val="000000"/>
          <w:sz w:val="22"/>
          <w:szCs w:val="22"/>
        </w:rPr>
        <w:t>quarter hour</w:t>
      </w:r>
      <w:r w:rsidR="00CF3C5C">
        <w:rPr>
          <w:rFonts w:eastAsia="Times New Roman" w:cs="Arial"/>
          <w:color w:val="000000"/>
          <w:sz w:val="22"/>
          <w:szCs w:val="22"/>
        </w:rPr>
        <w:t xml:space="preserve"> must include at least</w:t>
      </w:r>
      <w:r w:rsidR="00CF3C5C" w:rsidRPr="00AE157D">
        <w:rPr>
          <w:rFonts w:eastAsia="Times New Roman" w:cs="Arial"/>
          <w:color w:val="000000"/>
          <w:sz w:val="22"/>
          <w:szCs w:val="22"/>
        </w:rPr>
        <w:t xml:space="preserve"> </w:t>
      </w:r>
      <w:r w:rsidRPr="00AE157D">
        <w:rPr>
          <w:rFonts w:eastAsia="Times New Roman" w:cs="Arial"/>
          <w:color w:val="000000"/>
          <w:sz w:val="22"/>
          <w:szCs w:val="22"/>
        </w:rPr>
        <w:t xml:space="preserve">20 clock hours of </w:t>
      </w:r>
      <w:r w:rsidR="00DD6B0B">
        <w:rPr>
          <w:rFonts w:eastAsia="Times New Roman" w:cs="Arial"/>
          <w:color w:val="000000"/>
          <w:sz w:val="22"/>
          <w:szCs w:val="22"/>
        </w:rPr>
        <w:t>instruction</w:t>
      </w:r>
      <w:r w:rsidR="00F27F08">
        <w:rPr>
          <w:rFonts w:eastAsia="Times New Roman" w:cs="Arial"/>
          <w:color w:val="000000"/>
          <w:sz w:val="22"/>
          <w:szCs w:val="22"/>
        </w:rPr>
        <w:t>.  The Department also seeks input on</w:t>
      </w:r>
      <w:r w:rsidR="00F27F08" w:rsidRPr="00F27F08">
        <w:rPr>
          <w:rFonts w:eastAsia="Times New Roman" w:cs="Arial"/>
          <w:color w:val="000000"/>
          <w:sz w:val="22"/>
          <w:szCs w:val="22"/>
        </w:rPr>
        <w:t xml:space="preserve"> how, outside of the 50% safe harbor, it can ensure adequate worker mobility without encouraging states to add or elevate licensure requirements or students and taxpayers to spend more than necessary to qualify for employment.</w:t>
      </w:r>
    </w:p>
    <w:p w14:paraId="7A2D3D1C" w14:textId="77777777" w:rsidR="00A03ADD" w:rsidRPr="00AE157D" w:rsidRDefault="00A03ADD" w:rsidP="005214EA">
      <w:pPr>
        <w:pStyle w:val="Heading3"/>
      </w:pPr>
      <w:bookmarkStart w:id="10" w:name="se34.3.668_19"/>
      <w:bookmarkStart w:id="11" w:name="se34.3.668_110"/>
      <w:bookmarkEnd w:id="10"/>
      <w:bookmarkEnd w:id="11"/>
      <w:r w:rsidRPr="00AE157D">
        <w:t>§668.10   </w:t>
      </w:r>
      <w:proofErr w:type="gramStart"/>
      <w:r w:rsidRPr="00AE157D">
        <w:t>Direct</w:t>
      </w:r>
      <w:proofErr w:type="gramEnd"/>
      <w:r w:rsidRPr="00AE157D">
        <w:t xml:space="preserve"> assessment programs.</w:t>
      </w:r>
    </w:p>
    <w:p w14:paraId="3D6E77CD" w14:textId="5EF60A1F" w:rsidR="000B213B" w:rsidRPr="00292A05" w:rsidRDefault="00A50458" w:rsidP="00292A05">
      <w:pPr>
        <w:pStyle w:val="ListParagraph"/>
        <w:numPr>
          <w:ilvl w:val="0"/>
          <w:numId w:val="32"/>
        </w:numPr>
        <w:rPr>
          <w:rFonts w:eastAsia="Times New Roman"/>
          <w:b/>
          <w:sz w:val="22"/>
          <w:szCs w:val="22"/>
        </w:rPr>
      </w:pPr>
      <w:r w:rsidRPr="00292A05">
        <w:rPr>
          <w:rFonts w:eastAsia="Times New Roman"/>
          <w:sz w:val="22"/>
          <w:szCs w:val="22"/>
        </w:rPr>
        <w:t>Reduces the complexity of exiting provisions by</w:t>
      </w:r>
      <w:r w:rsidR="00B30C2C" w:rsidRPr="00292A05">
        <w:rPr>
          <w:rFonts w:eastAsia="Times New Roman"/>
          <w:sz w:val="22"/>
          <w:szCs w:val="22"/>
        </w:rPr>
        <w:t>:</w:t>
      </w:r>
      <w:r w:rsidRPr="00292A05">
        <w:rPr>
          <w:rFonts w:eastAsia="Times New Roman"/>
          <w:sz w:val="22"/>
          <w:szCs w:val="22"/>
        </w:rPr>
        <w:t xml:space="preserve"> </w:t>
      </w:r>
      <w:r w:rsidR="00080E25" w:rsidRPr="00292A05">
        <w:rPr>
          <w:rFonts w:eastAsia="Times New Roman"/>
          <w:sz w:val="22"/>
          <w:szCs w:val="22"/>
        </w:rPr>
        <w:t>(1)</w:t>
      </w:r>
      <w:r w:rsidR="003712AF" w:rsidRPr="00292A05">
        <w:rPr>
          <w:rFonts w:eastAsia="Times New Roman"/>
          <w:sz w:val="22"/>
          <w:szCs w:val="22"/>
        </w:rPr>
        <w:t xml:space="preserve"> </w:t>
      </w:r>
      <w:r w:rsidRPr="00292A05">
        <w:rPr>
          <w:rFonts w:eastAsia="Times New Roman"/>
          <w:sz w:val="22"/>
          <w:szCs w:val="22"/>
        </w:rPr>
        <w:t>providing tha</w:t>
      </w:r>
      <w:r w:rsidR="00B30C2C" w:rsidRPr="00292A05">
        <w:rPr>
          <w:rFonts w:eastAsia="Times New Roman"/>
          <w:sz w:val="22"/>
          <w:szCs w:val="22"/>
        </w:rPr>
        <w:t>t</w:t>
      </w:r>
      <w:r w:rsidRPr="00292A05">
        <w:rPr>
          <w:rFonts w:eastAsia="Times New Roman"/>
          <w:sz w:val="22"/>
          <w:szCs w:val="22"/>
        </w:rPr>
        <w:t xml:space="preserve"> an institution</w:t>
      </w:r>
      <w:r w:rsidR="005214EA" w:rsidRPr="00292A05">
        <w:rPr>
          <w:rFonts w:eastAsia="Times New Roman"/>
          <w:sz w:val="22"/>
          <w:szCs w:val="22"/>
        </w:rPr>
        <w:t xml:space="preserve"> must</w:t>
      </w:r>
      <w:r w:rsidRPr="00292A05">
        <w:rPr>
          <w:rFonts w:eastAsia="Times New Roman"/>
          <w:sz w:val="22"/>
          <w:szCs w:val="22"/>
        </w:rPr>
        <w:t xml:space="preserve"> follow existing rules related to credit or clock hour programs for direct assessment programs using credit or clock hour equivalencies</w:t>
      </w:r>
      <w:r w:rsidR="00B30C2C" w:rsidRPr="00292A05">
        <w:rPr>
          <w:rFonts w:eastAsia="Times New Roman"/>
          <w:sz w:val="22"/>
          <w:szCs w:val="22"/>
        </w:rPr>
        <w:t>;</w:t>
      </w:r>
      <w:r w:rsidRPr="00292A05">
        <w:rPr>
          <w:rFonts w:eastAsia="Times New Roman"/>
          <w:sz w:val="22"/>
          <w:szCs w:val="22"/>
        </w:rPr>
        <w:t xml:space="preserve"> </w:t>
      </w:r>
      <w:r w:rsidR="0058011F" w:rsidRPr="00292A05">
        <w:rPr>
          <w:rFonts w:eastAsia="Times New Roman"/>
          <w:sz w:val="22"/>
          <w:szCs w:val="22"/>
        </w:rPr>
        <w:t xml:space="preserve">and </w:t>
      </w:r>
      <w:r w:rsidR="00080E25" w:rsidRPr="00292A05">
        <w:rPr>
          <w:rFonts w:eastAsia="Times New Roman"/>
          <w:sz w:val="22"/>
          <w:szCs w:val="22"/>
        </w:rPr>
        <w:t>(2</w:t>
      </w:r>
      <w:r w:rsidRPr="00292A05">
        <w:rPr>
          <w:rFonts w:eastAsia="Times New Roman"/>
          <w:sz w:val="22"/>
          <w:szCs w:val="22"/>
        </w:rPr>
        <w:t xml:space="preserve">) requiring </w:t>
      </w:r>
      <w:r w:rsidR="00B30C2C" w:rsidRPr="00292A05">
        <w:rPr>
          <w:rFonts w:eastAsia="Times New Roman"/>
          <w:sz w:val="22"/>
          <w:szCs w:val="22"/>
        </w:rPr>
        <w:t>an institution to apply to the Department for approval to offer direct assessment programs only for their first direct assessment program</w:t>
      </w:r>
      <w:r w:rsidR="00F27F08">
        <w:rPr>
          <w:rFonts w:eastAsia="Times New Roman"/>
          <w:sz w:val="22"/>
          <w:szCs w:val="22"/>
        </w:rPr>
        <w:t xml:space="preserve"> and any additional programs that are substantially different from its existing programs as recognized by the institution’s accreditor or State</w:t>
      </w:r>
      <w:r w:rsidR="00B30C2C" w:rsidRPr="00292A05">
        <w:rPr>
          <w:rFonts w:eastAsia="Times New Roman"/>
          <w:sz w:val="22"/>
          <w:szCs w:val="22"/>
        </w:rPr>
        <w:t xml:space="preserve">.  </w:t>
      </w:r>
      <w:r w:rsidRPr="00292A05">
        <w:rPr>
          <w:rFonts w:eastAsia="Times New Roman"/>
          <w:sz w:val="22"/>
          <w:szCs w:val="22"/>
        </w:rPr>
        <w:t xml:space="preserve"> </w:t>
      </w:r>
      <w:r w:rsidR="00475E96" w:rsidRPr="00292A05">
        <w:rPr>
          <w:rFonts w:eastAsia="Times New Roman"/>
          <w:sz w:val="22"/>
          <w:szCs w:val="22"/>
        </w:rPr>
        <w:t>This greatly reduces the burden on an institution wishing to offer additional direct assessment programs following approval by the Secretary of the institution’s initial direct assessment program</w:t>
      </w:r>
      <w:r w:rsidR="005214EA" w:rsidRPr="00292A05">
        <w:rPr>
          <w:rFonts w:eastAsia="Times New Roman"/>
          <w:sz w:val="22"/>
          <w:szCs w:val="22"/>
        </w:rPr>
        <w:t xml:space="preserve"> without sacrificing needed oversight</w:t>
      </w:r>
      <w:r w:rsidR="00475E96" w:rsidRPr="00292A05">
        <w:rPr>
          <w:rFonts w:eastAsia="Times New Roman"/>
          <w:sz w:val="22"/>
          <w:szCs w:val="22"/>
        </w:rPr>
        <w:t xml:space="preserve">. </w:t>
      </w:r>
    </w:p>
    <w:p w14:paraId="7A2D3D51" w14:textId="77777777" w:rsidR="00C026C2" w:rsidRPr="00AE157D" w:rsidRDefault="00C026C2" w:rsidP="005214EA">
      <w:pPr>
        <w:pStyle w:val="Heading2"/>
      </w:pPr>
      <w:r w:rsidRPr="00AE157D">
        <w:lastRenderedPageBreak/>
        <w:t xml:space="preserve">Subpart B—Standards for Participation in Title IV, HEA Programs </w:t>
      </w:r>
    </w:p>
    <w:p w14:paraId="7A2D3D60" w14:textId="77777777" w:rsidR="00C026C2" w:rsidRPr="00AE157D" w:rsidRDefault="00C026C2" w:rsidP="005214EA">
      <w:pPr>
        <w:pStyle w:val="Heading3"/>
      </w:pPr>
      <w:bookmarkStart w:id="12" w:name="se34.3.668_111"/>
      <w:bookmarkStart w:id="13" w:name="se34.3.668_112"/>
      <w:bookmarkStart w:id="14" w:name="se34.3.668_113"/>
      <w:bookmarkEnd w:id="12"/>
      <w:bookmarkEnd w:id="13"/>
      <w:bookmarkEnd w:id="14"/>
      <w:proofErr w:type="gramStart"/>
      <w:r w:rsidRPr="00AE157D">
        <w:t>§668.13   Certification procedures.</w:t>
      </w:r>
      <w:proofErr w:type="gramEnd"/>
    </w:p>
    <w:p w14:paraId="5C114F03" w14:textId="6C1DFD52" w:rsidR="00741707" w:rsidRPr="00AE157D" w:rsidRDefault="00741707" w:rsidP="00292A05">
      <w:pPr>
        <w:pStyle w:val="ListParagraph"/>
        <w:numPr>
          <w:ilvl w:val="0"/>
          <w:numId w:val="10"/>
        </w:numPr>
        <w:shd w:val="clear" w:color="auto" w:fill="FFFFFF"/>
        <w:spacing w:after="100" w:afterAutospacing="1"/>
        <w:rPr>
          <w:rFonts w:cs="Arial"/>
          <w:sz w:val="22"/>
          <w:szCs w:val="22"/>
        </w:rPr>
      </w:pPr>
      <w:r w:rsidRPr="00AE157D">
        <w:rPr>
          <w:rFonts w:eastAsia="Times New Roman" w:cs="Arial"/>
          <w:sz w:val="22"/>
          <w:szCs w:val="22"/>
        </w:rPr>
        <w:t xml:space="preserve">Provides that </w:t>
      </w:r>
      <w:r w:rsidRPr="00AE157D">
        <w:rPr>
          <w:rFonts w:cs="Arial"/>
          <w:sz w:val="22"/>
          <w:szCs w:val="22"/>
        </w:rPr>
        <w:t xml:space="preserve">the Secretary certifies a location of an institution that meets the requirements as a branch </w:t>
      </w:r>
      <w:r w:rsidR="00193AA0">
        <w:rPr>
          <w:rFonts w:cs="Arial"/>
          <w:sz w:val="22"/>
          <w:szCs w:val="22"/>
        </w:rPr>
        <w:t xml:space="preserve">as a branch </w:t>
      </w:r>
      <w:r w:rsidRPr="00AE157D">
        <w:rPr>
          <w:rFonts w:cs="Arial"/>
          <w:sz w:val="22"/>
          <w:szCs w:val="22"/>
        </w:rPr>
        <w:t xml:space="preserve">if it satisfies the definition of “branch” in 600.2. </w:t>
      </w:r>
      <w:r w:rsidR="005316C6" w:rsidRPr="00AE157D">
        <w:rPr>
          <w:rFonts w:cs="Arial"/>
          <w:sz w:val="22"/>
          <w:szCs w:val="22"/>
        </w:rPr>
        <w:t>This</w:t>
      </w:r>
      <w:r w:rsidR="005214EA">
        <w:rPr>
          <w:rFonts w:cs="Arial"/>
          <w:sz w:val="22"/>
          <w:szCs w:val="22"/>
        </w:rPr>
        <w:t xml:space="preserve"> change, along with those made in other sections, clarifies confusion that has arisen </w:t>
      </w:r>
      <w:r w:rsidR="00B30C2C">
        <w:rPr>
          <w:rFonts w:cs="Arial"/>
          <w:sz w:val="22"/>
          <w:szCs w:val="22"/>
        </w:rPr>
        <w:t>as a result of the</w:t>
      </w:r>
      <w:r w:rsidR="003173BC">
        <w:rPr>
          <w:rFonts w:cs="Arial"/>
          <w:sz w:val="22"/>
          <w:szCs w:val="22"/>
        </w:rPr>
        <w:t xml:space="preserve"> </w:t>
      </w:r>
      <w:r w:rsidR="005214EA">
        <w:rPr>
          <w:rFonts w:cs="Arial"/>
          <w:sz w:val="22"/>
          <w:szCs w:val="22"/>
        </w:rPr>
        <w:t xml:space="preserve">Department and accreditor </w:t>
      </w:r>
      <w:r w:rsidR="00B30C2C">
        <w:rPr>
          <w:rFonts w:cs="Arial"/>
          <w:sz w:val="22"/>
          <w:szCs w:val="22"/>
        </w:rPr>
        <w:t>defining</w:t>
      </w:r>
      <w:r w:rsidR="005214EA">
        <w:rPr>
          <w:rFonts w:cs="Arial"/>
          <w:sz w:val="22"/>
          <w:szCs w:val="22"/>
        </w:rPr>
        <w:t xml:space="preserve"> </w:t>
      </w:r>
      <w:r w:rsidR="002A1B5C">
        <w:rPr>
          <w:rFonts w:cs="Arial"/>
          <w:sz w:val="22"/>
          <w:szCs w:val="22"/>
        </w:rPr>
        <w:t>“branch campus” and “additional location”</w:t>
      </w:r>
      <w:r w:rsidR="005214EA">
        <w:rPr>
          <w:rFonts w:cs="Arial"/>
          <w:sz w:val="22"/>
          <w:szCs w:val="22"/>
        </w:rPr>
        <w:t xml:space="preserve"> </w:t>
      </w:r>
      <w:r w:rsidR="004B00D8">
        <w:rPr>
          <w:rFonts w:cs="Arial"/>
          <w:sz w:val="22"/>
          <w:szCs w:val="22"/>
        </w:rPr>
        <w:t>d</w:t>
      </w:r>
      <w:r w:rsidR="00B30C2C">
        <w:rPr>
          <w:rFonts w:cs="Arial"/>
          <w:sz w:val="22"/>
          <w:szCs w:val="22"/>
        </w:rPr>
        <w:t>ifferently.</w:t>
      </w:r>
    </w:p>
    <w:p w14:paraId="094063BA" w14:textId="41931D87" w:rsidR="009E39C9" w:rsidRPr="00AE157D" w:rsidRDefault="009E39C9" w:rsidP="0058011F">
      <w:pPr>
        <w:pStyle w:val="ListParagraph"/>
        <w:numPr>
          <w:ilvl w:val="0"/>
          <w:numId w:val="10"/>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Provides that </w:t>
      </w:r>
      <w:r w:rsidRPr="00AE157D">
        <w:rPr>
          <w:rFonts w:cs="Arial"/>
          <w:color w:val="000000"/>
          <w:sz w:val="22"/>
          <w:szCs w:val="22"/>
        </w:rPr>
        <w:t xml:space="preserve">if the Secretary does not make a determination to grant or deny certification within 12 months of </w:t>
      </w:r>
      <w:r w:rsidR="0029794A" w:rsidRPr="0029794A">
        <w:rPr>
          <w:rFonts w:cs="Arial"/>
          <w:color w:val="000000"/>
          <w:sz w:val="22"/>
          <w:szCs w:val="22"/>
        </w:rPr>
        <w:t xml:space="preserve">the expiration of </w:t>
      </w:r>
      <w:r w:rsidR="00B30C2C">
        <w:rPr>
          <w:rFonts w:cs="Arial"/>
          <w:color w:val="000000"/>
          <w:sz w:val="22"/>
          <w:szCs w:val="22"/>
        </w:rPr>
        <w:t xml:space="preserve">the </w:t>
      </w:r>
      <w:r w:rsidR="0029794A" w:rsidRPr="0029794A">
        <w:rPr>
          <w:rFonts w:cs="Arial"/>
          <w:color w:val="000000"/>
          <w:sz w:val="22"/>
          <w:szCs w:val="22"/>
        </w:rPr>
        <w:t xml:space="preserve">current </w:t>
      </w:r>
      <w:r w:rsidR="00B30C2C">
        <w:rPr>
          <w:rFonts w:cs="Arial"/>
          <w:color w:val="000000"/>
          <w:sz w:val="22"/>
          <w:szCs w:val="22"/>
        </w:rPr>
        <w:t xml:space="preserve">certification </w:t>
      </w:r>
      <w:r w:rsidR="0029794A" w:rsidRPr="0029794A">
        <w:rPr>
          <w:rFonts w:cs="Arial"/>
          <w:color w:val="000000"/>
          <w:sz w:val="22"/>
          <w:szCs w:val="22"/>
        </w:rPr>
        <w:t>period</w:t>
      </w:r>
      <w:r w:rsidRPr="00AE157D">
        <w:rPr>
          <w:rFonts w:cs="Arial"/>
          <w:color w:val="000000"/>
          <w:sz w:val="22"/>
          <w:szCs w:val="22"/>
        </w:rPr>
        <w:t>, the institution will automatically be granted renewal of certification, which may be provisional</w:t>
      </w:r>
      <w:r w:rsidR="009E6F48" w:rsidRPr="00AE157D">
        <w:rPr>
          <w:rFonts w:cs="Arial"/>
          <w:color w:val="000000"/>
          <w:sz w:val="22"/>
          <w:szCs w:val="22"/>
        </w:rPr>
        <w:t>.</w:t>
      </w:r>
      <w:r w:rsidR="005316C6" w:rsidRPr="00AE157D">
        <w:rPr>
          <w:rFonts w:cs="Arial"/>
          <w:color w:val="000000"/>
          <w:sz w:val="22"/>
          <w:szCs w:val="22"/>
        </w:rPr>
        <w:t xml:space="preserve"> This is intended to promote timely processing of renewal applications by the Department.</w:t>
      </w:r>
    </w:p>
    <w:p w14:paraId="15157C07" w14:textId="1EB97C98" w:rsidR="0058011F" w:rsidRPr="00AE157D" w:rsidRDefault="0058011F" w:rsidP="0058011F">
      <w:pPr>
        <w:pStyle w:val="ListParagraph"/>
        <w:numPr>
          <w:ilvl w:val="0"/>
          <w:numId w:val="10"/>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Updates the manner in which an institution files a request for the Secretary to reconsider a revocation by replacing </w:t>
      </w:r>
      <w:r w:rsidR="00EA1368" w:rsidRPr="00AE157D">
        <w:rPr>
          <w:rFonts w:eastAsia="Times New Roman" w:cs="Arial"/>
          <w:color w:val="000000"/>
          <w:sz w:val="22"/>
          <w:szCs w:val="22"/>
        </w:rPr>
        <w:t xml:space="preserve">faxes with electronic notifications and provides that </w:t>
      </w:r>
      <w:r w:rsidR="001559D7">
        <w:rPr>
          <w:rFonts w:eastAsia="Times New Roman" w:cs="Arial"/>
          <w:color w:val="000000"/>
          <w:sz w:val="22"/>
          <w:szCs w:val="22"/>
        </w:rPr>
        <w:t>the</w:t>
      </w:r>
      <w:r w:rsidR="00EA1368" w:rsidRPr="00AE157D">
        <w:rPr>
          <w:rFonts w:eastAsia="Times New Roman" w:cs="Arial"/>
          <w:color w:val="000000"/>
          <w:sz w:val="22"/>
          <w:szCs w:val="22"/>
        </w:rPr>
        <w:t xml:space="preserve"> </w:t>
      </w:r>
      <w:proofErr w:type="gramStart"/>
      <w:r w:rsidR="00193AA0">
        <w:rPr>
          <w:rFonts w:eastAsia="Times New Roman" w:cs="Arial"/>
          <w:color w:val="000000"/>
          <w:sz w:val="22"/>
          <w:szCs w:val="22"/>
        </w:rPr>
        <w:t xml:space="preserve">filing </w:t>
      </w:r>
      <w:r w:rsidR="00EA1368" w:rsidRPr="00AE157D">
        <w:rPr>
          <w:rFonts w:eastAsia="Times New Roman" w:cs="Arial"/>
          <w:color w:val="000000"/>
          <w:sz w:val="22"/>
          <w:szCs w:val="22"/>
        </w:rPr>
        <w:t xml:space="preserve"> date</w:t>
      </w:r>
      <w:proofErr w:type="gramEnd"/>
      <w:r w:rsidR="00EA1368" w:rsidRPr="00AE157D">
        <w:rPr>
          <w:rFonts w:eastAsia="Times New Roman" w:cs="Arial"/>
          <w:color w:val="000000"/>
          <w:sz w:val="22"/>
          <w:szCs w:val="22"/>
        </w:rPr>
        <w:t xml:space="preserve"> of a request for reconsideration is the date </w:t>
      </w:r>
      <w:r w:rsidR="00193AA0">
        <w:rPr>
          <w:rFonts w:eastAsia="Times New Roman" w:cs="Arial"/>
          <w:color w:val="000000"/>
          <w:sz w:val="22"/>
          <w:szCs w:val="22"/>
        </w:rPr>
        <w:t>on which the request is hand-delivered, mailed, or sent by electronic confirmation</w:t>
      </w:r>
      <w:r w:rsidR="00EA1368" w:rsidRPr="00AE157D">
        <w:rPr>
          <w:rFonts w:eastAsia="Times New Roman" w:cs="Arial"/>
          <w:color w:val="000000"/>
          <w:sz w:val="22"/>
          <w:szCs w:val="22"/>
        </w:rPr>
        <w:t>.</w:t>
      </w:r>
    </w:p>
    <w:p w14:paraId="7A2D3D99" w14:textId="77777777" w:rsidR="00C026C2" w:rsidRPr="00AE157D" w:rsidRDefault="00C026C2" w:rsidP="005214EA">
      <w:pPr>
        <w:pStyle w:val="Heading3"/>
      </w:pPr>
      <w:bookmarkStart w:id="15" w:name="se34.3.668_114"/>
      <w:bookmarkEnd w:id="15"/>
      <w:proofErr w:type="gramStart"/>
      <w:r w:rsidRPr="00AE157D">
        <w:t>§668.14   Program participation agreement.</w:t>
      </w:r>
      <w:proofErr w:type="gramEnd"/>
    </w:p>
    <w:p w14:paraId="3B76F575" w14:textId="49C29FF0" w:rsidR="009E39C9" w:rsidRDefault="00211B23" w:rsidP="00292A05">
      <w:pPr>
        <w:pStyle w:val="ListParagraph"/>
        <w:numPr>
          <w:ilvl w:val="0"/>
          <w:numId w:val="12"/>
        </w:numPr>
        <w:shd w:val="clear" w:color="auto" w:fill="FFFFFF"/>
        <w:spacing w:after="100" w:afterAutospacing="1"/>
        <w:rPr>
          <w:rFonts w:eastAsia="Times New Roman" w:cs="Arial"/>
          <w:color w:val="000000"/>
          <w:sz w:val="22"/>
          <w:szCs w:val="22"/>
        </w:rPr>
      </w:pPr>
      <w:r>
        <w:rPr>
          <w:rFonts w:eastAsia="Times New Roman" w:cs="Arial"/>
          <w:color w:val="000000"/>
          <w:sz w:val="22"/>
          <w:szCs w:val="22"/>
        </w:rPr>
        <w:t>Clarifies the requirement for</w:t>
      </w:r>
      <w:r w:rsidR="009E39C9" w:rsidRPr="00AE157D">
        <w:rPr>
          <w:rFonts w:eastAsia="Times New Roman" w:cs="Arial"/>
          <w:color w:val="000000"/>
          <w:sz w:val="22"/>
          <w:szCs w:val="22"/>
        </w:rPr>
        <w:t xml:space="preserve"> an institution </w:t>
      </w:r>
      <w:r w:rsidR="00A01C11" w:rsidRPr="00AE157D">
        <w:rPr>
          <w:rFonts w:eastAsia="Times New Roman" w:cs="Arial"/>
          <w:color w:val="000000"/>
          <w:sz w:val="22"/>
          <w:szCs w:val="22"/>
        </w:rPr>
        <w:t>to</w:t>
      </w:r>
      <w:r w:rsidR="009E39C9" w:rsidRPr="00AE157D">
        <w:rPr>
          <w:rFonts w:eastAsia="Times New Roman" w:cs="Arial"/>
          <w:color w:val="000000"/>
          <w:sz w:val="22"/>
          <w:szCs w:val="22"/>
        </w:rPr>
        <w:t xml:space="preserve"> demonstrate a reasonable relationship between the length of </w:t>
      </w:r>
      <w:r w:rsidR="007A05DA">
        <w:rPr>
          <w:rFonts w:eastAsia="Times New Roman" w:cs="Arial"/>
          <w:color w:val="000000"/>
          <w:sz w:val="22"/>
          <w:szCs w:val="22"/>
        </w:rPr>
        <w:t>a clock-hour</w:t>
      </w:r>
      <w:r w:rsidR="007A05DA" w:rsidRPr="00AE157D">
        <w:rPr>
          <w:rFonts w:eastAsia="Times New Roman" w:cs="Arial"/>
          <w:color w:val="000000"/>
          <w:sz w:val="22"/>
          <w:szCs w:val="22"/>
        </w:rPr>
        <w:t xml:space="preserve"> </w:t>
      </w:r>
      <w:r w:rsidR="009E39C9" w:rsidRPr="00AE157D">
        <w:rPr>
          <w:rFonts w:eastAsia="Times New Roman" w:cs="Arial"/>
          <w:color w:val="000000"/>
          <w:sz w:val="22"/>
          <w:szCs w:val="22"/>
        </w:rPr>
        <w:t xml:space="preserve">program and </w:t>
      </w:r>
      <w:proofErr w:type="gramStart"/>
      <w:r w:rsidR="009E39C9" w:rsidRPr="00AE157D">
        <w:rPr>
          <w:rFonts w:eastAsia="Times New Roman" w:cs="Arial"/>
          <w:color w:val="000000"/>
          <w:sz w:val="22"/>
          <w:szCs w:val="22"/>
        </w:rPr>
        <w:t>entry level</w:t>
      </w:r>
      <w:proofErr w:type="gramEnd"/>
      <w:r w:rsidR="009E39C9" w:rsidRPr="00AE157D">
        <w:rPr>
          <w:rFonts w:eastAsia="Times New Roman" w:cs="Arial"/>
          <w:color w:val="000000"/>
          <w:sz w:val="22"/>
          <w:szCs w:val="22"/>
        </w:rPr>
        <w:t xml:space="preserve"> requirements for the recognized occupation for which the program prepares the student. </w:t>
      </w:r>
      <w:r w:rsidR="00A01C11" w:rsidRPr="00AE157D">
        <w:rPr>
          <w:rFonts w:eastAsia="Times New Roman" w:cs="Arial"/>
          <w:color w:val="000000"/>
          <w:sz w:val="22"/>
          <w:szCs w:val="22"/>
        </w:rPr>
        <w:t xml:space="preserve"> </w:t>
      </w:r>
      <w:r w:rsidR="009A1FCC">
        <w:rPr>
          <w:rFonts w:eastAsia="Times New Roman" w:cs="Arial"/>
          <w:color w:val="000000"/>
          <w:sz w:val="22"/>
          <w:szCs w:val="22"/>
        </w:rPr>
        <w:t xml:space="preserve">The current regulation </w:t>
      </w:r>
      <w:r w:rsidR="00AD4D67">
        <w:rPr>
          <w:rFonts w:eastAsia="Times New Roman" w:cs="Arial"/>
          <w:color w:val="000000"/>
          <w:sz w:val="22"/>
          <w:szCs w:val="22"/>
        </w:rPr>
        <w:t xml:space="preserve">states that </w:t>
      </w:r>
      <w:r w:rsidR="009A1FCC">
        <w:rPr>
          <w:rFonts w:eastAsia="Times New Roman" w:cs="Arial"/>
          <w:color w:val="000000"/>
          <w:sz w:val="22"/>
          <w:szCs w:val="22"/>
        </w:rPr>
        <w:t>programs that do</w:t>
      </w:r>
      <w:r w:rsidR="009E39C9" w:rsidRPr="00AE157D">
        <w:rPr>
          <w:rFonts w:eastAsia="Times New Roman" w:cs="Arial"/>
          <w:color w:val="000000"/>
          <w:sz w:val="22"/>
          <w:szCs w:val="22"/>
        </w:rPr>
        <w:t xml:space="preserve"> not exceed by more than 50 percent the minimum number of clock hours required </w:t>
      </w:r>
      <w:r w:rsidR="009A1FCC">
        <w:rPr>
          <w:rFonts w:eastAsia="Times New Roman" w:cs="Arial"/>
          <w:color w:val="000000"/>
          <w:sz w:val="22"/>
          <w:szCs w:val="22"/>
        </w:rPr>
        <w:t>by a State for licensure</w:t>
      </w:r>
      <w:r w:rsidR="00DD6B0B">
        <w:rPr>
          <w:rFonts w:eastAsia="Times New Roman" w:cs="Arial"/>
          <w:color w:val="000000"/>
          <w:sz w:val="22"/>
          <w:szCs w:val="22"/>
        </w:rPr>
        <w:t>, certification,</w:t>
      </w:r>
      <w:r w:rsidR="009A1FCC">
        <w:rPr>
          <w:rFonts w:eastAsia="Times New Roman" w:cs="Arial"/>
          <w:color w:val="000000"/>
          <w:sz w:val="22"/>
          <w:szCs w:val="22"/>
        </w:rPr>
        <w:t xml:space="preserve"> </w:t>
      </w:r>
      <w:r w:rsidR="009A1FCC" w:rsidRPr="00DD6B0B">
        <w:rPr>
          <w:rFonts w:eastAsia="Times New Roman" w:cs="Arial"/>
          <w:color w:val="000000"/>
          <w:sz w:val="22"/>
          <w:szCs w:val="22"/>
        </w:rPr>
        <w:t xml:space="preserve">or </w:t>
      </w:r>
      <w:r w:rsidR="00DD6B0B">
        <w:rPr>
          <w:rFonts w:eastAsia="Times New Roman" w:cs="Arial"/>
          <w:color w:val="000000"/>
          <w:sz w:val="22"/>
          <w:szCs w:val="22"/>
        </w:rPr>
        <w:t>the equivalent</w:t>
      </w:r>
      <w:r w:rsidR="00AD4D67">
        <w:rPr>
          <w:rFonts w:eastAsia="Times New Roman" w:cs="Arial"/>
          <w:color w:val="000000"/>
          <w:sz w:val="22"/>
          <w:szCs w:val="22"/>
        </w:rPr>
        <w:t xml:space="preserve"> are acceptable</w:t>
      </w:r>
      <w:r w:rsidR="009A1FCC">
        <w:rPr>
          <w:rFonts w:eastAsia="Times New Roman" w:cs="Arial"/>
          <w:color w:val="000000"/>
          <w:sz w:val="22"/>
          <w:szCs w:val="22"/>
        </w:rPr>
        <w:t xml:space="preserve">.  The revised regulation </w:t>
      </w:r>
      <w:r w:rsidR="00AD4D67">
        <w:rPr>
          <w:rFonts w:eastAsia="Times New Roman" w:cs="Arial"/>
          <w:color w:val="000000"/>
          <w:sz w:val="22"/>
          <w:szCs w:val="22"/>
        </w:rPr>
        <w:t>permits the institution</w:t>
      </w:r>
      <w:r w:rsidR="009A1FCC">
        <w:rPr>
          <w:rFonts w:eastAsia="Times New Roman" w:cs="Arial"/>
          <w:color w:val="000000"/>
          <w:sz w:val="22"/>
          <w:szCs w:val="22"/>
        </w:rPr>
        <w:t xml:space="preserve"> to include the maximum number of </w:t>
      </w:r>
      <w:r w:rsidR="00193AA0">
        <w:rPr>
          <w:rFonts w:eastAsia="Times New Roman" w:cs="Arial"/>
          <w:color w:val="000000"/>
          <w:sz w:val="22"/>
          <w:szCs w:val="22"/>
        </w:rPr>
        <w:t xml:space="preserve">clock </w:t>
      </w:r>
      <w:r w:rsidR="009A1FCC">
        <w:rPr>
          <w:rFonts w:eastAsia="Times New Roman" w:cs="Arial"/>
          <w:color w:val="000000"/>
          <w:sz w:val="22"/>
          <w:szCs w:val="22"/>
        </w:rPr>
        <w:t xml:space="preserve">hours required </w:t>
      </w:r>
      <w:r w:rsidR="00193AA0">
        <w:rPr>
          <w:rFonts w:eastAsia="Times New Roman" w:cs="Arial"/>
          <w:color w:val="000000"/>
          <w:sz w:val="22"/>
          <w:szCs w:val="22"/>
        </w:rPr>
        <w:t>for licensure</w:t>
      </w:r>
      <w:r w:rsidR="00AD4D67">
        <w:rPr>
          <w:rFonts w:eastAsia="Times New Roman" w:cs="Arial"/>
          <w:color w:val="000000"/>
          <w:sz w:val="22"/>
          <w:szCs w:val="22"/>
        </w:rPr>
        <w:t>, certification,</w:t>
      </w:r>
      <w:r w:rsidR="00193AA0">
        <w:rPr>
          <w:rFonts w:eastAsia="Times New Roman" w:cs="Arial"/>
          <w:color w:val="000000"/>
          <w:sz w:val="22"/>
          <w:szCs w:val="22"/>
        </w:rPr>
        <w:t xml:space="preserve"> or</w:t>
      </w:r>
      <w:r w:rsidR="00AD4D67">
        <w:rPr>
          <w:rFonts w:eastAsia="Times New Roman" w:cs="Arial"/>
          <w:color w:val="000000"/>
          <w:sz w:val="22"/>
          <w:szCs w:val="22"/>
        </w:rPr>
        <w:t xml:space="preserve"> the equivalent</w:t>
      </w:r>
      <w:r w:rsidR="00193AA0">
        <w:rPr>
          <w:rFonts w:eastAsia="Times New Roman" w:cs="Arial"/>
          <w:color w:val="000000"/>
          <w:sz w:val="22"/>
          <w:szCs w:val="22"/>
        </w:rPr>
        <w:t xml:space="preserve"> </w:t>
      </w:r>
      <w:r w:rsidR="009A1FCC">
        <w:rPr>
          <w:rFonts w:eastAsia="Times New Roman" w:cs="Arial"/>
          <w:color w:val="000000"/>
          <w:sz w:val="22"/>
          <w:szCs w:val="22"/>
        </w:rPr>
        <w:t xml:space="preserve">by any State </w:t>
      </w:r>
      <w:r w:rsidR="00193AA0">
        <w:rPr>
          <w:rFonts w:eastAsia="Times New Roman" w:cs="Arial"/>
          <w:color w:val="000000"/>
          <w:sz w:val="22"/>
          <w:szCs w:val="22"/>
        </w:rPr>
        <w:t>or federal agency</w:t>
      </w:r>
      <w:r w:rsidR="009A1FCC">
        <w:rPr>
          <w:rFonts w:eastAsia="Times New Roman" w:cs="Arial"/>
          <w:color w:val="000000"/>
          <w:sz w:val="22"/>
          <w:szCs w:val="22"/>
        </w:rPr>
        <w:t xml:space="preserve">.  </w:t>
      </w:r>
      <w:r w:rsidR="000B12DD">
        <w:rPr>
          <w:rFonts w:eastAsia="Times New Roman" w:cs="Arial"/>
          <w:color w:val="000000"/>
          <w:sz w:val="22"/>
          <w:szCs w:val="22"/>
        </w:rPr>
        <w:t xml:space="preserve">This addresses concerns about the lack of occupational mobility that results from State licensure requirements </w:t>
      </w:r>
      <w:r w:rsidR="00527C44">
        <w:rPr>
          <w:rFonts w:eastAsia="Times New Roman" w:cs="Arial"/>
          <w:color w:val="000000"/>
          <w:sz w:val="22"/>
          <w:szCs w:val="22"/>
        </w:rPr>
        <w:t xml:space="preserve">that differ from state to state </w:t>
      </w:r>
      <w:r w:rsidR="000B12DD">
        <w:rPr>
          <w:rFonts w:eastAsia="Times New Roman" w:cs="Arial"/>
          <w:color w:val="000000"/>
          <w:sz w:val="22"/>
          <w:szCs w:val="22"/>
        </w:rPr>
        <w:t xml:space="preserve">and ensures that a student who completes a program </w:t>
      </w:r>
      <w:r w:rsidR="00527C44">
        <w:rPr>
          <w:rFonts w:eastAsia="Times New Roman" w:cs="Arial"/>
          <w:color w:val="000000"/>
          <w:sz w:val="22"/>
          <w:szCs w:val="22"/>
        </w:rPr>
        <w:t xml:space="preserve">in any state </w:t>
      </w:r>
      <w:r w:rsidR="000B12DD">
        <w:rPr>
          <w:rFonts w:eastAsia="Times New Roman" w:cs="Arial"/>
          <w:color w:val="000000"/>
          <w:sz w:val="22"/>
          <w:szCs w:val="22"/>
        </w:rPr>
        <w:t xml:space="preserve">could qualify for licensure or certification in any </w:t>
      </w:r>
      <w:r w:rsidR="00527C44">
        <w:rPr>
          <w:rFonts w:eastAsia="Times New Roman" w:cs="Arial"/>
          <w:color w:val="000000"/>
          <w:sz w:val="22"/>
          <w:szCs w:val="22"/>
        </w:rPr>
        <w:t xml:space="preserve">other </w:t>
      </w:r>
      <w:r w:rsidR="000B12DD">
        <w:rPr>
          <w:rFonts w:eastAsia="Times New Roman" w:cs="Arial"/>
          <w:color w:val="000000"/>
          <w:sz w:val="22"/>
          <w:szCs w:val="22"/>
        </w:rPr>
        <w:t xml:space="preserve">State </w:t>
      </w:r>
      <w:r w:rsidR="00527C44">
        <w:rPr>
          <w:rFonts w:eastAsia="Times New Roman" w:cs="Arial"/>
          <w:color w:val="000000"/>
          <w:sz w:val="22"/>
          <w:szCs w:val="22"/>
        </w:rPr>
        <w:t xml:space="preserve">in which </w:t>
      </w:r>
      <w:r w:rsidR="000B12DD">
        <w:rPr>
          <w:rFonts w:eastAsia="Times New Roman" w:cs="Arial"/>
          <w:color w:val="000000"/>
          <w:sz w:val="22"/>
          <w:szCs w:val="22"/>
        </w:rPr>
        <w:t xml:space="preserve">they choose to reside.  </w:t>
      </w:r>
      <w:r w:rsidR="005316C6" w:rsidRPr="00AE157D">
        <w:rPr>
          <w:rFonts w:eastAsia="Times New Roman" w:cs="Arial"/>
          <w:color w:val="000000"/>
          <w:sz w:val="22"/>
          <w:szCs w:val="22"/>
        </w:rPr>
        <w:t xml:space="preserve"> </w:t>
      </w:r>
    </w:p>
    <w:p w14:paraId="3AA8B99A" w14:textId="461F6F6A" w:rsidR="000A3CD8" w:rsidRPr="00AE157D" w:rsidRDefault="000A3CD8" w:rsidP="000A3CD8">
      <w:pPr>
        <w:pStyle w:val="ListParagraph"/>
        <w:numPr>
          <w:ilvl w:val="0"/>
          <w:numId w:val="12"/>
        </w:numPr>
        <w:shd w:val="clear" w:color="auto" w:fill="FFFFFF"/>
        <w:spacing w:after="100" w:afterAutospacing="1"/>
        <w:rPr>
          <w:rFonts w:eastAsia="Times New Roman" w:cs="Arial"/>
          <w:color w:val="000000"/>
          <w:sz w:val="22"/>
          <w:szCs w:val="22"/>
        </w:rPr>
      </w:pPr>
      <w:r w:rsidRPr="000A3CD8">
        <w:rPr>
          <w:rFonts w:eastAsia="Times New Roman" w:cs="Arial"/>
          <w:color w:val="000000"/>
          <w:sz w:val="22"/>
          <w:szCs w:val="22"/>
        </w:rPr>
        <w:t xml:space="preserve">The Department </w:t>
      </w:r>
      <w:r>
        <w:rPr>
          <w:rFonts w:eastAsia="Times New Roman" w:cs="Arial"/>
          <w:color w:val="000000"/>
          <w:sz w:val="22"/>
          <w:szCs w:val="22"/>
        </w:rPr>
        <w:t xml:space="preserve">also </w:t>
      </w:r>
      <w:r w:rsidRPr="000A3CD8">
        <w:rPr>
          <w:rFonts w:eastAsia="Times New Roman" w:cs="Arial"/>
          <w:color w:val="000000"/>
          <w:sz w:val="22"/>
          <w:szCs w:val="22"/>
        </w:rPr>
        <w:t>wishes to discuss how, outside of the 50% safe harbor, it can ensure adequate worker mobility without encouraging states to add or elevate licensure requirements or students and taxpayers to spend more than necessary to qualify for employment.</w:t>
      </w:r>
    </w:p>
    <w:p w14:paraId="3C70FB7B" w14:textId="559A57E6" w:rsidR="00EA1368" w:rsidRPr="00AE157D" w:rsidRDefault="007535CB" w:rsidP="00EA136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Requires</w:t>
      </w:r>
      <w:r w:rsidR="00EA1368" w:rsidRPr="00AE157D">
        <w:rPr>
          <w:rFonts w:eastAsia="Times New Roman" w:cs="Arial"/>
          <w:color w:val="000000"/>
          <w:sz w:val="22"/>
          <w:szCs w:val="22"/>
        </w:rPr>
        <w:t xml:space="preserve"> an institution </w:t>
      </w:r>
      <w:r w:rsidRPr="00AE157D">
        <w:rPr>
          <w:rFonts w:eastAsia="Times New Roman" w:cs="Arial"/>
          <w:color w:val="000000"/>
          <w:sz w:val="22"/>
          <w:szCs w:val="22"/>
        </w:rPr>
        <w:t xml:space="preserve">to </w:t>
      </w:r>
      <w:r w:rsidR="00EA1368" w:rsidRPr="00AE157D">
        <w:rPr>
          <w:rFonts w:eastAsia="Times New Roman" w:cs="Arial"/>
          <w:color w:val="000000"/>
          <w:sz w:val="22"/>
          <w:szCs w:val="22"/>
        </w:rPr>
        <w:t xml:space="preserve">update its teach-out plan </w:t>
      </w:r>
      <w:r w:rsidR="00C678CC">
        <w:rPr>
          <w:rFonts w:eastAsia="Times New Roman" w:cs="Arial"/>
          <w:color w:val="000000"/>
          <w:sz w:val="22"/>
          <w:szCs w:val="22"/>
        </w:rPr>
        <w:t>when triggered by one</w:t>
      </w:r>
      <w:r w:rsidR="00EA1368" w:rsidRPr="00AE157D">
        <w:rPr>
          <w:rFonts w:eastAsia="Times New Roman" w:cs="Arial"/>
          <w:color w:val="000000"/>
          <w:sz w:val="22"/>
          <w:szCs w:val="22"/>
        </w:rPr>
        <w:t xml:space="preserve"> of the events </w:t>
      </w:r>
      <w:r w:rsidR="000B12DD">
        <w:rPr>
          <w:rFonts w:eastAsia="Times New Roman" w:cs="Arial"/>
          <w:color w:val="000000"/>
          <w:sz w:val="22"/>
          <w:szCs w:val="22"/>
        </w:rPr>
        <w:t xml:space="preserve">listed </w:t>
      </w:r>
      <w:r w:rsidR="00EA1368" w:rsidRPr="00AE157D">
        <w:rPr>
          <w:rFonts w:eastAsia="Times New Roman" w:cs="Arial"/>
          <w:color w:val="000000"/>
          <w:sz w:val="22"/>
          <w:szCs w:val="22"/>
        </w:rPr>
        <w:t>in (b)(31) of this section.</w:t>
      </w:r>
      <w:r w:rsidR="00CA774B" w:rsidRPr="00AE157D">
        <w:rPr>
          <w:rFonts w:eastAsia="Times New Roman" w:cs="Arial"/>
          <w:color w:val="000000"/>
          <w:sz w:val="22"/>
          <w:szCs w:val="22"/>
        </w:rPr>
        <w:t xml:space="preserve"> </w:t>
      </w:r>
      <w:r w:rsidR="000B12DD">
        <w:rPr>
          <w:rFonts w:eastAsia="Times New Roman" w:cs="Arial"/>
          <w:color w:val="000000"/>
          <w:sz w:val="22"/>
          <w:szCs w:val="22"/>
        </w:rPr>
        <w:t xml:space="preserve">Although institutions are required to have teach-out plans on file throughout their participation in title IV programs, when the decision is made to close an institution or location, the teach-out plan must be updated to include any teach-out agreements negotiated with other institutions, and to provide a list of students currently enrolled, including their program and anticipated completion date.  This is because a generic teach-out plan provides a framework for a future teach-out, but cannot include a level of specificity needed to help students enrolled at the time of a closure identify transfer and other opportunities.  </w:t>
      </w:r>
    </w:p>
    <w:p w14:paraId="7A2D3E0E" w14:textId="7C1E6DEE" w:rsidR="00C026C2" w:rsidRPr="00AE157D" w:rsidRDefault="00C026C2" w:rsidP="00DB1744">
      <w:pPr>
        <w:pStyle w:val="Heading3"/>
        <w:rPr>
          <w:rFonts w:cs="Arial"/>
          <w:color w:val="000000"/>
        </w:rPr>
      </w:pPr>
      <w:bookmarkStart w:id="16" w:name="se34.3.668_115"/>
      <w:bookmarkEnd w:id="16"/>
      <w:proofErr w:type="gramStart"/>
      <w:r w:rsidRPr="00AE157D">
        <w:t>§668.15   Factors of financial responsibility</w:t>
      </w:r>
      <w:r w:rsidR="006F5355" w:rsidRPr="00AE157D">
        <w:rPr>
          <w:rFonts w:cs="Arial"/>
          <w:b w:val="0"/>
          <w:bCs w:val="0"/>
          <w:color w:val="000000"/>
        </w:rPr>
        <w:t xml:space="preserve"> </w:t>
      </w:r>
      <w:r w:rsidR="006F5355" w:rsidRPr="00AE157D">
        <w:rPr>
          <w:rFonts w:cs="Arial"/>
          <w:b w:val="0"/>
          <w:bCs w:val="0"/>
        </w:rPr>
        <w:t>for changes in ownership</w:t>
      </w:r>
      <w:r w:rsidRPr="00AE157D">
        <w:rPr>
          <w:rFonts w:cs="Arial"/>
          <w:b w:val="0"/>
          <w:bCs w:val="0"/>
          <w:color w:val="000000"/>
        </w:rPr>
        <w:t>.</w:t>
      </w:r>
      <w:proofErr w:type="gramEnd"/>
    </w:p>
    <w:p w14:paraId="2A3CB81E" w14:textId="4E96C663" w:rsidR="00697454" w:rsidRPr="00AE157D" w:rsidRDefault="00697454" w:rsidP="00292A05">
      <w:pPr>
        <w:pStyle w:val="ListParagraph"/>
        <w:numPr>
          <w:ilvl w:val="0"/>
          <w:numId w:val="12"/>
        </w:numPr>
        <w:shd w:val="clear" w:color="auto" w:fill="FFFFFF"/>
        <w:spacing w:after="100" w:afterAutospacing="1"/>
        <w:rPr>
          <w:rFonts w:eastAsia="Times New Roman" w:cs="Arial"/>
          <w:color w:val="000000"/>
          <w:sz w:val="22"/>
          <w:szCs w:val="22"/>
        </w:rPr>
      </w:pPr>
      <w:r w:rsidRPr="00AE157D">
        <w:rPr>
          <w:rFonts w:eastAsia="Times New Roman" w:cs="Arial"/>
          <w:color w:val="000000"/>
          <w:sz w:val="22"/>
          <w:szCs w:val="22"/>
        </w:rPr>
        <w:t>Clarifies that this section is used to determine the financial responsibility of an institution that undergoes a change in ownership (updates the section title)</w:t>
      </w:r>
      <w:r w:rsidR="00CA774B" w:rsidRPr="00AE157D">
        <w:rPr>
          <w:rFonts w:eastAsia="Times New Roman" w:cs="Arial"/>
          <w:color w:val="000000"/>
          <w:sz w:val="22"/>
          <w:szCs w:val="22"/>
        </w:rPr>
        <w:t>.</w:t>
      </w:r>
    </w:p>
    <w:p w14:paraId="7A2D3F5A" w14:textId="77777777" w:rsidR="00C026C2" w:rsidRPr="00AE157D" w:rsidRDefault="00C026C2" w:rsidP="00252F3F">
      <w:pPr>
        <w:pStyle w:val="Heading3"/>
        <w:rPr>
          <w:rFonts w:cs="Arial"/>
          <w:b w:val="0"/>
          <w:bCs w:val="0"/>
          <w:color w:val="000000"/>
        </w:rPr>
      </w:pPr>
      <w:bookmarkStart w:id="17" w:name="se34.3.668_116"/>
      <w:bookmarkStart w:id="18" w:name="se34.3.668_117"/>
      <w:bookmarkStart w:id="19" w:name="se34.3.668_118"/>
      <w:bookmarkStart w:id="20" w:name="se34.3.668_119"/>
      <w:bookmarkStart w:id="21" w:name="se34.3.668_120"/>
      <w:bookmarkStart w:id="22" w:name="se34.3.668_121"/>
      <w:bookmarkStart w:id="23" w:name="se34.3.668_122"/>
      <w:bookmarkEnd w:id="17"/>
      <w:bookmarkEnd w:id="18"/>
      <w:bookmarkEnd w:id="19"/>
      <w:bookmarkEnd w:id="20"/>
      <w:bookmarkEnd w:id="21"/>
      <w:bookmarkEnd w:id="22"/>
      <w:bookmarkEnd w:id="23"/>
      <w:r w:rsidRPr="00AE157D">
        <w:lastRenderedPageBreak/>
        <w:t>§668.22   Treatment of title IV funds when a student withdraws.</w:t>
      </w:r>
    </w:p>
    <w:p w14:paraId="288AC42C" w14:textId="2960C0DB" w:rsidR="00C947FA" w:rsidRPr="006A7359" w:rsidRDefault="00A01C11" w:rsidP="00292A05">
      <w:pPr>
        <w:pStyle w:val="ListParagraph"/>
        <w:numPr>
          <w:ilvl w:val="0"/>
          <w:numId w:val="12"/>
        </w:numPr>
        <w:shd w:val="clear" w:color="auto" w:fill="FFFFFF"/>
        <w:spacing w:after="100" w:afterAutospacing="1"/>
        <w:rPr>
          <w:rFonts w:eastAsia="Times New Roman"/>
          <w:color w:val="000000"/>
          <w:sz w:val="22"/>
        </w:rPr>
      </w:pPr>
      <w:r w:rsidRPr="00AE157D">
        <w:rPr>
          <w:rFonts w:eastAsia="Times New Roman" w:cs="Arial"/>
          <w:color w:val="000000"/>
          <w:sz w:val="22"/>
          <w:szCs w:val="22"/>
        </w:rPr>
        <w:t xml:space="preserve">Considers a </w:t>
      </w:r>
      <w:r w:rsidR="00C026C2" w:rsidRPr="00AE157D">
        <w:rPr>
          <w:rFonts w:eastAsia="Times New Roman" w:cs="Arial"/>
          <w:color w:val="000000"/>
          <w:sz w:val="22"/>
          <w:szCs w:val="22"/>
        </w:rPr>
        <w:t>student to have withdrawn from a payment period or period of enrollment if</w:t>
      </w:r>
      <w:r w:rsidR="000B12DD">
        <w:rPr>
          <w:rFonts w:eastAsia="Times New Roman" w:cs="Arial"/>
          <w:color w:val="000000"/>
          <w:sz w:val="22"/>
          <w:szCs w:val="22"/>
        </w:rPr>
        <w:t>:</w:t>
      </w:r>
      <w:r w:rsidR="009E39C9" w:rsidRPr="00AE157D">
        <w:rPr>
          <w:rFonts w:eastAsia="Times New Roman" w:cs="Arial"/>
          <w:color w:val="000000"/>
          <w:sz w:val="22"/>
          <w:szCs w:val="22"/>
        </w:rPr>
        <w:t xml:space="preserve"> </w:t>
      </w:r>
      <w:r w:rsidR="00C947FA" w:rsidRPr="00AE157D">
        <w:rPr>
          <w:rFonts w:eastAsia="Times New Roman" w:cs="Arial"/>
          <w:color w:val="000000"/>
          <w:sz w:val="22"/>
          <w:szCs w:val="22"/>
        </w:rPr>
        <w:t>f</w:t>
      </w:r>
      <w:r w:rsidR="00C026C2" w:rsidRPr="00AE157D">
        <w:rPr>
          <w:rFonts w:eastAsia="Times New Roman" w:cs="Arial"/>
          <w:color w:val="000000"/>
          <w:sz w:val="22"/>
          <w:szCs w:val="22"/>
        </w:rPr>
        <w:t>or a student in a nonterm program, the student is unable to resume attendance within a payment period or period of enrollment for more than 60 calendar days after ceasing attendance.</w:t>
      </w:r>
      <w:r w:rsidR="00CA774B" w:rsidRPr="00AE157D">
        <w:rPr>
          <w:rFonts w:eastAsia="Times New Roman" w:cs="Arial"/>
          <w:color w:val="000000"/>
          <w:sz w:val="22"/>
          <w:szCs w:val="22"/>
        </w:rPr>
        <w:t xml:space="preserve"> This change</w:t>
      </w:r>
      <w:r w:rsidR="00DA3F2B">
        <w:rPr>
          <w:rFonts w:eastAsia="Times New Roman" w:cs="Arial"/>
          <w:color w:val="000000"/>
          <w:sz w:val="22"/>
          <w:szCs w:val="22"/>
        </w:rPr>
        <w:t xml:space="preserve"> conforms </w:t>
      </w:r>
      <w:proofErr w:type="gramStart"/>
      <w:r w:rsidR="00DA3F2B">
        <w:rPr>
          <w:rFonts w:eastAsia="Times New Roman" w:cs="Arial"/>
          <w:color w:val="000000"/>
          <w:sz w:val="22"/>
          <w:szCs w:val="22"/>
        </w:rPr>
        <w:t>with</w:t>
      </w:r>
      <w:proofErr w:type="gramEnd"/>
      <w:r w:rsidR="00DA3F2B">
        <w:rPr>
          <w:rFonts w:eastAsia="Times New Roman" w:cs="Arial"/>
          <w:color w:val="000000"/>
          <w:sz w:val="22"/>
          <w:szCs w:val="22"/>
        </w:rPr>
        <w:t xml:space="preserve"> the elimination of module requirements for nonterm and subscription-based programs and</w:t>
      </w:r>
      <w:r w:rsidR="00CA774B" w:rsidRPr="00AE157D">
        <w:rPr>
          <w:rFonts w:eastAsia="Times New Roman" w:cs="Arial"/>
          <w:color w:val="000000"/>
          <w:sz w:val="22"/>
          <w:szCs w:val="22"/>
        </w:rPr>
        <w:t xml:space="preserve"> acknowledges that </w:t>
      </w:r>
      <w:r w:rsidR="00DA3F2B">
        <w:rPr>
          <w:rFonts w:eastAsia="Times New Roman" w:cs="Arial"/>
          <w:color w:val="000000"/>
          <w:sz w:val="22"/>
          <w:szCs w:val="22"/>
        </w:rPr>
        <w:t>when</w:t>
      </w:r>
      <w:r w:rsidR="00CA774B" w:rsidRPr="00AE157D">
        <w:rPr>
          <w:rFonts w:eastAsia="Times New Roman" w:cs="Arial"/>
          <w:color w:val="000000"/>
          <w:sz w:val="22"/>
          <w:szCs w:val="22"/>
        </w:rPr>
        <w:t xml:space="preserve"> students seek to return to a non-term program within a reasonable period of time, institutions should not be burdened with calculating an R2T4 and possibly having to undo that calculation within this reasonable timeframe.</w:t>
      </w:r>
    </w:p>
    <w:p w14:paraId="50FA4EED" w14:textId="5ED4D6D2" w:rsidR="00C947FA" w:rsidRPr="00AE157D" w:rsidRDefault="00C947FA" w:rsidP="00DE644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Provides</w:t>
      </w:r>
      <w:r w:rsidR="005D75B2">
        <w:rPr>
          <w:rFonts w:eastAsia="Times New Roman" w:cs="Arial"/>
          <w:color w:val="000000"/>
          <w:sz w:val="22"/>
          <w:szCs w:val="22"/>
        </w:rPr>
        <w:t>, for standard term programs,</w:t>
      </w:r>
      <w:r w:rsidRPr="00AE157D">
        <w:rPr>
          <w:rFonts w:eastAsia="Times New Roman" w:cs="Arial"/>
          <w:color w:val="000000"/>
          <w:sz w:val="22"/>
          <w:szCs w:val="22"/>
        </w:rPr>
        <w:t xml:space="preserve"> that a</w:t>
      </w:r>
      <w:r w:rsidR="00C026C2" w:rsidRPr="00AE157D">
        <w:rPr>
          <w:rFonts w:eastAsia="Times New Roman" w:cs="Arial"/>
          <w:color w:val="000000"/>
          <w:sz w:val="22"/>
          <w:szCs w:val="22"/>
        </w:rPr>
        <w:t xml:space="preserve"> student who completes all the requirements for graduation from his or her program before completing the days or hours in the period that he or she was scheduled to complete is not considered to have withdrawn</w:t>
      </w:r>
      <w:r w:rsidRPr="00AE157D">
        <w:rPr>
          <w:rFonts w:eastAsia="Times New Roman" w:cs="Arial"/>
          <w:color w:val="000000"/>
          <w:sz w:val="22"/>
          <w:szCs w:val="22"/>
        </w:rPr>
        <w:t>, and a</w:t>
      </w:r>
      <w:r w:rsidR="00C026C2" w:rsidRPr="00AE157D">
        <w:rPr>
          <w:rFonts w:eastAsia="Times New Roman" w:cs="Arial"/>
          <w:color w:val="000000"/>
          <w:sz w:val="22"/>
          <w:szCs w:val="22"/>
        </w:rPr>
        <w:t xml:space="preserve"> student who completes the coursework in a module or modules that include a number of days equal to or greater than </w:t>
      </w:r>
      <w:r w:rsidR="00F72C45" w:rsidRPr="00AE157D">
        <w:rPr>
          <w:rFonts w:eastAsia="Times New Roman" w:cs="Arial"/>
          <w:color w:val="000000"/>
          <w:sz w:val="22"/>
          <w:szCs w:val="22"/>
        </w:rPr>
        <w:t>fifty</w:t>
      </w:r>
      <w:r w:rsidR="00C026C2" w:rsidRPr="00AE157D">
        <w:rPr>
          <w:rFonts w:eastAsia="Times New Roman" w:cs="Arial"/>
          <w:color w:val="000000"/>
          <w:sz w:val="22"/>
          <w:szCs w:val="22"/>
        </w:rPr>
        <w:t xml:space="preserve"> percent of the number of days in the payment period is considered to have completed the period and is n</w:t>
      </w:r>
      <w:r w:rsidRPr="00AE157D">
        <w:rPr>
          <w:rFonts w:eastAsia="Times New Roman" w:cs="Arial"/>
          <w:color w:val="000000"/>
          <w:sz w:val="22"/>
          <w:szCs w:val="22"/>
        </w:rPr>
        <w:t>ot considered to have withdrawn.</w:t>
      </w:r>
      <w:r w:rsidR="00CA774B" w:rsidRPr="00AE157D">
        <w:rPr>
          <w:rFonts w:eastAsia="Times New Roman" w:cs="Arial"/>
          <w:color w:val="000000"/>
          <w:sz w:val="22"/>
          <w:szCs w:val="22"/>
        </w:rPr>
        <w:t xml:space="preserve"> </w:t>
      </w:r>
      <w:r w:rsidR="006A0D37" w:rsidRPr="00AE157D">
        <w:rPr>
          <w:rFonts w:eastAsia="Times New Roman" w:cs="Arial"/>
          <w:color w:val="000000"/>
          <w:sz w:val="22"/>
          <w:szCs w:val="22"/>
        </w:rPr>
        <w:t xml:space="preserve">It </w:t>
      </w:r>
      <w:r w:rsidR="000B12DD">
        <w:rPr>
          <w:rFonts w:eastAsia="Times New Roman" w:cs="Arial"/>
          <w:color w:val="000000"/>
          <w:sz w:val="22"/>
          <w:szCs w:val="22"/>
        </w:rPr>
        <w:t>is illogical</w:t>
      </w:r>
      <w:r w:rsidR="006A0D37" w:rsidRPr="00AE157D">
        <w:rPr>
          <w:rFonts w:eastAsia="Times New Roman" w:cs="Arial"/>
          <w:color w:val="000000"/>
          <w:sz w:val="22"/>
          <w:szCs w:val="22"/>
        </w:rPr>
        <w:t xml:space="preserve"> to consider a student who has completed the graduation requirements of a program to be withdrawn</w:t>
      </w:r>
      <w:r w:rsidR="000B12DD">
        <w:rPr>
          <w:rFonts w:eastAsia="Times New Roman" w:cs="Arial"/>
          <w:color w:val="000000"/>
          <w:sz w:val="22"/>
          <w:szCs w:val="22"/>
        </w:rPr>
        <w:t xml:space="preserve">, simply because that student learns at a more rapid pace or can find more time to engage </w:t>
      </w:r>
      <w:r w:rsidR="002914B5">
        <w:rPr>
          <w:rFonts w:eastAsia="Times New Roman" w:cs="Arial"/>
          <w:color w:val="000000"/>
          <w:sz w:val="22"/>
          <w:szCs w:val="22"/>
        </w:rPr>
        <w:t xml:space="preserve">early </w:t>
      </w:r>
      <w:r w:rsidR="000B12DD">
        <w:rPr>
          <w:rFonts w:eastAsia="Times New Roman" w:cs="Arial"/>
          <w:color w:val="000000"/>
          <w:sz w:val="22"/>
          <w:szCs w:val="22"/>
        </w:rPr>
        <w:t>in course material than others</w:t>
      </w:r>
      <w:r w:rsidR="006A0D37" w:rsidRPr="00AE157D">
        <w:rPr>
          <w:rFonts w:eastAsia="Times New Roman" w:cs="Arial"/>
          <w:color w:val="000000"/>
          <w:sz w:val="22"/>
          <w:szCs w:val="22"/>
        </w:rPr>
        <w:t xml:space="preserve">. </w:t>
      </w:r>
      <w:r w:rsidR="000B12DD">
        <w:rPr>
          <w:rFonts w:eastAsia="Times New Roman" w:cs="Arial"/>
          <w:color w:val="000000"/>
          <w:sz w:val="22"/>
          <w:szCs w:val="22"/>
        </w:rPr>
        <w:t>It is equally illogical to consider</w:t>
      </w:r>
      <w:r w:rsidR="006A0D37" w:rsidRPr="00AE157D">
        <w:rPr>
          <w:rFonts w:eastAsia="Times New Roman" w:cs="Arial"/>
          <w:color w:val="000000"/>
          <w:sz w:val="22"/>
          <w:szCs w:val="22"/>
        </w:rPr>
        <w:t xml:space="preserve"> students who have completed coursework in a module to be withdrawn if they fail begin subsequent modules. Proposed rules would allow a student completing a module </w:t>
      </w:r>
      <w:r w:rsidR="005D75B2">
        <w:rPr>
          <w:rFonts w:eastAsia="Times New Roman" w:cs="Arial"/>
          <w:color w:val="000000"/>
          <w:sz w:val="22"/>
          <w:szCs w:val="22"/>
        </w:rPr>
        <w:t xml:space="preserve">comprising 50 percent or more of the days in the payment period </w:t>
      </w:r>
      <w:r w:rsidR="006A0D37" w:rsidRPr="00AE157D">
        <w:rPr>
          <w:rFonts w:eastAsia="Times New Roman" w:cs="Arial"/>
          <w:color w:val="000000"/>
          <w:sz w:val="22"/>
          <w:szCs w:val="22"/>
        </w:rPr>
        <w:t xml:space="preserve">to have completed the </w:t>
      </w:r>
      <w:r w:rsidR="005D75B2">
        <w:rPr>
          <w:rFonts w:eastAsia="Times New Roman" w:cs="Arial"/>
          <w:color w:val="000000"/>
          <w:sz w:val="22"/>
          <w:szCs w:val="22"/>
        </w:rPr>
        <w:t>period</w:t>
      </w:r>
      <w:r w:rsidR="006A0D37" w:rsidRPr="00AE157D">
        <w:rPr>
          <w:rFonts w:eastAsia="Times New Roman" w:cs="Arial"/>
          <w:color w:val="000000"/>
          <w:sz w:val="22"/>
          <w:szCs w:val="22"/>
        </w:rPr>
        <w:t>.</w:t>
      </w:r>
    </w:p>
    <w:p w14:paraId="6C4B7F13" w14:textId="523D5375" w:rsidR="00C947FA" w:rsidRPr="00AE157D" w:rsidRDefault="00C947FA" w:rsidP="00DE644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Provides that for a </w:t>
      </w:r>
      <w:r w:rsidR="00C026C2" w:rsidRPr="00AE157D">
        <w:rPr>
          <w:rFonts w:eastAsia="Times New Roman" w:cs="Arial"/>
          <w:color w:val="000000"/>
          <w:sz w:val="22"/>
          <w:szCs w:val="22"/>
        </w:rPr>
        <w:t>nonterm program, a student is not considered to have withdrawn if the institution obtains written confirmation from the student at the time that would have been a withdrawal of the date that he or she will resume attendance, and that date is no later than 60 calendar days after the student ceased attendance.</w:t>
      </w:r>
      <w:r w:rsidR="00D856E5" w:rsidRPr="00AE157D">
        <w:rPr>
          <w:rFonts w:eastAsia="Times New Roman" w:cs="Arial"/>
          <w:color w:val="000000"/>
          <w:sz w:val="22"/>
          <w:szCs w:val="22"/>
        </w:rPr>
        <w:t xml:space="preserve"> This provides a more reasonable timeframe for a </w:t>
      </w:r>
      <w:r w:rsidR="00CC325F" w:rsidRPr="00AE157D">
        <w:rPr>
          <w:rFonts w:eastAsia="Times New Roman" w:cs="Arial"/>
          <w:color w:val="000000"/>
          <w:sz w:val="22"/>
          <w:szCs w:val="22"/>
        </w:rPr>
        <w:t>student</w:t>
      </w:r>
      <w:r w:rsidR="00CC325F">
        <w:rPr>
          <w:rFonts w:eastAsia="Times New Roman" w:cs="Arial"/>
          <w:color w:val="000000"/>
          <w:sz w:val="22"/>
          <w:szCs w:val="22"/>
        </w:rPr>
        <w:t xml:space="preserve"> to resume his or her</w:t>
      </w:r>
      <w:r w:rsidR="00D856E5" w:rsidRPr="00AE157D">
        <w:rPr>
          <w:rFonts w:eastAsia="Times New Roman" w:cs="Arial"/>
          <w:color w:val="000000"/>
          <w:sz w:val="22"/>
          <w:szCs w:val="22"/>
        </w:rPr>
        <w:t xml:space="preserve"> attendance, which may result in fewer withdrawals.</w:t>
      </w:r>
    </w:p>
    <w:p w14:paraId="41CEBD9A" w14:textId="7ACA187D" w:rsidR="000840A8" w:rsidRPr="006A7359" w:rsidRDefault="00C947FA" w:rsidP="00252F3F">
      <w:pPr>
        <w:pStyle w:val="ListParagraph"/>
        <w:numPr>
          <w:ilvl w:val="0"/>
          <w:numId w:val="12"/>
        </w:numPr>
        <w:shd w:val="clear" w:color="auto" w:fill="FFFFFF"/>
        <w:spacing w:before="100" w:beforeAutospacing="1" w:after="100" w:afterAutospacing="1"/>
        <w:rPr>
          <w:rFonts w:eastAsia="Times New Roman"/>
          <w:color w:val="000000"/>
          <w:sz w:val="22"/>
        </w:rPr>
      </w:pPr>
      <w:r w:rsidRPr="00AE157D">
        <w:rPr>
          <w:rFonts w:eastAsia="Times New Roman" w:cs="Arial"/>
          <w:color w:val="000000"/>
          <w:sz w:val="22"/>
          <w:szCs w:val="22"/>
        </w:rPr>
        <w:t xml:space="preserve">Makes technical corrections to the list of title IV grant or loan assistance programs by removing from that list the Federal Perkins Loan, </w:t>
      </w:r>
      <w:r w:rsidR="0023572A" w:rsidRPr="00AE157D">
        <w:rPr>
          <w:rFonts w:eastAsia="Times New Roman" w:cs="Arial"/>
          <w:color w:val="000000"/>
          <w:sz w:val="22"/>
          <w:szCs w:val="22"/>
        </w:rPr>
        <w:t xml:space="preserve">FFEL, and </w:t>
      </w:r>
      <w:r w:rsidR="00C026C2" w:rsidRPr="00AE157D">
        <w:rPr>
          <w:rFonts w:eastAsia="Times New Roman" w:cs="Arial"/>
          <w:color w:val="000000"/>
          <w:sz w:val="22"/>
          <w:szCs w:val="22"/>
        </w:rPr>
        <w:t>Academic Competitiveness Grant, National SMART Grant</w:t>
      </w:r>
      <w:r w:rsidR="0023572A" w:rsidRPr="00AE157D">
        <w:rPr>
          <w:rFonts w:eastAsia="Times New Roman" w:cs="Arial"/>
          <w:color w:val="000000"/>
          <w:sz w:val="22"/>
          <w:szCs w:val="22"/>
        </w:rPr>
        <w:t xml:space="preserve"> Programs and adding the </w:t>
      </w:r>
      <w:r w:rsidR="00C026C2" w:rsidRPr="00AE157D">
        <w:rPr>
          <w:rFonts w:eastAsia="Times New Roman" w:cs="Arial"/>
          <w:color w:val="000000"/>
          <w:sz w:val="22"/>
          <w:szCs w:val="22"/>
        </w:rPr>
        <w:t>Iraq and Afghanistan Service Grant</w:t>
      </w:r>
      <w:r w:rsidR="0023572A" w:rsidRPr="00AE157D">
        <w:rPr>
          <w:rFonts w:eastAsia="Times New Roman" w:cs="Arial"/>
          <w:color w:val="000000"/>
          <w:sz w:val="22"/>
          <w:szCs w:val="22"/>
        </w:rPr>
        <w:t xml:space="preserve"> Program</w:t>
      </w:r>
      <w:r w:rsidR="000840A8" w:rsidRPr="00AE157D">
        <w:rPr>
          <w:rFonts w:eastAsia="Times New Roman" w:cs="Arial"/>
          <w:color w:val="000000"/>
          <w:sz w:val="22"/>
          <w:szCs w:val="22"/>
        </w:rPr>
        <w:t>, and corresponding changes to the list of programs pertaining to the order in which title IV funds are returned.</w:t>
      </w:r>
      <w:r w:rsidR="00D856E5" w:rsidRPr="00AE157D">
        <w:rPr>
          <w:rFonts w:eastAsia="Times New Roman" w:cs="Arial"/>
          <w:color w:val="000000"/>
          <w:sz w:val="22"/>
          <w:szCs w:val="22"/>
        </w:rPr>
        <w:t xml:space="preserve"> </w:t>
      </w:r>
    </w:p>
    <w:p w14:paraId="71011AA8" w14:textId="049E3827" w:rsidR="0023572A" w:rsidRPr="00AE157D" w:rsidRDefault="0023572A" w:rsidP="00DE644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Makes a conforming change for post-withdrawal disbursements by referencing the cash management provisions in § 668.164(c)</w:t>
      </w:r>
      <w:r w:rsidR="00D856E5" w:rsidRPr="00AE157D">
        <w:rPr>
          <w:rFonts w:eastAsia="Times New Roman" w:cs="Arial"/>
          <w:color w:val="000000"/>
          <w:sz w:val="22"/>
          <w:szCs w:val="22"/>
        </w:rPr>
        <w:t>, reflecting the most recent cash management rules related to the allowable charges for which an institution may credit students’ accounts.</w:t>
      </w:r>
    </w:p>
    <w:p w14:paraId="187D6DD6" w14:textId="79B551ED" w:rsidR="000840A8" w:rsidRPr="00AE157D" w:rsidRDefault="0023572A" w:rsidP="00DE644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Provides that </w:t>
      </w:r>
      <w:r w:rsidR="00CC325F">
        <w:rPr>
          <w:rFonts w:eastAsia="Times New Roman" w:cs="Arial"/>
          <w:color w:val="000000"/>
          <w:sz w:val="22"/>
          <w:szCs w:val="22"/>
        </w:rPr>
        <w:t>in the event</w:t>
      </w:r>
      <w:r w:rsidR="00C026C2" w:rsidRPr="00AE157D">
        <w:rPr>
          <w:rFonts w:eastAsia="Times New Roman" w:cs="Arial"/>
          <w:color w:val="000000"/>
          <w:sz w:val="22"/>
          <w:szCs w:val="22"/>
        </w:rPr>
        <w:t xml:space="preserve"> of </w:t>
      </w:r>
      <w:r w:rsidR="00CC325F">
        <w:rPr>
          <w:rFonts w:eastAsia="Times New Roman" w:cs="Arial"/>
          <w:color w:val="000000"/>
          <w:sz w:val="22"/>
          <w:szCs w:val="22"/>
        </w:rPr>
        <w:t xml:space="preserve">an approved </w:t>
      </w:r>
      <w:r w:rsidR="00C026C2" w:rsidRPr="00AE157D">
        <w:rPr>
          <w:rFonts w:eastAsia="Times New Roman" w:cs="Arial"/>
          <w:color w:val="000000"/>
          <w:sz w:val="22"/>
          <w:szCs w:val="22"/>
        </w:rPr>
        <w:t>leave of absence</w:t>
      </w:r>
      <w:proofErr w:type="gramStart"/>
      <w:r w:rsidR="00CC325F">
        <w:rPr>
          <w:rFonts w:eastAsia="Times New Roman" w:cs="Arial"/>
          <w:color w:val="000000"/>
          <w:sz w:val="22"/>
          <w:szCs w:val="22"/>
        </w:rPr>
        <w:t xml:space="preserve">, </w:t>
      </w:r>
      <w:r w:rsidR="00C026C2" w:rsidRPr="00AE157D">
        <w:rPr>
          <w:rFonts w:eastAsia="Times New Roman" w:cs="Arial"/>
          <w:color w:val="000000"/>
          <w:sz w:val="22"/>
          <w:szCs w:val="22"/>
        </w:rPr>
        <w:t xml:space="preserve"> upon</w:t>
      </w:r>
      <w:proofErr w:type="gramEnd"/>
      <w:r w:rsidR="00C026C2" w:rsidRPr="00AE157D">
        <w:rPr>
          <w:rFonts w:eastAsia="Times New Roman" w:cs="Arial"/>
          <w:color w:val="000000"/>
          <w:sz w:val="22"/>
          <w:szCs w:val="22"/>
        </w:rPr>
        <w:t xml:space="preserve"> the student's return from </w:t>
      </w:r>
      <w:r w:rsidR="00CC325F" w:rsidRPr="00AE157D">
        <w:rPr>
          <w:rFonts w:eastAsia="Times New Roman" w:cs="Arial"/>
          <w:color w:val="000000"/>
          <w:sz w:val="22"/>
          <w:szCs w:val="22"/>
        </w:rPr>
        <w:t>th</w:t>
      </w:r>
      <w:r w:rsidR="00CC325F">
        <w:rPr>
          <w:rFonts w:eastAsia="Times New Roman" w:cs="Arial"/>
          <w:color w:val="000000"/>
          <w:sz w:val="22"/>
          <w:szCs w:val="22"/>
        </w:rPr>
        <w:t>at</w:t>
      </w:r>
      <w:r w:rsidR="00CC325F" w:rsidRPr="00AE157D">
        <w:rPr>
          <w:rFonts w:eastAsia="Times New Roman" w:cs="Arial"/>
          <w:color w:val="000000"/>
          <w:sz w:val="22"/>
          <w:szCs w:val="22"/>
        </w:rPr>
        <w:t xml:space="preserve"> </w:t>
      </w:r>
      <w:r w:rsidR="00C026C2" w:rsidRPr="00AE157D">
        <w:rPr>
          <w:rFonts w:eastAsia="Times New Roman" w:cs="Arial"/>
          <w:color w:val="000000"/>
          <w:sz w:val="22"/>
          <w:szCs w:val="22"/>
        </w:rPr>
        <w:t>leave of absence, the student is permitted to complete the coursework he or she began pr</w:t>
      </w:r>
      <w:r w:rsidRPr="00AE157D">
        <w:rPr>
          <w:rFonts w:eastAsia="Times New Roman" w:cs="Arial"/>
          <w:color w:val="000000"/>
          <w:sz w:val="22"/>
          <w:szCs w:val="22"/>
        </w:rPr>
        <w:t>ior to the leave of absence, except for a clock hour, nonterm credit hour,</w:t>
      </w:r>
      <w:r w:rsidRPr="00AE157D">
        <w:rPr>
          <w:rFonts w:eastAsiaTheme="minorHAnsi"/>
          <w:sz w:val="22"/>
          <w:szCs w:val="22"/>
        </w:rPr>
        <w:t xml:space="preserve"> </w:t>
      </w:r>
      <w:r w:rsidRPr="00AE157D">
        <w:rPr>
          <w:rFonts w:eastAsia="Times New Roman" w:cs="Arial"/>
          <w:color w:val="000000"/>
          <w:sz w:val="22"/>
          <w:szCs w:val="22"/>
        </w:rPr>
        <w:t>or a subscription-based program.</w:t>
      </w:r>
      <w:r w:rsidR="00D856E5" w:rsidRPr="00AE157D">
        <w:rPr>
          <w:rFonts w:eastAsia="Times New Roman" w:cs="Arial"/>
          <w:color w:val="000000"/>
          <w:sz w:val="22"/>
          <w:szCs w:val="22"/>
        </w:rPr>
        <w:t xml:space="preserve"> </w:t>
      </w:r>
      <w:r w:rsidR="00AF27F3" w:rsidRPr="00AE157D">
        <w:rPr>
          <w:rFonts w:eastAsia="Times New Roman" w:cs="Arial"/>
          <w:color w:val="000000"/>
          <w:sz w:val="22"/>
          <w:szCs w:val="22"/>
        </w:rPr>
        <w:t>As with clock-hour and non-term credit hour programs, subscription-based programs measure progress by the work a student has completed or the competencies demonstrated, not in accordance with the passage of weeks which comprise a term.  Because of this</w:t>
      </w:r>
      <w:r w:rsidR="00553630" w:rsidRPr="00AE157D">
        <w:rPr>
          <w:rFonts w:eastAsia="Times New Roman" w:cs="Arial"/>
          <w:color w:val="000000"/>
          <w:sz w:val="22"/>
          <w:szCs w:val="22"/>
        </w:rPr>
        <w:t>,</w:t>
      </w:r>
      <w:r w:rsidR="00AF27F3" w:rsidRPr="00AE157D">
        <w:rPr>
          <w:rFonts w:eastAsia="Times New Roman" w:cs="Arial"/>
          <w:color w:val="000000"/>
          <w:sz w:val="22"/>
          <w:szCs w:val="22"/>
        </w:rPr>
        <w:t xml:space="preserve"> it is not necessary to require that a student returning from a leave of absence to a subscription-based program be subject to the same constraints associated with term-based programs.</w:t>
      </w:r>
    </w:p>
    <w:p w14:paraId="7002A483" w14:textId="12A70D95" w:rsidR="000840A8" w:rsidRPr="00AE157D" w:rsidRDefault="000840A8" w:rsidP="00DE644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Provides that a program </w:t>
      </w:r>
      <w:r w:rsidR="00C026C2" w:rsidRPr="00AE157D">
        <w:rPr>
          <w:rFonts w:eastAsia="Times New Roman" w:cs="Arial"/>
          <w:color w:val="000000"/>
          <w:sz w:val="22"/>
          <w:szCs w:val="22"/>
        </w:rPr>
        <w:t xml:space="preserve">is “offered in modules” if </w:t>
      </w:r>
      <w:r w:rsidR="00C026C2" w:rsidRPr="00AE157D">
        <w:rPr>
          <w:sz w:val="22"/>
          <w:szCs w:val="22"/>
        </w:rPr>
        <w:t>the program uses a standard term or nonstandard term academic calendar</w:t>
      </w:r>
      <w:r w:rsidR="0084769E" w:rsidRPr="00AE157D">
        <w:rPr>
          <w:sz w:val="22"/>
          <w:szCs w:val="22"/>
        </w:rPr>
        <w:t>, is not a subscription-based program,</w:t>
      </w:r>
      <w:r w:rsidR="00C026C2" w:rsidRPr="00AE157D">
        <w:rPr>
          <w:sz w:val="22"/>
          <w:szCs w:val="22"/>
        </w:rPr>
        <w:t xml:space="preserve"> and</w:t>
      </w:r>
      <w:r w:rsidR="00C026C2" w:rsidRPr="00AE157D">
        <w:rPr>
          <w:rFonts w:eastAsia="Times New Roman" w:cs="Arial"/>
          <w:color w:val="000000"/>
          <w:sz w:val="22"/>
          <w:szCs w:val="22"/>
        </w:rPr>
        <w:t xml:space="preserve"> a course or courses in the program do not span the entire length of the payment period or period of enrollment.</w:t>
      </w:r>
      <w:r w:rsidR="004E7817" w:rsidRPr="00AE157D">
        <w:rPr>
          <w:rFonts w:eastAsia="Times New Roman" w:cs="Arial"/>
          <w:color w:val="000000"/>
          <w:sz w:val="22"/>
          <w:szCs w:val="22"/>
        </w:rPr>
        <w:t xml:space="preserve"> Despite the current definition of modules, much confusion remains as to whether or not a program is offered in modules. This modification makes it clear that courses that do not </w:t>
      </w:r>
      <w:r w:rsidR="004E7817" w:rsidRPr="00AE157D">
        <w:rPr>
          <w:rFonts w:eastAsia="Times New Roman" w:cs="Arial"/>
          <w:color w:val="000000"/>
          <w:sz w:val="22"/>
          <w:szCs w:val="22"/>
        </w:rPr>
        <w:lastRenderedPageBreak/>
        <w:t>span the entire length of a payment period are only considered modules where a program uses standard or nonstandard terms.</w:t>
      </w:r>
    </w:p>
    <w:p w14:paraId="7A2D4020" w14:textId="080744EB" w:rsidR="00C026C2" w:rsidRPr="00AE157D" w:rsidRDefault="000840A8" w:rsidP="000840A8">
      <w:pPr>
        <w:pStyle w:val="ListParagraph"/>
        <w:numPr>
          <w:ilvl w:val="0"/>
          <w:numId w:val="12"/>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Provides that a </w:t>
      </w:r>
      <w:r w:rsidR="00C026C2" w:rsidRPr="00AE157D">
        <w:rPr>
          <w:rFonts w:eastAsia="Times New Roman" w:cs="Arial"/>
          <w:color w:val="000000"/>
          <w:sz w:val="22"/>
          <w:szCs w:val="22"/>
        </w:rPr>
        <w:t xml:space="preserve">student in a program offered in modules is scheduled to complete the days in a module if the student’s coursework in that module was used to determine the amount of the student’s eligibility for </w:t>
      </w:r>
      <w:r w:rsidRPr="00AE157D">
        <w:rPr>
          <w:rFonts w:eastAsia="Times New Roman" w:cs="Arial"/>
          <w:color w:val="000000"/>
          <w:sz w:val="22"/>
          <w:szCs w:val="22"/>
        </w:rPr>
        <w:t>t</w:t>
      </w:r>
      <w:r w:rsidR="00C026C2" w:rsidRPr="00AE157D">
        <w:rPr>
          <w:rFonts w:eastAsia="Times New Roman" w:cs="Arial"/>
          <w:color w:val="000000"/>
          <w:sz w:val="22"/>
          <w:szCs w:val="22"/>
        </w:rPr>
        <w:t>itle IV, HEA funds for the payment period or period of enrollment.</w:t>
      </w:r>
      <w:r w:rsidR="004E7817" w:rsidRPr="00AE157D">
        <w:rPr>
          <w:rFonts w:eastAsia="Times New Roman" w:cs="Arial"/>
          <w:color w:val="000000"/>
          <w:sz w:val="22"/>
          <w:szCs w:val="22"/>
        </w:rPr>
        <w:t xml:space="preserve"> </w:t>
      </w:r>
      <w:r w:rsidR="00A01C11" w:rsidRPr="00AE157D">
        <w:rPr>
          <w:rFonts w:eastAsia="Times New Roman" w:cs="Arial"/>
          <w:color w:val="000000"/>
          <w:sz w:val="22"/>
          <w:szCs w:val="22"/>
        </w:rPr>
        <w:t xml:space="preserve"> </w:t>
      </w:r>
      <w:r w:rsidR="004E7817" w:rsidRPr="00AE157D">
        <w:rPr>
          <w:rFonts w:eastAsia="Times New Roman" w:cs="Arial"/>
          <w:color w:val="000000"/>
          <w:sz w:val="22"/>
          <w:szCs w:val="22"/>
        </w:rPr>
        <w:t xml:space="preserve">This change would </w:t>
      </w:r>
      <w:r w:rsidR="00DA3F2B">
        <w:rPr>
          <w:rFonts w:eastAsia="Times New Roman" w:cs="Arial"/>
          <w:color w:val="000000"/>
          <w:sz w:val="22"/>
          <w:szCs w:val="22"/>
        </w:rPr>
        <w:t>simplify</w:t>
      </w:r>
      <w:r w:rsidR="00DA3F2B" w:rsidRPr="00AE157D">
        <w:rPr>
          <w:rFonts w:eastAsia="Times New Roman" w:cs="Arial"/>
          <w:color w:val="000000"/>
          <w:sz w:val="22"/>
          <w:szCs w:val="22"/>
        </w:rPr>
        <w:t xml:space="preserve"> </w:t>
      </w:r>
      <w:r w:rsidR="004E7817" w:rsidRPr="00AE157D">
        <w:rPr>
          <w:rFonts w:eastAsia="Times New Roman" w:cs="Arial"/>
          <w:color w:val="000000"/>
          <w:sz w:val="22"/>
          <w:szCs w:val="22"/>
        </w:rPr>
        <w:t xml:space="preserve">how an institution calculates the number of days in the denominator of the R2T4 calculation </w:t>
      </w:r>
      <w:r w:rsidR="00DA3F2B">
        <w:rPr>
          <w:rFonts w:eastAsia="Times New Roman" w:cs="Arial"/>
          <w:color w:val="000000"/>
          <w:sz w:val="22"/>
          <w:szCs w:val="22"/>
        </w:rPr>
        <w:t>when a student is scheduled to attend more than one module or</w:t>
      </w:r>
      <w:r w:rsidR="004E7817" w:rsidRPr="00AE157D">
        <w:rPr>
          <w:rFonts w:eastAsia="Times New Roman" w:cs="Arial"/>
          <w:color w:val="000000"/>
          <w:sz w:val="22"/>
          <w:szCs w:val="22"/>
        </w:rPr>
        <w:t xml:space="preserve"> withdraws from multiple modules.</w:t>
      </w:r>
    </w:p>
    <w:p w14:paraId="7A2D410C" w14:textId="77777777" w:rsidR="00C026C2" w:rsidRPr="00AE157D" w:rsidRDefault="00C026C2" w:rsidP="00DE6448">
      <w:pPr>
        <w:pStyle w:val="Heading3"/>
        <w:rPr>
          <w:rFonts w:cs="Arial"/>
          <w:b w:val="0"/>
          <w:bCs w:val="0"/>
          <w:color w:val="000000"/>
        </w:rPr>
      </w:pPr>
      <w:bookmarkStart w:id="24" w:name="se34.3.668_123"/>
      <w:bookmarkStart w:id="25" w:name="se34.3.668_124"/>
      <w:bookmarkStart w:id="26" w:name="se34.3.668_125"/>
      <w:bookmarkStart w:id="27" w:name="se34.3.668_126"/>
      <w:bookmarkStart w:id="28" w:name="se34.3.668_127"/>
      <w:bookmarkStart w:id="29" w:name="se34.3.668_128"/>
      <w:bookmarkEnd w:id="24"/>
      <w:bookmarkEnd w:id="25"/>
      <w:bookmarkEnd w:id="26"/>
      <w:bookmarkEnd w:id="27"/>
      <w:bookmarkEnd w:id="28"/>
      <w:bookmarkEnd w:id="29"/>
      <w:proofErr w:type="gramStart"/>
      <w:r w:rsidRPr="00AE157D">
        <w:t>§668.28   Non-title IV revenue (90/10).</w:t>
      </w:r>
      <w:proofErr w:type="gramEnd"/>
    </w:p>
    <w:p w14:paraId="6B1FCAC8" w14:textId="6FBF0BE5" w:rsidR="00342DC5" w:rsidRPr="00AE157D" w:rsidRDefault="00342DC5" w:rsidP="00292A05">
      <w:pPr>
        <w:pStyle w:val="ListParagraph"/>
        <w:numPr>
          <w:ilvl w:val="0"/>
          <w:numId w:val="14"/>
        </w:numPr>
        <w:shd w:val="clear" w:color="auto" w:fill="FFFFFF"/>
        <w:spacing w:after="100" w:afterAutospacing="1"/>
        <w:rPr>
          <w:rFonts w:eastAsia="Times New Roman" w:cs="Arial"/>
          <w:color w:val="000000"/>
          <w:sz w:val="22"/>
          <w:szCs w:val="22"/>
        </w:rPr>
      </w:pPr>
      <w:r w:rsidRPr="00AE157D">
        <w:rPr>
          <w:rFonts w:eastAsia="Times New Roman" w:cs="Arial"/>
          <w:color w:val="000000"/>
          <w:sz w:val="22"/>
          <w:szCs w:val="22"/>
        </w:rPr>
        <w:t>Removes the provisions pertaining the use and calculation of the Net Present Value of institutional loans because these provisions are no longer applicable.</w:t>
      </w:r>
    </w:p>
    <w:p w14:paraId="7A2D4145" w14:textId="77777777" w:rsidR="00C026C2" w:rsidRPr="00AE157D" w:rsidRDefault="00C026C2" w:rsidP="00DE6448">
      <w:pPr>
        <w:pStyle w:val="Heading2"/>
        <w:rPr>
          <w:rFonts w:cs="Arial"/>
          <w:b w:val="0"/>
          <w:bCs w:val="0"/>
          <w:color w:val="000000"/>
          <w:sz w:val="22"/>
          <w:szCs w:val="22"/>
        </w:rPr>
      </w:pPr>
      <w:r w:rsidRPr="00AE157D">
        <w:rPr>
          <w:shd w:val="clear" w:color="auto" w:fill="FFFFFF"/>
        </w:rPr>
        <w:t>Subpart C—Student Eligibility</w:t>
      </w:r>
    </w:p>
    <w:p w14:paraId="7A2D418A" w14:textId="77777777" w:rsidR="00C026C2" w:rsidRPr="00AE157D" w:rsidRDefault="00C026C2" w:rsidP="00DE6448">
      <w:pPr>
        <w:pStyle w:val="Heading3"/>
        <w:rPr>
          <w:rFonts w:cs="Arial"/>
          <w:b w:val="0"/>
          <w:bCs w:val="0"/>
          <w:color w:val="000000"/>
        </w:rPr>
      </w:pPr>
      <w:bookmarkStart w:id="30" w:name="se34.3.668_132"/>
      <w:bookmarkStart w:id="31" w:name="se34.3.668_133"/>
      <w:bookmarkStart w:id="32" w:name="se34.3.668_134"/>
      <w:bookmarkEnd w:id="30"/>
      <w:bookmarkEnd w:id="31"/>
      <w:bookmarkEnd w:id="32"/>
      <w:r w:rsidRPr="00AE157D">
        <w:t>§668.34   </w:t>
      </w:r>
      <w:proofErr w:type="gramStart"/>
      <w:r w:rsidRPr="00AE157D">
        <w:t>Satisfactory</w:t>
      </w:r>
      <w:proofErr w:type="gramEnd"/>
      <w:r w:rsidRPr="00AE157D">
        <w:t xml:space="preserve"> academic progress.</w:t>
      </w:r>
    </w:p>
    <w:p w14:paraId="6959E19A" w14:textId="495A461B" w:rsidR="00024850" w:rsidRPr="00AE157D" w:rsidRDefault="000F2089" w:rsidP="00292A05">
      <w:pPr>
        <w:pStyle w:val="ListParagraph"/>
        <w:numPr>
          <w:ilvl w:val="0"/>
          <w:numId w:val="14"/>
        </w:numPr>
        <w:shd w:val="clear" w:color="auto" w:fill="FFFFFF"/>
        <w:spacing w:after="100" w:afterAutospacing="1"/>
        <w:rPr>
          <w:rFonts w:eastAsia="Times New Roman" w:cs="Arial"/>
          <w:color w:val="000000"/>
          <w:sz w:val="22"/>
          <w:szCs w:val="22"/>
        </w:rPr>
      </w:pPr>
      <w:r w:rsidRPr="00AE157D">
        <w:rPr>
          <w:rFonts w:eastAsia="Times New Roman" w:cs="Arial"/>
          <w:color w:val="000000"/>
          <w:sz w:val="22"/>
          <w:szCs w:val="22"/>
        </w:rPr>
        <w:t xml:space="preserve">Provides that </w:t>
      </w:r>
      <w:r w:rsidR="00D00929">
        <w:rPr>
          <w:rFonts w:eastAsia="Times New Roman" w:cs="Arial"/>
          <w:color w:val="000000"/>
          <w:sz w:val="22"/>
          <w:szCs w:val="22"/>
        </w:rPr>
        <w:t xml:space="preserve">an institution </w:t>
      </w:r>
      <w:r w:rsidR="00315A3B">
        <w:rPr>
          <w:rFonts w:eastAsia="Times New Roman" w:cs="Arial"/>
          <w:color w:val="000000"/>
          <w:sz w:val="22"/>
          <w:szCs w:val="22"/>
        </w:rPr>
        <w:t>may</w:t>
      </w:r>
      <w:r w:rsidR="00D00929">
        <w:rPr>
          <w:rFonts w:eastAsia="Times New Roman" w:cs="Arial"/>
          <w:color w:val="000000"/>
          <w:sz w:val="22"/>
          <w:szCs w:val="22"/>
        </w:rPr>
        <w:t xml:space="preserve"> </w:t>
      </w:r>
      <w:r w:rsidR="00C125F9">
        <w:rPr>
          <w:rFonts w:eastAsia="Times New Roman" w:cs="Arial"/>
          <w:color w:val="000000"/>
          <w:sz w:val="22"/>
          <w:szCs w:val="22"/>
        </w:rPr>
        <w:t>establish</w:t>
      </w:r>
      <w:r w:rsidR="00D00929">
        <w:rPr>
          <w:rFonts w:eastAsia="Times New Roman" w:cs="Arial"/>
          <w:color w:val="000000"/>
          <w:sz w:val="22"/>
          <w:szCs w:val="22"/>
        </w:rPr>
        <w:t xml:space="preserve"> a program’s</w:t>
      </w:r>
      <w:r w:rsidRPr="00AE157D">
        <w:rPr>
          <w:rFonts w:eastAsia="Times New Roman" w:cs="Arial"/>
          <w:color w:val="000000"/>
          <w:sz w:val="22"/>
          <w:szCs w:val="22"/>
        </w:rPr>
        <w:t xml:space="preserve"> maximum time frame in credit hours or in calendar time.</w:t>
      </w:r>
      <w:r w:rsidR="000E6509" w:rsidRPr="00AE157D">
        <w:rPr>
          <w:rFonts w:eastAsia="Times New Roman" w:cs="Arial"/>
          <w:color w:val="000000"/>
          <w:sz w:val="22"/>
          <w:szCs w:val="22"/>
        </w:rPr>
        <w:t xml:space="preserve"> Currently, </w:t>
      </w:r>
      <w:r w:rsidR="00553630" w:rsidRPr="00AE157D">
        <w:rPr>
          <w:rFonts w:eastAsia="Times New Roman" w:cs="Arial"/>
          <w:color w:val="000000"/>
          <w:sz w:val="22"/>
          <w:szCs w:val="22"/>
        </w:rPr>
        <w:t xml:space="preserve">for a credit-hour program, </w:t>
      </w:r>
      <w:r w:rsidR="000E6509" w:rsidRPr="00AE157D">
        <w:rPr>
          <w:rFonts w:eastAsia="Times New Roman" w:cs="Arial"/>
          <w:color w:val="000000"/>
          <w:sz w:val="22"/>
          <w:szCs w:val="22"/>
        </w:rPr>
        <w:t xml:space="preserve">maximum timeframe must be measured in credit hours. </w:t>
      </w:r>
      <w:r w:rsidR="00553630" w:rsidRPr="00AE157D">
        <w:rPr>
          <w:rFonts w:eastAsia="Times New Roman" w:cs="Arial"/>
          <w:color w:val="000000"/>
          <w:sz w:val="22"/>
          <w:szCs w:val="22"/>
        </w:rPr>
        <w:t xml:space="preserve"> </w:t>
      </w:r>
      <w:r w:rsidR="000E6509" w:rsidRPr="00AE157D">
        <w:rPr>
          <w:rFonts w:eastAsia="Times New Roman" w:cs="Arial"/>
          <w:color w:val="000000"/>
          <w:sz w:val="22"/>
          <w:szCs w:val="22"/>
        </w:rPr>
        <w:t xml:space="preserve">Such programs would now have the option of expressing maximum timeframe in calendar time. </w:t>
      </w:r>
      <w:r w:rsidR="00553630" w:rsidRPr="00AE157D">
        <w:rPr>
          <w:rFonts w:eastAsia="Times New Roman" w:cs="Arial"/>
          <w:color w:val="000000"/>
          <w:sz w:val="22"/>
          <w:szCs w:val="22"/>
        </w:rPr>
        <w:t xml:space="preserve"> </w:t>
      </w:r>
      <w:r w:rsidR="000E6509" w:rsidRPr="00AE157D">
        <w:rPr>
          <w:rFonts w:eastAsia="Times New Roman" w:cs="Arial"/>
          <w:color w:val="000000"/>
          <w:sz w:val="22"/>
          <w:szCs w:val="22"/>
        </w:rPr>
        <w:t>This increased flexibility retains a reasonable limit on the amount of time students ma</w:t>
      </w:r>
      <w:r w:rsidR="000C413C">
        <w:rPr>
          <w:rFonts w:eastAsia="Times New Roman" w:cs="Arial"/>
          <w:color w:val="000000"/>
          <w:sz w:val="22"/>
          <w:szCs w:val="22"/>
        </w:rPr>
        <w:t>y</w:t>
      </w:r>
      <w:r w:rsidR="000E6509" w:rsidRPr="00AE157D">
        <w:rPr>
          <w:rFonts w:eastAsia="Times New Roman" w:cs="Arial"/>
          <w:color w:val="000000"/>
          <w:sz w:val="22"/>
          <w:szCs w:val="22"/>
        </w:rPr>
        <w:t xml:space="preserve"> take to complete a</w:t>
      </w:r>
      <w:r w:rsidR="009D74D8" w:rsidRPr="00AE157D">
        <w:rPr>
          <w:rFonts w:eastAsia="Times New Roman" w:cs="Arial"/>
          <w:color w:val="000000"/>
          <w:sz w:val="22"/>
          <w:szCs w:val="22"/>
        </w:rPr>
        <w:t xml:space="preserve">n educational credential while </w:t>
      </w:r>
      <w:r w:rsidR="000E6509" w:rsidRPr="00AE157D">
        <w:rPr>
          <w:rFonts w:eastAsia="Times New Roman" w:cs="Arial"/>
          <w:color w:val="000000"/>
          <w:sz w:val="22"/>
          <w:szCs w:val="22"/>
        </w:rPr>
        <w:t>acknowledging the varied ways in which credit-hour programs are now structured.</w:t>
      </w:r>
    </w:p>
    <w:p w14:paraId="7B3BFA18" w14:textId="1E0BD25E" w:rsidR="00D00929" w:rsidRDefault="00041012" w:rsidP="00041012">
      <w:pPr>
        <w:pStyle w:val="ListParagraph"/>
        <w:numPr>
          <w:ilvl w:val="0"/>
          <w:numId w:val="14"/>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Provides that for a credit hour program using standard or nonstandard terms, the policy specifies the pace, measured at each evaluation, at which a student must progress through his or her educational program to ensure that the student will complete the program within the maximum timeframe</w:t>
      </w:r>
      <w:r w:rsidR="00D00929">
        <w:rPr>
          <w:rFonts w:eastAsia="Times New Roman" w:cs="Arial"/>
          <w:color w:val="000000"/>
          <w:sz w:val="22"/>
          <w:szCs w:val="22"/>
        </w:rPr>
        <w:t>, but clarifies that this pace evaluation is not required for nonterm credit or clock hour programs given the requirements elsewhere in the regulations that students complete half of the hours and weeks of instruction in an academic year before a subsequent disbursement of aid can be made</w:t>
      </w:r>
      <w:r w:rsidRPr="00AE157D">
        <w:rPr>
          <w:rFonts w:eastAsia="Times New Roman" w:cs="Arial"/>
          <w:color w:val="000000"/>
          <w:sz w:val="22"/>
          <w:szCs w:val="22"/>
        </w:rPr>
        <w:t>.</w:t>
      </w:r>
    </w:p>
    <w:p w14:paraId="170D5A47" w14:textId="6B85EBC6" w:rsidR="00132CEE" w:rsidRDefault="008A2B90" w:rsidP="00041012">
      <w:pPr>
        <w:pStyle w:val="ListParagraph"/>
        <w:numPr>
          <w:ilvl w:val="0"/>
          <w:numId w:val="14"/>
        </w:numPr>
        <w:shd w:val="clear" w:color="auto" w:fill="FFFFFF"/>
        <w:spacing w:before="100" w:beforeAutospacing="1" w:after="100" w:afterAutospacing="1"/>
        <w:rPr>
          <w:rFonts w:eastAsia="Times New Roman" w:cs="Arial"/>
          <w:color w:val="000000"/>
          <w:sz w:val="22"/>
          <w:szCs w:val="22"/>
        </w:rPr>
      </w:pPr>
      <w:r>
        <w:rPr>
          <w:rFonts w:eastAsia="Times New Roman" w:cs="Arial"/>
          <w:color w:val="000000"/>
          <w:sz w:val="22"/>
          <w:szCs w:val="22"/>
        </w:rPr>
        <w:t xml:space="preserve">Clarifies that </w:t>
      </w:r>
      <w:r w:rsidR="00041012" w:rsidRPr="00AE157D">
        <w:rPr>
          <w:rFonts w:eastAsia="Times New Roman" w:cs="Arial"/>
          <w:color w:val="000000"/>
          <w:sz w:val="22"/>
          <w:szCs w:val="22"/>
        </w:rPr>
        <w:t xml:space="preserve">for a </w:t>
      </w:r>
      <w:r w:rsidR="00132CEE">
        <w:rPr>
          <w:rFonts w:eastAsia="Times New Roman" w:cs="Arial"/>
          <w:color w:val="000000"/>
          <w:sz w:val="22"/>
          <w:szCs w:val="22"/>
        </w:rPr>
        <w:t xml:space="preserve">term-based </w:t>
      </w:r>
      <w:r w:rsidR="00041012" w:rsidRPr="00AE157D">
        <w:rPr>
          <w:rFonts w:eastAsia="Times New Roman" w:cs="Arial"/>
          <w:color w:val="000000"/>
          <w:sz w:val="22"/>
          <w:szCs w:val="22"/>
        </w:rPr>
        <w:t xml:space="preserve">program that is not a subscription-based program, </w:t>
      </w:r>
      <w:r>
        <w:rPr>
          <w:rFonts w:eastAsia="Times New Roman" w:cs="Arial"/>
          <w:color w:val="000000"/>
          <w:sz w:val="22"/>
          <w:szCs w:val="22"/>
        </w:rPr>
        <w:t xml:space="preserve">an institution may calculate a student’s pace by </w:t>
      </w:r>
      <w:r w:rsidR="00041012" w:rsidRPr="00AE157D">
        <w:rPr>
          <w:rFonts w:eastAsia="Times New Roman" w:cs="Arial"/>
          <w:color w:val="000000"/>
          <w:sz w:val="22"/>
          <w:szCs w:val="22"/>
        </w:rPr>
        <w:t xml:space="preserve">either dividing the cumulative number of hours the student has successfully completed by the cumulative number of hours the student has attempted </w:t>
      </w:r>
      <w:r w:rsidR="00041012" w:rsidRPr="00AE157D">
        <w:rPr>
          <w:sz w:val="22"/>
          <w:szCs w:val="22"/>
        </w:rPr>
        <w:t>or by determining the number of hours that the student should have completed at the evaluation point in order to complete the program within the maximum timeframe.</w:t>
      </w:r>
    </w:p>
    <w:p w14:paraId="20901ACB" w14:textId="5B68D75C" w:rsidR="00041012" w:rsidRPr="00AE157D" w:rsidRDefault="00132CEE" w:rsidP="00041012">
      <w:pPr>
        <w:pStyle w:val="ListParagraph"/>
        <w:numPr>
          <w:ilvl w:val="0"/>
          <w:numId w:val="14"/>
        </w:numPr>
        <w:shd w:val="clear" w:color="auto" w:fill="FFFFFF"/>
        <w:spacing w:before="100" w:beforeAutospacing="1" w:after="100" w:afterAutospacing="1"/>
        <w:rPr>
          <w:rFonts w:eastAsia="Times New Roman" w:cs="Arial"/>
          <w:color w:val="000000"/>
          <w:sz w:val="22"/>
          <w:szCs w:val="22"/>
        </w:rPr>
      </w:pPr>
      <w:r>
        <w:rPr>
          <w:rFonts w:eastAsia="Times New Roman" w:cs="Arial"/>
          <w:color w:val="000000"/>
          <w:sz w:val="22"/>
          <w:szCs w:val="22"/>
        </w:rPr>
        <w:t>Clarifies that</w:t>
      </w:r>
      <w:r w:rsidR="00041012" w:rsidRPr="00AE157D">
        <w:rPr>
          <w:rFonts w:eastAsia="Times New Roman" w:cs="Arial"/>
          <w:color w:val="000000"/>
          <w:sz w:val="22"/>
          <w:szCs w:val="22"/>
        </w:rPr>
        <w:t xml:space="preserve"> in a subscription-based program, </w:t>
      </w:r>
      <w:r>
        <w:rPr>
          <w:rFonts w:eastAsia="Times New Roman" w:cs="Arial"/>
          <w:color w:val="000000"/>
          <w:sz w:val="22"/>
          <w:szCs w:val="22"/>
        </w:rPr>
        <w:t>an institution may only calculate a student’s pace</w:t>
      </w:r>
      <w:r w:rsidR="00041012" w:rsidRPr="00AE157D">
        <w:rPr>
          <w:rFonts w:eastAsia="Times New Roman" w:cs="Arial"/>
          <w:color w:val="000000"/>
          <w:sz w:val="22"/>
          <w:szCs w:val="22"/>
        </w:rPr>
        <w:t xml:space="preserve"> by determining the number of hours that the student should have completed at the evaluation point in order to complete the program within the maximum timeframe.</w:t>
      </w:r>
      <w:r w:rsidR="009D74D8" w:rsidRPr="00AE157D">
        <w:rPr>
          <w:rFonts w:eastAsia="Times New Roman" w:cs="Arial"/>
          <w:color w:val="000000"/>
          <w:sz w:val="22"/>
          <w:szCs w:val="22"/>
        </w:rPr>
        <w:t xml:space="preserve"> </w:t>
      </w:r>
      <w:r w:rsidR="00553630" w:rsidRPr="00AE157D">
        <w:rPr>
          <w:rFonts w:eastAsia="Times New Roman" w:cs="Arial"/>
          <w:color w:val="000000"/>
          <w:sz w:val="22"/>
          <w:szCs w:val="22"/>
        </w:rPr>
        <w:t xml:space="preserve"> </w:t>
      </w:r>
      <w:r w:rsidR="009D74D8" w:rsidRPr="00AE157D">
        <w:rPr>
          <w:rFonts w:eastAsia="Times New Roman" w:cs="Arial"/>
          <w:color w:val="000000"/>
          <w:sz w:val="22"/>
          <w:szCs w:val="22"/>
        </w:rPr>
        <w:t xml:space="preserve">Current regulations related to the pace at which a student is expected to progress through his or her program do not provide for a measurement that reasonably accommodates subscription-based programs. </w:t>
      </w:r>
      <w:r w:rsidR="00553630" w:rsidRPr="00AE157D">
        <w:rPr>
          <w:rFonts w:eastAsia="Times New Roman" w:cs="Arial"/>
          <w:color w:val="000000"/>
          <w:sz w:val="22"/>
          <w:szCs w:val="22"/>
        </w:rPr>
        <w:t xml:space="preserve"> </w:t>
      </w:r>
      <w:r w:rsidR="009D74D8" w:rsidRPr="00AE157D">
        <w:rPr>
          <w:rFonts w:eastAsia="Times New Roman" w:cs="Arial"/>
          <w:color w:val="000000"/>
          <w:sz w:val="22"/>
          <w:szCs w:val="22"/>
        </w:rPr>
        <w:t>This revision would address that gap.</w:t>
      </w:r>
    </w:p>
    <w:p w14:paraId="7A2D4242" w14:textId="77777777" w:rsidR="00C026C2" w:rsidRPr="00AE157D" w:rsidRDefault="00C026C2" w:rsidP="00DE6448">
      <w:pPr>
        <w:pStyle w:val="Heading2"/>
        <w:rPr>
          <w:rFonts w:cs="Arial"/>
          <w:b w:val="0"/>
          <w:bCs w:val="0"/>
          <w:color w:val="000000"/>
          <w:sz w:val="22"/>
          <w:szCs w:val="22"/>
        </w:rPr>
      </w:pPr>
      <w:bookmarkStart w:id="33" w:name="se34.3.668_135"/>
      <w:bookmarkStart w:id="34" w:name="se34.3.668_136"/>
      <w:bookmarkStart w:id="35" w:name="se34.3.668_137"/>
      <w:bookmarkStart w:id="36" w:name="se34.3.668_138"/>
      <w:bookmarkStart w:id="37" w:name="se34.3.668_139"/>
      <w:bookmarkStart w:id="38" w:name="se34.3.668_140"/>
      <w:bookmarkEnd w:id="33"/>
      <w:bookmarkEnd w:id="34"/>
      <w:bookmarkEnd w:id="35"/>
      <w:bookmarkEnd w:id="36"/>
      <w:bookmarkEnd w:id="37"/>
      <w:bookmarkEnd w:id="38"/>
      <w:r w:rsidRPr="00AE157D">
        <w:lastRenderedPageBreak/>
        <w:t>Subpart D—Institutional and Financial Assistance Information for Students</w:t>
      </w:r>
    </w:p>
    <w:p w14:paraId="7A2D4245" w14:textId="77777777" w:rsidR="00C026C2" w:rsidRPr="00AE157D" w:rsidRDefault="00C026C2" w:rsidP="00DE6448">
      <w:pPr>
        <w:pStyle w:val="Heading3"/>
        <w:rPr>
          <w:rFonts w:cs="Arial"/>
          <w:b w:val="0"/>
          <w:bCs w:val="0"/>
          <w:color w:val="000000"/>
        </w:rPr>
      </w:pPr>
      <w:bookmarkStart w:id="39" w:name="se34.3.668_141"/>
      <w:bookmarkEnd w:id="39"/>
      <w:proofErr w:type="gramStart"/>
      <w:r w:rsidRPr="00AE157D">
        <w:t>§668.41   Reporting and disclosure of information.</w:t>
      </w:r>
      <w:proofErr w:type="gramEnd"/>
    </w:p>
    <w:p w14:paraId="10F898E7" w14:textId="68B0114C" w:rsidR="008400B6" w:rsidRPr="00DB1744" w:rsidRDefault="002B3DB9" w:rsidP="00DB1744">
      <w:pPr>
        <w:pStyle w:val="ListParagraph"/>
        <w:numPr>
          <w:ilvl w:val="0"/>
          <w:numId w:val="31"/>
        </w:numPr>
        <w:rPr>
          <w:rFonts w:cs="Arial"/>
          <w:color w:val="000000"/>
        </w:rPr>
      </w:pPr>
      <w:r w:rsidRPr="00DB1744">
        <w:rPr>
          <w:sz w:val="22"/>
          <w:szCs w:val="22"/>
        </w:rPr>
        <w:t xml:space="preserve">Provides that an institution must disclose any placement rates it is required </w:t>
      </w:r>
      <w:r w:rsidR="000B3451" w:rsidRPr="00DB1744">
        <w:rPr>
          <w:sz w:val="22"/>
          <w:szCs w:val="22"/>
        </w:rPr>
        <w:t xml:space="preserve">by an accreditor or oversight entity </w:t>
      </w:r>
      <w:r w:rsidRPr="00DB1744">
        <w:rPr>
          <w:sz w:val="22"/>
          <w:szCs w:val="22"/>
        </w:rPr>
        <w:t xml:space="preserve">to calculate </w:t>
      </w:r>
      <w:r w:rsidR="000B3451" w:rsidRPr="00DB1744">
        <w:rPr>
          <w:sz w:val="22"/>
          <w:szCs w:val="22"/>
        </w:rPr>
        <w:t>and report</w:t>
      </w:r>
      <w:r w:rsidR="00E72B2B" w:rsidRPr="00DB1744">
        <w:rPr>
          <w:sz w:val="22"/>
          <w:szCs w:val="22"/>
        </w:rPr>
        <w:t xml:space="preserve">, </w:t>
      </w:r>
      <w:r w:rsidR="00C125F9" w:rsidRPr="00DB1744">
        <w:rPr>
          <w:sz w:val="22"/>
          <w:szCs w:val="22"/>
        </w:rPr>
        <w:t xml:space="preserve">but clarifies that placement rates calculated for internal program evaluation purposes are not required to be disclosed to the public.  This allows programs to do a better job of monitoring program outcomes without subjecting themselves to the risk of using a placement rate that has not been established by an accreditor or State or using surveys or other tools that do not meet the standard required for public disclosure of job placements.  </w:t>
      </w:r>
      <w:bookmarkStart w:id="40" w:name="se34.3.668_142"/>
      <w:bookmarkStart w:id="41" w:name="se34.3.668_143"/>
      <w:bookmarkEnd w:id="40"/>
      <w:bookmarkEnd w:id="41"/>
    </w:p>
    <w:p w14:paraId="7A2D429B" w14:textId="2C0E9413" w:rsidR="00C026C2" w:rsidRPr="008400B6" w:rsidRDefault="00C026C2" w:rsidP="008400B6">
      <w:pPr>
        <w:pStyle w:val="Heading3"/>
        <w:rPr>
          <w:rFonts w:cs="Arial"/>
          <w:color w:val="000000"/>
        </w:rPr>
      </w:pPr>
      <w:proofErr w:type="gramStart"/>
      <w:r w:rsidRPr="00AE157D">
        <w:t>§668.43   Institutional information.</w:t>
      </w:r>
      <w:proofErr w:type="gramEnd"/>
    </w:p>
    <w:p w14:paraId="6C356E36" w14:textId="6C4E3238" w:rsidR="002B3DB9" w:rsidRPr="00AE157D" w:rsidRDefault="002B3DB9" w:rsidP="00DB1744">
      <w:pPr>
        <w:pStyle w:val="ListParagraph"/>
        <w:numPr>
          <w:ilvl w:val="0"/>
          <w:numId w:val="15"/>
        </w:numPr>
        <w:shd w:val="clear" w:color="auto" w:fill="FFFFFF"/>
        <w:spacing w:after="100" w:afterAutospacing="1"/>
        <w:rPr>
          <w:rFonts w:eastAsia="Times New Roman" w:cs="Arial"/>
          <w:color w:val="000000"/>
          <w:sz w:val="22"/>
          <w:szCs w:val="22"/>
        </w:rPr>
      </w:pPr>
      <w:r w:rsidRPr="00AE157D">
        <w:rPr>
          <w:rFonts w:eastAsia="Times New Roman" w:cs="Arial"/>
          <w:color w:val="000000"/>
          <w:sz w:val="22"/>
          <w:szCs w:val="22"/>
        </w:rPr>
        <w:t xml:space="preserve">In addition to existing requirements, provides that an institution must make readily available </w:t>
      </w:r>
      <w:r w:rsidR="00C125F9">
        <w:rPr>
          <w:rFonts w:eastAsia="Times New Roman" w:cs="Arial"/>
          <w:color w:val="000000"/>
          <w:sz w:val="22"/>
          <w:szCs w:val="22"/>
        </w:rPr>
        <w:t xml:space="preserve">the </w:t>
      </w:r>
      <w:r w:rsidRPr="00AE157D">
        <w:rPr>
          <w:rFonts w:eastAsia="Times New Roman" w:cs="Arial"/>
          <w:color w:val="000000"/>
          <w:sz w:val="22"/>
          <w:szCs w:val="22"/>
        </w:rPr>
        <w:t xml:space="preserve">written criteria used to evaluate and award credit for prior learning experience including, but not limited to, </w:t>
      </w:r>
      <w:r w:rsidR="00C125F9">
        <w:rPr>
          <w:rFonts w:eastAsia="Times New Roman" w:cs="Arial"/>
          <w:color w:val="000000"/>
          <w:sz w:val="22"/>
          <w:szCs w:val="22"/>
        </w:rPr>
        <w:t xml:space="preserve">knowledge and skills learned during </w:t>
      </w:r>
      <w:r w:rsidRPr="00AE157D">
        <w:rPr>
          <w:rFonts w:eastAsia="Times New Roman" w:cs="Arial"/>
          <w:color w:val="000000"/>
          <w:sz w:val="22"/>
          <w:szCs w:val="22"/>
        </w:rPr>
        <w:t>service in the armed forces, paid or unpaid employment, or other informal learning</w:t>
      </w:r>
      <w:r w:rsidR="00BA6133" w:rsidRPr="00AE157D">
        <w:rPr>
          <w:rFonts w:eastAsia="Times New Roman" w:cs="Arial"/>
          <w:color w:val="000000"/>
          <w:sz w:val="22"/>
          <w:szCs w:val="22"/>
        </w:rPr>
        <w:t xml:space="preserve"> </w:t>
      </w:r>
      <w:r w:rsidR="00C125F9">
        <w:rPr>
          <w:rFonts w:eastAsia="Times New Roman" w:cs="Arial"/>
          <w:color w:val="000000"/>
          <w:sz w:val="22"/>
          <w:szCs w:val="22"/>
        </w:rPr>
        <w:t xml:space="preserve">opportunities. This will </w:t>
      </w:r>
      <w:r w:rsidR="00BA6133" w:rsidRPr="00AE157D">
        <w:rPr>
          <w:rFonts w:eastAsia="Times New Roman" w:cs="Arial"/>
          <w:color w:val="000000"/>
          <w:sz w:val="22"/>
          <w:szCs w:val="22"/>
        </w:rPr>
        <w:t>provide greater transparency and better inform prospective students</w:t>
      </w:r>
      <w:r w:rsidR="00C125F9">
        <w:rPr>
          <w:rFonts w:eastAsia="Times New Roman" w:cs="Arial"/>
          <w:color w:val="000000"/>
          <w:sz w:val="22"/>
          <w:szCs w:val="22"/>
        </w:rPr>
        <w:t>, including those who have developed mastery of skills through military service.</w:t>
      </w:r>
    </w:p>
    <w:p w14:paraId="7A2D42C7" w14:textId="6E1ADA6C" w:rsidR="00C026C2" w:rsidRPr="00AE157D" w:rsidRDefault="00262CE8" w:rsidP="00262CE8">
      <w:pPr>
        <w:pStyle w:val="ListParagraph"/>
        <w:numPr>
          <w:ilvl w:val="0"/>
          <w:numId w:val="15"/>
        </w:numPr>
        <w:shd w:val="clear" w:color="auto" w:fill="FFFFFF"/>
        <w:spacing w:before="100" w:beforeAutospacing="1" w:after="100" w:afterAutospacing="1"/>
        <w:rPr>
          <w:rFonts w:eastAsia="Times New Roman" w:cs="Arial"/>
          <w:color w:val="000000"/>
          <w:sz w:val="22"/>
          <w:szCs w:val="22"/>
        </w:rPr>
      </w:pPr>
      <w:r w:rsidRPr="00AE157D">
        <w:rPr>
          <w:rFonts w:eastAsia="Times New Roman" w:cs="Arial"/>
          <w:color w:val="000000"/>
          <w:sz w:val="22"/>
          <w:szCs w:val="22"/>
        </w:rPr>
        <w:t xml:space="preserve">Updates the current rules to reflect </w:t>
      </w:r>
      <w:r w:rsidR="00C36FAA">
        <w:rPr>
          <w:rFonts w:eastAsia="Times New Roman" w:cs="Arial"/>
          <w:color w:val="000000"/>
          <w:sz w:val="22"/>
          <w:szCs w:val="22"/>
        </w:rPr>
        <w:t>recent</w:t>
      </w:r>
      <w:r w:rsidRPr="00AE157D">
        <w:rPr>
          <w:rFonts w:eastAsia="Times New Roman" w:cs="Arial"/>
          <w:color w:val="000000"/>
          <w:sz w:val="22"/>
          <w:szCs w:val="22"/>
        </w:rPr>
        <w:t xml:space="preserve"> statutory </w:t>
      </w:r>
      <w:r w:rsidR="00C125F9">
        <w:rPr>
          <w:rFonts w:eastAsia="Times New Roman" w:cs="Arial"/>
          <w:color w:val="000000"/>
          <w:sz w:val="22"/>
          <w:szCs w:val="22"/>
        </w:rPr>
        <w:t xml:space="preserve">changes </w:t>
      </w:r>
      <w:r w:rsidR="00C36FAA">
        <w:rPr>
          <w:rFonts w:eastAsia="Times New Roman" w:cs="Arial"/>
          <w:color w:val="000000"/>
          <w:sz w:val="22"/>
          <w:szCs w:val="22"/>
        </w:rPr>
        <w:t>requiring</w:t>
      </w:r>
      <w:r w:rsidRPr="00AE157D">
        <w:rPr>
          <w:rFonts w:eastAsia="Times New Roman" w:cs="Arial"/>
          <w:color w:val="000000"/>
          <w:sz w:val="22"/>
          <w:szCs w:val="22"/>
        </w:rPr>
        <w:t xml:space="preserve"> </w:t>
      </w:r>
      <w:r w:rsidR="00C125F9">
        <w:rPr>
          <w:rFonts w:eastAsia="Times New Roman" w:cs="Arial"/>
          <w:color w:val="000000"/>
          <w:sz w:val="22"/>
          <w:szCs w:val="22"/>
        </w:rPr>
        <w:t xml:space="preserve">institutions to provide </w:t>
      </w:r>
      <w:r w:rsidRPr="00AE157D">
        <w:rPr>
          <w:rFonts w:eastAsia="Times New Roman" w:cs="Arial"/>
          <w:color w:val="000000"/>
          <w:sz w:val="22"/>
          <w:szCs w:val="22"/>
        </w:rPr>
        <w:t>information about</w:t>
      </w:r>
      <w:r w:rsidR="00C125F9">
        <w:rPr>
          <w:rFonts w:eastAsia="Times New Roman" w:cs="Arial"/>
          <w:color w:val="000000"/>
          <w:sz w:val="22"/>
          <w:szCs w:val="22"/>
        </w:rPr>
        <w:t>:</w:t>
      </w:r>
      <w:r w:rsidRPr="00AE157D">
        <w:rPr>
          <w:rFonts w:eastAsia="Times New Roman" w:cs="Arial"/>
          <w:color w:val="000000"/>
          <w:sz w:val="22"/>
          <w:szCs w:val="22"/>
        </w:rPr>
        <w:t xml:space="preserve">(1) </w:t>
      </w:r>
      <w:r w:rsidR="00C125F9">
        <w:rPr>
          <w:rFonts w:eastAsia="Times New Roman" w:cs="Arial"/>
          <w:color w:val="000000"/>
          <w:sz w:val="22"/>
          <w:szCs w:val="22"/>
        </w:rPr>
        <w:t>the</w:t>
      </w:r>
      <w:r w:rsidRPr="00AE157D">
        <w:rPr>
          <w:rFonts w:eastAsia="Times New Roman" w:cs="Arial"/>
          <w:color w:val="000000"/>
          <w:sz w:val="22"/>
          <w:szCs w:val="22"/>
        </w:rPr>
        <w:t xml:space="preserve"> </w:t>
      </w:r>
      <w:r w:rsidR="00C026C2" w:rsidRPr="00AE157D">
        <w:rPr>
          <w:rFonts w:eastAsia="Times New Roman" w:cs="Arial"/>
          <w:color w:val="000000"/>
          <w:sz w:val="22"/>
          <w:szCs w:val="22"/>
        </w:rPr>
        <w:t>percentage of enrolled full-time students at the institution who</w:t>
      </w:r>
      <w:r w:rsidRPr="00AE157D">
        <w:rPr>
          <w:rFonts w:eastAsia="Times New Roman" w:cs="Arial"/>
          <w:color w:val="000000"/>
          <w:sz w:val="22"/>
          <w:szCs w:val="22"/>
        </w:rPr>
        <w:t xml:space="preserve"> are male, female, receive a Pell Grant, and are a self-identified member of a racial or ethnic group</w:t>
      </w:r>
      <w:r w:rsidR="00C125F9">
        <w:rPr>
          <w:rFonts w:eastAsia="Times New Roman" w:cs="Arial"/>
          <w:color w:val="000000"/>
          <w:sz w:val="22"/>
          <w:szCs w:val="22"/>
        </w:rPr>
        <w:t>;</w:t>
      </w:r>
      <w:r w:rsidRPr="00AE157D">
        <w:rPr>
          <w:rFonts w:eastAsia="Times New Roman" w:cs="Arial"/>
          <w:color w:val="000000"/>
          <w:sz w:val="22"/>
          <w:szCs w:val="22"/>
        </w:rPr>
        <w:t xml:space="preserve"> (2) </w:t>
      </w:r>
      <w:r w:rsidR="00C125F9">
        <w:rPr>
          <w:rFonts w:eastAsia="Times New Roman" w:cs="Arial"/>
          <w:color w:val="000000"/>
          <w:sz w:val="22"/>
          <w:szCs w:val="22"/>
        </w:rPr>
        <w:t xml:space="preserve">the </w:t>
      </w:r>
      <w:r w:rsidR="00C026C2" w:rsidRPr="00AE157D">
        <w:rPr>
          <w:rFonts w:eastAsia="Times New Roman" w:cs="Arial"/>
          <w:color w:val="000000"/>
          <w:sz w:val="22"/>
          <w:szCs w:val="22"/>
        </w:rPr>
        <w:t>placement in employment of, and types of employment obtained by, graduates of the institution’s degree or certificate programs</w:t>
      </w:r>
      <w:r w:rsidR="00C125F9">
        <w:rPr>
          <w:rFonts w:eastAsia="Times New Roman" w:cs="Arial"/>
          <w:color w:val="000000"/>
          <w:sz w:val="22"/>
          <w:szCs w:val="22"/>
        </w:rPr>
        <w:t>;</w:t>
      </w:r>
      <w:r w:rsidRPr="00AE157D">
        <w:rPr>
          <w:rFonts w:eastAsia="Times New Roman" w:cs="Arial"/>
          <w:color w:val="000000"/>
          <w:sz w:val="22"/>
          <w:szCs w:val="22"/>
        </w:rPr>
        <w:t xml:space="preserve"> (3</w:t>
      </w:r>
      <w:proofErr w:type="gramStart"/>
      <w:r w:rsidRPr="00AE157D">
        <w:rPr>
          <w:rFonts w:eastAsia="Times New Roman" w:cs="Arial"/>
          <w:color w:val="000000"/>
          <w:sz w:val="22"/>
          <w:szCs w:val="22"/>
        </w:rPr>
        <w:t xml:space="preserve">) </w:t>
      </w:r>
      <w:r w:rsidR="00C026C2" w:rsidRPr="00AE157D">
        <w:rPr>
          <w:rFonts w:eastAsia="Times New Roman" w:cs="Arial"/>
          <w:color w:val="000000"/>
          <w:sz w:val="22"/>
          <w:szCs w:val="22"/>
        </w:rPr>
        <w:t xml:space="preserve"> </w:t>
      </w:r>
      <w:r w:rsidR="00C125F9">
        <w:rPr>
          <w:rFonts w:eastAsia="Times New Roman" w:cs="Arial"/>
          <w:color w:val="000000"/>
          <w:sz w:val="22"/>
          <w:szCs w:val="22"/>
        </w:rPr>
        <w:t>the</w:t>
      </w:r>
      <w:proofErr w:type="gramEnd"/>
      <w:r w:rsidR="00C026C2" w:rsidRPr="00AE157D">
        <w:rPr>
          <w:rFonts w:eastAsia="Times New Roman" w:cs="Arial"/>
          <w:color w:val="000000"/>
          <w:sz w:val="22"/>
          <w:szCs w:val="22"/>
        </w:rPr>
        <w:t xml:space="preserve"> types of graduate and professional education in which graduates of the institution’s four-year degree programs enrolled</w:t>
      </w:r>
      <w:r w:rsidR="00C125F9">
        <w:rPr>
          <w:rFonts w:eastAsia="Times New Roman" w:cs="Arial"/>
          <w:color w:val="000000"/>
          <w:sz w:val="22"/>
          <w:szCs w:val="22"/>
        </w:rPr>
        <w:t>;</w:t>
      </w:r>
      <w:r w:rsidRPr="00AE157D">
        <w:rPr>
          <w:rFonts w:eastAsia="Times New Roman" w:cs="Arial"/>
          <w:color w:val="000000"/>
          <w:sz w:val="22"/>
          <w:szCs w:val="22"/>
        </w:rPr>
        <w:t xml:space="preserve"> (4) </w:t>
      </w:r>
      <w:r w:rsidR="00C026C2" w:rsidRPr="00AE157D">
        <w:rPr>
          <w:rFonts w:eastAsia="Times New Roman" w:cs="Arial"/>
          <w:color w:val="000000"/>
          <w:sz w:val="22"/>
          <w:szCs w:val="22"/>
        </w:rPr>
        <w:t xml:space="preserve"> fire safety report</w:t>
      </w:r>
      <w:r w:rsidR="00C125F9">
        <w:rPr>
          <w:rFonts w:eastAsia="Times New Roman" w:cs="Arial"/>
          <w:color w:val="000000"/>
          <w:sz w:val="22"/>
          <w:szCs w:val="22"/>
        </w:rPr>
        <w:t>s</w:t>
      </w:r>
      <w:r w:rsidR="00C026C2" w:rsidRPr="00AE157D">
        <w:rPr>
          <w:rFonts w:eastAsia="Times New Roman" w:cs="Arial"/>
          <w:color w:val="000000"/>
          <w:sz w:val="22"/>
          <w:szCs w:val="22"/>
        </w:rPr>
        <w:t xml:space="preserve"> prepared by the institution pursuant to §668.49</w:t>
      </w:r>
      <w:r w:rsidR="00C125F9">
        <w:rPr>
          <w:rFonts w:eastAsia="Times New Roman" w:cs="Arial"/>
          <w:color w:val="000000"/>
          <w:sz w:val="22"/>
          <w:szCs w:val="22"/>
        </w:rPr>
        <w:t>;</w:t>
      </w:r>
      <w:r w:rsidRPr="00AE157D">
        <w:rPr>
          <w:rFonts w:eastAsia="Times New Roman" w:cs="Arial"/>
          <w:color w:val="000000"/>
          <w:sz w:val="22"/>
          <w:szCs w:val="22"/>
        </w:rPr>
        <w:t xml:space="preserve"> (5) </w:t>
      </w:r>
      <w:r w:rsidR="00C026C2" w:rsidRPr="00AE157D">
        <w:rPr>
          <w:rFonts w:eastAsia="Times New Roman" w:cs="Arial"/>
          <w:color w:val="000000"/>
          <w:sz w:val="22"/>
          <w:szCs w:val="22"/>
        </w:rPr>
        <w:t>retention rate of certificate- or degree-seeking, first-time, full-time, undergraduate students entering such institution</w:t>
      </w:r>
      <w:r w:rsidR="00C125F9">
        <w:rPr>
          <w:rFonts w:eastAsia="Times New Roman" w:cs="Arial"/>
          <w:color w:val="000000"/>
          <w:sz w:val="22"/>
          <w:szCs w:val="22"/>
        </w:rPr>
        <w:t>;</w:t>
      </w:r>
      <w:r w:rsidR="00C026C2" w:rsidRPr="00AE157D">
        <w:rPr>
          <w:rFonts w:eastAsia="Times New Roman" w:cs="Arial"/>
          <w:color w:val="000000"/>
          <w:sz w:val="22"/>
          <w:szCs w:val="22"/>
        </w:rPr>
        <w:t xml:space="preserve"> and</w:t>
      </w:r>
      <w:r w:rsidRPr="00AE157D">
        <w:rPr>
          <w:rFonts w:eastAsia="Times New Roman" w:cs="Arial"/>
          <w:color w:val="000000"/>
          <w:sz w:val="22"/>
          <w:szCs w:val="22"/>
        </w:rPr>
        <w:t xml:space="preserve"> (6) </w:t>
      </w:r>
      <w:r w:rsidR="00C026C2" w:rsidRPr="00AE157D">
        <w:rPr>
          <w:rFonts w:eastAsia="Times New Roman" w:cs="Arial"/>
          <w:color w:val="000000"/>
          <w:sz w:val="22"/>
          <w:szCs w:val="22"/>
        </w:rPr>
        <w:t>Institutional policies regarding vaccinations.</w:t>
      </w:r>
    </w:p>
    <w:p w14:paraId="7A2D446E" w14:textId="0775E29D" w:rsidR="00C026C2" w:rsidRPr="00252F3F" w:rsidRDefault="00C026C2" w:rsidP="00CA696C">
      <w:pPr>
        <w:pStyle w:val="Heading3"/>
      </w:pPr>
      <w:bookmarkStart w:id="42" w:name="se34.3.668_144"/>
      <w:bookmarkStart w:id="43" w:name="se34.3.668_145"/>
      <w:bookmarkStart w:id="44" w:name="se34.3.668_146"/>
      <w:bookmarkStart w:id="45" w:name="se34.3.668_147"/>
      <w:bookmarkStart w:id="46" w:name="se34.3.668_148"/>
      <w:bookmarkStart w:id="47" w:name="se34.3.668_149"/>
      <w:bookmarkStart w:id="48" w:name="se34.3.668_150"/>
      <w:bookmarkEnd w:id="42"/>
      <w:bookmarkEnd w:id="43"/>
      <w:bookmarkEnd w:id="44"/>
      <w:bookmarkEnd w:id="45"/>
      <w:bookmarkEnd w:id="46"/>
      <w:bookmarkEnd w:id="47"/>
      <w:bookmarkEnd w:id="48"/>
      <w:r w:rsidRPr="00AE157D">
        <w:t>§</w:t>
      </w:r>
      <w:r w:rsidR="00C37D61" w:rsidRPr="00252F3F">
        <w:t>668.50   Institutional disclosures for distance or correspondence programs</w:t>
      </w:r>
    </w:p>
    <w:p w14:paraId="63B15293" w14:textId="78F1A90E" w:rsidR="00C37D61" w:rsidRPr="00AE157D" w:rsidRDefault="00C37D61" w:rsidP="00C37D61">
      <w:pPr>
        <w:pStyle w:val="FootnoteText"/>
        <w:numPr>
          <w:ilvl w:val="0"/>
          <w:numId w:val="19"/>
        </w:numPr>
        <w:rPr>
          <w:sz w:val="22"/>
          <w:szCs w:val="22"/>
        </w:rPr>
      </w:pPr>
      <w:r w:rsidRPr="00AE157D">
        <w:rPr>
          <w:sz w:val="22"/>
          <w:szCs w:val="22"/>
        </w:rPr>
        <w:t xml:space="preserve">Section 668.50 was added through the </w:t>
      </w:r>
      <w:r w:rsidR="00CA696C">
        <w:rPr>
          <w:sz w:val="22"/>
          <w:szCs w:val="22"/>
        </w:rPr>
        <w:t xml:space="preserve">proposed State Authorization for Distance Education rules published on </w:t>
      </w:r>
      <w:r w:rsidRPr="00AE157D">
        <w:rPr>
          <w:sz w:val="22"/>
          <w:szCs w:val="22"/>
        </w:rPr>
        <w:t>12/19/2016</w:t>
      </w:r>
      <w:r w:rsidR="00CA696C" w:rsidRPr="00CA696C">
        <w:rPr>
          <w:sz w:val="22"/>
          <w:szCs w:val="22"/>
        </w:rPr>
        <w:t xml:space="preserve"> </w:t>
      </w:r>
      <w:r w:rsidR="00CA696C" w:rsidRPr="00AE157D">
        <w:rPr>
          <w:sz w:val="22"/>
          <w:szCs w:val="22"/>
        </w:rPr>
        <w:t xml:space="preserve">through the </w:t>
      </w:r>
      <w:r w:rsidRPr="00AE157D">
        <w:rPr>
          <w:sz w:val="22"/>
          <w:szCs w:val="22"/>
        </w:rPr>
        <w:t>publication of 81 FR 92232.  Its effective date has been delayed until July 1, 2020.  We propose to delete this section.</w:t>
      </w:r>
    </w:p>
    <w:p w14:paraId="7A2D4532" w14:textId="77777777" w:rsidR="00C026C2" w:rsidRPr="00AE157D" w:rsidRDefault="00C026C2" w:rsidP="00937B8D">
      <w:pPr>
        <w:pStyle w:val="Heading2"/>
        <w:rPr>
          <w:rFonts w:cs="Arial"/>
          <w:b w:val="0"/>
          <w:bCs w:val="0"/>
          <w:color w:val="000000"/>
          <w:sz w:val="22"/>
          <w:szCs w:val="22"/>
        </w:rPr>
      </w:pPr>
      <w:bookmarkStart w:id="49" w:name="se34.3.668_151"/>
      <w:bookmarkStart w:id="50" w:name="se34.3.668_152"/>
      <w:bookmarkStart w:id="51" w:name="se34.3.668_153"/>
      <w:bookmarkStart w:id="52" w:name="se34.3.668_154"/>
      <w:bookmarkStart w:id="53" w:name="se34.3.668_155"/>
      <w:bookmarkStart w:id="54" w:name="se34.3.668_156"/>
      <w:bookmarkStart w:id="55" w:name="se34.3.668_157"/>
      <w:bookmarkStart w:id="56" w:name="se34.3.668_158"/>
      <w:bookmarkStart w:id="57" w:name="se34.3.668_159"/>
      <w:bookmarkStart w:id="58" w:name="se34.3.668_160"/>
      <w:bookmarkStart w:id="59" w:name="se34.3.668_161"/>
      <w:bookmarkEnd w:id="49"/>
      <w:bookmarkEnd w:id="50"/>
      <w:bookmarkEnd w:id="51"/>
      <w:bookmarkEnd w:id="52"/>
      <w:bookmarkEnd w:id="53"/>
      <w:bookmarkEnd w:id="54"/>
      <w:bookmarkEnd w:id="55"/>
      <w:bookmarkEnd w:id="56"/>
      <w:bookmarkEnd w:id="57"/>
      <w:bookmarkEnd w:id="58"/>
      <w:bookmarkEnd w:id="59"/>
      <w:r w:rsidRPr="00AE157D">
        <w:t>Subpart H—Appeal Procedures for Audit Determinations and Program Review Determinations</w:t>
      </w:r>
    </w:p>
    <w:p w14:paraId="7A2D4549" w14:textId="2017CC19" w:rsidR="00C026C2" w:rsidRPr="00AE157D" w:rsidRDefault="00C026C2" w:rsidP="00937B8D">
      <w:pPr>
        <w:pStyle w:val="Heading3"/>
        <w:rPr>
          <w:rFonts w:cs="Arial"/>
          <w:b w:val="0"/>
          <w:bCs w:val="0"/>
          <w:color w:val="000000"/>
        </w:rPr>
      </w:pPr>
      <w:bookmarkStart w:id="60" w:name="se34.3.668_1111"/>
      <w:bookmarkStart w:id="61" w:name="se34.3.668_1112"/>
      <w:bookmarkStart w:id="62" w:name="se34.3.668_1113"/>
      <w:bookmarkEnd w:id="60"/>
      <w:bookmarkEnd w:id="61"/>
      <w:bookmarkEnd w:id="62"/>
      <w:r w:rsidRPr="00AE157D">
        <w:t>§668.113   Request for review.</w:t>
      </w:r>
    </w:p>
    <w:p w14:paraId="78729BB9" w14:textId="4B553339" w:rsidR="00FA0E3B" w:rsidRPr="00292A05" w:rsidRDefault="00E43DB5" w:rsidP="00DB1744">
      <w:pPr>
        <w:pStyle w:val="ListParagraph"/>
        <w:numPr>
          <w:ilvl w:val="0"/>
          <w:numId w:val="19"/>
        </w:numPr>
        <w:rPr>
          <w:sz w:val="22"/>
          <w:szCs w:val="22"/>
        </w:rPr>
      </w:pPr>
      <w:r w:rsidRPr="00292A05">
        <w:rPr>
          <w:rFonts w:eastAsia="Times New Roman"/>
          <w:sz w:val="22"/>
          <w:szCs w:val="22"/>
        </w:rPr>
        <w:t>Clarifies that i</w:t>
      </w:r>
      <w:r w:rsidR="0009122D" w:rsidRPr="00292A05">
        <w:rPr>
          <w:rFonts w:eastAsia="Times New Roman"/>
          <w:sz w:val="22"/>
          <w:szCs w:val="22"/>
        </w:rPr>
        <w:t xml:space="preserve">n cases where an institution or third-party servicer seeks the Secretary’s review of a final audit or program review determination </w:t>
      </w:r>
      <w:r w:rsidR="00C125F9" w:rsidRPr="00292A05">
        <w:rPr>
          <w:rFonts w:eastAsia="Times New Roman"/>
          <w:sz w:val="22"/>
          <w:szCs w:val="22"/>
        </w:rPr>
        <w:t>that includes</w:t>
      </w:r>
      <w:r w:rsidR="0009122D" w:rsidRPr="00292A05">
        <w:rPr>
          <w:rFonts w:eastAsia="Times New Roman"/>
          <w:sz w:val="22"/>
          <w:szCs w:val="22"/>
        </w:rPr>
        <w:t xml:space="preserve"> a finding about the institution’s application of the definition</w:t>
      </w:r>
      <w:r w:rsidR="00501064" w:rsidRPr="00292A05">
        <w:rPr>
          <w:rFonts w:eastAsia="Times New Roman"/>
          <w:sz w:val="22"/>
          <w:szCs w:val="22"/>
        </w:rPr>
        <w:t>s</w:t>
      </w:r>
      <w:r w:rsidR="0009122D" w:rsidRPr="00292A05">
        <w:rPr>
          <w:rFonts w:eastAsia="Times New Roman"/>
          <w:sz w:val="22"/>
          <w:szCs w:val="22"/>
        </w:rPr>
        <w:t xml:space="preserve"> of </w:t>
      </w:r>
      <w:r w:rsidRPr="00292A05">
        <w:rPr>
          <w:rFonts w:eastAsia="Times New Roman"/>
          <w:sz w:val="22"/>
          <w:szCs w:val="22"/>
        </w:rPr>
        <w:t xml:space="preserve">a credit hour, direct assessment, </w:t>
      </w:r>
      <w:r w:rsidR="0009122D" w:rsidRPr="00292A05">
        <w:rPr>
          <w:rFonts w:eastAsia="Times New Roman"/>
          <w:sz w:val="22"/>
          <w:szCs w:val="22"/>
        </w:rPr>
        <w:t>distance education, or correspondence course under 34 CFR 600.2,</w:t>
      </w:r>
      <w:r w:rsidR="007E5D83" w:rsidRPr="00292A05">
        <w:rPr>
          <w:rFonts w:eastAsia="Times New Roman"/>
          <w:sz w:val="22"/>
          <w:szCs w:val="22"/>
        </w:rPr>
        <w:t xml:space="preserve"> </w:t>
      </w:r>
      <w:r w:rsidR="0009122D" w:rsidRPr="00292A05">
        <w:rPr>
          <w:rFonts w:eastAsia="Times New Roman"/>
          <w:sz w:val="22"/>
          <w:szCs w:val="22"/>
        </w:rPr>
        <w:t xml:space="preserve">the Secretary relies on the </w:t>
      </w:r>
      <w:r w:rsidR="00501064" w:rsidRPr="00292A05">
        <w:rPr>
          <w:rFonts w:eastAsia="Times New Roman"/>
          <w:sz w:val="22"/>
          <w:szCs w:val="22"/>
        </w:rPr>
        <w:t>definitions established by the institution’s accrediting agency</w:t>
      </w:r>
      <w:r w:rsidR="00BA6133" w:rsidRPr="00292A05">
        <w:rPr>
          <w:rFonts w:eastAsia="Times New Roman"/>
          <w:sz w:val="22"/>
          <w:szCs w:val="22"/>
        </w:rPr>
        <w:t xml:space="preserve"> to </w:t>
      </w:r>
      <w:r w:rsidR="0027413D" w:rsidRPr="00292A05">
        <w:rPr>
          <w:rFonts w:eastAsia="Times New Roman"/>
          <w:sz w:val="22"/>
          <w:szCs w:val="22"/>
        </w:rPr>
        <w:t xml:space="preserve">evaluate </w:t>
      </w:r>
      <w:r w:rsidR="00BA6133" w:rsidRPr="00292A05">
        <w:rPr>
          <w:rFonts w:eastAsia="Times New Roman"/>
          <w:sz w:val="22"/>
          <w:szCs w:val="22"/>
        </w:rPr>
        <w:t>the institution’s</w:t>
      </w:r>
      <w:r w:rsidR="00FA0E3B" w:rsidRPr="00292A05">
        <w:rPr>
          <w:rFonts w:eastAsia="Times New Roman"/>
          <w:sz w:val="22"/>
          <w:szCs w:val="22"/>
        </w:rPr>
        <w:t xml:space="preserve"> </w:t>
      </w:r>
      <w:r w:rsidR="00BA6133" w:rsidRPr="00292A05">
        <w:rPr>
          <w:rFonts w:eastAsia="Times New Roman"/>
          <w:sz w:val="22"/>
          <w:szCs w:val="22"/>
        </w:rPr>
        <w:t>or servicer’s compliance</w:t>
      </w:r>
      <w:r w:rsidR="0027413D" w:rsidRPr="00292A05">
        <w:rPr>
          <w:rFonts w:eastAsia="Times New Roman"/>
          <w:sz w:val="22"/>
          <w:szCs w:val="22"/>
        </w:rPr>
        <w:t>.</w:t>
      </w:r>
    </w:p>
    <w:p w14:paraId="7A2D460D" w14:textId="77777777" w:rsidR="00C026C2" w:rsidRPr="00AE157D" w:rsidRDefault="00C026C2" w:rsidP="00534913">
      <w:pPr>
        <w:pStyle w:val="Heading3"/>
      </w:pPr>
      <w:bookmarkStart w:id="63" w:name="se34.3.668_1114"/>
      <w:bookmarkStart w:id="64" w:name="se34.3.668_1115"/>
      <w:bookmarkStart w:id="65" w:name="se34.3.668_1116"/>
      <w:bookmarkStart w:id="66" w:name="se34.3.668_1117"/>
      <w:bookmarkStart w:id="67" w:name="se34.3.668_1118"/>
      <w:bookmarkStart w:id="68" w:name="se34.3.668_1119"/>
      <w:bookmarkStart w:id="69" w:name="se34.3.668_1120"/>
      <w:bookmarkStart w:id="70" w:name="se34.3.668_1121"/>
      <w:bookmarkStart w:id="71" w:name="se34.3.668_1122"/>
      <w:bookmarkStart w:id="72" w:name="se34.3.668_1123"/>
      <w:bookmarkStart w:id="73" w:name="se34.3.668_1124"/>
      <w:bookmarkStart w:id="74" w:name="se34.3.668_1161"/>
      <w:bookmarkStart w:id="75" w:name="se34.3.668_1162"/>
      <w:bookmarkStart w:id="76" w:name="se34.3.668_1163"/>
      <w:bookmarkStart w:id="77" w:name="se34.3.668_116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roofErr w:type="gramStart"/>
      <w:r w:rsidRPr="00AE157D">
        <w:lastRenderedPageBreak/>
        <w:t>§668.164   Disbursing funds.</w:t>
      </w:r>
      <w:proofErr w:type="gramEnd"/>
    </w:p>
    <w:p w14:paraId="7A2D469E" w14:textId="0637B44D" w:rsidR="00423BC4" w:rsidRPr="00AE157D" w:rsidRDefault="0062713B" w:rsidP="00292A05">
      <w:pPr>
        <w:pStyle w:val="ListParagraph"/>
        <w:numPr>
          <w:ilvl w:val="0"/>
          <w:numId w:val="16"/>
        </w:numPr>
        <w:shd w:val="clear" w:color="auto" w:fill="FFFFFF"/>
        <w:spacing w:after="100" w:afterAutospacing="1"/>
        <w:rPr>
          <w:rFonts w:eastAsia="Times New Roman" w:cs="Arial"/>
          <w:color w:val="000000"/>
          <w:sz w:val="22"/>
          <w:szCs w:val="22"/>
        </w:rPr>
      </w:pPr>
      <w:r w:rsidRPr="00AE157D">
        <w:rPr>
          <w:rFonts w:eastAsia="Times New Roman" w:cs="Arial"/>
          <w:color w:val="000000"/>
          <w:sz w:val="22"/>
          <w:szCs w:val="22"/>
        </w:rPr>
        <w:t>Makes technical changes for a subscription-based program by r</w:t>
      </w:r>
      <w:r w:rsidR="00501064" w:rsidRPr="00AE157D">
        <w:rPr>
          <w:rFonts w:eastAsia="Times New Roman" w:cs="Arial"/>
          <w:color w:val="000000"/>
          <w:sz w:val="22"/>
          <w:szCs w:val="22"/>
        </w:rPr>
        <w:t>evis</w:t>
      </w:r>
      <w:r w:rsidRPr="00AE157D">
        <w:rPr>
          <w:rFonts w:eastAsia="Times New Roman" w:cs="Arial"/>
          <w:color w:val="000000"/>
          <w:sz w:val="22"/>
          <w:szCs w:val="22"/>
        </w:rPr>
        <w:t>ing</w:t>
      </w:r>
      <w:r w:rsidR="00501064" w:rsidRPr="00AE157D">
        <w:rPr>
          <w:rFonts w:eastAsia="Times New Roman" w:cs="Arial"/>
          <w:color w:val="000000"/>
          <w:sz w:val="22"/>
          <w:szCs w:val="22"/>
        </w:rPr>
        <w:t xml:space="preserve"> the early disbursement rules to provide that the earliest an institution may disburse funds </w:t>
      </w:r>
      <w:r w:rsidR="00423BC4" w:rsidRPr="00AE157D">
        <w:rPr>
          <w:rFonts w:eastAsia="Times New Roman" w:cs="Arial"/>
          <w:color w:val="000000"/>
          <w:sz w:val="22"/>
          <w:szCs w:val="22"/>
        </w:rPr>
        <w:t xml:space="preserve">to a student in a subscription-based program is the later </w:t>
      </w:r>
      <w:proofErr w:type="gramStart"/>
      <w:r w:rsidR="00423BC4" w:rsidRPr="00AE157D">
        <w:rPr>
          <w:rFonts w:eastAsia="Times New Roman" w:cs="Arial"/>
          <w:color w:val="000000"/>
          <w:sz w:val="22"/>
          <w:szCs w:val="22"/>
        </w:rPr>
        <w:t>of  t</w:t>
      </w:r>
      <w:r w:rsidR="00C026C2" w:rsidRPr="00AE157D">
        <w:rPr>
          <w:rFonts w:eastAsia="Times New Roman" w:cs="Arial"/>
          <w:color w:val="000000"/>
          <w:sz w:val="22"/>
          <w:szCs w:val="22"/>
        </w:rPr>
        <w:t>en</w:t>
      </w:r>
      <w:proofErr w:type="gramEnd"/>
      <w:r w:rsidR="00C026C2" w:rsidRPr="00AE157D">
        <w:rPr>
          <w:rFonts w:eastAsia="Times New Roman" w:cs="Arial"/>
          <w:color w:val="000000"/>
          <w:sz w:val="22"/>
          <w:szCs w:val="22"/>
        </w:rPr>
        <w:t xml:space="preserve"> days before the first day of classes of a payment period</w:t>
      </w:r>
      <w:r w:rsidR="00423BC4" w:rsidRPr="00AE157D">
        <w:rPr>
          <w:rFonts w:eastAsia="Times New Roman" w:cs="Arial"/>
          <w:color w:val="000000"/>
          <w:sz w:val="22"/>
          <w:szCs w:val="22"/>
        </w:rPr>
        <w:t>,</w:t>
      </w:r>
      <w:r w:rsidR="00C026C2" w:rsidRPr="00AE157D">
        <w:rPr>
          <w:rFonts w:eastAsia="Times New Roman" w:cs="Arial"/>
          <w:color w:val="000000"/>
          <w:sz w:val="22"/>
          <w:szCs w:val="22"/>
        </w:rPr>
        <w:t xml:space="preserve"> or</w:t>
      </w:r>
      <w:r w:rsidR="00423BC4" w:rsidRPr="00AE157D">
        <w:rPr>
          <w:rFonts w:eastAsia="Times New Roman" w:cs="Arial"/>
          <w:color w:val="000000"/>
          <w:sz w:val="22"/>
          <w:szCs w:val="22"/>
        </w:rPr>
        <w:t xml:space="preserve"> t</w:t>
      </w:r>
      <w:r w:rsidR="00C026C2" w:rsidRPr="00AE157D">
        <w:rPr>
          <w:rFonts w:eastAsia="Times New Roman" w:cs="Arial"/>
          <w:color w:val="000000"/>
          <w:sz w:val="22"/>
          <w:szCs w:val="22"/>
        </w:rPr>
        <w:t>he date the student completed the cumulative number of credit hours associated with the student’s enrollment status in all prior terms that the student attended under the definition of a subscription-based program in 34 CFR 668.2</w:t>
      </w:r>
    </w:p>
    <w:p w14:paraId="7A2D46ED" w14:textId="77777777" w:rsidR="00C026C2" w:rsidRPr="00AE157D" w:rsidRDefault="00C026C2" w:rsidP="00626772">
      <w:pPr>
        <w:pStyle w:val="Heading2"/>
        <w:rPr>
          <w:rFonts w:cs="Arial"/>
          <w:b w:val="0"/>
          <w:bCs w:val="0"/>
          <w:sz w:val="22"/>
          <w:szCs w:val="22"/>
        </w:rPr>
      </w:pPr>
      <w:bookmarkStart w:id="78" w:name="se34.3.668_1165"/>
      <w:bookmarkStart w:id="79" w:name="se34.3.668_1166"/>
      <w:bookmarkStart w:id="80" w:name="se34.3.668_1167"/>
      <w:bookmarkEnd w:id="78"/>
      <w:bookmarkEnd w:id="79"/>
      <w:bookmarkEnd w:id="80"/>
      <w:r w:rsidRPr="00AE157D">
        <w:t>Subpart L—Financial Responsibility</w:t>
      </w:r>
    </w:p>
    <w:p w14:paraId="7A2D46EE" w14:textId="77777777" w:rsidR="00C026C2" w:rsidRPr="00AE157D" w:rsidRDefault="00C026C2" w:rsidP="00626772">
      <w:pPr>
        <w:pStyle w:val="Heading3"/>
        <w:rPr>
          <w:rFonts w:cs="Arial"/>
          <w:b w:val="0"/>
          <w:bCs w:val="0"/>
          <w:color w:val="000000"/>
        </w:rPr>
      </w:pPr>
      <w:bookmarkStart w:id="81" w:name="se34.3.668_1171"/>
      <w:bookmarkEnd w:id="81"/>
      <w:r w:rsidRPr="00AE157D">
        <w:t>§668.171   General.</w:t>
      </w:r>
    </w:p>
    <w:p w14:paraId="7A2D46F2" w14:textId="5D4D32C5" w:rsidR="00C026C2" w:rsidRDefault="00423BC4" w:rsidP="00292A05">
      <w:pPr>
        <w:pStyle w:val="ListParagraph"/>
        <w:numPr>
          <w:ilvl w:val="0"/>
          <w:numId w:val="16"/>
        </w:numPr>
        <w:shd w:val="clear" w:color="auto" w:fill="FFFFFF"/>
        <w:spacing w:after="100" w:afterAutospacing="1"/>
        <w:rPr>
          <w:rFonts w:eastAsia="Times New Roman" w:cs="Arial"/>
          <w:color w:val="000000"/>
          <w:sz w:val="22"/>
          <w:szCs w:val="22"/>
        </w:rPr>
      </w:pPr>
      <w:r w:rsidRPr="00AE157D">
        <w:rPr>
          <w:rFonts w:eastAsia="Times New Roman" w:cs="Arial"/>
          <w:color w:val="000000"/>
          <w:sz w:val="22"/>
          <w:szCs w:val="22"/>
        </w:rPr>
        <w:t xml:space="preserve">For an institution that is not financially responsible or does not submit its audits timely, </w:t>
      </w:r>
      <w:r w:rsidR="00DC1A5E" w:rsidRPr="00AE157D">
        <w:rPr>
          <w:rFonts w:eastAsia="Times New Roman" w:cs="Arial"/>
          <w:color w:val="000000"/>
          <w:sz w:val="22"/>
          <w:szCs w:val="22"/>
        </w:rPr>
        <w:t xml:space="preserve">clarifies </w:t>
      </w:r>
      <w:r w:rsidRPr="00AE157D">
        <w:rPr>
          <w:rFonts w:eastAsia="Times New Roman" w:cs="Arial"/>
          <w:color w:val="000000"/>
          <w:sz w:val="22"/>
          <w:szCs w:val="22"/>
        </w:rPr>
        <w:t>that the Secretary may, in addition to the current actions, deny the institution’s application for certification or recertification</w:t>
      </w:r>
      <w:r w:rsidR="00726329" w:rsidRPr="00AE157D">
        <w:rPr>
          <w:rFonts w:eastAsia="Times New Roman" w:cs="Arial"/>
          <w:color w:val="000000"/>
          <w:sz w:val="22"/>
          <w:szCs w:val="22"/>
        </w:rPr>
        <w:t xml:space="preserve"> to participate in the title IV programs.</w:t>
      </w:r>
    </w:p>
    <w:p w14:paraId="5CBC0F1C" w14:textId="6DBB2A5E" w:rsidR="00626772" w:rsidRPr="007C7A0D" w:rsidRDefault="007C7A0D" w:rsidP="007C7A0D">
      <w:pPr>
        <w:pStyle w:val="ListParagraph"/>
        <w:numPr>
          <w:ilvl w:val="0"/>
          <w:numId w:val="16"/>
        </w:numPr>
        <w:shd w:val="clear" w:color="auto" w:fill="FFFFFF"/>
        <w:spacing w:after="100" w:afterAutospacing="1"/>
        <w:rPr>
          <w:rFonts w:eastAsia="Times New Roman" w:cs="Arial"/>
          <w:color w:val="000000"/>
          <w:sz w:val="22"/>
          <w:szCs w:val="22"/>
        </w:rPr>
      </w:pPr>
      <w:r>
        <w:rPr>
          <w:rFonts w:eastAsia="Times New Roman" w:cs="Arial"/>
          <w:color w:val="000000"/>
          <w:sz w:val="22"/>
          <w:szCs w:val="22"/>
        </w:rPr>
        <w:t xml:space="preserve">Other technical </w:t>
      </w:r>
      <w:bookmarkStart w:id="82" w:name="se34.3.668_1172"/>
      <w:bookmarkStart w:id="83" w:name="se34.3.668_1173"/>
      <w:bookmarkEnd w:id="82"/>
      <w:bookmarkEnd w:id="83"/>
      <w:r w:rsidR="00377295">
        <w:rPr>
          <w:rFonts w:eastAsia="Times New Roman" w:cs="Arial"/>
          <w:color w:val="000000"/>
          <w:sz w:val="22"/>
          <w:szCs w:val="22"/>
        </w:rPr>
        <w:t>changes.</w:t>
      </w:r>
    </w:p>
    <w:sectPr w:rsidR="00626772" w:rsidRPr="007C7A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3CB4" w14:textId="77777777" w:rsidR="004668A3" w:rsidRDefault="004668A3" w:rsidP="00934464">
      <w:r>
        <w:separator/>
      </w:r>
    </w:p>
  </w:endnote>
  <w:endnote w:type="continuationSeparator" w:id="0">
    <w:p w14:paraId="3C2578A2" w14:textId="77777777" w:rsidR="004668A3" w:rsidRDefault="004668A3" w:rsidP="00934464">
      <w:r>
        <w:continuationSeparator/>
      </w:r>
    </w:p>
  </w:endnote>
  <w:endnote w:type="continuationNotice" w:id="1">
    <w:p w14:paraId="66C02074" w14:textId="77777777" w:rsidR="004668A3" w:rsidRDefault="00466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11059"/>
      <w:docPartObj>
        <w:docPartGallery w:val="Page Numbers (Bottom of Page)"/>
        <w:docPartUnique/>
      </w:docPartObj>
    </w:sdtPr>
    <w:sdtEndPr>
      <w:rPr>
        <w:sz w:val="22"/>
      </w:rPr>
    </w:sdtEndPr>
    <w:sdtContent>
      <w:p w14:paraId="39394167" w14:textId="7904A6A9" w:rsidR="00AD4D67" w:rsidRPr="009820A0" w:rsidRDefault="00AD4D67" w:rsidP="009820A0">
        <w:pPr>
          <w:pStyle w:val="Footer"/>
          <w:jc w:val="center"/>
          <w:rPr>
            <w:sz w:val="22"/>
          </w:rPr>
        </w:pPr>
        <w:r w:rsidRPr="009820A0">
          <w:rPr>
            <w:sz w:val="22"/>
          </w:rPr>
          <w:fldChar w:fldCharType="begin"/>
        </w:r>
        <w:r>
          <w:instrText xml:space="preserve"> PAGE   \* MERGEFORMAT </w:instrText>
        </w:r>
        <w:r w:rsidRPr="009820A0">
          <w:rPr>
            <w:sz w:val="22"/>
          </w:rPr>
          <w:fldChar w:fldCharType="separate"/>
        </w:r>
        <w:r w:rsidR="00780235">
          <w:rPr>
            <w:noProof/>
          </w:rPr>
          <w:t>6</w:t>
        </w:r>
        <w:r w:rsidRPr="009820A0">
          <w:rPr>
            <w:sz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5A96" w14:textId="77777777" w:rsidR="004668A3" w:rsidRDefault="004668A3" w:rsidP="00934464">
      <w:r>
        <w:separator/>
      </w:r>
    </w:p>
  </w:footnote>
  <w:footnote w:type="continuationSeparator" w:id="0">
    <w:p w14:paraId="7C9EA7BE" w14:textId="77777777" w:rsidR="004668A3" w:rsidRDefault="004668A3" w:rsidP="00934464">
      <w:r>
        <w:continuationSeparator/>
      </w:r>
    </w:p>
  </w:footnote>
  <w:footnote w:type="continuationNotice" w:id="1">
    <w:p w14:paraId="33351F9D" w14:textId="77777777" w:rsidR="004668A3" w:rsidRDefault="004668A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CD9"/>
    <w:multiLevelType w:val="hybridMultilevel"/>
    <w:tmpl w:val="9C5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034C"/>
    <w:multiLevelType w:val="hybridMultilevel"/>
    <w:tmpl w:val="6B7E1EA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2CD33A7"/>
    <w:multiLevelType w:val="hybridMultilevel"/>
    <w:tmpl w:val="4168C3FE"/>
    <w:lvl w:ilvl="0" w:tplc="73BEC7AA">
      <w:start w:val="1"/>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93032AA"/>
    <w:multiLevelType w:val="hybridMultilevel"/>
    <w:tmpl w:val="E12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653FB"/>
    <w:multiLevelType w:val="hybridMultilevel"/>
    <w:tmpl w:val="172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D042C"/>
    <w:multiLevelType w:val="hybridMultilevel"/>
    <w:tmpl w:val="523E6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2840CC"/>
    <w:multiLevelType w:val="hybridMultilevel"/>
    <w:tmpl w:val="DB70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998"/>
    <w:multiLevelType w:val="hybridMultilevel"/>
    <w:tmpl w:val="08867D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372D84"/>
    <w:multiLevelType w:val="hybridMultilevel"/>
    <w:tmpl w:val="B1C0A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4729B"/>
    <w:multiLevelType w:val="hybridMultilevel"/>
    <w:tmpl w:val="DBF2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620AA"/>
    <w:multiLevelType w:val="hybridMultilevel"/>
    <w:tmpl w:val="9DDC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D43B6"/>
    <w:multiLevelType w:val="hybridMultilevel"/>
    <w:tmpl w:val="E4B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01950"/>
    <w:multiLevelType w:val="hybridMultilevel"/>
    <w:tmpl w:val="066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B6841"/>
    <w:multiLevelType w:val="hybridMultilevel"/>
    <w:tmpl w:val="981609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EA20B9"/>
    <w:multiLevelType w:val="hybridMultilevel"/>
    <w:tmpl w:val="48900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F797C"/>
    <w:multiLevelType w:val="hybridMultilevel"/>
    <w:tmpl w:val="CB7A8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D353DC"/>
    <w:multiLevelType w:val="hybridMultilevel"/>
    <w:tmpl w:val="B044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95FAC"/>
    <w:multiLevelType w:val="hybridMultilevel"/>
    <w:tmpl w:val="3F5E8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AF2764"/>
    <w:multiLevelType w:val="hybridMultilevel"/>
    <w:tmpl w:val="AD4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B60ED"/>
    <w:multiLevelType w:val="hybridMultilevel"/>
    <w:tmpl w:val="622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A3656"/>
    <w:multiLevelType w:val="hybridMultilevel"/>
    <w:tmpl w:val="C7B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E426B"/>
    <w:multiLevelType w:val="hybridMultilevel"/>
    <w:tmpl w:val="883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F0E98"/>
    <w:multiLevelType w:val="hybridMultilevel"/>
    <w:tmpl w:val="1200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F3D1A"/>
    <w:multiLevelType w:val="hybridMultilevel"/>
    <w:tmpl w:val="8A8207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21457FF"/>
    <w:multiLevelType w:val="hybridMultilevel"/>
    <w:tmpl w:val="F9F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A62B3"/>
    <w:multiLevelType w:val="hybridMultilevel"/>
    <w:tmpl w:val="46A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D4E42"/>
    <w:multiLevelType w:val="hybridMultilevel"/>
    <w:tmpl w:val="02688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D40CAB"/>
    <w:multiLevelType w:val="hybridMultilevel"/>
    <w:tmpl w:val="CAB64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4A2403D"/>
    <w:multiLevelType w:val="hybridMultilevel"/>
    <w:tmpl w:val="5C56A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23F62"/>
    <w:multiLevelType w:val="hybridMultilevel"/>
    <w:tmpl w:val="19124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443E5"/>
    <w:multiLevelType w:val="hybridMultilevel"/>
    <w:tmpl w:val="C35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A7161"/>
    <w:multiLevelType w:val="hybridMultilevel"/>
    <w:tmpl w:val="A46E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1"/>
  </w:num>
  <w:num w:numId="4">
    <w:abstractNumId w:val="19"/>
  </w:num>
  <w:num w:numId="5">
    <w:abstractNumId w:val="12"/>
  </w:num>
  <w:num w:numId="6">
    <w:abstractNumId w:val="31"/>
  </w:num>
  <w:num w:numId="7">
    <w:abstractNumId w:val="27"/>
  </w:num>
  <w:num w:numId="8">
    <w:abstractNumId w:val="23"/>
  </w:num>
  <w:num w:numId="9">
    <w:abstractNumId w:val="1"/>
  </w:num>
  <w:num w:numId="10">
    <w:abstractNumId w:val="24"/>
  </w:num>
  <w:num w:numId="11">
    <w:abstractNumId w:val="9"/>
  </w:num>
  <w:num w:numId="12">
    <w:abstractNumId w:val="0"/>
  </w:num>
  <w:num w:numId="13">
    <w:abstractNumId w:val="2"/>
  </w:num>
  <w:num w:numId="14">
    <w:abstractNumId w:val="18"/>
  </w:num>
  <w:num w:numId="15">
    <w:abstractNumId w:val="25"/>
  </w:num>
  <w:num w:numId="16">
    <w:abstractNumId w:val="6"/>
  </w:num>
  <w:num w:numId="17">
    <w:abstractNumId w:val="10"/>
  </w:num>
  <w:num w:numId="18">
    <w:abstractNumId w:val="16"/>
  </w:num>
  <w:num w:numId="19">
    <w:abstractNumId w:val="20"/>
  </w:num>
  <w:num w:numId="20">
    <w:abstractNumId w:val="14"/>
  </w:num>
  <w:num w:numId="21">
    <w:abstractNumId w:val="5"/>
  </w:num>
  <w:num w:numId="22">
    <w:abstractNumId w:val="26"/>
  </w:num>
  <w:num w:numId="23">
    <w:abstractNumId w:val="15"/>
  </w:num>
  <w:num w:numId="24">
    <w:abstractNumId w:val="7"/>
  </w:num>
  <w:num w:numId="25">
    <w:abstractNumId w:val="13"/>
  </w:num>
  <w:num w:numId="26">
    <w:abstractNumId w:val="8"/>
  </w:num>
  <w:num w:numId="27">
    <w:abstractNumId w:val="3"/>
  </w:num>
  <w:num w:numId="28">
    <w:abstractNumId w:val="17"/>
  </w:num>
  <w:num w:numId="29">
    <w:abstractNumId w:val="28"/>
  </w:num>
  <w:num w:numId="30">
    <w:abstractNumId w:val="30"/>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DD"/>
    <w:rsid w:val="00003904"/>
    <w:rsid w:val="000066AB"/>
    <w:rsid w:val="00007D67"/>
    <w:rsid w:val="0001373A"/>
    <w:rsid w:val="00021167"/>
    <w:rsid w:val="00021A4F"/>
    <w:rsid w:val="00022D64"/>
    <w:rsid w:val="00024850"/>
    <w:rsid w:val="000265B5"/>
    <w:rsid w:val="000315AF"/>
    <w:rsid w:val="00031734"/>
    <w:rsid w:val="00033FFF"/>
    <w:rsid w:val="00040A04"/>
    <w:rsid w:val="00041012"/>
    <w:rsid w:val="00050377"/>
    <w:rsid w:val="00052314"/>
    <w:rsid w:val="00063AB8"/>
    <w:rsid w:val="00063BCA"/>
    <w:rsid w:val="00063DC1"/>
    <w:rsid w:val="00063EB7"/>
    <w:rsid w:val="00066B60"/>
    <w:rsid w:val="00075E83"/>
    <w:rsid w:val="00080E25"/>
    <w:rsid w:val="000840A8"/>
    <w:rsid w:val="0009122D"/>
    <w:rsid w:val="00092F48"/>
    <w:rsid w:val="00094BDC"/>
    <w:rsid w:val="000A007D"/>
    <w:rsid w:val="000A12EE"/>
    <w:rsid w:val="000A2250"/>
    <w:rsid w:val="000A3CD8"/>
    <w:rsid w:val="000A7257"/>
    <w:rsid w:val="000A7594"/>
    <w:rsid w:val="000A7FE8"/>
    <w:rsid w:val="000B12DD"/>
    <w:rsid w:val="000B213B"/>
    <w:rsid w:val="000B3451"/>
    <w:rsid w:val="000B5C39"/>
    <w:rsid w:val="000C413C"/>
    <w:rsid w:val="000C6104"/>
    <w:rsid w:val="000C6FDA"/>
    <w:rsid w:val="000C7D6F"/>
    <w:rsid w:val="000D2DB3"/>
    <w:rsid w:val="000D4274"/>
    <w:rsid w:val="000D75BE"/>
    <w:rsid w:val="000E3132"/>
    <w:rsid w:val="000E6509"/>
    <w:rsid w:val="000E78A5"/>
    <w:rsid w:val="000F0603"/>
    <w:rsid w:val="000F2089"/>
    <w:rsid w:val="000F42C5"/>
    <w:rsid w:val="000F63F9"/>
    <w:rsid w:val="001028DE"/>
    <w:rsid w:val="00115523"/>
    <w:rsid w:val="00115DBE"/>
    <w:rsid w:val="00117A01"/>
    <w:rsid w:val="0013133C"/>
    <w:rsid w:val="0013286E"/>
    <w:rsid w:val="00132CEE"/>
    <w:rsid w:val="00133DED"/>
    <w:rsid w:val="00136AFA"/>
    <w:rsid w:val="001403E5"/>
    <w:rsid w:val="00146E30"/>
    <w:rsid w:val="00150828"/>
    <w:rsid w:val="0015345C"/>
    <w:rsid w:val="00153F3D"/>
    <w:rsid w:val="001559D7"/>
    <w:rsid w:val="001625B6"/>
    <w:rsid w:val="001628FC"/>
    <w:rsid w:val="001657C6"/>
    <w:rsid w:val="00167404"/>
    <w:rsid w:val="00167D87"/>
    <w:rsid w:val="00170387"/>
    <w:rsid w:val="00174B56"/>
    <w:rsid w:val="001751B5"/>
    <w:rsid w:val="00175E8A"/>
    <w:rsid w:val="00183326"/>
    <w:rsid w:val="00193174"/>
    <w:rsid w:val="00193AA0"/>
    <w:rsid w:val="00194F39"/>
    <w:rsid w:val="001A20A9"/>
    <w:rsid w:val="001B0FEE"/>
    <w:rsid w:val="001B235B"/>
    <w:rsid w:val="001B68DC"/>
    <w:rsid w:val="001D16EF"/>
    <w:rsid w:val="001E0779"/>
    <w:rsid w:val="001E11C7"/>
    <w:rsid w:val="001E1E1E"/>
    <w:rsid w:val="001E21BB"/>
    <w:rsid w:val="001E5EB5"/>
    <w:rsid w:val="001E7AAE"/>
    <w:rsid w:val="001F39ED"/>
    <w:rsid w:val="00203454"/>
    <w:rsid w:val="00210A25"/>
    <w:rsid w:val="00211B23"/>
    <w:rsid w:val="00211DE0"/>
    <w:rsid w:val="00213BF8"/>
    <w:rsid w:val="002143A5"/>
    <w:rsid w:val="00222491"/>
    <w:rsid w:val="0023572A"/>
    <w:rsid w:val="00236AFA"/>
    <w:rsid w:val="0023753C"/>
    <w:rsid w:val="00240852"/>
    <w:rsid w:val="002423E9"/>
    <w:rsid w:val="00246855"/>
    <w:rsid w:val="00247EEC"/>
    <w:rsid w:val="002508EE"/>
    <w:rsid w:val="00252F3F"/>
    <w:rsid w:val="00262CE8"/>
    <w:rsid w:val="00263898"/>
    <w:rsid w:val="00265EF8"/>
    <w:rsid w:val="0027413D"/>
    <w:rsid w:val="00283B5E"/>
    <w:rsid w:val="0029046A"/>
    <w:rsid w:val="002914B5"/>
    <w:rsid w:val="00292A05"/>
    <w:rsid w:val="00296164"/>
    <w:rsid w:val="0029794A"/>
    <w:rsid w:val="002A0F28"/>
    <w:rsid w:val="002A1B5C"/>
    <w:rsid w:val="002A5F72"/>
    <w:rsid w:val="002A7106"/>
    <w:rsid w:val="002B3DB9"/>
    <w:rsid w:val="002B4863"/>
    <w:rsid w:val="002C1510"/>
    <w:rsid w:val="002C2683"/>
    <w:rsid w:val="002C27BC"/>
    <w:rsid w:val="002D5750"/>
    <w:rsid w:val="002E3366"/>
    <w:rsid w:val="002E7521"/>
    <w:rsid w:val="002F67E7"/>
    <w:rsid w:val="002F6A69"/>
    <w:rsid w:val="00300C82"/>
    <w:rsid w:val="00302B00"/>
    <w:rsid w:val="003035F1"/>
    <w:rsid w:val="00305147"/>
    <w:rsid w:val="00305F70"/>
    <w:rsid w:val="00306D0E"/>
    <w:rsid w:val="003106E3"/>
    <w:rsid w:val="0031188B"/>
    <w:rsid w:val="00315A3B"/>
    <w:rsid w:val="003173BC"/>
    <w:rsid w:val="00323214"/>
    <w:rsid w:val="0032344F"/>
    <w:rsid w:val="00327B4E"/>
    <w:rsid w:val="0033348B"/>
    <w:rsid w:val="003347B1"/>
    <w:rsid w:val="00342DC5"/>
    <w:rsid w:val="00350A00"/>
    <w:rsid w:val="00352D4E"/>
    <w:rsid w:val="00361829"/>
    <w:rsid w:val="00364E98"/>
    <w:rsid w:val="00364EA1"/>
    <w:rsid w:val="00371182"/>
    <w:rsid w:val="003712AF"/>
    <w:rsid w:val="003719AA"/>
    <w:rsid w:val="00373B96"/>
    <w:rsid w:val="00377295"/>
    <w:rsid w:val="003779BB"/>
    <w:rsid w:val="00392EBC"/>
    <w:rsid w:val="003A73D6"/>
    <w:rsid w:val="003B4E50"/>
    <w:rsid w:val="003C01FC"/>
    <w:rsid w:val="003C6553"/>
    <w:rsid w:val="003C6FF2"/>
    <w:rsid w:val="003D7051"/>
    <w:rsid w:val="003E3E75"/>
    <w:rsid w:val="003E4502"/>
    <w:rsid w:val="003F1BAE"/>
    <w:rsid w:val="003F1DDC"/>
    <w:rsid w:val="00403119"/>
    <w:rsid w:val="004234EE"/>
    <w:rsid w:val="00423BC4"/>
    <w:rsid w:val="004279D3"/>
    <w:rsid w:val="00437951"/>
    <w:rsid w:val="00443A88"/>
    <w:rsid w:val="004452EF"/>
    <w:rsid w:val="00447FAB"/>
    <w:rsid w:val="00451DF1"/>
    <w:rsid w:val="004545AF"/>
    <w:rsid w:val="00457DDF"/>
    <w:rsid w:val="004668A3"/>
    <w:rsid w:val="004723DD"/>
    <w:rsid w:val="00472D2A"/>
    <w:rsid w:val="00474DB6"/>
    <w:rsid w:val="00475E96"/>
    <w:rsid w:val="00476BBD"/>
    <w:rsid w:val="00480525"/>
    <w:rsid w:val="00484DD0"/>
    <w:rsid w:val="0048707A"/>
    <w:rsid w:val="0049332F"/>
    <w:rsid w:val="00493F30"/>
    <w:rsid w:val="004950FB"/>
    <w:rsid w:val="0049721C"/>
    <w:rsid w:val="004A4112"/>
    <w:rsid w:val="004B00D8"/>
    <w:rsid w:val="004B697F"/>
    <w:rsid w:val="004C07D3"/>
    <w:rsid w:val="004C19B4"/>
    <w:rsid w:val="004C3B7F"/>
    <w:rsid w:val="004D5CF8"/>
    <w:rsid w:val="004E7817"/>
    <w:rsid w:val="004F25C6"/>
    <w:rsid w:val="004F2A43"/>
    <w:rsid w:val="004F4EFE"/>
    <w:rsid w:val="004F55FD"/>
    <w:rsid w:val="0050040D"/>
    <w:rsid w:val="00501064"/>
    <w:rsid w:val="005011E0"/>
    <w:rsid w:val="0050248C"/>
    <w:rsid w:val="00516691"/>
    <w:rsid w:val="00520E5D"/>
    <w:rsid w:val="00521091"/>
    <w:rsid w:val="005214EA"/>
    <w:rsid w:val="005220C6"/>
    <w:rsid w:val="00525997"/>
    <w:rsid w:val="00527C44"/>
    <w:rsid w:val="00530FCB"/>
    <w:rsid w:val="005316C6"/>
    <w:rsid w:val="00534913"/>
    <w:rsid w:val="00535C52"/>
    <w:rsid w:val="00535DEC"/>
    <w:rsid w:val="005458C8"/>
    <w:rsid w:val="00545920"/>
    <w:rsid w:val="00553630"/>
    <w:rsid w:val="0055547E"/>
    <w:rsid w:val="00555790"/>
    <w:rsid w:val="005662CD"/>
    <w:rsid w:val="00572ACC"/>
    <w:rsid w:val="00574C10"/>
    <w:rsid w:val="005766E1"/>
    <w:rsid w:val="0058011F"/>
    <w:rsid w:val="00584BED"/>
    <w:rsid w:val="00586DAB"/>
    <w:rsid w:val="00596ABB"/>
    <w:rsid w:val="005A1187"/>
    <w:rsid w:val="005A31C7"/>
    <w:rsid w:val="005B3D7A"/>
    <w:rsid w:val="005C06CA"/>
    <w:rsid w:val="005C709B"/>
    <w:rsid w:val="005C7A9E"/>
    <w:rsid w:val="005D3800"/>
    <w:rsid w:val="005D75B2"/>
    <w:rsid w:val="005E0080"/>
    <w:rsid w:val="005E1255"/>
    <w:rsid w:val="005E1368"/>
    <w:rsid w:val="005E162F"/>
    <w:rsid w:val="005E579F"/>
    <w:rsid w:val="005E7D2C"/>
    <w:rsid w:val="005E7FD5"/>
    <w:rsid w:val="005F037A"/>
    <w:rsid w:val="005F547E"/>
    <w:rsid w:val="0060214C"/>
    <w:rsid w:val="0060326F"/>
    <w:rsid w:val="0060543D"/>
    <w:rsid w:val="006063DF"/>
    <w:rsid w:val="006115CD"/>
    <w:rsid w:val="006118B6"/>
    <w:rsid w:val="00611AE0"/>
    <w:rsid w:val="00613F29"/>
    <w:rsid w:val="006163F0"/>
    <w:rsid w:val="00616AE9"/>
    <w:rsid w:val="00626772"/>
    <w:rsid w:val="00626AD7"/>
    <w:rsid w:val="0062713B"/>
    <w:rsid w:val="00636191"/>
    <w:rsid w:val="006367D0"/>
    <w:rsid w:val="00654291"/>
    <w:rsid w:val="006618A4"/>
    <w:rsid w:val="006655FE"/>
    <w:rsid w:val="0067071D"/>
    <w:rsid w:val="006707C1"/>
    <w:rsid w:val="00671581"/>
    <w:rsid w:val="00675A58"/>
    <w:rsid w:val="0068116A"/>
    <w:rsid w:val="00683730"/>
    <w:rsid w:val="00683DB2"/>
    <w:rsid w:val="006871F7"/>
    <w:rsid w:val="00692180"/>
    <w:rsid w:val="0069548E"/>
    <w:rsid w:val="00697454"/>
    <w:rsid w:val="00697E7B"/>
    <w:rsid w:val="006A0D37"/>
    <w:rsid w:val="006A1001"/>
    <w:rsid w:val="006A3454"/>
    <w:rsid w:val="006A5E5A"/>
    <w:rsid w:val="006A6678"/>
    <w:rsid w:val="006A7359"/>
    <w:rsid w:val="006B078A"/>
    <w:rsid w:val="006B22F4"/>
    <w:rsid w:val="006B2F4A"/>
    <w:rsid w:val="006B453D"/>
    <w:rsid w:val="006C0F6E"/>
    <w:rsid w:val="006D4E43"/>
    <w:rsid w:val="006E279D"/>
    <w:rsid w:val="006E5B27"/>
    <w:rsid w:val="006E6261"/>
    <w:rsid w:val="006E645F"/>
    <w:rsid w:val="006F5355"/>
    <w:rsid w:val="006F7D4E"/>
    <w:rsid w:val="00702936"/>
    <w:rsid w:val="0070406B"/>
    <w:rsid w:val="00710237"/>
    <w:rsid w:val="00725059"/>
    <w:rsid w:val="00726329"/>
    <w:rsid w:val="0072691E"/>
    <w:rsid w:val="00741707"/>
    <w:rsid w:val="00741A9C"/>
    <w:rsid w:val="00743731"/>
    <w:rsid w:val="00747EBC"/>
    <w:rsid w:val="007535CB"/>
    <w:rsid w:val="0075383F"/>
    <w:rsid w:val="00754E3E"/>
    <w:rsid w:val="0075608F"/>
    <w:rsid w:val="007602F3"/>
    <w:rsid w:val="00762582"/>
    <w:rsid w:val="00773F73"/>
    <w:rsid w:val="007743C8"/>
    <w:rsid w:val="00780235"/>
    <w:rsid w:val="00781818"/>
    <w:rsid w:val="007848F2"/>
    <w:rsid w:val="0079191F"/>
    <w:rsid w:val="007A05DA"/>
    <w:rsid w:val="007A2F07"/>
    <w:rsid w:val="007A447D"/>
    <w:rsid w:val="007A6FC4"/>
    <w:rsid w:val="007C0531"/>
    <w:rsid w:val="007C4EDC"/>
    <w:rsid w:val="007C67FB"/>
    <w:rsid w:val="007C6A21"/>
    <w:rsid w:val="007C7A0D"/>
    <w:rsid w:val="007D16F3"/>
    <w:rsid w:val="007D2A89"/>
    <w:rsid w:val="007E2622"/>
    <w:rsid w:val="007E46F7"/>
    <w:rsid w:val="007E5D83"/>
    <w:rsid w:val="007F1BD7"/>
    <w:rsid w:val="007F537C"/>
    <w:rsid w:val="007F5F80"/>
    <w:rsid w:val="008023CE"/>
    <w:rsid w:val="00804CEA"/>
    <w:rsid w:val="00805482"/>
    <w:rsid w:val="00805EED"/>
    <w:rsid w:val="00806A74"/>
    <w:rsid w:val="0082272F"/>
    <w:rsid w:val="00823BFE"/>
    <w:rsid w:val="00827934"/>
    <w:rsid w:val="008364DF"/>
    <w:rsid w:val="008400B6"/>
    <w:rsid w:val="00840F7C"/>
    <w:rsid w:val="00843683"/>
    <w:rsid w:val="0084534F"/>
    <w:rsid w:val="0084769E"/>
    <w:rsid w:val="00860448"/>
    <w:rsid w:val="0087064B"/>
    <w:rsid w:val="00870A7A"/>
    <w:rsid w:val="00871B3E"/>
    <w:rsid w:val="00876EAD"/>
    <w:rsid w:val="00891AC3"/>
    <w:rsid w:val="00895470"/>
    <w:rsid w:val="008A2B90"/>
    <w:rsid w:val="008B3D0B"/>
    <w:rsid w:val="008B6D98"/>
    <w:rsid w:val="008C13DE"/>
    <w:rsid w:val="008C4C5D"/>
    <w:rsid w:val="008C7587"/>
    <w:rsid w:val="008D1226"/>
    <w:rsid w:val="008D31C7"/>
    <w:rsid w:val="008E5444"/>
    <w:rsid w:val="008F3D18"/>
    <w:rsid w:val="00904F6C"/>
    <w:rsid w:val="009062AF"/>
    <w:rsid w:val="00913562"/>
    <w:rsid w:val="00913E04"/>
    <w:rsid w:val="009224E6"/>
    <w:rsid w:val="009257E3"/>
    <w:rsid w:val="00925B19"/>
    <w:rsid w:val="00934464"/>
    <w:rsid w:val="00934A35"/>
    <w:rsid w:val="00935F4F"/>
    <w:rsid w:val="00937B8D"/>
    <w:rsid w:val="00941953"/>
    <w:rsid w:val="00941A23"/>
    <w:rsid w:val="00941CDC"/>
    <w:rsid w:val="00943A44"/>
    <w:rsid w:val="00944420"/>
    <w:rsid w:val="00947C27"/>
    <w:rsid w:val="00947D8E"/>
    <w:rsid w:val="00950CA5"/>
    <w:rsid w:val="009569F7"/>
    <w:rsid w:val="00972C77"/>
    <w:rsid w:val="009804B8"/>
    <w:rsid w:val="009820A0"/>
    <w:rsid w:val="00984905"/>
    <w:rsid w:val="00992BCC"/>
    <w:rsid w:val="00993E6B"/>
    <w:rsid w:val="0099510A"/>
    <w:rsid w:val="009A1FCC"/>
    <w:rsid w:val="009A3335"/>
    <w:rsid w:val="009A3C06"/>
    <w:rsid w:val="009B4A65"/>
    <w:rsid w:val="009B62C9"/>
    <w:rsid w:val="009B7B57"/>
    <w:rsid w:val="009C4719"/>
    <w:rsid w:val="009C7AD1"/>
    <w:rsid w:val="009C7DCD"/>
    <w:rsid w:val="009D3D18"/>
    <w:rsid w:val="009D74D8"/>
    <w:rsid w:val="009E39C9"/>
    <w:rsid w:val="009E6F48"/>
    <w:rsid w:val="009F18C4"/>
    <w:rsid w:val="009F2C02"/>
    <w:rsid w:val="009F7554"/>
    <w:rsid w:val="00A01C11"/>
    <w:rsid w:val="00A03ADD"/>
    <w:rsid w:val="00A04891"/>
    <w:rsid w:val="00A10D95"/>
    <w:rsid w:val="00A20039"/>
    <w:rsid w:val="00A24EC4"/>
    <w:rsid w:val="00A346AB"/>
    <w:rsid w:val="00A3485F"/>
    <w:rsid w:val="00A35986"/>
    <w:rsid w:val="00A37649"/>
    <w:rsid w:val="00A42AC7"/>
    <w:rsid w:val="00A42B96"/>
    <w:rsid w:val="00A50458"/>
    <w:rsid w:val="00A604B0"/>
    <w:rsid w:val="00A616B6"/>
    <w:rsid w:val="00A63C82"/>
    <w:rsid w:val="00A6413B"/>
    <w:rsid w:val="00A73756"/>
    <w:rsid w:val="00A831D2"/>
    <w:rsid w:val="00A8325E"/>
    <w:rsid w:val="00A931F4"/>
    <w:rsid w:val="00A953D3"/>
    <w:rsid w:val="00A97794"/>
    <w:rsid w:val="00AA029E"/>
    <w:rsid w:val="00AB2E4A"/>
    <w:rsid w:val="00AB5316"/>
    <w:rsid w:val="00AB5B0B"/>
    <w:rsid w:val="00AB6198"/>
    <w:rsid w:val="00AB65BD"/>
    <w:rsid w:val="00AB6EFB"/>
    <w:rsid w:val="00AC1287"/>
    <w:rsid w:val="00AC662E"/>
    <w:rsid w:val="00AD4D67"/>
    <w:rsid w:val="00AD6B48"/>
    <w:rsid w:val="00AE157D"/>
    <w:rsid w:val="00AE2068"/>
    <w:rsid w:val="00AE44DF"/>
    <w:rsid w:val="00AE703A"/>
    <w:rsid w:val="00AF005D"/>
    <w:rsid w:val="00AF27F3"/>
    <w:rsid w:val="00AF5174"/>
    <w:rsid w:val="00AF5FD6"/>
    <w:rsid w:val="00AF7696"/>
    <w:rsid w:val="00B018A0"/>
    <w:rsid w:val="00B03B05"/>
    <w:rsid w:val="00B04C33"/>
    <w:rsid w:val="00B057F2"/>
    <w:rsid w:val="00B10EF3"/>
    <w:rsid w:val="00B1240A"/>
    <w:rsid w:val="00B12F71"/>
    <w:rsid w:val="00B1598C"/>
    <w:rsid w:val="00B24014"/>
    <w:rsid w:val="00B24917"/>
    <w:rsid w:val="00B307B8"/>
    <w:rsid w:val="00B30C2C"/>
    <w:rsid w:val="00B375DD"/>
    <w:rsid w:val="00B407B0"/>
    <w:rsid w:val="00B42D6E"/>
    <w:rsid w:val="00B4311E"/>
    <w:rsid w:val="00B50703"/>
    <w:rsid w:val="00B5203E"/>
    <w:rsid w:val="00B539CC"/>
    <w:rsid w:val="00B6363D"/>
    <w:rsid w:val="00B654BD"/>
    <w:rsid w:val="00B65DB2"/>
    <w:rsid w:val="00B676DA"/>
    <w:rsid w:val="00B710F7"/>
    <w:rsid w:val="00B74F56"/>
    <w:rsid w:val="00B75466"/>
    <w:rsid w:val="00B81C28"/>
    <w:rsid w:val="00BA15EE"/>
    <w:rsid w:val="00BA1E39"/>
    <w:rsid w:val="00BA1FF4"/>
    <w:rsid w:val="00BA6133"/>
    <w:rsid w:val="00BB6526"/>
    <w:rsid w:val="00BD2B89"/>
    <w:rsid w:val="00BD6900"/>
    <w:rsid w:val="00BE11E9"/>
    <w:rsid w:val="00BE7B88"/>
    <w:rsid w:val="00BF04EC"/>
    <w:rsid w:val="00BF63D5"/>
    <w:rsid w:val="00BF7361"/>
    <w:rsid w:val="00C026C2"/>
    <w:rsid w:val="00C03565"/>
    <w:rsid w:val="00C03BA9"/>
    <w:rsid w:val="00C1043F"/>
    <w:rsid w:val="00C12326"/>
    <w:rsid w:val="00C125F9"/>
    <w:rsid w:val="00C1724B"/>
    <w:rsid w:val="00C17768"/>
    <w:rsid w:val="00C31EA4"/>
    <w:rsid w:val="00C36FAA"/>
    <w:rsid w:val="00C37D61"/>
    <w:rsid w:val="00C60F22"/>
    <w:rsid w:val="00C6149F"/>
    <w:rsid w:val="00C623DE"/>
    <w:rsid w:val="00C678CC"/>
    <w:rsid w:val="00C72877"/>
    <w:rsid w:val="00C8209D"/>
    <w:rsid w:val="00C90366"/>
    <w:rsid w:val="00C947FA"/>
    <w:rsid w:val="00C96500"/>
    <w:rsid w:val="00CA45C8"/>
    <w:rsid w:val="00CA696C"/>
    <w:rsid w:val="00CA774B"/>
    <w:rsid w:val="00CA7D80"/>
    <w:rsid w:val="00CC009D"/>
    <w:rsid w:val="00CC0D87"/>
    <w:rsid w:val="00CC325F"/>
    <w:rsid w:val="00CC372D"/>
    <w:rsid w:val="00CC3E27"/>
    <w:rsid w:val="00CC635A"/>
    <w:rsid w:val="00CC7A01"/>
    <w:rsid w:val="00CD08E4"/>
    <w:rsid w:val="00CD0F17"/>
    <w:rsid w:val="00CD2EEF"/>
    <w:rsid w:val="00CD6E44"/>
    <w:rsid w:val="00CE56BA"/>
    <w:rsid w:val="00CF2409"/>
    <w:rsid w:val="00CF3C5C"/>
    <w:rsid w:val="00CF4072"/>
    <w:rsid w:val="00D00929"/>
    <w:rsid w:val="00D04062"/>
    <w:rsid w:val="00D170EC"/>
    <w:rsid w:val="00D24B0B"/>
    <w:rsid w:val="00D278B8"/>
    <w:rsid w:val="00D30197"/>
    <w:rsid w:val="00D32FDF"/>
    <w:rsid w:val="00D33AD2"/>
    <w:rsid w:val="00D40435"/>
    <w:rsid w:val="00D61C65"/>
    <w:rsid w:val="00D62917"/>
    <w:rsid w:val="00D640FC"/>
    <w:rsid w:val="00D66F11"/>
    <w:rsid w:val="00D72047"/>
    <w:rsid w:val="00D7240C"/>
    <w:rsid w:val="00D73017"/>
    <w:rsid w:val="00D856E5"/>
    <w:rsid w:val="00D905F0"/>
    <w:rsid w:val="00D9078B"/>
    <w:rsid w:val="00D9165F"/>
    <w:rsid w:val="00D925FD"/>
    <w:rsid w:val="00D94057"/>
    <w:rsid w:val="00DA3F2B"/>
    <w:rsid w:val="00DB1744"/>
    <w:rsid w:val="00DC1737"/>
    <w:rsid w:val="00DC1A5E"/>
    <w:rsid w:val="00DC39EE"/>
    <w:rsid w:val="00DC72BA"/>
    <w:rsid w:val="00DC7E81"/>
    <w:rsid w:val="00DD6B0B"/>
    <w:rsid w:val="00DE00DC"/>
    <w:rsid w:val="00DE1C8D"/>
    <w:rsid w:val="00DE6448"/>
    <w:rsid w:val="00DE7017"/>
    <w:rsid w:val="00DF266C"/>
    <w:rsid w:val="00E16497"/>
    <w:rsid w:val="00E23702"/>
    <w:rsid w:val="00E24CE3"/>
    <w:rsid w:val="00E30409"/>
    <w:rsid w:val="00E43DB5"/>
    <w:rsid w:val="00E46E8E"/>
    <w:rsid w:val="00E50928"/>
    <w:rsid w:val="00E727E8"/>
    <w:rsid w:val="00E72B2B"/>
    <w:rsid w:val="00E7487B"/>
    <w:rsid w:val="00E76CDC"/>
    <w:rsid w:val="00E77BBB"/>
    <w:rsid w:val="00E8357E"/>
    <w:rsid w:val="00E95F38"/>
    <w:rsid w:val="00EA1368"/>
    <w:rsid w:val="00EA1B68"/>
    <w:rsid w:val="00EC6347"/>
    <w:rsid w:val="00ED6867"/>
    <w:rsid w:val="00EE6DDE"/>
    <w:rsid w:val="00EE7BF3"/>
    <w:rsid w:val="00EF4ED6"/>
    <w:rsid w:val="00EF705C"/>
    <w:rsid w:val="00EF7F48"/>
    <w:rsid w:val="00F06CB8"/>
    <w:rsid w:val="00F15FEC"/>
    <w:rsid w:val="00F16094"/>
    <w:rsid w:val="00F21520"/>
    <w:rsid w:val="00F22B73"/>
    <w:rsid w:val="00F241BE"/>
    <w:rsid w:val="00F27F08"/>
    <w:rsid w:val="00F30684"/>
    <w:rsid w:val="00F351EC"/>
    <w:rsid w:val="00F4315E"/>
    <w:rsid w:val="00F43918"/>
    <w:rsid w:val="00F4711B"/>
    <w:rsid w:val="00F532DA"/>
    <w:rsid w:val="00F540B8"/>
    <w:rsid w:val="00F54A93"/>
    <w:rsid w:val="00F558FF"/>
    <w:rsid w:val="00F5672F"/>
    <w:rsid w:val="00F60352"/>
    <w:rsid w:val="00F62AF6"/>
    <w:rsid w:val="00F72C45"/>
    <w:rsid w:val="00F755B1"/>
    <w:rsid w:val="00F763DC"/>
    <w:rsid w:val="00F8075F"/>
    <w:rsid w:val="00F81EB5"/>
    <w:rsid w:val="00F83D05"/>
    <w:rsid w:val="00F90025"/>
    <w:rsid w:val="00F90DF2"/>
    <w:rsid w:val="00F928FF"/>
    <w:rsid w:val="00FA09D1"/>
    <w:rsid w:val="00FA0E3B"/>
    <w:rsid w:val="00FA68E3"/>
    <w:rsid w:val="00FB0909"/>
    <w:rsid w:val="00FB2BCD"/>
    <w:rsid w:val="00FB4B9B"/>
    <w:rsid w:val="00FC1AB9"/>
    <w:rsid w:val="00FC6034"/>
    <w:rsid w:val="00FC78A8"/>
    <w:rsid w:val="00FD3348"/>
    <w:rsid w:val="00FE0929"/>
    <w:rsid w:val="00FE2F7A"/>
    <w:rsid w:val="00FF0053"/>
    <w:rsid w:val="00FF649C"/>
    <w:rsid w:val="00FF709E"/>
    <w:rsid w:val="0ADB197C"/>
    <w:rsid w:val="234D2390"/>
    <w:rsid w:val="269A51DF"/>
    <w:rsid w:val="4D0B9800"/>
    <w:rsid w:val="53DE9714"/>
    <w:rsid w:val="5AD52273"/>
    <w:rsid w:val="702DEDE2"/>
    <w:rsid w:val="70F51A4C"/>
    <w:rsid w:val="758D2397"/>
    <w:rsid w:val="7EAD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D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F43918"/>
    <w:pPr>
      <w:keepNext/>
      <w:keepLines/>
      <w:spacing w:before="480"/>
      <w:outlineLvl w:val="0"/>
    </w:pPr>
    <w:rPr>
      <w:rFonts w:ascii="Arial Black" w:eastAsia="Times New Roman"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918"/>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F43918"/>
    <w:pPr>
      <w:keepNext/>
      <w:keepLines/>
      <w:spacing w:before="200"/>
      <w:outlineLvl w:val="2"/>
    </w:pPr>
    <w:rPr>
      <w:rFonts w:ascii="Arial Black" w:eastAsia="Times New Roman"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F43918"/>
    <w:rPr>
      <w:rFonts w:ascii="Arial Black" w:eastAsia="Times New Roman"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918"/>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F43918"/>
    <w:rPr>
      <w:rFonts w:ascii="Arial Black" w:eastAsia="Times New Roman"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semiHidden/>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fp">
    <w:name w:val="fp"/>
    <w:basedOn w:val="Normal"/>
    <w:rsid w:val="00A03ADD"/>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A03ADD"/>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A03ADD"/>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A03ADD"/>
    <w:pPr>
      <w:spacing w:before="100" w:beforeAutospacing="1" w:after="100" w:afterAutospacing="1"/>
    </w:pPr>
    <w:rPr>
      <w:rFonts w:ascii="Times New Roman" w:eastAsia="Times New Roman" w:hAnsi="Times New Roman" w:cs="Times New Roman"/>
    </w:rPr>
  </w:style>
  <w:style w:type="paragraph" w:customStyle="1" w:styleId="parauth">
    <w:name w:val="par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A03ADD"/>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BE7B88"/>
    <w:pPr>
      <w:spacing w:before="100" w:beforeAutospacing="1" w:after="100" w:afterAutospacing="1"/>
    </w:pPr>
    <w:rPr>
      <w:rFonts w:ascii="Times New Roman" w:eastAsia="Times New Roman" w:hAnsi="Times New Roman" w:cs="Times New Roman"/>
    </w:rPr>
  </w:style>
  <w:style w:type="character" w:customStyle="1" w:styleId="su">
    <w:name w:val="su"/>
    <w:basedOn w:val="DefaultParagraphFont"/>
    <w:rsid w:val="00BE7B88"/>
  </w:style>
  <w:style w:type="character" w:customStyle="1" w:styleId="hits">
    <w:name w:val="hits"/>
    <w:basedOn w:val="DefaultParagraphFont"/>
    <w:rsid w:val="00BE7B88"/>
  </w:style>
  <w:style w:type="paragraph" w:styleId="Revision">
    <w:name w:val="Revision"/>
    <w:hidden/>
    <w:uiPriority w:val="99"/>
    <w:semiHidden/>
    <w:rsid w:val="00C026C2"/>
    <w:rPr>
      <w:rFonts w:eastAsiaTheme="minorEastAsia"/>
    </w:rPr>
  </w:style>
  <w:style w:type="character" w:styleId="Strong">
    <w:name w:val="Strong"/>
    <w:basedOn w:val="DefaultParagraphFont"/>
    <w:uiPriority w:val="22"/>
    <w:qFormat/>
    <w:rsid w:val="00C026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F43918"/>
    <w:pPr>
      <w:keepNext/>
      <w:keepLines/>
      <w:spacing w:before="480"/>
      <w:outlineLvl w:val="0"/>
    </w:pPr>
    <w:rPr>
      <w:rFonts w:ascii="Arial Black" w:eastAsia="Times New Roman"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918"/>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F43918"/>
    <w:pPr>
      <w:keepNext/>
      <w:keepLines/>
      <w:spacing w:before="200"/>
      <w:outlineLvl w:val="2"/>
    </w:pPr>
    <w:rPr>
      <w:rFonts w:ascii="Arial Black" w:eastAsia="Times New Roman"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F43918"/>
    <w:rPr>
      <w:rFonts w:ascii="Arial Black" w:eastAsia="Times New Roman"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918"/>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F43918"/>
    <w:rPr>
      <w:rFonts w:ascii="Arial Black" w:eastAsia="Times New Roman"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semiHidden/>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fp">
    <w:name w:val="fp"/>
    <w:basedOn w:val="Normal"/>
    <w:rsid w:val="00A03ADD"/>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A03ADD"/>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A03ADD"/>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A03ADD"/>
    <w:pPr>
      <w:spacing w:before="100" w:beforeAutospacing="1" w:after="100" w:afterAutospacing="1"/>
    </w:pPr>
    <w:rPr>
      <w:rFonts w:ascii="Times New Roman" w:eastAsia="Times New Roman" w:hAnsi="Times New Roman" w:cs="Times New Roman"/>
    </w:rPr>
  </w:style>
  <w:style w:type="paragraph" w:customStyle="1" w:styleId="parauth">
    <w:name w:val="par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A03ADD"/>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BE7B88"/>
    <w:pPr>
      <w:spacing w:before="100" w:beforeAutospacing="1" w:after="100" w:afterAutospacing="1"/>
    </w:pPr>
    <w:rPr>
      <w:rFonts w:ascii="Times New Roman" w:eastAsia="Times New Roman" w:hAnsi="Times New Roman" w:cs="Times New Roman"/>
    </w:rPr>
  </w:style>
  <w:style w:type="character" w:customStyle="1" w:styleId="su">
    <w:name w:val="su"/>
    <w:basedOn w:val="DefaultParagraphFont"/>
    <w:rsid w:val="00BE7B88"/>
  </w:style>
  <w:style w:type="character" w:customStyle="1" w:styleId="hits">
    <w:name w:val="hits"/>
    <w:basedOn w:val="DefaultParagraphFont"/>
    <w:rsid w:val="00BE7B88"/>
  </w:style>
  <w:style w:type="paragraph" w:styleId="Revision">
    <w:name w:val="Revision"/>
    <w:hidden/>
    <w:uiPriority w:val="99"/>
    <w:semiHidden/>
    <w:rsid w:val="00C026C2"/>
    <w:rPr>
      <w:rFonts w:eastAsiaTheme="minorEastAsia"/>
    </w:rPr>
  </w:style>
  <w:style w:type="character" w:styleId="Strong">
    <w:name w:val="Strong"/>
    <w:basedOn w:val="DefaultParagraphFont"/>
    <w:uiPriority w:val="22"/>
    <w:qFormat/>
    <w:rsid w:val="00C0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963">
      <w:bodyDiv w:val="1"/>
      <w:marLeft w:val="0"/>
      <w:marRight w:val="0"/>
      <w:marTop w:val="0"/>
      <w:marBottom w:val="0"/>
      <w:divBdr>
        <w:top w:val="none" w:sz="0" w:space="0" w:color="auto"/>
        <w:left w:val="none" w:sz="0" w:space="0" w:color="auto"/>
        <w:bottom w:val="none" w:sz="0" w:space="0" w:color="auto"/>
        <w:right w:val="none" w:sz="0" w:space="0" w:color="auto"/>
      </w:divBdr>
    </w:div>
    <w:div w:id="349571556">
      <w:bodyDiv w:val="1"/>
      <w:marLeft w:val="0"/>
      <w:marRight w:val="0"/>
      <w:marTop w:val="0"/>
      <w:marBottom w:val="0"/>
      <w:divBdr>
        <w:top w:val="none" w:sz="0" w:space="0" w:color="auto"/>
        <w:left w:val="none" w:sz="0" w:space="0" w:color="auto"/>
        <w:bottom w:val="none" w:sz="0" w:space="0" w:color="auto"/>
        <w:right w:val="none" w:sz="0" w:space="0" w:color="auto"/>
      </w:divBdr>
    </w:div>
    <w:div w:id="801004313">
      <w:bodyDiv w:val="1"/>
      <w:marLeft w:val="0"/>
      <w:marRight w:val="0"/>
      <w:marTop w:val="0"/>
      <w:marBottom w:val="0"/>
      <w:divBdr>
        <w:top w:val="none" w:sz="0" w:space="0" w:color="auto"/>
        <w:left w:val="none" w:sz="0" w:space="0" w:color="auto"/>
        <w:bottom w:val="none" w:sz="0" w:space="0" w:color="auto"/>
        <w:right w:val="none" w:sz="0" w:space="0" w:color="auto"/>
      </w:divBdr>
    </w:div>
    <w:div w:id="892697683">
      <w:bodyDiv w:val="1"/>
      <w:marLeft w:val="0"/>
      <w:marRight w:val="0"/>
      <w:marTop w:val="0"/>
      <w:marBottom w:val="0"/>
      <w:divBdr>
        <w:top w:val="none" w:sz="0" w:space="0" w:color="auto"/>
        <w:left w:val="none" w:sz="0" w:space="0" w:color="auto"/>
        <w:bottom w:val="none" w:sz="0" w:space="0" w:color="auto"/>
        <w:right w:val="none" w:sz="0" w:space="0" w:color="auto"/>
      </w:divBdr>
    </w:div>
    <w:div w:id="1049914302">
      <w:bodyDiv w:val="1"/>
      <w:marLeft w:val="0"/>
      <w:marRight w:val="0"/>
      <w:marTop w:val="0"/>
      <w:marBottom w:val="0"/>
      <w:divBdr>
        <w:top w:val="none" w:sz="0" w:space="0" w:color="auto"/>
        <w:left w:val="none" w:sz="0" w:space="0" w:color="auto"/>
        <w:bottom w:val="none" w:sz="0" w:space="0" w:color="auto"/>
        <w:right w:val="none" w:sz="0" w:space="0" w:color="auto"/>
      </w:divBdr>
    </w:div>
    <w:div w:id="20971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E0ECBBA06654DB9CF6361B5B2A5C3" ma:contentTypeVersion="0" ma:contentTypeDescription="Create a new document." ma:contentTypeScope="" ma:versionID="428858bfa4d5ea9067ff87568306a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5EE5-215A-4A07-B42F-D607BFE3E760}">
  <ds:schemaRefs>
    <ds:schemaRef ds:uri="http://schemas.microsoft.com/sharepoint/v3/contenttype/forms"/>
  </ds:schemaRefs>
</ds:datastoreItem>
</file>

<file path=customXml/itemProps2.xml><?xml version="1.0" encoding="utf-8"?>
<ds:datastoreItem xmlns:ds="http://schemas.openxmlformats.org/officeDocument/2006/customXml" ds:itemID="{A2A66338-C2F9-44C9-8D7B-321B35CE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0451CF-C393-49E9-9CAD-32484EB090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485D5-CBFC-8847-9725-9EC6C57D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7</Pages>
  <Words>3158</Words>
  <Characters>17749</Characters>
  <Application>Microsoft Macintosh Word</Application>
  <DocSecurity>0</DocSecurity>
  <Lines>261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Part 668—Student Assistance General Provisions (MS Word)</dc:title>
  <dc:subject/>
  <dc:creator>U.S. Department of Education</dc:creator>
  <cp:keywords/>
  <dc:description/>
  <cp:lastModifiedBy>Alan Smigielski</cp:lastModifiedBy>
  <cp:revision>85</cp:revision>
  <cp:lastPrinted>2018-12-06T15:31:00Z</cp:lastPrinted>
  <dcterms:created xsi:type="dcterms:W3CDTF">2018-11-30T17:44:00Z</dcterms:created>
  <dcterms:modified xsi:type="dcterms:W3CDTF">2019-01-07T14:59:00Z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0x010100C6488930D5CAA342A51754131AC037BB</vt:lpwstr>
  </property>
</Properties>
</file>