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A79E9" w14:textId="21BE1DD8" w:rsidR="00D514DD" w:rsidRPr="00FE6D54" w:rsidRDefault="00D514DD" w:rsidP="00D514DD">
      <w:pPr>
        <w:pStyle w:val="Heading1"/>
        <w:rPr>
          <w:rFonts w:eastAsia="Times New Roman"/>
          <w:color w:val="000000"/>
        </w:rPr>
      </w:pPr>
      <w:bookmarkStart w:id="0" w:name="_GoBack"/>
      <w:r>
        <w:rPr>
          <w:rFonts w:eastAsia="Times New Roman"/>
        </w:rPr>
        <w:t>Summary of Part</w:t>
      </w:r>
      <w:r w:rsidRPr="00FE6D54">
        <w:rPr>
          <w:rFonts w:eastAsia="Times New Roman"/>
        </w:rPr>
        <w:t xml:space="preserve"> </w:t>
      </w:r>
      <w:r>
        <w:rPr>
          <w:rFonts w:eastAsia="Times New Roman"/>
        </w:rPr>
        <w:t>602</w:t>
      </w:r>
      <w:r w:rsidRPr="00FE6D54">
        <w:rPr>
          <w:rFonts w:eastAsia="Times New Roman"/>
        </w:rPr>
        <w:t>—</w:t>
      </w:r>
      <w:r>
        <w:rPr>
          <w:rFonts w:eastAsia="Times New Roman"/>
        </w:rPr>
        <w:t>Accreditation</w:t>
      </w:r>
    </w:p>
    <w:bookmarkEnd w:id="0"/>
    <w:p w14:paraId="0314CABA" w14:textId="1892493D" w:rsidR="00746E30" w:rsidRDefault="00746E30" w:rsidP="00033966">
      <w:pPr>
        <w:pStyle w:val="Heading2"/>
      </w:pPr>
      <w:r>
        <w:t>Overview</w:t>
      </w:r>
    </w:p>
    <w:p w14:paraId="0BFA3364" w14:textId="77777777" w:rsidR="00746E30" w:rsidRPr="007C2BC7" w:rsidRDefault="00746E30" w:rsidP="00746E30">
      <w:pPr>
        <w:rPr>
          <w:sz w:val="22"/>
        </w:rPr>
      </w:pPr>
    </w:p>
    <w:p w14:paraId="3F106EB2" w14:textId="7CC4A655" w:rsidR="00746E30" w:rsidRPr="007C2BC7" w:rsidRDefault="004D3C01" w:rsidP="00746E30">
      <w:pPr>
        <w:rPr>
          <w:sz w:val="22"/>
        </w:rPr>
      </w:pPr>
      <w:r>
        <w:rPr>
          <w:sz w:val="22"/>
        </w:rPr>
        <w:t xml:space="preserve">This negotiated rulemaking effort is designed </w:t>
      </w:r>
      <w:r w:rsidR="00746E30" w:rsidRPr="007C2BC7">
        <w:rPr>
          <w:sz w:val="22"/>
        </w:rPr>
        <w:t xml:space="preserve"> to modify the regulations that pertain to </w:t>
      </w:r>
      <w:r>
        <w:rPr>
          <w:sz w:val="22"/>
        </w:rPr>
        <w:t>accreditor recognition in order</w:t>
      </w:r>
      <w:r w:rsidRPr="007C2BC7">
        <w:rPr>
          <w:sz w:val="22"/>
        </w:rPr>
        <w:t xml:space="preserve"> </w:t>
      </w:r>
      <w:r w:rsidR="00746E30" w:rsidRPr="007C2BC7">
        <w:rPr>
          <w:sz w:val="22"/>
        </w:rPr>
        <w:t>to provide</w:t>
      </w:r>
      <w:r>
        <w:rPr>
          <w:sz w:val="22"/>
        </w:rPr>
        <w:t xml:space="preserve"> accreditors, and the</w:t>
      </w:r>
      <w:r w:rsidR="00746E30" w:rsidRPr="007C2BC7">
        <w:rPr>
          <w:sz w:val="22"/>
        </w:rPr>
        <w:t xml:space="preserve"> institutions </w:t>
      </w:r>
      <w:r>
        <w:rPr>
          <w:sz w:val="22"/>
        </w:rPr>
        <w:t xml:space="preserve">they accredit, </w:t>
      </w:r>
      <w:r w:rsidR="00746E30" w:rsidRPr="007C2BC7">
        <w:rPr>
          <w:sz w:val="22"/>
        </w:rPr>
        <w:t xml:space="preserve">with greater latitude to </w:t>
      </w:r>
      <w:r>
        <w:rPr>
          <w:sz w:val="22"/>
        </w:rPr>
        <w:t>innovate</w:t>
      </w:r>
      <w:r w:rsidR="00F44B1F" w:rsidRPr="007C2BC7">
        <w:rPr>
          <w:sz w:val="22"/>
        </w:rPr>
        <w:t xml:space="preserve">; </w:t>
      </w:r>
      <w:r>
        <w:rPr>
          <w:sz w:val="22"/>
        </w:rPr>
        <w:t xml:space="preserve">to create healthy competition among institutions and accreditors; to </w:t>
      </w:r>
      <w:r w:rsidR="00F44B1F" w:rsidRPr="007C2BC7">
        <w:rPr>
          <w:sz w:val="22"/>
        </w:rPr>
        <w:t>provide agencies with increased independence in their recognition and oversight responsibilities</w:t>
      </w:r>
      <w:r w:rsidR="00151113" w:rsidRPr="007C2BC7">
        <w:rPr>
          <w:sz w:val="22"/>
        </w:rPr>
        <w:t xml:space="preserve">; and </w:t>
      </w:r>
      <w:r>
        <w:rPr>
          <w:sz w:val="22"/>
        </w:rPr>
        <w:t xml:space="preserve">to </w:t>
      </w:r>
      <w:r w:rsidR="00151113" w:rsidRPr="007C2BC7">
        <w:rPr>
          <w:sz w:val="22"/>
        </w:rPr>
        <w:t xml:space="preserve">reduce </w:t>
      </w:r>
      <w:r>
        <w:rPr>
          <w:sz w:val="22"/>
        </w:rPr>
        <w:t xml:space="preserve">unnecessary regulatory </w:t>
      </w:r>
      <w:r w:rsidR="00151113" w:rsidRPr="007C2BC7">
        <w:rPr>
          <w:sz w:val="22"/>
        </w:rPr>
        <w:t xml:space="preserve">burden and </w:t>
      </w:r>
      <w:r>
        <w:rPr>
          <w:sz w:val="22"/>
        </w:rPr>
        <w:t xml:space="preserve">oversight </w:t>
      </w:r>
      <w:r w:rsidR="00151113" w:rsidRPr="007C2BC7">
        <w:rPr>
          <w:sz w:val="22"/>
        </w:rPr>
        <w:t>redundancies</w:t>
      </w:r>
      <w:r w:rsidR="00746E30" w:rsidRPr="007C2BC7">
        <w:rPr>
          <w:sz w:val="22"/>
        </w:rPr>
        <w:t>.</w:t>
      </w:r>
    </w:p>
    <w:p w14:paraId="6ACC5657" w14:textId="77777777" w:rsidR="00746E30" w:rsidRPr="007C2BC7" w:rsidRDefault="00746E30" w:rsidP="00746E30">
      <w:pPr>
        <w:rPr>
          <w:sz w:val="22"/>
        </w:rPr>
      </w:pPr>
    </w:p>
    <w:p w14:paraId="483673B7" w14:textId="46829E52" w:rsidR="00C90366" w:rsidRPr="007C2BC7" w:rsidRDefault="004D3C01" w:rsidP="007C2BC7">
      <w:pPr>
        <w:rPr>
          <w:sz w:val="22"/>
        </w:rPr>
      </w:pPr>
      <w:r>
        <w:rPr>
          <w:sz w:val="22"/>
        </w:rPr>
        <w:t xml:space="preserve">There are also a number of technical corrections that will be included in this rulemaking effort to </w:t>
      </w:r>
      <w:r w:rsidR="00C20F29" w:rsidRPr="007C2BC7">
        <w:rPr>
          <w:sz w:val="22"/>
        </w:rPr>
        <w:t xml:space="preserve">better conform with statute and provide greater regulatory </w:t>
      </w:r>
      <w:r>
        <w:rPr>
          <w:sz w:val="22"/>
        </w:rPr>
        <w:t>clarity</w:t>
      </w:r>
      <w:r w:rsidR="00C20F29" w:rsidRPr="007C2BC7">
        <w:rPr>
          <w:sz w:val="22"/>
        </w:rPr>
        <w:t>.</w:t>
      </w:r>
    </w:p>
    <w:p w14:paraId="70D03159" w14:textId="41397291" w:rsidR="00033966" w:rsidRDefault="00033966" w:rsidP="00033966">
      <w:pPr>
        <w:pStyle w:val="Heading3"/>
      </w:pPr>
      <w:r>
        <w:t>§ 602.3</w:t>
      </w:r>
      <w:r w:rsidR="00706030" w:rsidRPr="00706030">
        <w:rPr>
          <w:rFonts w:asciiTheme="minorHAnsi" w:eastAsiaTheme="minorHAnsi" w:hAnsiTheme="minorHAnsi" w:cstheme="minorBidi"/>
          <w:b w:val="0"/>
          <w:bCs w:val="0"/>
          <w:color w:val="auto"/>
        </w:rPr>
        <w:t xml:space="preserve"> </w:t>
      </w:r>
      <w:r w:rsidR="00706030" w:rsidRPr="00706030">
        <w:t>What definitions apply to this part?</w:t>
      </w:r>
    </w:p>
    <w:p w14:paraId="6D972A88" w14:textId="1C0090E6" w:rsidR="00715096" w:rsidRPr="007C2BC7" w:rsidRDefault="00715096" w:rsidP="00715096">
      <w:pPr>
        <w:pStyle w:val="ListParagraph"/>
        <w:numPr>
          <w:ilvl w:val="0"/>
          <w:numId w:val="1"/>
        </w:numPr>
        <w:rPr>
          <w:sz w:val="22"/>
        </w:rPr>
      </w:pPr>
      <w:r w:rsidRPr="007C2BC7">
        <w:rPr>
          <w:sz w:val="22"/>
        </w:rPr>
        <w:t>Clarify the definition of “compliance report” and add a new definition of “monitoring report”</w:t>
      </w:r>
      <w:r w:rsidR="004D3C01">
        <w:rPr>
          <w:sz w:val="22"/>
        </w:rPr>
        <w:t xml:space="preserve"> to differentiate between accreditor reports that must be reviewed and approved by NACIQI versus those that may be reviewed and approved by staff analysts.</w:t>
      </w:r>
    </w:p>
    <w:p w14:paraId="1C81AE7D" w14:textId="601E40DD" w:rsidR="00703874" w:rsidRPr="007C2BC7" w:rsidRDefault="00703874" w:rsidP="00D841E7">
      <w:pPr>
        <w:pStyle w:val="ListParagraph"/>
        <w:numPr>
          <w:ilvl w:val="0"/>
          <w:numId w:val="1"/>
        </w:numPr>
        <w:rPr>
          <w:sz w:val="22"/>
        </w:rPr>
      </w:pPr>
      <w:r w:rsidRPr="007C2BC7">
        <w:rPr>
          <w:sz w:val="22"/>
        </w:rPr>
        <w:t xml:space="preserve">Require in the definition of “recognition” that an agency be “consistent” </w:t>
      </w:r>
      <w:r w:rsidRPr="007C2BC7" w:rsidDel="004D3C01">
        <w:rPr>
          <w:sz w:val="22"/>
        </w:rPr>
        <w:t xml:space="preserve">in addition to “effective” </w:t>
      </w:r>
      <w:r w:rsidRPr="007C2BC7">
        <w:rPr>
          <w:sz w:val="22"/>
        </w:rPr>
        <w:t xml:space="preserve">in its application of its criteria. </w:t>
      </w:r>
    </w:p>
    <w:p w14:paraId="133FC9F7" w14:textId="53B60CEE" w:rsidR="00AC649A" w:rsidRPr="007C2BC7" w:rsidRDefault="00D841E7" w:rsidP="00703874">
      <w:pPr>
        <w:pStyle w:val="ListParagraph"/>
        <w:numPr>
          <w:ilvl w:val="0"/>
          <w:numId w:val="1"/>
        </w:numPr>
        <w:rPr>
          <w:sz w:val="22"/>
          <w:szCs w:val="22"/>
        </w:rPr>
      </w:pPr>
      <w:r w:rsidRPr="007C2BC7">
        <w:rPr>
          <w:sz w:val="22"/>
          <w:szCs w:val="22"/>
        </w:rPr>
        <w:t xml:space="preserve">Clarify in the definition of “scope of recognition” that the Secretary’s recognition of </w:t>
      </w:r>
      <w:r w:rsidR="0058206E">
        <w:rPr>
          <w:sz w:val="22"/>
          <w:szCs w:val="22"/>
        </w:rPr>
        <w:t>one</w:t>
      </w:r>
      <w:r w:rsidR="00AF57F1">
        <w:rPr>
          <w:sz w:val="22"/>
          <w:szCs w:val="22"/>
        </w:rPr>
        <w:t xml:space="preserve"> </w:t>
      </w:r>
      <w:r w:rsidR="00CD1EB2" w:rsidRPr="007C2BC7">
        <w:rPr>
          <w:sz w:val="22"/>
          <w:szCs w:val="22"/>
        </w:rPr>
        <w:t>agency</w:t>
      </w:r>
      <w:r w:rsidRPr="007C2BC7">
        <w:rPr>
          <w:sz w:val="22"/>
          <w:szCs w:val="22"/>
        </w:rPr>
        <w:t xml:space="preserve">’s </w:t>
      </w:r>
      <w:r w:rsidR="00715096" w:rsidRPr="007C2BC7">
        <w:rPr>
          <w:sz w:val="22"/>
          <w:szCs w:val="22"/>
        </w:rPr>
        <w:t xml:space="preserve">geographic </w:t>
      </w:r>
      <w:r w:rsidRPr="007C2BC7">
        <w:rPr>
          <w:sz w:val="22"/>
          <w:szCs w:val="22"/>
        </w:rPr>
        <w:t xml:space="preserve">scope does not </w:t>
      </w:r>
      <w:r w:rsidR="0058206E">
        <w:rPr>
          <w:sz w:val="22"/>
          <w:szCs w:val="22"/>
        </w:rPr>
        <w:t xml:space="preserve">preclude another agency from also including a given state or territory in its geographic scope.  </w:t>
      </w:r>
    </w:p>
    <w:p w14:paraId="75109A0B" w14:textId="0A1AF4FC" w:rsidR="00715096" w:rsidRPr="007C2BC7" w:rsidRDefault="0058206E" w:rsidP="00703874">
      <w:pPr>
        <w:pStyle w:val="ListParagraph"/>
        <w:numPr>
          <w:ilvl w:val="0"/>
          <w:numId w:val="1"/>
        </w:numPr>
        <w:rPr>
          <w:sz w:val="22"/>
        </w:rPr>
      </w:pPr>
      <w:r>
        <w:rPr>
          <w:sz w:val="22"/>
        </w:rPr>
        <w:t>Update</w:t>
      </w:r>
      <w:r w:rsidRPr="007C2BC7">
        <w:rPr>
          <w:sz w:val="22"/>
        </w:rPr>
        <w:t xml:space="preserve"> </w:t>
      </w:r>
      <w:r w:rsidR="00715096" w:rsidRPr="007C2BC7">
        <w:rPr>
          <w:sz w:val="22"/>
        </w:rPr>
        <w:t>the definition of “Senior Department Official.”</w:t>
      </w:r>
    </w:p>
    <w:p w14:paraId="0C3D9AC8" w14:textId="66D3440C" w:rsidR="008D2E70" w:rsidRPr="002A64C4" w:rsidRDefault="00715096" w:rsidP="002A64C4">
      <w:pPr>
        <w:pStyle w:val="ListParagraph"/>
        <w:numPr>
          <w:ilvl w:val="0"/>
          <w:numId w:val="1"/>
        </w:numPr>
        <w:rPr>
          <w:sz w:val="22"/>
        </w:rPr>
      </w:pPr>
      <w:r w:rsidRPr="007C2BC7">
        <w:rPr>
          <w:sz w:val="22"/>
        </w:rPr>
        <w:t xml:space="preserve">Add a definition </w:t>
      </w:r>
      <w:r w:rsidR="0058206E">
        <w:rPr>
          <w:sz w:val="22"/>
        </w:rPr>
        <w:t>for</w:t>
      </w:r>
      <w:r w:rsidR="0058206E" w:rsidRPr="007C2BC7">
        <w:rPr>
          <w:sz w:val="22"/>
        </w:rPr>
        <w:t xml:space="preserve"> </w:t>
      </w:r>
      <w:r w:rsidRPr="007C2BC7">
        <w:rPr>
          <w:sz w:val="22"/>
        </w:rPr>
        <w:t>“substantial compliance.”</w:t>
      </w:r>
    </w:p>
    <w:p w14:paraId="6CB5ABAF" w14:textId="7F67B680" w:rsidR="008D2E70" w:rsidRDefault="008D2E70" w:rsidP="008D2E70">
      <w:pPr>
        <w:pStyle w:val="Heading3"/>
      </w:pPr>
      <w:r>
        <w:t>§ 602.10</w:t>
      </w:r>
      <w:r w:rsidR="00706030">
        <w:t xml:space="preserve"> </w:t>
      </w:r>
      <w:r w:rsidR="00706030" w:rsidRPr="00706030">
        <w:t>Link to Federal programs.</w:t>
      </w:r>
    </w:p>
    <w:p w14:paraId="0B9B3A7B" w14:textId="0E253A81" w:rsidR="00AE2708" w:rsidRPr="007C2BC7" w:rsidRDefault="008D2E70" w:rsidP="007C2BC7">
      <w:pPr>
        <w:pStyle w:val="ListParagraph"/>
        <w:numPr>
          <w:ilvl w:val="0"/>
          <w:numId w:val="8"/>
        </w:numPr>
        <w:rPr>
          <w:sz w:val="22"/>
        </w:rPr>
      </w:pPr>
      <w:r w:rsidRPr="007C2BC7">
        <w:rPr>
          <w:sz w:val="22"/>
        </w:rPr>
        <w:t>Clarify that an</w:t>
      </w:r>
      <w:r w:rsidRPr="007C2BC7" w:rsidDel="00CD1EB2">
        <w:rPr>
          <w:sz w:val="22"/>
        </w:rPr>
        <w:t xml:space="preserve"> </w:t>
      </w:r>
      <w:r w:rsidRPr="007C2BC7">
        <w:rPr>
          <w:sz w:val="22"/>
        </w:rPr>
        <w:t>agency has a link to federal programs and therefore can be recognized by the Department if it accredits institutions with multiple</w:t>
      </w:r>
      <w:r>
        <w:rPr>
          <w:sz w:val="22"/>
        </w:rPr>
        <w:t xml:space="preserve"> accreditation under § 600.11. </w:t>
      </w:r>
    </w:p>
    <w:p w14:paraId="647313AB" w14:textId="7A46789A" w:rsidR="00C467E0" w:rsidRPr="007C2BC7" w:rsidRDefault="00AE2708" w:rsidP="00AE2708">
      <w:pPr>
        <w:pStyle w:val="ListParagraph"/>
        <w:numPr>
          <w:ilvl w:val="0"/>
          <w:numId w:val="2"/>
        </w:numPr>
        <w:rPr>
          <w:sz w:val="22"/>
        </w:rPr>
      </w:pPr>
      <w:r w:rsidRPr="007C2BC7">
        <w:rPr>
          <w:sz w:val="22"/>
        </w:rPr>
        <w:t xml:space="preserve">Clarify that an </w:t>
      </w:r>
      <w:r w:rsidR="00CD1EB2" w:rsidRPr="007C2BC7">
        <w:rPr>
          <w:sz w:val="22"/>
          <w:szCs w:val="22"/>
        </w:rPr>
        <w:t>agency</w:t>
      </w:r>
      <w:r w:rsidRPr="007C2BC7">
        <w:rPr>
          <w:sz w:val="22"/>
          <w:szCs w:val="22"/>
        </w:rPr>
        <w:t>’s</w:t>
      </w:r>
      <w:r w:rsidRPr="007C2BC7">
        <w:rPr>
          <w:sz w:val="22"/>
        </w:rPr>
        <w:t xml:space="preserve"> geographic scope of accrediting activities must be properly defined and create a clear distinction between regional </w:t>
      </w:r>
      <w:r w:rsidR="00CD1EB2" w:rsidRPr="007C2BC7">
        <w:rPr>
          <w:sz w:val="22"/>
          <w:szCs w:val="22"/>
        </w:rPr>
        <w:t>agencie</w:t>
      </w:r>
      <w:r w:rsidRPr="007C2BC7">
        <w:rPr>
          <w:sz w:val="22"/>
          <w:szCs w:val="22"/>
        </w:rPr>
        <w:t>s</w:t>
      </w:r>
      <w:r w:rsidR="00C467E0" w:rsidRPr="007C2BC7">
        <w:rPr>
          <w:sz w:val="22"/>
        </w:rPr>
        <w:t>,</w:t>
      </w:r>
      <w:r w:rsidRPr="007C2BC7">
        <w:rPr>
          <w:sz w:val="22"/>
        </w:rPr>
        <w:t xml:space="preserve"> with activities covering up to </w:t>
      </w:r>
      <w:r w:rsidR="002E1716" w:rsidRPr="007C2BC7">
        <w:rPr>
          <w:sz w:val="22"/>
        </w:rPr>
        <w:t xml:space="preserve">ten </w:t>
      </w:r>
      <w:r w:rsidRPr="007C2BC7">
        <w:rPr>
          <w:sz w:val="22"/>
        </w:rPr>
        <w:t>States</w:t>
      </w:r>
      <w:r w:rsidR="00C467E0" w:rsidRPr="007C2BC7">
        <w:rPr>
          <w:sz w:val="22"/>
        </w:rPr>
        <w:t>,</w:t>
      </w:r>
      <w:r w:rsidRPr="007C2BC7">
        <w:rPr>
          <w:sz w:val="22"/>
        </w:rPr>
        <w:t xml:space="preserve"> and national </w:t>
      </w:r>
      <w:r w:rsidR="00CD1EB2" w:rsidRPr="007C2BC7">
        <w:rPr>
          <w:sz w:val="22"/>
          <w:szCs w:val="22"/>
        </w:rPr>
        <w:t>agencie</w:t>
      </w:r>
      <w:r w:rsidRPr="007C2BC7">
        <w:rPr>
          <w:sz w:val="22"/>
          <w:szCs w:val="22"/>
        </w:rPr>
        <w:t>s</w:t>
      </w:r>
      <w:r w:rsidR="00C467E0" w:rsidRPr="007C2BC7">
        <w:rPr>
          <w:sz w:val="22"/>
        </w:rPr>
        <w:t>,</w:t>
      </w:r>
      <w:r w:rsidRPr="007C2BC7">
        <w:rPr>
          <w:sz w:val="22"/>
        </w:rPr>
        <w:t xml:space="preserve"> with a</w:t>
      </w:r>
      <w:r w:rsidR="00C467E0" w:rsidRPr="007C2BC7">
        <w:rPr>
          <w:sz w:val="22"/>
        </w:rPr>
        <w:t xml:space="preserve">ctivities covering most or all </w:t>
      </w:r>
      <w:r w:rsidRPr="007C2BC7">
        <w:rPr>
          <w:sz w:val="22"/>
        </w:rPr>
        <w:t xml:space="preserve">of the States.  </w:t>
      </w:r>
    </w:p>
    <w:p w14:paraId="2E896583" w14:textId="77777777" w:rsidR="00C467E0" w:rsidRPr="007C2BC7" w:rsidRDefault="00AE2708" w:rsidP="0011589A">
      <w:pPr>
        <w:pStyle w:val="ListParagraph"/>
        <w:numPr>
          <w:ilvl w:val="1"/>
          <w:numId w:val="2"/>
        </w:numPr>
        <w:rPr>
          <w:sz w:val="22"/>
        </w:rPr>
      </w:pPr>
      <w:r w:rsidRPr="007C2BC7">
        <w:rPr>
          <w:sz w:val="22"/>
        </w:rPr>
        <w:t xml:space="preserve">The Department wishes to return to the original purpose of regional accreditation, which </w:t>
      </w:r>
      <w:r w:rsidR="00790F3C" w:rsidRPr="007C2BC7">
        <w:rPr>
          <w:sz w:val="22"/>
        </w:rPr>
        <w:t>is</w:t>
      </w:r>
      <w:r w:rsidRPr="007C2BC7">
        <w:rPr>
          <w:sz w:val="22"/>
        </w:rPr>
        <w:t xml:space="preserve"> to </w:t>
      </w:r>
      <w:r w:rsidR="00C467E0" w:rsidRPr="007C2BC7">
        <w:rPr>
          <w:sz w:val="22"/>
        </w:rPr>
        <w:t>support</w:t>
      </w:r>
      <w:r w:rsidRPr="007C2BC7">
        <w:rPr>
          <w:sz w:val="22"/>
        </w:rPr>
        <w:t xml:space="preserve"> activities that were unique or exclusi</w:t>
      </w:r>
      <w:r w:rsidR="00C467E0" w:rsidRPr="007C2BC7">
        <w:rPr>
          <w:sz w:val="22"/>
        </w:rPr>
        <w:t>ve to a region of the country.</w:t>
      </w:r>
    </w:p>
    <w:p w14:paraId="5227F999" w14:textId="7F9C7DE6" w:rsidR="005A6E3D" w:rsidRPr="007C2BC7" w:rsidRDefault="00AE2708" w:rsidP="007C2BC7">
      <w:pPr>
        <w:pStyle w:val="ListParagraph"/>
        <w:numPr>
          <w:ilvl w:val="1"/>
          <w:numId w:val="2"/>
        </w:numPr>
        <w:rPr>
          <w:sz w:val="22"/>
        </w:rPr>
      </w:pPr>
      <w:r w:rsidRPr="007C2BC7">
        <w:rPr>
          <w:sz w:val="22"/>
        </w:rPr>
        <w:t xml:space="preserve">Over time, regional </w:t>
      </w:r>
      <w:r w:rsidR="00CD1EB2" w:rsidRPr="007C2BC7">
        <w:rPr>
          <w:sz w:val="22"/>
          <w:szCs w:val="22"/>
        </w:rPr>
        <w:t>agencie</w:t>
      </w:r>
      <w:r w:rsidR="00C467E0" w:rsidRPr="007C2BC7">
        <w:rPr>
          <w:sz w:val="22"/>
          <w:szCs w:val="22"/>
        </w:rPr>
        <w:t>s</w:t>
      </w:r>
      <w:r w:rsidRPr="007C2BC7">
        <w:rPr>
          <w:sz w:val="22"/>
          <w:szCs w:val="22"/>
        </w:rPr>
        <w:t xml:space="preserve"> </w:t>
      </w:r>
      <w:r w:rsidRPr="007C2BC7">
        <w:rPr>
          <w:sz w:val="22"/>
        </w:rPr>
        <w:t xml:space="preserve">have started to approve campuses in other regions, and to serve students via distance education across the </w:t>
      </w:r>
      <w:r w:rsidR="00C557B2" w:rsidRPr="007C2BC7">
        <w:rPr>
          <w:sz w:val="22"/>
          <w:szCs w:val="22"/>
        </w:rPr>
        <w:t>country</w:t>
      </w:r>
      <w:r w:rsidRPr="007C2BC7">
        <w:rPr>
          <w:sz w:val="22"/>
          <w:szCs w:val="22"/>
        </w:rPr>
        <w:t>.</w:t>
      </w:r>
      <w:r w:rsidRPr="007C2BC7">
        <w:rPr>
          <w:sz w:val="22"/>
        </w:rPr>
        <w:t xml:space="preserve">  The Department wishes to enable such activities </w:t>
      </w:r>
      <w:r w:rsidR="002E1716" w:rsidRPr="007C2BC7">
        <w:rPr>
          <w:sz w:val="22"/>
        </w:rPr>
        <w:t xml:space="preserve">for national accrediting agencies </w:t>
      </w:r>
      <w:r w:rsidRPr="007C2BC7">
        <w:rPr>
          <w:sz w:val="22"/>
        </w:rPr>
        <w:t xml:space="preserve">while </w:t>
      </w:r>
      <w:r w:rsidR="005A6E3D" w:rsidRPr="007C2BC7">
        <w:rPr>
          <w:sz w:val="22"/>
        </w:rPr>
        <w:t xml:space="preserve">also </w:t>
      </w:r>
      <w:r w:rsidRPr="007C2BC7">
        <w:rPr>
          <w:sz w:val="22"/>
        </w:rPr>
        <w:t xml:space="preserve">preserving a role for </w:t>
      </w:r>
      <w:r w:rsidR="00CD1EB2" w:rsidRPr="007C2BC7">
        <w:rPr>
          <w:sz w:val="22"/>
          <w:szCs w:val="22"/>
        </w:rPr>
        <w:t>agencie</w:t>
      </w:r>
      <w:r w:rsidRPr="007C2BC7">
        <w:rPr>
          <w:sz w:val="22"/>
          <w:szCs w:val="22"/>
        </w:rPr>
        <w:t>s</w:t>
      </w:r>
      <w:r w:rsidRPr="007C2BC7">
        <w:rPr>
          <w:sz w:val="22"/>
        </w:rPr>
        <w:t xml:space="preserve"> with more limited geographic scope</w:t>
      </w:r>
      <w:r w:rsidR="005A6E3D" w:rsidRPr="007C2BC7">
        <w:rPr>
          <w:sz w:val="22"/>
        </w:rPr>
        <w:t xml:space="preserve"> and drawing a clear distinction between the two</w:t>
      </w:r>
      <w:r w:rsidRPr="007C2BC7">
        <w:rPr>
          <w:sz w:val="22"/>
        </w:rPr>
        <w:t>.</w:t>
      </w:r>
      <w:r w:rsidR="00BF570E" w:rsidRPr="007C2BC7">
        <w:rPr>
          <w:sz w:val="22"/>
        </w:rPr>
        <w:t xml:space="preserve">  </w:t>
      </w:r>
    </w:p>
    <w:p w14:paraId="2BEE707B" w14:textId="751F9E5F" w:rsidR="007C2BC7" w:rsidRDefault="00BF570E" w:rsidP="007C2BC7">
      <w:pPr>
        <w:pStyle w:val="ListParagraph"/>
        <w:numPr>
          <w:ilvl w:val="1"/>
          <w:numId w:val="2"/>
        </w:numPr>
        <w:rPr>
          <w:sz w:val="22"/>
          <w:szCs w:val="22"/>
        </w:rPr>
      </w:pPr>
      <w:r w:rsidRPr="007C2BC7">
        <w:rPr>
          <w:sz w:val="22"/>
          <w:szCs w:val="22"/>
        </w:rPr>
        <w:t>The Department further believes some regi</w:t>
      </w:r>
      <w:r w:rsidR="00BB09B3" w:rsidRPr="007C2BC7">
        <w:rPr>
          <w:sz w:val="22"/>
          <w:szCs w:val="22"/>
        </w:rPr>
        <w:t xml:space="preserve">onal </w:t>
      </w:r>
      <w:r w:rsidR="00CD1EB2" w:rsidRPr="007C2BC7">
        <w:rPr>
          <w:sz w:val="22"/>
          <w:szCs w:val="22"/>
        </w:rPr>
        <w:t>agencie</w:t>
      </w:r>
      <w:r w:rsidR="00BB09B3" w:rsidRPr="007C2BC7">
        <w:rPr>
          <w:sz w:val="22"/>
          <w:szCs w:val="22"/>
        </w:rPr>
        <w:t>s have abused th</w:t>
      </w:r>
      <w:r w:rsidR="00993351" w:rsidRPr="007C2BC7">
        <w:rPr>
          <w:sz w:val="22"/>
          <w:szCs w:val="22"/>
        </w:rPr>
        <w:t>e</w:t>
      </w:r>
      <w:r w:rsidRPr="007C2BC7">
        <w:rPr>
          <w:sz w:val="22"/>
          <w:szCs w:val="22"/>
        </w:rPr>
        <w:t xml:space="preserve"> current distinction to push a false narrative that the Department considers regional accreditation to be superior to national accreditation.</w:t>
      </w:r>
      <w:r w:rsidR="00B803C5" w:rsidRPr="007C2BC7">
        <w:rPr>
          <w:sz w:val="22"/>
          <w:szCs w:val="22"/>
        </w:rPr>
        <w:t xml:space="preserve">  </w:t>
      </w:r>
      <w:r w:rsidR="00790F3C" w:rsidRPr="007C2BC7">
        <w:rPr>
          <w:sz w:val="22"/>
          <w:szCs w:val="22"/>
        </w:rPr>
        <w:t>Many institutions have denied</w:t>
      </w:r>
      <w:r w:rsidR="00B803C5" w:rsidRPr="007C2BC7">
        <w:rPr>
          <w:sz w:val="22"/>
          <w:szCs w:val="22"/>
        </w:rPr>
        <w:t xml:space="preserve"> well-qualified students attending nationally accredited institutions the opportunity to transfer credits, attend graduate programs, and enjoy other benefits that </w:t>
      </w:r>
      <w:r w:rsidR="007D43CA" w:rsidRPr="007C2BC7">
        <w:rPr>
          <w:sz w:val="22"/>
          <w:szCs w:val="22"/>
        </w:rPr>
        <w:t>should rightfully</w:t>
      </w:r>
      <w:r w:rsidR="00B803C5" w:rsidRPr="007C2BC7">
        <w:rPr>
          <w:sz w:val="22"/>
          <w:szCs w:val="22"/>
        </w:rPr>
        <w:t xml:space="preserve"> belong to all students attending institutions</w:t>
      </w:r>
      <w:r w:rsidR="00993351" w:rsidRPr="007C2BC7">
        <w:rPr>
          <w:sz w:val="22"/>
          <w:szCs w:val="22"/>
        </w:rPr>
        <w:t xml:space="preserve"> with recognized accreditation</w:t>
      </w:r>
      <w:r w:rsidR="00B803C5" w:rsidRPr="007C2BC7">
        <w:rPr>
          <w:sz w:val="22"/>
          <w:szCs w:val="22"/>
        </w:rPr>
        <w:t xml:space="preserve">.  </w:t>
      </w:r>
    </w:p>
    <w:p w14:paraId="39944B57" w14:textId="755DEB08" w:rsidR="00790F3C" w:rsidRPr="007C2BC7" w:rsidRDefault="007C2BC7" w:rsidP="007C2BC7">
      <w:pPr>
        <w:pStyle w:val="ListParagraph"/>
        <w:numPr>
          <w:ilvl w:val="1"/>
          <w:numId w:val="2"/>
        </w:numPr>
        <w:rPr>
          <w:sz w:val="22"/>
        </w:rPr>
      </w:pPr>
      <w:r w:rsidRPr="007C2BC7">
        <w:rPr>
          <w:sz w:val="22"/>
          <w:szCs w:val="22"/>
        </w:rPr>
        <w:lastRenderedPageBreak/>
        <w:t>The Department seeks to level the playing field among accreditors who benefit from the Department’s recognition and the billions in Federal student aid that is made available to accredited institution’s students.</w:t>
      </w:r>
    </w:p>
    <w:p w14:paraId="57886E33" w14:textId="7209D0AB" w:rsidR="00790F3C" w:rsidRDefault="00790F3C" w:rsidP="00790F3C">
      <w:pPr>
        <w:pStyle w:val="Heading3"/>
      </w:pPr>
      <w:r>
        <w:t>§ 602.</w:t>
      </w:r>
      <w:r w:rsidRPr="007C2BC7">
        <w:t>1</w:t>
      </w:r>
      <w:r w:rsidR="00C557B2" w:rsidRPr="007C2BC7">
        <w:t>2</w:t>
      </w:r>
      <w:r w:rsidR="00706030">
        <w:t xml:space="preserve"> </w:t>
      </w:r>
      <w:r w:rsidR="00706030" w:rsidRPr="00706030">
        <w:t>Accrediting experience.</w:t>
      </w:r>
    </w:p>
    <w:p w14:paraId="117F3905" w14:textId="00A6571E" w:rsidR="00413B5D" w:rsidRDefault="0075194A" w:rsidP="002A64C4">
      <w:pPr>
        <w:pStyle w:val="ListParagraph"/>
        <w:numPr>
          <w:ilvl w:val="0"/>
          <w:numId w:val="2"/>
        </w:numPr>
        <w:rPr>
          <w:sz w:val="22"/>
        </w:rPr>
      </w:pPr>
      <w:r w:rsidRPr="002A64C4">
        <w:rPr>
          <w:sz w:val="22"/>
        </w:rPr>
        <w:t xml:space="preserve">Eliminates the “chicken-and-egg” problem of the earlier regulations that required an agency to demonstrate that it has accredited or preaccredited institutions under elements of an expanded scope for which the agency is not currently approved to accredit or preaccredit institutions.  </w:t>
      </w:r>
    </w:p>
    <w:p w14:paraId="77D8819B" w14:textId="3700BD98" w:rsidR="002D2F13" w:rsidRPr="002A64C4" w:rsidRDefault="002D2F13" w:rsidP="002A64C4">
      <w:pPr>
        <w:pStyle w:val="ListParagraph"/>
        <w:numPr>
          <w:ilvl w:val="0"/>
          <w:numId w:val="2"/>
        </w:numPr>
        <w:rPr>
          <w:sz w:val="22"/>
        </w:rPr>
      </w:pPr>
      <w:r>
        <w:rPr>
          <w:sz w:val="22"/>
        </w:rPr>
        <w:t>Instead, accreditors must have policies in place that meet criteria and may face limitations on growth or expansion if they cannot demonstrate appropriate experience.</w:t>
      </w:r>
    </w:p>
    <w:p w14:paraId="6FF32089" w14:textId="255BEC98" w:rsidR="00413B5D" w:rsidRDefault="00413B5D" w:rsidP="00413B5D">
      <w:pPr>
        <w:pStyle w:val="Heading3"/>
      </w:pPr>
      <w:r>
        <w:t>§ 602.13</w:t>
      </w:r>
      <w:r w:rsidR="00706030">
        <w:t xml:space="preserve"> </w:t>
      </w:r>
      <w:r w:rsidR="002D2F13" w:rsidRPr="002D2F13">
        <w:t>Engagement of employers and practitioners in Agency Decisions</w:t>
      </w:r>
    </w:p>
    <w:p w14:paraId="294FA700" w14:textId="61ADB05A" w:rsidR="00F85899" w:rsidRDefault="00413B5D" w:rsidP="00F85899">
      <w:pPr>
        <w:pStyle w:val="ListParagraph"/>
        <w:numPr>
          <w:ilvl w:val="0"/>
          <w:numId w:val="3"/>
        </w:numPr>
        <w:rPr>
          <w:sz w:val="22"/>
        </w:rPr>
      </w:pPr>
      <w:r w:rsidRPr="007C2BC7">
        <w:rPr>
          <w:sz w:val="22"/>
        </w:rPr>
        <w:t>This requirement is viewed by the Department as</w:t>
      </w:r>
      <w:r w:rsidR="00CC4938">
        <w:rPr>
          <w:sz w:val="22"/>
        </w:rPr>
        <w:t xml:space="preserve"> an</w:t>
      </w:r>
      <w:r w:rsidR="0075194A">
        <w:rPr>
          <w:sz w:val="22"/>
        </w:rPr>
        <w:t xml:space="preserve"> anti-competitive </w:t>
      </w:r>
      <w:r w:rsidR="0075194A" w:rsidRPr="00CC4938">
        <w:rPr>
          <w:sz w:val="22"/>
        </w:rPr>
        <w:t>provision</w:t>
      </w:r>
      <w:r w:rsidR="00CC4938">
        <w:rPr>
          <w:sz w:val="22"/>
        </w:rPr>
        <w:t>.</w:t>
      </w:r>
    </w:p>
    <w:p w14:paraId="52904561" w14:textId="2B630803" w:rsidR="002D2F13" w:rsidRPr="002A64C4" w:rsidRDefault="002D2F13" w:rsidP="002D2F13">
      <w:pPr>
        <w:pStyle w:val="ListParagraph"/>
        <w:numPr>
          <w:ilvl w:val="0"/>
          <w:numId w:val="3"/>
        </w:numPr>
        <w:rPr>
          <w:sz w:val="22"/>
        </w:rPr>
      </w:pPr>
      <w:r>
        <w:rPr>
          <w:sz w:val="22"/>
        </w:rPr>
        <w:t xml:space="preserve">Instead of requiring acceptance of an agency’s </w:t>
      </w:r>
      <w:r w:rsidRPr="002D2F13">
        <w:rPr>
          <w:sz w:val="22"/>
        </w:rPr>
        <w:t>standards, policies, procedures, and decisions</w:t>
      </w:r>
      <w:r>
        <w:rPr>
          <w:sz w:val="22"/>
        </w:rPr>
        <w:t xml:space="preserve"> by a large number of groups, instead require input from or acceptance by practitioners and employers.</w:t>
      </w:r>
    </w:p>
    <w:p w14:paraId="125ADD24" w14:textId="04190F9D" w:rsidR="00F85899" w:rsidRDefault="00F85899" w:rsidP="00F85899">
      <w:pPr>
        <w:pStyle w:val="Heading3"/>
      </w:pPr>
      <w:r>
        <w:t>§ 602.14</w:t>
      </w:r>
      <w:r w:rsidR="00706030">
        <w:t xml:space="preserve"> </w:t>
      </w:r>
      <w:r w:rsidR="00706030" w:rsidRPr="00706030">
        <w:t>Purpose and organization.</w:t>
      </w:r>
    </w:p>
    <w:p w14:paraId="05A31E2F" w14:textId="77777777" w:rsidR="00F85899" w:rsidRPr="007C2BC7" w:rsidRDefault="00F85899" w:rsidP="00F85899">
      <w:pPr>
        <w:pStyle w:val="ListParagraph"/>
        <w:numPr>
          <w:ilvl w:val="0"/>
          <w:numId w:val="3"/>
        </w:numPr>
        <w:rPr>
          <w:sz w:val="22"/>
        </w:rPr>
      </w:pPr>
      <w:r w:rsidRPr="007C2BC7">
        <w:rPr>
          <w:sz w:val="22"/>
        </w:rPr>
        <w:t>Delete the table, which many have found to be confusing, and reorder in traditional outline form in order to simplify.</w:t>
      </w:r>
    </w:p>
    <w:p w14:paraId="01FA5017" w14:textId="59212B34" w:rsidR="00F85899" w:rsidRPr="002A64C4" w:rsidRDefault="00F85899" w:rsidP="00F85899">
      <w:pPr>
        <w:pStyle w:val="ListParagraph"/>
        <w:numPr>
          <w:ilvl w:val="0"/>
          <w:numId w:val="3"/>
        </w:numPr>
        <w:rPr>
          <w:sz w:val="22"/>
        </w:rPr>
      </w:pPr>
      <w:r w:rsidRPr="007C2BC7">
        <w:rPr>
          <w:sz w:val="22"/>
        </w:rPr>
        <w:t xml:space="preserve">Strengthen the “separate and independent” requirement </w:t>
      </w:r>
      <w:r w:rsidR="006F3F1E">
        <w:rPr>
          <w:sz w:val="22"/>
        </w:rPr>
        <w:t>to</w:t>
      </w:r>
      <w:r w:rsidR="00903FE9">
        <w:rPr>
          <w:sz w:val="22"/>
        </w:rPr>
        <w:t xml:space="preserve"> </w:t>
      </w:r>
      <w:r w:rsidR="0078600A" w:rsidRPr="007C2BC7">
        <w:rPr>
          <w:sz w:val="22"/>
        </w:rPr>
        <w:t xml:space="preserve">avoid conflicts of interest </w:t>
      </w:r>
      <w:r w:rsidRPr="007C2BC7">
        <w:rPr>
          <w:sz w:val="22"/>
        </w:rPr>
        <w:t>and remov</w:t>
      </w:r>
      <w:r w:rsidR="006F3F1E">
        <w:rPr>
          <w:sz w:val="22"/>
        </w:rPr>
        <w:t>e</w:t>
      </w:r>
      <w:r w:rsidRPr="007C2BC7">
        <w:rPr>
          <w:sz w:val="22"/>
        </w:rPr>
        <w:t xml:space="preserve"> the waiver approval process</w:t>
      </w:r>
      <w:r w:rsidR="00D2108B" w:rsidRPr="007C2BC7">
        <w:rPr>
          <w:sz w:val="22"/>
        </w:rPr>
        <w:t>,</w:t>
      </w:r>
      <w:r w:rsidRPr="007C2BC7">
        <w:rPr>
          <w:sz w:val="22"/>
        </w:rPr>
        <w:t xml:space="preserve"> </w:t>
      </w:r>
      <w:r w:rsidR="0075194A">
        <w:rPr>
          <w:sz w:val="22"/>
        </w:rPr>
        <w:t xml:space="preserve">which is </w:t>
      </w:r>
      <w:r w:rsidRPr="007C2BC7">
        <w:rPr>
          <w:sz w:val="22"/>
        </w:rPr>
        <w:t>allowed but not required in statute</w:t>
      </w:r>
      <w:r w:rsidRPr="007C2BC7">
        <w:rPr>
          <w:sz w:val="22"/>
          <w:szCs w:val="22"/>
        </w:rPr>
        <w:t>.</w:t>
      </w:r>
      <w:r w:rsidR="00AF0F7F">
        <w:rPr>
          <w:sz w:val="22"/>
          <w:szCs w:val="22"/>
        </w:rPr>
        <w:t xml:space="preserve">  The Department believes </w:t>
      </w:r>
      <w:r w:rsidR="0075194A" w:rsidRPr="00CC4938">
        <w:rPr>
          <w:sz w:val="22"/>
          <w:szCs w:val="22"/>
        </w:rPr>
        <w:t xml:space="preserve">that </w:t>
      </w:r>
      <w:r w:rsidR="00CC4938">
        <w:rPr>
          <w:sz w:val="22"/>
          <w:szCs w:val="22"/>
        </w:rPr>
        <w:t xml:space="preserve">some </w:t>
      </w:r>
      <w:r w:rsidR="0075194A" w:rsidRPr="00CC4938">
        <w:rPr>
          <w:sz w:val="22"/>
          <w:szCs w:val="22"/>
        </w:rPr>
        <w:t>relationships between accreditors</w:t>
      </w:r>
      <w:r w:rsidR="0075194A">
        <w:rPr>
          <w:sz w:val="22"/>
          <w:szCs w:val="22"/>
        </w:rPr>
        <w:t xml:space="preserve"> and affiliated entities has reduced the number of pathways available to individuals who wish to practice in a given occupation or field, and </w:t>
      </w:r>
      <w:r w:rsidR="00CC4938">
        <w:rPr>
          <w:sz w:val="22"/>
          <w:szCs w:val="22"/>
        </w:rPr>
        <w:t>may</w:t>
      </w:r>
      <w:r w:rsidR="0075194A">
        <w:rPr>
          <w:sz w:val="22"/>
          <w:szCs w:val="22"/>
        </w:rPr>
        <w:t xml:space="preserve"> result in </w:t>
      </w:r>
      <w:r w:rsidR="00AF0F7F">
        <w:rPr>
          <w:sz w:val="22"/>
          <w:szCs w:val="22"/>
        </w:rPr>
        <w:t xml:space="preserve">credential inflation </w:t>
      </w:r>
      <w:r w:rsidR="0075194A">
        <w:rPr>
          <w:sz w:val="22"/>
          <w:szCs w:val="22"/>
        </w:rPr>
        <w:t>that disadvantages newcomers to the field and reduces the likelihood that low-income students can pursue the occupation</w:t>
      </w:r>
      <w:r>
        <w:rPr>
          <w:sz w:val="22"/>
        </w:rPr>
        <w:t>.</w:t>
      </w:r>
    </w:p>
    <w:p w14:paraId="4DFE0F80" w14:textId="1CEC95FA" w:rsidR="00F85899" w:rsidRDefault="00F85899" w:rsidP="00F85899">
      <w:pPr>
        <w:pStyle w:val="Heading3"/>
      </w:pPr>
      <w:r>
        <w:t>§ 602.15</w:t>
      </w:r>
      <w:r w:rsidR="00706030">
        <w:t xml:space="preserve"> </w:t>
      </w:r>
      <w:r w:rsidR="00706030" w:rsidRPr="00706030">
        <w:t>Administrative and fiscal responsibilities.</w:t>
      </w:r>
    </w:p>
    <w:p w14:paraId="1B9995EE" w14:textId="3B3E06B8" w:rsidR="00F85899" w:rsidRPr="007C2BC7" w:rsidRDefault="0078600A" w:rsidP="00F85899">
      <w:pPr>
        <w:pStyle w:val="ListParagraph"/>
        <w:numPr>
          <w:ilvl w:val="0"/>
          <w:numId w:val="3"/>
        </w:numPr>
        <w:rPr>
          <w:sz w:val="22"/>
        </w:rPr>
      </w:pPr>
      <w:r w:rsidRPr="007C2BC7">
        <w:rPr>
          <w:sz w:val="22"/>
        </w:rPr>
        <w:t>Allow employers</w:t>
      </w:r>
      <w:r w:rsidR="006F3F1E">
        <w:rPr>
          <w:sz w:val="22"/>
        </w:rPr>
        <w:t xml:space="preserve"> as well as</w:t>
      </w:r>
      <w:r w:rsidRPr="007C2BC7">
        <w:rPr>
          <w:sz w:val="22"/>
        </w:rPr>
        <w:t xml:space="preserve"> practitioners</w:t>
      </w:r>
      <w:r w:rsidR="00C36364">
        <w:rPr>
          <w:sz w:val="22"/>
        </w:rPr>
        <w:t>,</w:t>
      </w:r>
      <w:r w:rsidRPr="007C2BC7">
        <w:rPr>
          <w:sz w:val="22"/>
        </w:rPr>
        <w:t xml:space="preserve"> </w:t>
      </w:r>
      <w:r w:rsidR="00C36364">
        <w:rPr>
          <w:sz w:val="22"/>
        </w:rPr>
        <w:t xml:space="preserve">to serve </w:t>
      </w:r>
      <w:r w:rsidRPr="007C2BC7">
        <w:rPr>
          <w:sz w:val="22"/>
        </w:rPr>
        <w:t>on</w:t>
      </w:r>
      <w:r w:rsidR="00F85899" w:rsidRPr="007C2BC7">
        <w:rPr>
          <w:sz w:val="22"/>
        </w:rPr>
        <w:t xml:space="preserve"> </w:t>
      </w:r>
      <w:r w:rsidR="00C36364">
        <w:rPr>
          <w:sz w:val="22"/>
        </w:rPr>
        <w:t>accreditor</w:t>
      </w:r>
      <w:r w:rsidR="00F85899" w:rsidRPr="007C2BC7">
        <w:rPr>
          <w:sz w:val="22"/>
        </w:rPr>
        <w:t xml:space="preserve"> decision-making bodies to </w:t>
      </w:r>
      <w:r w:rsidR="00C36364">
        <w:rPr>
          <w:sz w:val="22"/>
          <w:szCs w:val="22"/>
        </w:rPr>
        <w:t>ensure that academic programs align with contemporary workforce needs</w:t>
      </w:r>
      <w:r w:rsidR="00F85899" w:rsidRPr="007C2BC7">
        <w:rPr>
          <w:sz w:val="22"/>
        </w:rPr>
        <w:t>.</w:t>
      </w:r>
    </w:p>
    <w:p w14:paraId="09A3DAF3" w14:textId="77777777" w:rsidR="00AB622E" w:rsidRPr="007C2BC7" w:rsidRDefault="00AB622E" w:rsidP="00AB622E">
      <w:pPr>
        <w:pStyle w:val="ListParagraph"/>
        <w:numPr>
          <w:ilvl w:val="0"/>
          <w:numId w:val="3"/>
        </w:numPr>
        <w:rPr>
          <w:sz w:val="22"/>
        </w:rPr>
      </w:pPr>
      <w:r w:rsidRPr="007C2BC7">
        <w:rPr>
          <w:sz w:val="22"/>
        </w:rPr>
        <w:t>Reduce record-keeping burdens.</w:t>
      </w:r>
    </w:p>
    <w:p w14:paraId="682DF3DB" w14:textId="4EBF3A56" w:rsidR="00F85899" w:rsidRPr="002A64C4" w:rsidRDefault="00E01559" w:rsidP="00F85899">
      <w:pPr>
        <w:pStyle w:val="ListParagraph"/>
        <w:numPr>
          <w:ilvl w:val="0"/>
          <w:numId w:val="3"/>
        </w:numPr>
        <w:rPr>
          <w:sz w:val="22"/>
        </w:rPr>
      </w:pPr>
      <w:r w:rsidRPr="007C2BC7">
        <w:rPr>
          <w:sz w:val="22"/>
        </w:rPr>
        <w:t>Make o</w:t>
      </w:r>
      <w:r w:rsidR="00AB622E" w:rsidRPr="007C2BC7">
        <w:rPr>
          <w:sz w:val="22"/>
        </w:rPr>
        <w:t xml:space="preserve">ther </w:t>
      </w:r>
      <w:r w:rsidR="00C36364">
        <w:rPr>
          <w:sz w:val="22"/>
        </w:rPr>
        <w:t>technical changes to improve the clarity of these regulations</w:t>
      </w:r>
      <w:r w:rsidR="00AB622E" w:rsidRPr="007C2BC7">
        <w:rPr>
          <w:sz w:val="22"/>
        </w:rPr>
        <w:t>.</w:t>
      </w:r>
    </w:p>
    <w:p w14:paraId="7EA864AA" w14:textId="4437B384" w:rsidR="00AB622E" w:rsidRDefault="00AB622E" w:rsidP="00AB622E">
      <w:pPr>
        <w:pStyle w:val="Heading3"/>
      </w:pPr>
      <w:r>
        <w:t>§ 602.16</w:t>
      </w:r>
      <w:r w:rsidR="00706030">
        <w:t xml:space="preserve"> </w:t>
      </w:r>
      <w:r w:rsidR="00706030" w:rsidRPr="00706030">
        <w:t>Accreditation and preaccreditation standards.</w:t>
      </w:r>
    </w:p>
    <w:p w14:paraId="510BF0A1" w14:textId="53F61EE4" w:rsidR="00E01559" w:rsidRPr="007C2BC7" w:rsidRDefault="00E01559" w:rsidP="00E01559">
      <w:pPr>
        <w:pStyle w:val="ListParagraph"/>
        <w:numPr>
          <w:ilvl w:val="0"/>
          <w:numId w:val="4"/>
        </w:numPr>
        <w:rPr>
          <w:sz w:val="22"/>
        </w:rPr>
      </w:pPr>
      <w:r w:rsidRPr="007C2BC7">
        <w:rPr>
          <w:sz w:val="22"/>
        </w:rPr>
        <w:t xml:space="preserve">Clarify that agencies are not required to apply </w:t>
      </w:r>
      <w:r w:rsidRPr="007C2BC7">
        <w:rPr>
          <w:sz w:val="22"/>
          <w:szCs w:val="22"/>
        </w:rPr>
        <w:t>standard</w:t>
      </w:r>
      <w:r w:rsidR="00C36364">
        <w:rPr>
          <w:sz w:val="22"/>
          <w:szCs w:val="22"/>
        </w:rPr>
        <w:t>s</w:t>
      </w:r>
      <w:r w:rsidRPr="007C2BC7">
        <w:rPr>
          <w:sz w:val="22"/>
        </w:rPr>
        <w:t xml:space="preserve"> </w:t>
      </w:r>
      <w:r w:rsidR="00C36364">
        <w:rPr>
          <w:sz w:val="22"/>
        </w:rPr>
        <w:t>related to</w:t>
      </w:r>
      <w:r w:rsidR="009A4BA5" w:rsidRPr="007C2BC7">
        <w:rPr>
          <w:sz w:val="22"/>
        </w:rPr>
        <w:t xml:space="preserve"> Title IV compliance </w:t>
      </w:r>
      <w:r w:rsidRPr="007C2BC7">
        <w:rPr>
          <w:sz w:val="22"/>
        </w:rPr>
        <w:t xml:space="preserve">to institutions </w:t>
      </w:r>
      <w:r w:rsidR="006610DC" w:rsidRPr="007C2BC7">
        <w:rPr>
          <w:sz w:val="22"/>
        </w:rPr>
        <w:t xml:space="preserve">or programs </w:t>
      </w:r>
      <w:r w:rsidRPr="007C2BC7">
        <w:rPr>
          <w:sz w:val="22"/>
        </w:rPr>
        <w:t>that do not participate in Title IV HEA program</w:t>
      </w:r>
      <w:r w:rsidR="00C36364">
        <w:rPr>
          <w:sz w:val="22"/>
        </w:rPr>
        <w:t>s</w:t>
      </w:r>
      <w:r w:rsidRPr="007C2BC7">
        <w:rPr>
          <w:sz w:val="22"/>
        </w:rPr>
        <w:t>.</w:t>
      </w:r>
    </w:p>
    <w:p w14:paraId="1E3A9B5A" w14:textId="1D6E91B7" w:rsidR="009A4BA5" w:rsidRPr="007C2BC7" w:rsidRDefault="009A4BA5" w:rsidP="00E01559">
      <w:pPr>
        <w:pStyle w:val="ListParagraph"/>
        <w:numPr>
          <w:ilvl w:val="0"/>
          <w:numId w:val="4"/>
        </w:numPr>
        <w:rPr>
          <w:sz w:val="22"/>
        </w:rPr>
      </w:pPr>
      <w:r w:rsidRPr="007C2BC7">
        <w:rPr>
          <w:sz w:val="22"/>
        </w:rPr>
        <w:t xml:space="preserve">Require </w:t>
      </w:r>
      <w:r w:rsidR="008720A7">
        <w:rPr>
          <w:sz w:val="22"/>
        </w:rPr>
        <w:t xml:space="preserve">recognized </w:t>
      </w:r>
      <w:r w:rsidRPr="007C2BC7">
        <w:rPr>
          <w:sz w:val="22"/>
        </w:rPr>
        <w:t xml:space="preserve">agencies </w:t>
      </w:r>
      <w:r w:rsidR="008720A7">
        <w:rPr>
          <w:sz w:val="22"/>
        </w:rPr>
        <w:t>whose scope includes</w:t>
      </w:r>
      <w:r w:rsidRPr="007C2BC7">
        <w:rPr>
          <w:sz w:val="22"/>
        </w:rPr>
        <w:t xml:space="preserve"> distance </w:t>
      </w:r>
      <w:r w:rsidR="00755F13" w:rsidRPr="007C2BC7">
        <w:rPr>
          <w:sz w:val="22"/>
        </w:rPr>
        <w:t xml:space="preserve">education </w:t>
      </w:r>
      <w:r w:rsidRPr="007C2BC7">
        <w:rPr>
          <w:sz w:val="22"/>
        </w:rPr>
        <w:t xml:space="preserve">and/or correspondence </w:t>
      </w:r>
      <w:r w:rsidR="00755F13" w:rsidRPr="007C2BC7">
        <w:rPr>
          <w:sz w:val="22"/>
          <w:szCs w:val="22"/>
        </w:rPr>
        <w:t>courses</w:t>
      </w:r>
      <w:r w:rsidRPr="007C2BC7">
        <w:rPr>
          <w:sz w:val="22"/>
        </w:rPr>
        <w:t xml:space="preserve"> to establish </w:t>
      </w:r>
      <w:r w:rsidR="002162D0" w:rsidRPr="007C2BC7">
        <w:rPr>
          <w:sz w:val="22"/>
        </w:rPr>
        <w:t xml:space="preserve">clear </w:t>
      </w:r>
      <w:r w:rsidRPr="007C2BC7">
        <w:rPr>
          <w:sz w:val="22"/>
        </w:rPr>
        <w:t xml:space="preserve">definitions </w:t>
      </w:r>
      <w:r w:rsidR="008720A7">
        <w:rPr>
          <w:sz w:val="22"/>
        </w:rPr>
        <w:t xml:space="preserve">that </w:t>
      </w:r>
      <w:r w:rsidR="008720A7" w:rsidRPr="007C2BC7">
        <w:rPr>
          <w:sz w:val="22"/>
        </w:rPr>
        <w:t>distinguish</w:t>
      </w:r>
      <w:r w:rsidR="008720A7">
        <w:rPr>
          <w:sz w:val="22"/>
        </w:rPr>
        <w:t xml:space="preserve"> between </w:t>
      </w:r>
      <w:r w:rsidR="002162D0" w:rsidRPr="007C2BC7">
        <w:rPr>
          <w:sz w:val="22"/>
        </w:rPr>
        <w:t xml:space="preserve">distance and correspondence </w:t>
      </w:r>
      <w:r w:rsidR="008720A7">
        <w:rPr>
          <w:sz w:val="22"/>
        </w:rPr>
        <w:t xml:space="preserve">education </w:t>
      </w:r>
      <w:r w:rsidR="002162D0" w:rsidRPr="007C2BC7">
        <w:rPr>
          <w:sz w:val="22"/>
        </w:rPr>
        <w:t xml:space="preserve">and </w:t>
      </w:r>
      <w:r w:rsidR="008720A7">
        <w:rPr>
          <w:sz w:val="22"/>
        </w:rPr>
        <w:t>that define</w:t>
      </w:r>
      <w:r w:rsidR="002162D0" w:rsidRPr="007C2BC7">
        <w:rPr>
          <w:sz w:val="22"/>
        </w:rPr>
        <w:t xml:space="preserve"> </w:t>
      </w:r>
      <w:r w:rsidRPr="007C2BC7">
        <w:rPr>
          <w:sz w:val="22"/>
        </w:rPr>
        <w:t>“regular and substantive interaction</w:t>
      </w:r>
      <w:r w:rsidR="002162D0" w:rsidRPr="007C2BC7">
        <w:rPr>
          <w:sz w:val="22"/>
        </w:rPr>
        <w:t>,</w:t>
      </w:r>
      <w:r w:rsidRPr="007C2BC7">
        <w:rPr>
          <w:sz w:val="22"/>
        </w:rPr>
        <w:t xml:space="preserve">” </w:t>
      </w:r>
      <w:r w:rsidR="002162D0" w:rsidRPr="007C2BC7">
        <w:rPr>
          <w:sz w:val="22"/>
        </w:rPr>
        <w:t xml:space="preserve">in a manner </w:t>
      </w:r>
      <w:r w:rsidRPr="007C2BC7">
        <w:rPr>
          <w:sz w:val="22"/>
        </w:rPr>
        <w:t>consistent with the definitions in § 600.2.</w:t>
      </w:r>
    </w:p>
    <w:p w14:paraId="7ED1D2F9" w14:textId="3D709293" w:rsidR="00E01559" w:rsidRPr="007C2BC7" w:rsidRDefault="00E01559" w:rsidP="00E01559">
      <w:pPr>
        <w:pStyle w:val="ListParagraph"/>
        <w:numPr>
          <w:ilvl w:val="0"/>
          <w:numId w:val="4"/>
        </w:numPr>
        <w:rPr>
          <w:sz w:val="22"/>
        </w:rPr>
      </w:pPr>
      <w:r w:rsidRPr="007C2BC7">
        <w:rPr>
          <w:sz w:val="22"/>
        </w:rPr>
        <w:t xml:space="preserve">Clarify that </w:t>
      </w:r>
      <w:r w:rsidR="008720A7">
        <w:rPr>
          <w:sz w:val="22"/>
        </w:rPr>
        <w:t>no single form of institutional governance is required by statue or regulations, and allow institutions that offer career, occu</w:t>
      </w:r>
      <w:r w:rsidR="006F3F1E">
        <w:rPr>
          <w:sz w:val="22"/>
        </w:rPr>
        <w:t>pational or vocational programs</w:t>
      </w:r>
      <w:r w:rsidR="008720A7">
        <w:rPr>
          <w:sz w:val="22"/>
        </w:rPr>
        <w:t xml:space="preserve"> to</w:t>
      </w:r>
      <w:r w:rsidR="008720A7" w:rsidRPr="007C2BC7">
        <w:rPr>
          <w:sz w:val="22"/>
        </w:rPr>
        <w:t xml:space="preserve"> </w:t>
      </w:r>
      <w:r w:rsidR="002162D0" w:rsidRPr="007C2BC7">
        <w:rPr>
          <w:sz w:val="22"/>
          <w:szCs w:val="22"/>
        </w:rPr>
        <w:t>establish</w:t>
      </w:r>
      <w:r w:rsidRPr="007C2BC7" w:rsidDel="002162D0">
        <w:rPr>
          <w:sz w:val="22"/>
        </w:rPr>
        <w:t xml:space="preserve"> </w:t>
      </w:r>
      <w:r w:rsidR="008720A7">
        <w:rPr>
          <w:sz w:val="22"/>
        </w:rPr>
        <w:t xml:space="preserve">alternative </w:t>
      </w:r>
      <w:r w:rsidR="002162D0" w:rsidRPr="007C2BC7">
        <w:rPr>
          <w:sz w:val="22"/>
        </w:rPr>
        <w:t xml:space="preserve">governance </w:t>
      </w:r>
      <w:r w:rsidR="008720A7">
        <w:rPr>
          <w:sz w:val="22"/>
        </w:rPr>
        <w:t xml:space="preserve">models that rely on the recommendations of employers </w:t>
      </w:r>
      <w:r w:rsidR="006F3F1E">
        <w:rPr>
          <w:sz w:val="22"/>
        </w:rPr>
        <w:t xml:space="preserve">and gain approval </w:t>
      </w:r>
      <w:r w:rsidR="008720A7">
        <w:rPr>
          <w:sz w:val="22"/>
        </w:rPr>
        <w:t>outside of the traditional shared-governance model.  The alternate governance model will</w:t>
      </w:r>
      <w:r w:rsidR="00D2108B" w:rsidRPr="007C2BC7">
        <w:rPr>
          <w:sz w:val="22"/>
        </w:rPr>
        <w:t xml:space="preserve"> reduce the time required to </w:t>
      </w:r>
      <w:r w:rsidR="008720A7">
        <w:rPr>
          <w:sz w:val="22"/>
        </w:rPr>
        <w:t>make necessary program changes</w:t>
      </w:r>
      <w:r w:rsidR="00D2108B" w:rsidRPr="007C2BC7">
        <w:rPr>
          <w:sz w:val="22"/>
        </w:rPr>
        <w:t xml:space="preserve"> and </w:t>
      </w:r>
      <w:r w:rsidR="006F3F1E">
        <w:rPr>
          <w:sz w:val="22"/>
        </w:rPr>
        <w:t>enable</w:t>
      </w:r>
      <w:r w:rsidR="006F3F1E" w:rsidRPr="007C2BC7">
        <w:rPr>
          <w:sz w:val="22"/>
        </w:rPr>
        <w:t xml:space="preserve"> </w:t>
      </w:r>
      <w:r w:rsidR="00D2108B" w:rsidRPr="007C2BC7">
        <w:rPr>
          <w:sz w:val="22"/>
        </w:rPr>
        <w:t xml:space="preserve">programs </w:t>
      </w:r>
      <w:r w:rsidR="006F3F1E">
        <w:rPr>
          <w:sz w:val="22"/>
        </w:rPr>
        <w:t>to keep pace with changing</w:t>
      </w:r>
      <w:r w:rsidR="00903FE9">
        <w:rPr>
          <w:sz w:val="22"/>
        </w:rPr>
        <w:t xml:space="preserve"> </w:t>
      </w:r>
      <w:r w:rsidRPr="007C2BC7">
        <w:rPr>
          <w:sz w:val="22"/>
        </w:rPr>
        <w:t>workforce needs</w:t>
      </w:r>
    </w:p>
    <w:p w14:paraId="6C7BDDAA" w14:textId="32A750DD" w:rsidR="00E01559" w:rsidRDefault="00E01559" w:rsidP="00E01559">
      <w:pPr>
        <w:pStyle w:val="ListParagraph"/>
        <w:numPr>
          <w:ilvl w:val="0"/>
          <w:numId w:val="4"/>
        </w:numPr>
        <w:rPr>
          <w:sz w:val="22"/>
        </w:rPr>
      </w:pPr>
      <w:r w:rsidRPr="007C2BC7">
        <w:rPr>
          <w:sz w:val="22"/>
        </w:rPr>
        <w:t xml:space="preserve">Make other </w:t>
      </w:r>
      <w:r w:rsidR="002E232D">
        <w:rPr>
          <w:sz w:val="22"/>
        </w:rPr>
        <w:t>technical corrections</w:t>
      </w:r>
      <w:r w:rsidRPr="007C2BC7">
        <w:rPr>
          <w:sz w:val="22"/>
        </w:rPr>
        <w:t xml:space="preserve"> </w:t>
      </w:r>
      <w:r w:rsidR="002E232D">
        <w:rPr>
          <w:sz w:val="22"/>
        </w:rPr>
        <w:t>to improve the</w:t>
      </w:r>
      <w:r w:rsidR="002E232D" w:rsidRPr="007C2BC7">
        <w:rPr>
          <w:sz w:val="22"/>
        </w:rPr>
        <w:t xml:space="preserve"> </w:t>
      </w:r>
      <w:r w:rsidRPr="007C2BC7">
        <w:rPr>
          <w:sz w:val="22"/>
        </w:rPr>
        <w:t>clarity</w:t>
      </w:r>
      <w:r w:rsidR="002E232D">
        <w:rPr>
          <w:sz w:val="22"/>
        </w:rPr>
        <w:t xml:space="preserve"> of the regulations</w:t>
      </w:r>
      <w:r w:rsidRPr="007C2BC7">
        <w:rPr>
          <w:sz w:val="22"/>
        </w:rPr>
        <w:t>.</w:t>
      </w:r>
    </w:p>
    <w:p w14:paraId="2B9EF9E2" w14:textId="70A78FE8" w:rsidR="006A1003" w:rsidRPr="006A1003" w:rsidRDefault="006A1003" w:rsidP="006A1003">
      <w:pPr>
        <w:pStyle w:val="ListParagraph"/>
        <w:numPr>
          <w:ilvl w:val="0"/>
          <w:numId w:val="4"/>
        </w:numPr>
        <w:rPr>
          <w:sz w:val="22"/>
        </w:rPr>
      </w:pPr>
      <w:r w:rsidRPr="006A1003">
        <w:rPr>
          <w:sz w:val="22"/>
        </w:rPr>
        <w:lastRenderedPageBreak/>
        <w:t xml:space="preserve">The Department seeks recommendations from negotiators about when and how agencies should be allowed to grant waivers to institutions, such as to support innovation or in situations where an institution cannot reasonably be expected to comply with a given standard.  The Department wishes to integrate a consideration of student outcomes into any waiver process. </w:t>
      </w:r>
    </w:p>
    <w:p w14:paraId="7F8108E1" w14:textId="67489B62" w:rsidR="006A1003" w:rsidRPr="007C2BC7" w:rsidRDefault="006A1003" w:rsidP="006A1003">
      <w:pPr>
        <w:pStyle w:val="ListParagraph"/>
        <w:numPr>
          <w:ilvl w:val="0"/>
          <w:numId w:val="4"/>
        </w:numPr>
        <w:rPr>
          <w:sz w:val="22"/>
        </w:rPr>
      </w:pPr>
      <w:r w:rsidRPr="006A1003">
        <w:rPr>
          <w:sz w:val="22"/>
        </w:rPr>
        <w:t>The Department</w:t>
      </w:r>
      <w:r>
        <w:rPr>
          <w:sz w:val="22"/>
        </w:rPr>
        <w:t xml:space="preserve"> also</w:t>
      </w:r>
      <w:r w:rsidRPr="006A1003">
        <w:rPr>
          <w:sz w:val="22"/>
        </w:rPr>
        <w:t xml:space="preserve"> seeks recommendations from negotiators on how it could discourage or prevent accreditors from aligning with state licensing bodies or other vocational credentialing boards to exclude the licensure of individuals who prepare for work through apprenticeship, the military, or other work-based learning pathways, and to prevent accreditors from responding to efforts to expand or elevate credentials that serve as minimum requirements for licensure or certification.  The Department also seeks the advice of negotiators on how to ensure that transfer of credits remain the decision of institutions, but disallow institutions from categorically denying credits from national accreditors if the courses completed by the student are in alignment with those offered by the accepting institution.</w:t>
      </w:r>
    </w:p>
    <w:p w14:paraId="5D982858" w14:textId="58989F5F" w:rsidR="00167EC0" w:rsidRDefault="00167EC0">
      <w:pPr>
        <w:pStyle w:val="Heading3"/>
      </w:pPr>
      <w:r>
        <w:t>§ 602.17</w:t>
      </w:r>
      <w:r w:rsidR="0012328A">
        <w:t xml:space="preserve"> </w:t>
      </w:r>
      <w:r w:rsidR="0012328A" w:rsidRPr="0012328A">
        <w:t>Application of standards in reaching an accrediting decision.</w:t>
      </w:r>
    </w:p>
    <w:p w14:paraId="35CA817B" w14:textId="6350403D" w:rsidR="00167EC0" w:rsidRPr="007C2BC7" w:rsidRDefault="00142561" w:rsidP="00A80F85">
      <w:pPr>
        <w:pStyle w:val="ListParagraph"/>
        <w:numPr>
          <w:ilvl w:val="0"/>
          <w:numId w:val="4"/>
        </w:numPr>
        <w:rPr>
          <w:sz w:val="22"/>
        </w:rPr>
      </w:pPr>
      <w:r>
        <w:rPr>
          <w:sz w:val="22"/>
        </w:rPr>
        <w:t xml:space="preserve">Provide greater flexibility for institutions to innovate by allowing accreditors to establish </w:t>
      </w:r>
      <w:r w:rsidR="00EE3902">
        <w:rPr>
          <w:sz w:val="22"/>
        </w:rPr>
        <w:t>alternative</w:t>
      </w:r>
      <w:r w:rsidR="00E55D17">
        <w:rPr>
          <w:sz w:val="22"/>
        </w:rPr>
        <w:t xml:space="preserve"> </w:t>
      </w:r>
      <w:r>
        <w:rPr>
          <w:sz w:val="22"/>
        </w:rPr>
        <w:t xml:space="preserve">standards rather than relying on commonly or widely accepted requirements that favor the status quo.  </w:t>
      </w:r>
    </w:p>
    <w:p w14:paraId="1DBD209E" w14:textId="18B5B447" w:rsidR="00ED3382" w:rsidRPr="007C2BC7" w:rsidRDefault="00ED3382" w:rsidP="00A80F85">
      <w:pPr>
        <w:pStyle w:val="ListParagraph"/>
        <w:numPr>
          <w:ilvl w:val="0"/>
          <w:numId w:val="4"/>
        </w:numPr>
        <w:rPr>
          <w:sz w:val="22"/>
        </w:rPr>
      </w:pPr>
      <w:r w:rsidRPr="007C2BC7">
        <w:rPr>
          <w:sz w:val="22"/>
        </w:rPr>
        <w:t>Clarif</w:t>
      </w:r>
      <w:r w:rsidR="00D57C90" w:rsidRPr="007C2BC7">
        <w:rPr>
          <w:sz w:val="22"/>
        </w:rPr>
        <w:t>y</w:t>
      </w:r>
      <w:r w:rsidRPr="007C2BC7">
        <w:rPr>
          <w:sz w:val="22"/>
        </w:rPr>
        <w:t xml:space="preserve"> that a</w:t>
      </w:r>
      <w:r w:rsidR="00142561">
        <w:rPr>
          <w:sz w:val="22"/>
        </w:rPr>
        <w:t>n institution’s accreditation</w:t>
      </w:r>
      <w:r w:rsidRPr="007C2BC7">
        <w:rPr>
          <w:sz w:val="22"/>
        </w:rPr>
        <w:t xml:space="preserve"> self-study must </w:t>
      </w:r>
      <w:r w:rsidR="008F4A55">
        <w:rPr>
          <w:sz w:val="22"/>
        </w:rPr>
        <w:t xml:space="preserve">focus on </w:t>
      </w:r>
      <w:r w:rsidR="00142561">
        <w:rPr>
          <w:sz w:val="22"/>
        </w:rPr>
        <w:t xml:space="preserve">the institution’s efforts and ability to meet its learning objectives and those of its students.  </w:t>
      </w:r>
    </w:p>
    <w:p w14:paraId="55072A89" w14:textId="04120DA5" w:rsidR="00D57C90" w:rsidRPr="007C2BC7" w:rsidRDefault="008F4A55" w:rsidP="00A80F85">
      <w:pPr>
        <w:pStyle w:val="ListParagraph"/>
        <w:numPr>
          <w:ilvl w:val="0"/>
          <w:numId w:val="4"/>
        </w:numPr>
        <w:rPr>
          <w:sz w:val="22"/>
        </w:rPr>
      </w:pPr>
      <w:r>
        <w:rPr>
          <w:sz w:val="22"/>
        </w:rPr>
        <w:t xml:space="preserve">Require agencies to rely on evidence </w:t>
      </w:r>
      <w:r w:rsidR="00142561">
        <w:rPr>
          <w:sz w:val="22"/>
        </w:rPr>
        <w:t xml:space="preserve">rather than anecdotes </w:t>
      </w:r>
      <w:r>
        <w:rPr>
          <w:sz w:val="22"/>
        </w:rPr>
        <w:t xml:space="preserve">when making an accrediting decision. </w:t>
      </w:r>
      <w:r w:rsidR="00D57C90" w:rsidRPr="007C2BC7">
        <w:rPr>
          <w:sz w:val="22"/>
        </w:rPr>
        <w:t xml:space="preserve"> </w:t>
      </w:r>
    </w:p>
    <w:p w14:paraId="2A320C14" w14:textId="77777777" w:rsidR="00240DBD" w:rsidRPr="00240DBD" w:rsidRDefault="00240DBD" w:rsidP="00240DBD">
      <w:pPr>
        <w:pStyle w:val="ListParagraph"/>
        <w:numPr>
          <w:ilvl w:val="0"/>
          <w:numId w:val="4"/>
        </w:numPr>
        <w:rPr>
          <w:sz w:val="22"/>
        </w:rPr>
      </w:pPr>
      <w:r w:rsidRPr="00240DBD">
        <w:rPr>
          <w:sz w:val="22"/>
          <w:szCs w:val="22"/>
        </w:rPr>
        <w:t>The Department seeks advice from negotiators on how to ensure continuous improvement and rigorous outcomes, while at the same time avoiding one-size-fits-all solutions that fail to appropriately account for differences in institutional mission, occupational pathways, or the accountability that students have for their own success.  The Department seeks to ensure that it, and NACIQI, does not violate the statutory prohibitions on dictating student achievement standards, while at the same time requiring institutions to achieve strong outcomes.</w:t>
      </w:r>
    </w:p>
    <w:p w14:paraId="162E5A05" w14:textId="5D0621D9" w:rsidR="00167EC0" w:rsidRPr="002A64C4" w:rsidRDefault="00A80F85" w:rsidP="00240DBD">
      <w:pPr>
        <w:pStyle w:val="ListParagraph"/>
        <w:numPr>
          <w:ilvl w:val="0"/>
          <w:numId w:val="4"/>
        </w:numPr>
        <w:rPr>
          <w:sz w:val="22"/>
        </w:rPr>
      </w:pPr>
      <w:r w:rsidRPr="007C2BC7">
        <w:rPr>
          <w:sz w:val="22"/>
        </w:rPr>
        <w:t xml:space="preserve">Update the methods by which institutions offering </w:t>
      </w:r>
      <w:r w:rsidR="0099689D" w:rsidRPr="007C2BC7">
        <w:rPr>
          <w:sz w:val="22"/>
        </w:rPr>
        <w:t xml:space="preserve">programs via </w:t>
      </w:r>
      <w:r w:rsidRPr="007C2BC7">
        <w:rPr>
          <w:rFonts w:eastAsia="Times New Roman"/>
          <w:color w:val="000000"/>
          <w:sz w:val="22"/>
        </w:rPr>
        <w:t>distance education</w:t>
      </w:r>
      <w:r w:rsidR="00D57C90" w:rsidRPr="007C2BC7">
        <w:rPr>
          <w:rFonts w:eastAsia="Times New Roman"/>
          <w:color w:val="000000"/>
          <w:sz w:val="22"/>
        </w:rPr>
        <w:t>,</w:t>
      </w:r>
      <w:r w:rsidRPr="007C2BC7" w:rsidDel="00D57C90">
        <w:rPr>
          <w:rFonts w:eastAsia="Times New Roman"/>
          <w:color w:val="000000"/>
          <w:sz w:val="22"/>
        </w:rPr>
        <w:t xml:space="preserve"> </w:t>
      </w:r>
      <w:r w:rsidRPr="007C2BC7">
        <w:rPr>
          <w:rFonts w:eastAsia="Times New Roman"/>
          <w:color w:val="000000"/>
          <w:sz w:val="22"/>
        </w:rPr>
        <w:t>correspondence education</w:t>
      </w:r>
      <w:r w:rsidR="00D57C90" w:rsidRPr="007C2BC7">
        <w:rPr>
          <w:rFonts w:eastAsia="Times New Roman"/>
          <w:color w:val="000000"/>
          <w:sz w:val="22"/>
        </w:rPr>
        <w:t>, or other delivery methods</w:t>
      </w:r>
      <w:r w:rsidRPr="007C2BC7">
        <w:rPr>
          <w:rFonts w:eastAsia="Times New Roman"/>
          <w:color w:val="000000"/>
          <w:sz w:val="22"/>
        </w:rPr>
        <w:t xml:space="preserve"> </w:t>
      </w:r>
      <w:r w:rsidRPr="007C2BC7">
        <w:rPr>
          <w:sz w:val="22"/>
        </w:rPr>
        <w:t xml:space="preserve">may verify student identity to ensure institutions have sufficient flexibility to manage </w:t>
      </w:r>
      <w:r w:rsidR="0099689D" w:rsidRPr="007C2BC7">
        <w:rPr>
          <w:sz w:val="22"/>
        </w:rPr>
        <w:t xml:space="preserve">such </w:t>
      </w:r>
      <w:r w:rsidRPr="007C2BC7">
        <w:rPr>
          <w:sz w:val="22"/>
        </w:rPr>
        <w:t>programs with appropriate safeguards.</w:t>
      </w:r>
    </w:p>
    <w:p w14:paraId="50813263" w14:textId="5DE5EF84" w:rsidR="00A80F85" w:rsidRDefault="00A80F85" w:rsidP="00A80F85">
      <w:pPr>
        <w:pStyle w:val="Heading3"/>
      </w:pPr>
      <w:r>
        <w:t>§ 602.18</w:t>
      </w:r>
      <w:r w:rsidR="0012328A">
        <w:t xml:space="preserve"> </w:t>
      </w:r>
      <w:r w:rsidR="0012328A" w:rsidRPr="0012328A">
        <w:t>Ensuring consistency in decision-making.</w:t>
      </w:r>
    </w:p>
    <w:p w14:paraId="20CE9859" w14:textId="352EA518" w:rsidR="00EF7905" w:rsidRPr="007C2BC7" w:rsidRDefault="00EF7905" w:rsidP="00AC4A35">
      <w:pPr>
        <w:pStyle w:val="ListParagraph"/>
        <w:numPr>
          <w:ilvl w:val="0"/>
          <w:numId w:val="5"/>
        </w:numPr>
        <w:rPr>
          <w:sz w:val="22"/>
        </w:rPr>
      </w:pPr>
      <w:r w:rsidRPr="007C2BC7">
        <w:rPr>
          <w:sz w:val="22"/>
        </w:rPr>
        <w:t>Add direct assessment as an additional focus of the requirements of this regulation.</w:t>
      </w:r>
    </w:p>
    <w:p w14:paraId="663614BA" w14:textId="3E0962E6" w:rsidR="00EF7905" w:rsidRPr="007C2BC7" w:rsidRDefault="00EF7905" w:rsidP="00AC4A35">
      <w:pPr>
        <w:pStyle w:val="ListParagraph"/>
        <w:numPr>
          <w:ilvl w:val="0"/>
          <w:numId w:val="5"/>
        </w:numPr>
        <w:rPr>
          <w:sz w:val="22"/>
        </w:rPr>
      </w:pPr>
      <w:r w:rsidRPr="007C2BC7">
        <w:rPr>
          <w:sz w:val="22"/>
        </w:rPr>
        <w:t xml:space="preserve">Eliminate several requirements </w:t>
      </w:r>
      <w:r w:rsidR="00D2321E">
        <w:rPr>
          <w:sz w:val="22"/>
        </w:rPr>
        <w:t>that are</w:t>
      </w:r>
      <w:r w:rsidR="00D2321E" w:rsidRPr="007C2BC7">
        <w:rPr>
          <w:sz w:val="22"/>
        </w:rPr>
        <w:t xml:space="preserve"> </w:t>
      </w:r>
      <w:r w:rsidRPr="007C2BC7">
        <w:rPr>
          <w:sz w:val="22"/>
        </w:rPr>
        <w:t>duplicative or unduly burdensome.</w:t>
      </w:r>
    </w:p>
    <w:p w14:paraId="27292ECC" w14:textId="2ED20182" w:rsidR="00EF7905" w:rsidRPr="007C2BC7" w:rsidRDefault="00EF7905" w:rsidP="00AC4A35">
      <w:pPr>
        <w:pStyle w:val="ListParagraph"/>
        <w:numPr>
          <w:ilvl w:val="0"/>
          <w:numId w:val="5"/>
        </w:numPr>
        <w:rPr>
          <w:sz w:val="22"/>
        </w:rPr>
      </w:pPr>
      <w:r w:rsidRPr="007C2BC7">
        <w:rPr>
          <w:sz w:val="22"/>
        </w:rPr>
        <w:t>Provide an opportunity for an institution or program to obtain agency review of claims of inequitable treatment, and a written response from the agency;</w:t>
      </w:r>
    </w:p>
    <w:p w14:paraId="49909930" w14:textId="71E1405C" w:rsidR="00EF7905" w:rsidRPr="007C2BC7" w:rsidRDefault="00A339AD" w:rsidP="00EF7905">
      <w:pPr>
        <w:pStyle w:val="ListParagraph"/>
        <w:numPr>
          <w:ilvl w:val="0"/>
          <w:numId w:val="5"/>
        </w:numPr>
        <w:rPr>
          <w:sz w:val="22"/>
        </w:rPr>
      </w:pPr>
      <w:r w:rsidRPr="007C2BC7">
        <w:rPr>
          <w:sz w:val="22"/>
        </w:rPr>
        <w:t xml:space="preserve">Add a provision </w:t>
      </w:r>
      <w:r w:rsidR="00240DBD">
        <w:rPr>
          <w:sz w:val="22"/>
        </w:rPr>
        <w:t xml:space="preserve"> requiring a written response from agencies if an institution feels its religious mission has not been appropriately respected</w:t>
      </w:r>
      <w:r w:rsidR="00EF7905" w:rsidRPr="007C2BC7">
        <w:rPr>
          <w:sz w:val="22"/>
        </w:rPr>
        <w:t>.</w:t>
      </w:r>
    </w:p>
    <w:p w14:paraId="34EC6DA9" w14:textId="0D5CCE02" w:rsidR="00D84A56" w:rsidRPr="002A64C4" w:rsidDel="00EF7905" w:rsidRDefault="00EF7905" w:rsidP="002A64C4">
      <w:pPr>
        <w:pStyle w:val="ListParagraph"/>
        <w:numPr>
          <w:ilvl w:val="0"/>
          <w:numId w:val="5"/>
        </w:numPr>
        <w:rPr>
          <w:sz w:val="22"/>
          <w:szCs w:val="22"/>
        </w:rPr>
      </w:pPr>
      <w:r w:rsidRPr="007C2BC7">
        <w:rPr>
          <w:sz w:val="22"/>
          <w:szCs w:val="22"/>
        </w:rPr>
        <w:t>Require agenc</w:t>
      </w:r>
      <w:r w:rsidR="007D3CFE">
        <w:rPr>
          <w:sz w:val="22"/>
          <w:szCs w:val="22"/>
        </w:rPr>
        <w:t>ies</w:t>
      </w:r>
      <w:r w:rsidR="00142561">
        <w:rPr>
          <w:sz w:val="22"/>
          <w:szCs w:val="22"/>
        </w:rPr>
        <w:t xml:space="preserve"> to clearly define their</w:t>
      </w:r>
      <w:r w:rsidRPr="007C2BC7">
        <w:rPr>
          <w:sz w:val="22"/>
          <w:szCs w:val="22"/>
        </w:rPr>
        <w:t xml:space="preserve"> policies for retroactive </w:t>
      </w:r>
      <w:r w:rsidR="00142561">
        <w:rPr>
          <w:sz w:val="22"/>
          <w:szCs w:val="22"/>
        </w:rPr>
        <w:t>application of accreditation decisions</w:t>
      </w:r>
      <w:r w:rsidRPr="007C2BC7">
        <w:rPr>
          <w:sz w:val="22"/>
          <w:szCs w:val="22"/>
        </w:rPr>
        <w:t>.</w:t>
      </w:r>
      <w:r w:rsidRPr="007C2BC7" w:rsidDel="00EF7905">
        <w:rPr>
          <w:sz w:val="22"/>
          <w:szCs w:val="22"/>
        </w:rPr>
        <w:t xml:space="preserve"> </w:t>
      </w:r>
      <w:r w:rsidR="00142561">
        <w:rPr>
          <w:sz w:val="22"/>
          <w:szCs w:val="22"/>
        </w:rPr>
        <w:t xml:space="preserve"> These policies are critical to ensuring that the first class of students are not precluded from practicing in a given occupation since some accreditors will not make a final accreditation decision until the first cohort of students graduate</w:t>
      </w:r>
      <w:r w:rsidR="007D3CFE">
        <w:rPr>
          <w:sz w:val="22"/>
          <w:szCs w:val="22"/>
        </w:rPr>
        <w:t>s</w:t>
      </w:r>
      <w:r w:rsidR="00142561">
        <w:rPr>
          <w:sz w:val="22"/>
          <w:szCs w:val="22"/>
        </w:rPr>
        <w:t>.</w:t>
      </w:r>
    </w:p>
    <w:p w14:paraId="2C8E8DF3" w14:textId="72956D84" w:rsidR="006F40EF" w:rsidRDefault="006F40EF" w:rsidP="00295FA7">
      <w:pPr>
        <w:pStyle w:val="Heading3"/>
      </w:pPr>
      <w:r>
        <w:lastRenderedPageBreak/>
        <w:t>§ 602.19</w:t>
      </w:r>
      <w:r w:rsidR="0012328A">
        <w:t xml:space="preserve"> </w:t>
      </w:r>
      <w:r w:rsidR="0012328A" w:rsidRPr="0012328A">
        <w:t>Monitoring and reevaluation of accredited institutions and programs.</w:t>
      </w:r>
    </w:p>
    <w:p w14:paraId="3564B2FE" w14:textId="05EED033" w:rsidR="00312641" w:rsidRDefault="00312641" w:rsidP="006F40EF">
      <w:pPr>
        <w:pStyle w:val="ListParagraph"/>
        <w:numPr>
          <w:ilvl w:val="0"/>
          <w:numId w:val="5"/>
        </w:numPr>
        <w:rPr>
          <w:sz w:val="22"/>
        </w:rPr>
      </w:pPr>
      <w:r>
        <w:rPr>
          <w:sz w:val="22"/>
        </w:rPr>
        <w:t>Require agencies to monitor institutional enrollment s and report to the Secretary any institution that increases its enrollment by more than 50 percent in a given academic year.</w:t>
      </w:r>
    </w:p>
    <w:p w14:paraId="1F10F1B4" w14:textId="255C8535" w:rsidR="006F40EF" w:rsidRPr="00312641" w:rsidRDefault="00312641" w:rsidP="002A64C4">
      <w:pPr>
        <w:pStyle w:val="ListParagraph"/>
        <w:rPr>
          <w:sz w:val="22"/>
        </w:rPr>
      </w:pPr>
      <w:r w:rsidRPr="00312641">
        <w:rPr>
          <w:sz w:val="22"/>
        </w:rPr>
        <w:t>Require agencies that received an approved expansion of scope to be reviewed by NACIQI if any institution accredited by the agen</w:t>
      </w:r>
      <w:r w:rsidRPr="005D306D">
        <w:rPr>
          <w:sz w:val="22"/>
        </w:rPr>
        <w:t>cy under the expand</w:t>
      </w:r>
      <w:r w:rsidRPr="00312641">
        <w:rPr>
          <w:sz w:val="22"/>
        </w:rPr>
        <w:t>ed scope increased their enrollment</w:t>
      </w:r>
      <w:r w:rsidR="007D3CFE">
        <w:rPr>
          <w:sz w:val="22"/>
        </w:rPr>
        <w:t xml:space="preserve"> in distance education or correspondence</w:t>
      </w:r>
      <w:r w:rsidRPr="00312641">
        <w:rPr>
          <w:sz w:val="22"/>
        </w:rPr>
        <w:t xml:space="preserve"> </w:t>
      </w:r>
      <w:r w:rsidR="007D3CFE">
        <w:rPr>
          <w:sz w:val="22"/>
        </w:rPr>
        <w:t xml:space="preserve">courses </w:t>
      </w:r>
      <w:r w:rsidRPr="00312641">
        <w:rPr>
          <w:sz w:val="22"/>
        </w:rPr>
        <w:t xml:space="preserve">by more than 50 percent.  </w:t>
      </w:r>
    </w:p>
    <w:p w14:paraId="44F1A314" w14:textId="075BC38C" w:rsidR="000E57F7" w:rsidRDefault="000E57F7" w:rsidP="000E57F7">
      <w:pPr>
        <w:pStyle w:val="Heading3"/>
      </w:pPr>
      <w:r>
        <w:t>§ 602.20</w:t>
      </w:r>
      <w:r w:rsidR="0012328A">
        <w:t xml:space="preserve"> </w:t>
      </w:r>
      <w:r w:rsidR="0012328A" w:rsidRPr="0012328A">
        <w:t>Enforcement of standards.</w:t>
      </w:r>
    </w:p>
    <w:p w14:paraId="436604AF" w14:textId="0238E565" w:rsidR="000E57F7" w:rsidRPr="007C2BC7" w:rsidRDefault="000E57F7" w:rsidP="000E57F7">
      <w:pPr>
        <w:pStyle w:val="ListParagraph"/>
        <w:numPr>
          <w:ilvl w:val="0"/>
          <w:numId w:val="6"/>
        </w:numPr>
        <w:rPr>
          <w:sz w:val="22"/>
        </w:rPr>
      </w:pPr>
      <w:r w:rsidRPr="007C2BC7">
        <w:rPr>
          <w:sz w:val="22"/>
        </w:rPr>
        <w:t>Revise enforcement provisions to remove</w:t>
      </w:r>
      <w:r w:rsidR="004144E8">
        <w:rPr>
          <w:sz w:val="22"/>
        </w:rPr>
        <w:t xml:space="preserve"> overly-</w:t>
      </w:r>
      <w:r w:rsidRPr="007C2BC7">
        <w:rPr>
          <w:sz w:val="22"/>
        </w:rPr>
        <w:t xml:space="preserve">prescriptive timelines </w:t>
      </w:r>
      <w:r w:rsidR="0055607D">
        <w:rPr>
          <w:sz w:val="22"/>
        </w:rPr>
        <w:t>that don’t recognize the amount of time it can take for changes in curricula or admissions process to impact student outcomes.</w:t>
      </w:r>
    </w:p>
    <w:p w14:paraId="509174BE" w14:textId="5898E58F" w:rsidR="000E57F7" w:rsidRPr="007C2BC7" w:rsidRDefault="00EF4029" w:rsidP="000E57F7">
      <w:pPr>
        <w:pStyle w:val="ListParagraph"/>
        <w:numPr>
          <w:ilvl w:val="0"/>
          <w:numId w:val="6"/>
        </w:numPr>
        <w:rPr>
          <w:sz w:val="22"/>
        </w:rPr>
      </w:pPr>
      <w:r w:rsidRPr="007C2BC7">
        <w:rPr>
          <w:sz w:val="22"/>
        </w:rPr>
        <w:t>Require that</w:t>
      </w:r>
      <w:r w:rsidR="000E57F7" w:rsidRPr="007C2BC7">
        <w:rPr>
          <w:sz w:val="22"/>
        </w:rPr>
        <w:t xml:space="preserve"> </w:t>
      </w:r>
      <w:r w:rsidR="00187DDC" w:rsidRPr="007C2BC7">
        <w:rPr>
          <w:sz w:val="22"/>
        </w:rPr>
        <w:t xml:space="preserve">an </w:t>
      </w:r>
      <w:r w:rsidR="000E57F7" w:rsidRPr="007C2BC7">
        <w:rPr>
          <w:sz w:val="22"/>
        </w:rPr>
        <w:t>agency has polic</w:t>
      </w:r>
      <w:r w:rsidR="004144E8">
        <w:rPr>
          <w:sz w:val="22"/>
        </w:rPr>
        <w:t>ies</w:t>
      </w:r>
      <w:r w:rsidR="000E57F7" w:rsidRPr="007C2BC7">
        <w:rPr>
          <w:sz w:val="22"/>
        </w:rPr>
        <w:t xml:space="preserve"> in place to identify </w:t>
      </w:r>
      <w:r w:rsidR="004144E8">
        <w:rPr>
          <w:sz w:val="22"/>
        </w:rPr>
        <w:t xml:space="preserve">areas of </w:t>
      </w:r>
      <w:r w:rsidR="000E57F7" w:rsidRPr="007C2BC7">
        <w:rPr>
          <w:sz w:val="22"/>
        </w:rPr>
        <w:t xml:space="preserve">non-compliance, </w:t>
      </w:r>
      <w:r w:rsidR="004144E8">
        <w:rPr>
          <w:sz w:val="22"/>
          <w:szCs w:val="22"/>
        </w:rPr>
        <w:t>notify</w:t>
      </w:r>
      <w:r w:rsidR="004144E8" w:rsidRPr="007C2BC7">
        <w:rPr>
          <w:sz w:val="22"/>
        </w:rPr>
        <w:t xml:space="preserve"> </w:t>
      </w:r>
      <w:r w:rsidR="004144E8">
        <w:rPr>
          <w:sz w:val="22"/>
        </w:rPr>
        <w:t>an</w:t>
      </w:r>
      <w:r w:rsidR="004144E8" w:rsidRPr="007C2BC7">
        <w:rPr>
          <w:sz w:val="22"/>
        </w:rPr>
        <w:t xml:space="preserve"> </w:t>
      </w:r>
      <w:r w:rsidR="000E57F7" w:rsidRPr="007C2BC7">
        <w:rPr>
          <w:sz w:val="22"/>
        </w:rPr>
        <w:t xml:space="preserve">institution </w:t>
      </w:r>
      <w:r w:rsidR="00187DDC" w:rsidRPr="007C2BC7">
        <w:rPr>
          <w:sz w:val="22"/>
        </w:rPr>
        <w:t xml:space="preserve">or program </w:t>
      </w:r>
      <w:r w:rsidR="000E57F7" w:rsidRPr="007C2BC7">
        <w:rPr>
          <w:sz w:val="22"/>
        </w:rPr>
        <w:t xml:space="preserve">of </w:t>
      </w:r>
      <w:r w:rsidR="004144E8">
        <w:rPr>
          <w:sz w:val="22"/>
        </w:rPr>
        <w:t xml:space="preserve">such </w:t>
      </w:r>
      <w:r w:rsidR="000E57F7" w:rsidRPr="007C2BC7">
        <w:rPr>
          <w:sz w:val="22"/>
        </w:rPr>
        <w:t>findings</w:t>
      </w:r>
      <w:r w:rsidR="004144E8">
        <w:rPr>
          <w:sz w:val="22"/>
        </w:rPr>
        <w:t>, evaluate a corrective action plan submitted by the institution or program,</w:t>
      </w:r>
      <w:r w:rsidR="000E57F7" w:rsidRPr="007C2BC7">
        <w:rPr>
          <w:sz w:val="22"/>
        </w:rPr>
        <w:t xml:space="preserve"> </w:t>
      </w:r>
      <w:r w:rsidR="000E57F7" w:rsidRPr="007C2BC7">
        <w:rPr>
          <w:sz w:val="22"/>
          <w:szCs w:val="22"/>
        </w:rPr>
        <w:t>monitor</w:t>
      </w:r>
      <w:r w:rsidR="000E57F7" w:rsidRPr="007C2BC7">
        <w:rPr>
          <w:sz w:val="22"/>
        </w:rPr>
        <w:t xml:space="preserve"> progress towards </w:t>
      </w:r>
      <w:r w:rsidR="004144E8">
        <w:rPr>
          <w:sz w:val="22"/>
        </w:rPr>
        <w:t>becoming</w:t>
      </w:r>
      <w:r w:rsidR="000E57F7" w:rsidRPr="007C2BC7">
        <w:rPr>
          <w:sz w:val="22"/>
        </w:rPr>
        <w:t xml:space="preserve"> </w:t>
      </w:r>
      <w:r w:rsidR="004144E8" w:rsidRPr="007C2BC7">
        <w:rPr>
          <w:sz w:val="22"/>
        </w:rPr>
        <w:t>complian</w:t>
      </w:r>
      <w:r w:rsidR="004144E8">
        <w:rPr>
          <w:sz w:val="22"/>
        </w:rPr>
        <w:t>t</w:t>
      </w:r>
      <w:r w:rsidR="000E57F7" w:rsidRPr="007C2BC7">
        <w:rPr>
          <w:sz w:val="22"/>
        </w:rPr>
        <w:t xml:space="preserve">, </w:t>
      </w:r>
      <w:r w:rsidR="000E57F7" w:rsidRPr="007C2BC7">
        <w:rPr>
          <w:sz w:val="22"/>
          <w:szCs w:val="22"/>
        </w:rPr>
        <w:t>provide</w:t>
      </w:r>
      <w:r w:rsidR="000E57F7" w:rsidRPr="007C2BC7">
        <w:rPr>
          <w:sz w:val="22"/>
        </w:rPr>
        <w:t xml:space="preserve"> good-cause extensions if warranted</w:t>
      </w:r>
      <w:r w:rsidRPr="007C2BC7">
        <w:rPr>
          <w:sz w:val="22"/>
        </w:rPr>
        <w:t xml:space="preserve">, </w:t>
      </w:r>
      <w:r w:rsidR="004144E8">
        <w:rPr>
          <w:sz w:val="22"/>
        </w:rPr>
        <w:t xml:space="preserve">ensure that compliance has been achieved or </w:t>
      </w:r>
      <w:r w:rsidRPr="007C2BC7">
        <w:rPr>
          <w:sz w:val="22"/>
          <w:szCs w:val="22"/>
        </w:rPr>
        <w:t>take</w:t>
      </w:r>
      <w:r w:rsidRPr="007C2BC7">
        <w:rPr>
          <w:sz w:val="22"/>
        </w:rPr>
        <w:t xml:space="preserve"> adverse action </w:t>
      </w:r>
      <w:r w:rsidR="004144E8">
        <w:rPr>
          <w:sz w:val="22"/>
        </w:rPr>
        <w:t>when necessary</w:t>
      </w:r>
      <w:r w:rsidRPr="007C2BC7">
        <w:rPr>
          <w:sz w:val="22"/>
        </w:rPr>
        <w:t>.</w:t>
      </w:r>
    </w:p>
    <w:p w14:paraId="05F81C4C" w14:textId="0B36AA20" w:rsidR="00EF4029" w:rsidRPr="007C2BC7" w:rsidRDefault="00435EC4" w:rsidP="000E57F7">
      <w:pPr>
        <w:pStyle w:val="ListParagraph"/>
        <w:numPr>
          <w:ilvl w:val="0"/>
          <w:numId w:val="6"/>
        </w:numPr>
        <w:rPr>
          <w:sz w:val="22"/>
        </w:rPr>
      </w:pPr>
      <w:r>
        <w:rPr>
          <w:sz w:val="22"/>
        </w:rPr>
        <w:t xml:space="preserve">In the event of the loss of accreditation, permit agencies to </w:t>
      </w:r>
      <w:r w:rsidR="00A073B2">
        <w:rPr>
          <w:sz w:val="22"/>
        </w:rPr>
        <w:t xml:space="preserve">provide </w:t>
      </w:r>
      <w:r w:rsidR="00EF4029" w:rsidRPr="007C2BC7">
        <w:rPr>
          <w:sz w:val="22"/>
        </w:rPr>
        <w:t xml:space="preserve">a sufficient amount of time </w:t>
      </w:r>
      <w:r w:rsidR="00A073B2">
        <w:rPr>
          <w:sz w:val="22"/>
        </w:rPr>
        <w:t>for the institution to</w:t>
      </w:r>
      <w:r w:rsidR="00A073B2" w:rsidRPr="007C2BC7">
        <w:rPr>
          <w:sz w:val="22"/>
        </w:rPr>
        <w:t xml:space="preserve"> </w:t>
      </w:r>
      <w:r w:rsidR="00EF4029" w:rsidRPr="007C2BC7">
        <w:rPr>
          <w:sz w:val="22"/>
        </w:rPr>
        <w:t>implement a teach-out plan</w:t>
      </w:r>
      <w:r w:rsidR="00EF4029" w:rsidDel="008D72EC">
        <w:rPr>
          <w:sz w:val="22"/>
        </w:rPr>
        <w:t xml:space="preserve"> </w:t>
      </w:r>
      <w:r w:rsidR="00A073B2">
        <w:rPr>
          <w:sz w:val="22"/>
        </w:rPr>
        <w:t xml:space="preserve">or find teach-out partners before closing.  </w:t>
      </w:r>
    </w:p>
    <w:p w14:paraId="7409E4FE" w14:textId="6E72C908" w:rsidR="00EF4029" w:rsidRPr="007C2BC7" w:rsidRDefault="00EF4029" w:rsidP="000E57F7">
      <w:pPr>
        <w:pStyle w:val="ListParagraph"/>
        <w:numPr>
          <w:ilvl w:val="0"/>
          <w:numId w:val="6"/>
        </w:numPr>
        <w:rPr>
          <w:sz w:val="22"/>
        </w:rPr>
      </w:pPr>
      <w:r w:rsidRPr="007C2BC7">
        <w:rPr>
          <w:sz w:val="22"/>
        </w:rPr>
        <w:t xml:space="preserve">Give agencies, including institutional </w:t>
      </w:r>
      <w:r w:rsidR="00A073B2">
        <w:rPr>
          <w:sz w:val="22"/>
          <w:szCs w:val="22"/>
        </w:rPr>
        <w:t>accreditors</w:t>
      </w:r>
      <w:r w:rsidRPr="007C2BC7">
        <w:rPr>
          <w:sz w:val="22"/>
        </w:rPr>
        <w:t xml:space="preserve">, the ability to limit negative actions, including the revocation of </w:t>
      </w:r>
      <w:r w:rsidR="00A073B2">
        <w:rPr>
          <w:sz w:val="22"/>
        </w:rPr>
        <w:t>accreditation</w:t>
      </w:r>
      <w:r w:rsidRPr="007C2BC7">
        <w:rPr>
          <w:sz w:val="22"/>
        </w:rPr>
        <w:t xml:space="preserve">, to specific programs </w:t>
      </w:r>
      <w:r w:rsidR="00187DDC" w:rsidRPr="007C2BC7">
        <w:rPr>
          <w:sz w:val="22"/>
        </w:rPr>
        <w:t xml:space="preserve">or additional locations </w:t>
      </w:r>
      <w:r w:rsidRPr="007C2BC7">
        <w:rPr>
          <w:sz w:val="22"/>
        </w:rPr>
        <w:t>that are noncompliant</w:t>
      </w:r>
      <w:r w:rsidR="00A073B2">
        <w:rPr>
          <w:sz w:val="22"/>
        </w:rPr>
        <w:t xml:space="preserve"> without necessarily revoking the accreditation of an entire institution or all of its programs</w:t>
      </w:r>
      <w:r w:rsidRPr="007C2BC7">
        <w:rPr>
          <w:sz w:val="22"/>
        </w:rPr>
        <w:t xml:space="preserve">.  </w:t>
      </w:r>
    </w:p>
    <w:p w14:paraId="2C8F156C" w14:textId="70DBF621" w:rsidR="00EF4029" w:rsidRPr="007C2BC7" w:rsidRDefault="00EF4029" w:rsidP="00EF4029">
      <w:pPr>
        <w:pStyle w:val="ListParagraph"/>
        <w:numPr>
          <w:ilvl w:val="1"/>
          <w:numId w:val="6"/>
        </w:numPr>
        <w:rPr>
          <w:sz w:val="22"/>
        </w:rPr>
      </w:pPr>
      <w:r w:rsidRPr="007C2BC7">
        <w:rPr>
          <w:sz w:val="22"/>
        </w:rPr>
        <w:t xml:space="preserve">The Department believes institutions often escape sanction because the penalties and tools available to agencies are too harsh and inflexible.  </w:t>
      </w:r>
      <w:r w:rsidRPr="007C2BC7">
        <w:rPr>
          <w:sz w:val="22"/>
          <w:szCs w:val="22"/>
        </w:rPr>
        <w:t xml:space="preserve">Instead, </w:t>
      </w:r>
      <w:r w:rsidR="00CD1EB2" w:rsidRPr="007C2BC7">
        <w:rPr>
          <w:sz w:val="22"/>
          <w:szCs w:val="22"/>
        </w:rPr>
        <w:t>agenc</w:t>
      </w:r>
      <w:r w:rsidR="00187DDC" w:rsidRPr="007C2BC7">
        <w:rPr>
          <w:sz w:val="22"/>
          <w:szCs w:val="22"/>
        </w:rPr>
        <w:t>ie</w:t>
      </w:r>
      <w:r w:rsidRPr="007C2BC7">
        <w:rPr>
          <w:sz w:val="22"/>
          <w:szCs w:val="22"/>
        </w:rPr>
        <w:t>s</w:t>
      </w:r>
      <w:r w:rsidRPr="007C2BC7">
        <w:rPr>
          <w:sz w:val="22"/>
        </w:rPr>
        <w:t xml:space="preserve"> may be more likely to </w:t>
      </w:r>
      <w:r w:rsidR="00A073B2">
        <w:rPr>
          <w:sz w:val="22"/>
        </w:rPr>
        <w:t xml:space="preserve">take </w:t>
      </w:r>
      <w:r w:rsidRPr="007C2BC7">
        <w:rPr>
          <w:sz w:val="22"/>
        </w:rPr>
        <w:t>swift</w:t>
      </w:r>
      <w:r w:rsidR="00A073B2">
        <w:rPr>
          <w:sz w:val="22"/>
        </w:rPr>
        <w:t xml:space="preserve"> action and apply</w:t>
      </w:r>
      <w:r w:rsidRPr="007C2BC7">
        <w:rPr>
          <w:sz w:val="22"/>
        </w:rPr>
        <w:t xml:space="preserve"> sanctions when needed if they can more effectively target their action</w:t>
      </w:r>
      <w:r w:rsidR="00A073B2">
        <w:rPr>
          <w:sz w:val="22"/>
        </w:rPr>
        <w:t xml:space="preserve"> to the specific areas of non-compliance</w:t>
      </w:r>
      <w:r w:rsidRPr="007C2BC7">
        <w:rPr>
          <w:sz w:val="22"/>
        </w:rPr>
        <w:t xml:space="preserve">.  </w:t>
      </w:r>
    </w:p>
    <w:p w14:paraId="34423A86" w14:textId="011063D7" w:rsidR="004627FD" w:rsidRPr="007C2BC7" w:rsidRDefault="000D1A8B" w:rsidP="004627FD">
      <w:pPr>
        <w:pStyle w:val="ListParagraph"/>
        <w:numPr>
          <w:ilvl w:val="0"/>
          <w:numId w:val="6"/>
        </w:numPr>
        <w:rPr>
          <w:sz w:val="22"/>
        </w:rPr>
      </w:pPr>
      <w:r w:rsidRPr="007C2BC7">
        <w:rPr>
          <w:sz w:val="22"/>
        </w:rPr>
        <w:t xml:space="preserve">Clarify that, in accordance with statute, </w:t>
      </w:r>
      <w:r w:rsidR="00A073B2">
        <w:rPr>
          <w:sz w:val="22"/>
        </w:rPr>
        <w:t xml:space="preserve">an institution must first engage in arbitration before pursuing a legal remedy against an accreditor, including in the event of an adverse action. </w:t>
      </w:r>
    </w:p>
    <w:p w14:paraId="60FA706B" w14:textId="6E734D8C" w:rsidR="000D1A8B" w:rsidRPr="007C2BC7" w:rsidRDefault="000D1A8B" w:rsidP="004627FD">
      <w:pPr>
        <w:pStyle w:val="ListParagraph"/>
        <w:numPr>
          <w:ilvl w:val="0"/>
          <w:numId w:val="6"/>
        </w:numPr>
        <w:rPr>
          <w:sz w:val="22"/>
        </w:rPr>
      </w:pPr>
      <w:r w:rsidRPr="007C2BC7">
        <w:rPr>
          <w:sz w:val="22"/>
        </w:rPr>
        <w:t xml:space="preserve">Clarify that agencies do not have </w:t>
      </w:r>
      <w:r w:rsidR="00A073B2">
        <w:rPr>
          <w:sz w:val="22"/>
        </w:rPr>
        <w:t>the</w:t>
      </w:r>
      <w:r w:rsidRPr="007C2BC7">
        <w:rPr>
          <w:sz w:val="22"/>
        </w:rPr>
        <w:t xml:space="preserve"> responsibility </w:t>
      </w:r>
      <w:r w:rsidR="00A073B2">
        <w:rPr>
          <w:sz w:val="22"/>
        </w:rPr>
        <w:t>for</w:t>
      </w:r>
      <w:r w:rsidR="00A073B2" w:rsidRPr="007C2BC7">
        <w:rPr>
          <w:sz w:val="22"/>
        </w:rPr>
        <w:t xml:space="preserve"> </w:t>
      </w:r>
      <w:r w:rsidRPr="007C2BC7">
        <w:rPr>
          <w:sz w:val="22"/>
        </w:rPr>
        <w:t>enforc</w:t>
      </w:r>
      <w:r w:rsidR="00A073B2">
        <w:rPr>
          <w:sz w:val="22"/>
        </w:rPr>
        <w:t>ing</w:t>
      </w:r>
      <w:r w:rsidRPr="007C2BC7">
        <w:rPr>
          <w:sz w:val="22"/>
        </w:rPr>
        <w:t xml:space="preserve"> </w:t>
      </w:r>
      <w:r w:rsidR="00A073B2">
        <w:rPr>
          <w:sz w:val="22"/>
        </w:rPr>
        <w:t xml:space="preserve">certain title IV </w:t>
      </w:r>
      <w:r w:rsidRPr="007C2BC7">
        <w:rPr>
          <w:sz w:val="22"/>
        </w:rPr>
        <w:t xml:space="preserve">requirements that </w:t>
      </w:r>
      <w:r w:rsidR="00A073B2">
        <w:rPr>
          <w:sz w:val="22"/>
        </w:rPr>
        <w:t>are the responsibility of the Department</w:t>
      </w:r>
      <w:r w:rsidRPr="007C2BC7">
        <w:rPr>
          <w:sz w:val="22"/>
        </w:rPr>
        <w:t>.  This includes</w:t>
      </w:r>
      <w:r w:rsidR="00A073B2">
        <w:rPr>
          <w:sz w:val="22"/>
        </w:rPr>
        <w:t xml:space="preserve"> monitoring compliance with</w:t>
      </w:r>
      <w:r w:rsidRPr="007C2BC7">
        <w:rPr>
          <w:sz w:val="22"/>
        </w:rPr>
        <w:t xml:space="preserve"> program participation agreements, </w:t>
      </w:r>
      <w:r w:rsidR="00A073B2">
        <w:rPr>
          <w:sz w:val="22"/>
        </w:rPr>
        <w:t xml:space="preserve">performing </w:t>
      </w:r>
      <w:r w:rsidR="008D72EC" w:rsidRPr="007C2BC7">
        <w:rPr>
          <w:sz w:val="22"/>
        </w:rPr>
        <w:t xml:space="preserve">federal </w:t>
      </w:r>
      <w:r w:rsidRPr="007C2BC7">
        <w:rPr>
          <w:sz w:val="22"/>
        </w:rPr>
        <w:t>financial responsibility</w:t>
      </w:r>
      <w:r w:rsidR="008D72EC" w:rsidRPr="007C2BC7">
        <w:rPr>
          <w:sz w:val="22"/>
        </w:rPr>
        <w:t xml:space="preserve"> </w:t>
      </w:r>
      <w:r w:rsidR="00A073B2">
        <w:rPr>
          <w:sz w:val="22"/>
        </w:rPr>
        <w:t>audits or reviews (other than for the purpose of ensuring that the institution has sufficient resources to administer their educational programs)</w:t>
      </w:r>
      <w:r w:rsidRPr="007C2BC7">
        <w:rPr>
          <w:sz w:val="22"/>
        </w:rPr>
        <w:t xml:space="preserve">, </w:t>
      </w:r>
      <w:r w:rsidR="00A073B2">
        <w:rPr>
          <w:sz w:val="22"/>
        </w:rPr>
        <w:t>and ensuring compliance with</w:t>
      </w:r>
      <w:r w:rsidRPr="007C2BC7">
        <w:rPr>
          <w:sz w:val="22"/>
        </w:rPr>
        <w:t xml:space="preserve"> the Clery </w:t>
      </w:r>
      <w:r w:rsidR="00BE0B47">
        <w:rPr>
          <w:sz w:val="22"/>
          <w:szCs w:val="22"/>
        </w:rPr>
        <w:t>A</w:t>
      </w:r>
      <w:r w:rsidRPr="007C2BC7">
        <w:rPr>
          <w:sz w:val="22"/>
          <w:szCs w:val="22"/>
        </w:rPr>
        <w:t>ct</w:t>
      </w:r>
      <w:r w:rsidR="0055607D">
        <w:rPr>
          <w:sz w:val="22"/>
          <w:szCs w:val="22"/>
        </w:rPr>
        <w:t>, among other things</w:t>
      </w:r>
      <w:r w:rsidRPr="007C2BC7">
        <w:rPr>
          <w:sz w:val="22"/>
        </w:rPr>
        <w:t xml:space="preserve">.  </w:t>
      </w:r>
    </w:p>
    <w:p w14:paraId="55A151DE" w14:textId="503C5191" w:rsidR="000D1A8B" w:rsidRPr="007C2BC7" w:rsidRDefault="00A073B2" w:rsidP="000D1A8B">
      <w:pPr>
        <w:pStyle w:val="ListParagraph"/>
        <w:numPr>
          <w:ilvl w:val="1"/>
          <w:numId w:val="6"/>
        </w:numPr>
        <w:rPr>
          <w:sz w:val="22"/>
        </w:rPr>
      </w:pPr>
      <w:r>
        <w:rPr>
          <w:sz w:val="22"/>
        </w:rPr>
        <w:t>Agencies will still be required to report to the Department any title IV violations discovered through accreditation review, but they will not be responsible for auditing requirements that are the sole responsibility of the Department or States</w:t>
      </w:r>
      <w:r w:rsidR="000D1A8B" w:rsidRPr="007C2BC7">
        <w:rPr>
          <w:sz w:val="22"/>
        </w:rPr>
        <w:t xml:space="preserve">.  </w:t>
      </w:r>
    </w:p>
    <w:p w14:paraId="41D33049" w14:textId="5872DA5C" w:rsidR="000D1A8B" w:rsidRPr="002A64C4" w:rsidRDefault="000D1A8B" w:rsidP="000D1A8B">
      <w:pPr>
        <w:pStyle w:val="ListParagraph"/>
        <w:numPr>
          <w:ilvl w:val="0"/>
          <w:numId w:val="6"/>
        </w:numPr>
        <w:rPr>
          <w:sz w:val="22"/>
        </w:rPr>
      </w:pPr>
      <w:r w:rsidRPr="007C2BC7">
        <w:rPr>
          <w:sz w:val="22"/>
        </w:rPr>
        <w:t xml:space="preserve">Clarify that agencies are not required to apply the standards required by </w:t>
      </w:r>
      <w:r w:rsidR="00BE5B6F" w:rsidRPr="007C2BC7">
        <w:rPr>
          <w:sz w:val="22"/>
        </w:rPr>
        <w:t>the</w:t>
      </w:r>
      <w:r w:rsidR="00240DBD">
        <w:rPr>
          <w:sz w:val="22"/>
        </w:rPr>
        <w:t xml:space="preserve"> Department</w:t>
      </w:r>
      <w:r w:rsidR="0055607D">
        <w:rPr>
          <w:sz w:val="22"/>
        </w:rPr>
        <w:t>’s recognition criteria in making ac</w:t>
      </w:r>
      <w:r w:rsidR="00AF54E8">
        <w:rPr>
          <w:sz w:val="22"/>
        </w:rPr>
        <w:t>creditation decisions for</w:t>
      </w:r>
      <w:r w:rsidRPr="007C2BC7" w:rsidDel="00AF54E8">
        <w:rPr>
          <w:sz w:val="22"/>
        </w:rPr>
        <w:t xml:space="preserve"> </w:t>
      </w:r>
      <w:r w:rsidRPr="007C2BC7">
        <w:rPr>
          <w:sz w:val="22"/>
        </w:rPr>
        <w:t xml:space="preserve">institutions </w:t>
      </w:r>
      <w:r w:rsidR="00187DDC" w:rsidRPr="007C2BC7">
        <w:rPr>
          <w:sz w:val="22"/>
        </w:rPr>
        <w:t xml:space="preserve">or programs </w:t>
      </w:r>
      <w:r w:rsidRPr="007C2BC7">
        <w:rPr>
          <w:sz w:val="22"/>
        </w:rPr>
        <w:t xml:space="preserve">that do not participate in any </w:t>
      </w:r>
      <w:r w:rsidR="00187DDC" w:rsidRPr="007C2BC7">
        <w:rPr>
          <w:sz w:val="22"/>
          <w:szCs w:val="22"/>
        </w:rPr>
        <w:t>t</w:t>
      </w:r>
      <w:r w:rsidRPr="007C2BC7">
        <w:rPr>
          <w:sz w:val="22"/>
          <w:szCs w:val="22"/>
        </w:rPr>
        <w:t>itle</w:t>
      </w:r>
      <w:r w:rsidRPr="007C2BC7">
        <w:rPr>
          <w:sz w:val="22"/>
        </w:rPr>
        <w:t xml:space="preserve"> IV</w:t>
      </w:r>
      <w:r w:rsidR="00187DDC" w:rsidRPr="007C2BC7">
        <w:rPr>
          <w:sz w:val="22"/>
        </w:rPr>
        <w:t>,</w:t>
      </w:r>
      <w:r w:rsidRPr="007C2BC7">
        <w:rPr>
          <w:sz w:val="22"/>
        </w:rPr>
        <w:t xml:space="preserve"> HEA </w:t>
      </w:r>
      <w:r w:rsidR="00187DDC" w:rsidRPr="007C2BC7">
        <w:rPr>
          <w:sz w:val="22"/>
        </w:rPr>
        <w:t xml:space="preserve">or other Federal </w:t>
      </w:r>
      <w:r w:rsidRPr="007C2BC7">
        <w:rPr>
          <w:sz w:val="22"/>
        </w:rPr>
        <w:t>program.</w:t>
      </w:r>
    </w:p>
    <w:p w14:paraId="4E045FF3" w14:textId="0EEA45DA" w:rsidR="00B203A3" w:rsidRDefault="00B203A3" w:rsidP="00B203A3">
      <w:pPr>
        <w:pStyle w:val="Heading3"/>
      </w:pPr>
      <w:r>
        <w:t>§ 602.21</w:t>
      </w:r>
      <w:r w:rsidR="0012328A">
        <w:t xml:space="preserve"> </w:t>
      </w:r>
      <w:r w:rsidR="0012328A" w:rsidRPr="0012328A">
        <w:t>Review of standards.</w:t>
      </w:r>
    </w:p>
    <w:p w14:paraId="18E1CA0B" w14:textId="524D922C" w:rsidR="00B203A3" w:rsidRPr="007C2BC7" w:rsidRDefault="00807FAF" w:rsidP="00B203A3">
      <w:pPr>
        <w:pStyle w:val="ListParagraph"/>
        <w:numPr>
          <w:ilvl w:val="0"/>
          <w:numId w:val="6"/>
        </w:numPr>
        <w:rPr>
          <w:sz w:val="22"/>
        </w:rPr>
      </w:pPr>
      <w:r>
        <w:rPr>
          <w:sz w:val="22"/>
        </w:rPr>
        <w:t>Requir</w:t>
      </w:r>
      <w:r w:rsidR="00AF6EFC">
        <w:rPr>
          <w:sz w:val="22"/>
        </w:rPr>
        <w:t>e</w:t>
      </w:r>
      <w:r>
        <w:rPr>
          <w:sz w:val="22"/>
        </w:rPr>
        <w:t xml:space="preserve"> that agencies periodically review and update their standards, but allow agencies to develop their own policies and procedures for </w:t>
      </w:r>
      <w:r w:rsidR="00AF54E8">
        <w:rPr>
          <w:sz w:val="22"/>
        </w:rPr>
        <w:t>how often th</w:t>
      </w:r>
      <w:r w:rsidR="00ED49FA">
        <w:rPr>
          <w:sz w:val="22"/>
        </w:rPr>
        <w:t>ey</w:t>
      </w:r>
      <w:r w:rsidR="00AF54E8">
        <w:rPr>
          <w:sz w:val="22"/>
        </w:rPr>
        <w:t xml:space="preserve"> must conduct</w:t>
      </w:r>
      <w:r>
        <w:rPr>
          <w:sz w:val="22"/>
        </w:rPr>
        <w:t xml:space="preserve"> these reviews</w:t>
      </w:r>
      <w:r w:rsidR="00B203A3" w:rsidRPr="007C2BC7">
        <w:rPr>
          <w:sz w:val="22"/>
        </w:rPr>
        <w:t xml:space="preserve">. </w:t>
      </w:r>
    </w:p>
    <w:p w14:paraId="2910B687" w14:textId="2FBAD70A" w:rsidR="00B203A3" w:rsidRPr="007C2BC7" w:rsidRDefault="0007137B" w:rsidP="00B203A3">
      <w:pPr>
        <w:pStyle w:val="ListParagraph"/>
        <w:numPr>
          <w:ilvl w:val="0"/>
          <w:numId w:val="6"/>
        </w:numPr>
        <w:rPr>
          <w:sz w:val="22"/>
        </w:rPr>
      </w:pPr>
      <w:r w:rsidRPr="007C2BC7">
        <w:rPr>
          <w:sz w:val="22"/>
        </w:rPr>
        <w:lastRenderedPageBreak/>
        <w:t>Remove</w:t>
      </w:r>
      <w:r w:rsidR="00B203A3" w:rsidRPr="007C2BC7">
        <w:rPr>
          <w:sz w:val="22"/>
        </w:rPr>
        <w:t xml:space="preserve"> the requirement </w:t>
      </w:r>
      <w:r w:rsidR="00B97CB5" w:rsidRPr="007C2BC7">
        <w:rPr>
          <w:sz w:val="22"/>
        </w:rPr>
        <w:t xml:space="preserve">that an agency must initiate </w:t>
      </w:r>
      <w:r w:rsidR="00AF54E8" w:rsidRPr="007C2BC7">
        <w:rPr>
          <w:sz w:val="22"/>
        </w:rPr>
        <w:t>action</w:t>
      </w:r>
      <w:r w:rsidR="00AF54E8">
        <w:rPr>
          <w:sz w:val="22"/>
        </w:rPr>
        <w:t xml:space="preserve"> to update their standards </w:t>
      </w:r>
      <w:r w:rsidR="00B97CB5" w:rsidRPr="007C2BC7">
        <w:rPr>
          <w:sz w:val="22"/>
        </w:rPr>
        <w:t>within 12 months</w:t>
      </w:r>
      <w:r w:rsidR="00AF54E8">
        <w:rPr>
          <w:sz w:val="22"/>
        </w:rPr>
        <w:t xml:space="preserve"> and allow agencies to develop timelines appropriate to their scope and the size of their membership.</w:t>
      </w:r>
    </w:p>
    <w:p w14:paraId="47E58731" w14:textId="359A4D1F" w:rsidR="00B97CB5" w:rsidRPr="002A64C4" w:rsidRDefault="00B97CB5" w:rsidP="00B97CB5">
      <w:pPr>
        <w:pStyle w:val="ListParagraph"/>
        <w:numPr>
          <w:ilvl w:val="0"/>
          <w:numId w:val="6"/>
        </w:numPr>
        <w:rPr>
          <w:sz w:val="22"/>
        </w:rPr>
      </w:pPr>
      <w:r w:rsidRPr="007C2BC7">
        <w:rPr>
          <w:sz w:val="22"/>
        </w:rPr>
        <w:t xml:space="preserve">Make other </w:t>
      </w:r>
      <w:r w:rsidR="00807FAF">
        <w:rPr>
          <w:sz w:val="22"/>
        </w:rPr>
        <w:t>technical corrections to improve regulatory</w:t>
      </w:r>
      <w:r w:rsidRPr="007C2BC7" w:rsidDel="00807FAF">
        <w:rPr>
          <w:sz w:val="22"/>
        </w:rPr>
        <w:t xml:space="preserve"> </w:t>
      </w:r>
      <w:r w:rsidRPr="007C2BC7">
        <w:rPr>
          <w:sz w:val="22"/>
        </w:rPr>
        <w:t>clarity.</w:t>
      </w:r>
    </w:p>
    <w:p w14:paraId="6683495C" w14:textId="246FA605" w:rsidR="00B97CB5" w:rsidRDefault="00B97CB5" w:rsidP="00B97CB5">
      <w:pPr>
        <w:pStyle w:val="Heading3"/>
      </w:pPr>
      <w:r>
        <w:t>§ 602.22</w:t>
      </w:r>
      <w:r w:rsidR="0012328A">
        <w:t xml:space="preserve"> Substantive </w:t>
      </w:r>
      <w:r w:rsidR="0012328A" w:rsidRPr="0012328A">
        <w:t>changes and other reporting requirements.</w:t>
      </w:r>
    </w:p>
    <w:p w14:paraId="411D0CE5" w14:textId="19409A19" w:rsidR="00B97CB5" w:rsidRPr="00AF54E8" w:rsidRDefault="00B97CB5" w:rsidP="00B97CB5">
      <w:pPr>
        <w:pStyle w:val="ListParagraph"/>
        <w:numPr>
          <w:ilvl w:val="0"/>
          <w:numId w:val="6"/>
        </w:numPr>
        <w:rPr>
          <w:sz w:val="22"/>
        </w:rPr>
      </w:pPr>
      <w:r w:rsidRPr="00AF54E8">
        <w:rPr>
          <w:sz w:val="22"/>
        </w:rPr>
        <w:t xml:space="preserve">Revise </w:t>
      </w:r>
      <w:r w:rsidR="00557F5F" w:rsidRPr="00AF54E8">
        <w:rPr>
          <w:sz w:val="22"/>
        </w:rPr>
        <w:t xml:space="preserve">the </w:t>
      </w:r>
      <w:r w:rsidRPr="00AF54E8">
        <w:rPr>
          <w:sz w:val="22"/>
        </w:rPr>
        <w:t xml:space="preserve">definition of substantive changes </w:t>
      </w:r>
      <w:r w:rsidR="00AF54E8">
        <w:rPr>
          <w:sz w:val="22"/>
        </w:rPr>
        <w:t xml:space="preserve">to limit the actions </w:t>
      </w:r>
      <w:r w:rsidRPr="00AF54E8">
        <w:rPr>
          <w:sz w:val="22"/>
        </w:rPr>
        <w:t>that require agency pre-approval</w:t>
      </w:r>
      <w:r w:rsidR="00AF54E8">
        <w:rPr>
          <w:sz w:val="22"/>
        </w:rPr>
        <w:t xml:space="preserve"> to high risk activities.  Substantive change approvals are costly and time-consuming, and can interfere with an institution’s ability to be responsive to workforce needs.  Institutions in good standing should be given more latitude to make changes without needing prior agency approval.</w:t>
      </w:r>
    </w:p>
    <w:p w14:paraId="56FAD85E" w14:textId="2C17CF9B" w:rsidR="00557F5F" w:rsidRPr="007C2BC7" w:rsidRDefault="00BE5B6F" w:rsidP="002A64C4">
      <w:pPr>
        <w:pStyle w:val="ListParagraph"/>
        <w:numPr>
          <w:ilvl w:val="0"/>
          <w:numId w:val="6"/>
        </w:numPr>
        <w:rPr>
          <w:sz w:val="22"/>
        </w:rPr>
      </w:pPr>
      <w:r>
        <w:rPr>
          <w:sz w:val="22"/>
        </w:rPr>
        <w:t xml:space="preserve">Include a </w:t>
      </w:r>
      <w:r w:rsidR="00807FAF">
        <w:rPr>
          <w:sz w:val="22"/>
        </w:rPr>
        <w:t xml:space="preserve">list of </w:t>
      </w:r>
      <w:r>
        <w:rPr>
          <w:sz w:val="22"/>
        </w:rPr>
        <w:t>other</w:t>
      </w:r>
      <w:r w:rsidR="00807FAF">
        <w:rPr>
          <w:sz w:val="22"/>
        </w:rPr>
        <w:t xml:space="preserve"> changes that institutions in good standing can implement without prior approval</w:t>
      </w:r>
      <w:r w:rsidR="00AF54E8">
        <w:rPr>
          <w:sz w:val="22"/>
        </w:rPr>
        <w:t>.</w:t>
      </w:r>
    </w:p>
    <w:p w14:paraId="4B174B2E" w14:textId="4FCB370C" w:rsidR="00B97CB5" w:rsidRPr="007C2BC7" w:rsidRDefault="00EC7CCE" w:rsidP="00B97CB5">
      <w:pPr>
        <w:pStyle w:val="ListParagraph"/>
        <w:numPr>
          <w:ilvl w:val="0"/>
          <w:numId w:val="6"/>
        </w:numPr>
        <w:rPr>
          <w:sz w:val="22"/>
        </w:rPr>
      </w:pPr>
      <w:r>
        <w:rPr>
          <w:sz w:val="22"/>
        </w:rPr>
        <w:t>Affirm that certain accreditor decisions can be dated retroactively to ensure that students enrolled in a program that received accreditation benefit fully from that decision.</w:t>
      </w:r>
      <w:r w:rsidR="00B97CB5" w:rsidRPr="007C2BC7">
        <w:rPr>
          <w:sz w:val="22"/>
        </w:rPr>
        <w:t>.</w:t>
      </w:r>
    </w:p>
    <w:p w14:paraId="68E09233" w14:textId="351CF9C9" w:rsidR="00F47807" w:rsidRPr="002A64C4" w:rsidRDefault="0059675C" w:rsidP="000D1A8B">
      <w:pPr>
        <w:pStyle w:val="ListParagraph"/>
        <w:numPr>
          <w:ilvl w:val="0"/>
          <w:numId w:val="6"/>
        </w:numPr>
        <w:rPr>
          <w:sz w:val="22"/>
        </w:rPr>
      </w:pPr>
      <w:r w:rsidRPr="007C2BC7">
        <w:rPr>
          <w:sz w:val="22"/>
        </w:rPr>
        <w:t xml:space="preserve">Make other </w:t>
      </w:r>
      <w:r w:rsidR="00EC7CCE">
        <w:rPr>
          <w:sz w:val="22"/>
        </w:rPr>
        <w:t>technical corrections</w:t>
      </w:r>
      <w:r w:rsidRPr="007C2BC7">
        <w:rPr>
          <w:sz w:val="22"/>
        </w:rPr>
        <w:t xml:space="preserve"> for clarity</w:t>
      </w:r>
      <w:r w:rsidR="00B97CB5" w:rsidRPr="007C2BC7">
        <w:rPr>
          <w:sz w:val="22"/>
        </w:rPr>
        <w:t>.</w:t>
      </w:r>
    </w:p>
    <w:p w14:paraId="625A7A61" w14:textId="5E2C1851" w:rsidR="008026A8" w:rsidRPr="004312AE" w:rsidRDefault="008026A8" w:rsidP="008026A8">
      <w:pPr>
        <w:pStyle w:val="Heading3"/>
      </w:pPr>
      <w:r w:rsidRPr="007269CE">
        <w:t>§ 602.23</w:t>
      </w:r>
      <w:r w:rsidR="0012328A" w:rsidRPr="004312AE">
        <w:t xml:space="preserve"> Operating procedures all agencies must have.</w:t>
      </w:r>
    </w:p>
    <w:p w14:paraId="4415C45D" w14:textId="77C4E7DF" w:rsidR="008026A8" w:rsidRPr="00AE569D" w:rsidRDefault="008026A8" w:rsidP="008026A8">
      <w:pPr>
        <w:pStyle w:val="ListParagraph"/>
        <w:numPr>
          <w:ilvl w:val="0"/>
          <w:numId w:val="6"/>
        </w:numPr>
        <w:rPr>
          <w:sz w:val="22"/>
        </w:rPr>
      </w:pPr>
      <w:r w:rsidRPr="00AE569D">
        <w:rPr>
          <w:sz w:val="22"/>
        </w:rPr>
        <w:t xml:space="preserve">Clarify the agency’s decision-making </w:t>
      </w:r>
      <w:r w:rsidR="00410380" w:rsidRPr="00AE569D">
        <w:rPr>
          <w:sz w:val="22"/>
        </w:rPr>
        <w:t xml:space="preserve">timeline, </w:t>
      </w:r>
      <w:r w:rsidR="00AF54E8" w:rsidRPr="002A64C4">
        <w:rPr>
          <w:sz w:val="22"/>
        </w:rPr>
        <w:t xml:space="preserve">and explain the order in which accreditor, State and Department approval should occur.  </w:t>
      </w:r>
    </w:p>
    <w:p w14:paraId="3E98D54F" w14:textId="25C631F3" w:rsidR="00410380" w:rsidRPr="002A64C4" w:rsidRDefault="00410380" w:rsidP="008026A8">
      <w:pPr>
        <w:pStyle w:val="ListParagraph"/>
        <w:numPr>
          <w:ilvl w:val="0"/>
          <w:numId w:val="6"/>
        </w:numPr>
        <w:rPr>
          <w:sz w:val="22"/>
        </w:rPr>
      </w:pPr>
      <w:r w:rsidRPr="007269CE">
        <w:rPr>
          <w:sz w:val="22"/>
        </w:rPr>
        <w:t>Clarify the information that an agency must make available to the public about its accreditation decision</w:t>
      </w:r>
      <w:r w:rsidR="00ED49FA" w:rsidRPr="002A64C4">
        <w:rPr>
          <w:sz w:val="22"/>
        </w:rPr>
        <w:t>s and its member institutions as well as the members of its decision making bodies</w:t>
      </w:r>
      <w:r w:rsidRPr="007269CE">
        <w:rPr>
          <w:sz w:val="22"/>
        </w:rPr>
        <w:t>.</w:t>
      </w:r>
    </w:p>
    <w:p w14:paraId="0E7983F9" w14:textId="4F0232AC" w:rsidR="0007137B" w:rsidRDefault="0007137B" w:rsidP="0007137B">
      <w:pPr>
        <w:pStyle w:val="Heading3"/>
      </w:pPr>
      <w:r>
        <w:t>§ 602.24</w:t>
      </w:r>
      <w:r w:rsidR="0012328A">
        <w:t xml:space="preserve"> </w:t>
      </w:r>
      <w:r w:rsidR="0012328A" w:rsidRPr="0012328A">
        <w:t>Additional procedures certain institutional accreditors must have.</w:t>
      </w:r>
    </w:p>
    <w:p w14:paraId="7291E634" w14:textId="1592964C" w:rsidR="00CB2AC5" w:rsidRPr="007C2BC7" w:rsidRDefault="00CB2AC5" w:rsidP="0007137B">
      <w:pPr>
        <w:pStyle w:val="ListParagraph"/>
        <w:numPr>
          <w:ilvl w:val="0"/>
          <w:numId w:val="6"/>
        </w:numPr>
        <w:rPr>
          <w:sz w:val="22"/>
        </w:rPr>
      </w:pPr>
      <w:r w:rsidRPr="007C2BC7">
        <w:rPr>
          <w:sz w:val="22"/>
        </w:rPr>
        <w:t>Remove language regarding the sequencing of agency approval of branch campuses and additional locations</w:t>
      </w:r>
      <w:r w:rsidR="002A64C4">
        <w:rPr>
          <w:sz w:val="22"/>
        </w:rPr>
        <w:t>.</w:t>
      </w:r>
    </w:p>
    <w:p w14:paraId="19B91AE9" w14:textId="41C5263E" w:rsidR="00CB2AC5" w:rsidRPr="007C2BC7" w:rsidRDefault="00CB2AC5" w:rsidP="0007137B">
      <w:pPr>
        <w:pStyle w:val="ListParagraph"/>
        <w:numPr>
          <w:ilvl w:val="0"/>
          <w:numId w:val="6"/>
        </w:numPr>
        <w:rPr>
          <w:sz w:val="22"/>
        </w:rPr>
      </w:pPr>
      <w:r w:rsidRPr="007C2BC7">
        <w:rPr>
          <w:sz w:val="22"/>
        </w:rPr>
        <w:t xml:space="preserve">Require that </w:t>
      </w:r>
      <w:r w:rsidR="00DF79FC">
        <w:rPr>
          <w:sz w:val="22"/>
        </w:rPr>
        <w:t>an</w:t>
      </w:r>
      <w:r w:rsidR="00DF79FC" w:rsidRPr="007C2BC7">
        <w:rPr>
          <w:sz w:val="22"/>
        </w:rPr>
        <w:t xml:space="preserve"> </w:t>
      </w:r>
      <w:r w:rsidRPr="007C2BC7">
        <w:rPr>
          <w:sz w:val="22"/>
        </w:rPr>
        <w:t>institution</w:t>
      </w:r>
      <w:r w:rsidR="00DF79FC">
        <w:rPr>
          <w:sz w:val="22"/>
        </w:rPr>
        <w:t xml:space="preserve"> </w:t>
      </w:r>
      <w:r w:rsidRPr="007C2BC7">
        <w:rPr>
          <w:sz w:val="22"/>
        </w:rPr>
        <w:t>provide a</w:t>
      </w:r>
      <w:r w:rsidR="00DF79FC">
        <w:rPr>
          <w:sz w:val="22"/>
        </w:rPr>
        <w:t>n updated</w:t>
      </w:r>
      <w:r w:rsidRPr="007C2BC7">
        <w:rPr>
          <w:sz w:val="22"/>
        </w:rPr>
        <w:t xml:space="preserve"> teach</w:t>
      </w:r>
      <w:r w:rsidR="00C71DD5">
        <w:rPr>
          <w:sz w:val="22"/>
        </w:rPr>
        <w:t>-</w:t>
      </w:r>
      <w:r w:rsidRPr="007C2BC7">
        <w:rPr>
          <w:sz w:val="22"/>
        </w:rPr>
        <w:t>out plan when it notifies the agency of</w:t>
      </w:r>
      <w:r w:rsidR="00C71DD5">
        <w:rPr>
          <w:sz w:val="22"/>
        </w:rPr>
        <w:t xml:space="preserve"> its</w:t>
      </w:r>
      <w:r w:rsidRPr="007C2BC7">
        <w:rPr>
          <w:sz w:val="22"/>
        </w:rPr>
        <w:t xml:space="preserve"> intent to move a location.</w:t>
      </w:r>
    </w:p>
    <w:p w14:paraId="66C444A5" w14:textId="38557856" w:rsidR="0007137B" w:rsidRPr="007C2BC7" w:rsidRDefault="0007137B" w:rsidP="0007137B">
      <w:pPr>
        <w:pStyle w:val="ListParagraph"/>
        <w:numPr>
          <w:ilvl w:val="0"/>
          <w:numId w:val="6"/>
        </w:numPr>
        <w:rPr>
          <w:sz w:val="22"/>
        </w:rPr>
      </w:pPr>
      <w:r w:rsidRPr="007C2BC7">
        <w:rPr>
          <w:sz w:val="22"/>
        </w:rPr>
        <w:t xml:space="preserve">Revise the requirements </w:t>
      </w:r>
      <w:r w:rsidR="00C71DD5">
        <w:rPr>
          <w:sz w:val="22"/>
        </w:rPr>
        <w:t>for approving teach-out agreements to ensure that students enrolled in ground-based programs are given ground-based transfer or completion options</w:t>
      </w:r>
      <w:r w:rsidR="00155FB3">
        <w:rPr>
          <w:sz w:val="22"/>
        </w:rPr>
        <w:t xml:space="preserve">.  Online options may also be provided, but ground-based options must be </w:t>
      </w:r>
      <w:r w:rsidR="00ED49FA">
        <w:rPr>
          <w:sz w:val="22"/>
        </w:rPr>
        <w:t>included</w:t>
      </w:r>
      <w:r w:rsidR="00155FB3">
        <w:rPr>
          <w:sz w:val="22"/>
        </w:rPr>
        <w:t>.</w:t>
      </w:r>
    </w:p>
    <w:p w14:paraId="1D7EA0EF" w14:textId="2107FAA5" w:rsidR="001F0D9E" w:rsidRPr="00E1513D" w:rsidRDefault="0007137B" w:rsidP="001F0D9E">
      <w:pPr>
        <w:pStyle w:val="ListParagraph"/>
        <w:numPr>
          <w:ilvl w:val="0"/>
          <w:numId w:val="6"/>
        </w:numPr>
        <w:rPr>
          <w:sz w:val="22"/>
        </w:rPr>
      </w:pPr>
      <w:r w:rsidRPr="00E1513D">
        <w:rPr>
          <w:sz w:val="22"/>
        </w:rPr>
        <w:t xml:space="preserve">Add the requirement that agencies </w:t>
      </w:r>
      <w:r w:rsidR="00DF79FC">
        <w:rPr>
          <w:sz w:val="22"/>
        </w:rPr>
        <w:t xml:space="preserve">conform their use of the terms </w:t>
      </w:r>
      <w:r w:rsidRPr="00E1513D">
        <w:rPr>
          <w:sz w:val="22"/>
        </w:rPr>
        <w:t>“branch ca</w:t>
      </w:r>
      <w:r>
        <w:rPr>
          <w:sz w:val="22"/>
        </w:rPr>
        <w:t>mpus” and “additional location</w:t>
      </w:r>
      <w:r w:rsidR="00E1513D">
        <w:rPr>
          <w:sz w:val="22"/>
          <w:szCs w:val="22"/>
        </w:rPr>
        <w:t>”</w:t>
      </w:r>
      <w:r w:rsidRPr="00E1513D">
        <w:rPr>
          <w:sz w:val="22"/>
        </w:rPr>
        <w:t xml:space="preserve"> </w:t>
      </w:r>
      <w:r w:rsidR="00DF79FC">
        <w:rPr>
          <w:sz w:val="22"/>
        </w:rPr>
        <w:t>with</w:t>
      </w:r>
      <w:r w:rsidR="00DF79FC" w:rsidRPr="00E1513D">
        <w:rPr>
          <w:sz w:val="22"/>
        </w:rPr>
        <w:t xml:space="preserve"> </w:t>
      </w:r>
      <w:r w:rsidRPr="00E1513D">
        <w:rPr>
          <w:sz w:val="22"/>
        </w:rPr>
        <w:t>§ 600.2</w:t>
      </w:r>
      <w:r w:rsidR="00DF79FC">
        <w:rPr>
          <w:sz w:val="22"/>
        </w:rPr>
        <w:t xml:space="preserve">.  This will </w:t>
      </w:r>
      <w:r w:rsidRPr="00E1513D">
        <w:rPr>
          <w:sz w:val="22"/>
        </w:rPr>
        <w:t xml:space="preserve">alleviate confusion </w:t>
      </w:r>
      <w:r w:rsidR="00DF79FC">
        <w:rPr>
          <w:sz w:val="22"/>
        </w:rPr>
        <w:t>that currently exists as a result of</w:t>
      </w:r>
      <w:r w:rsidRPr="00E1513D">
        <w:rPr>
          <w:sz w:val="22"/>
        </w:rPr>
        <w:t xml:space="preserve"> inconsistent </w:t>
      </w:r>
      <w:r w:rsidR="00155FB3">
        <w:rPr>
          <w:sz w:val="22"/>
        </w:rPr>
        <w:t>utilization of those terms by accreditors and the Department</w:t>
      </w:r>
      <w:r w:rsidR="001F0D9E" w:rsidRPr="00E1513D">
        <w:rPr>
          <w:sz w:val="22"/>
        </w:rPr>
        <w:t>.</w:t>
      </w:r>
    </w:p>
    <w:p w14:paraId="5E59E4E7" w14:textId="3BA9E5B7" w:rsidR="001F0D9E" w:rsidRPr="007C2BC7" w:rsidRDefault="001F0D9E" w:rsidP="001F0D9E">
      <w:pPr>
        <w:pStyle w:val="ListParagraph"/>
        <w:numPr>
          <w:ilvl w:val="0"/>
          <w:numId w:val="6"/>
        </w:numPr>
        <w:rPr>
          <w:sz w:val="22"/>
        </w:rPr>
      </w:pPr>
      <w:r w:rsidRPr="007C2BC7">
        <w:rPr>
          <w:sz w:val="22"/>
        </w:rPr>
        <w:t>Remove the regulations related to credit hour policies.</w:t>
      </w:r>
    </w:p>
    <w:p w14:paraId="6E4F219C" w14:textId="40BEB8ED" w:rsidR="001F0D9E" w:rsidRPr="002A64C4" w:rsidRDefault="001F0D9E" w:rsidP="002A64C4">
      <w:pPr>
        <w:pStyle w:val="ListParagraph"/>
        <w:numPr>
          <w:ilvl w:val="0"/>
          <w:numId w:val="6"/>
        </w:numPr>
        <w:rPr>
          <w:sz w:val="22"/>
        </w:rPr>
      </w:pPr>
      <w:r w:rsidRPr="007C2BC7">
        <w:rPr>
          <w:sz w:val="22"/>
        </w:rPr>
        <w:t xml:space="preserve">Make other </w:t>
      </w:r>
      <w:r w:rsidR="00902AFC">
        <w:rPr>
          <w:sz w:val="22"/>
        </w:rPr>
        <w:t>technical corrections to improve</w:t>
      </w:r>
      <w:r w:rsidRPr="007C2BC7">
        <w:rPr>
          <w:sz w:val="22"/>
        </w:rPr>
        <w:t xml:space="preserve"> clarity.</w:t>
      </w:r>
    </w:p>
    <w:p w14:paraId="18EB53F0" w14:textId="177C82A4" w:rsidR="001F0D9E" w:rsidRDefault="001F0D9E" w:rsidP="001F0D9E">
      <w:pPr>
        <w:pStyle w:val="Heading3"/>
      </w:pPr>
      <w:r>
        <w:t>§ 602.25</w:t>
      </w:r>
      <w:r w:rsidR="0012328A">
        <w:t xml:space="preserve"> </w:t>
      </w:r>
      <w:r w:rsidR="0012328A" w:rsidRPr="0012328A">
        <w:t>Due process.</w:t>
      </w:r>
    </w:p>
    <w:p w14:paraId="16FFCC59" w14:textId="7EC75F94" w:rsidR="001F0D9E" w:rsidRPr="007C2BC7" w:rsidRDefault="00DF79FC" w:rsidP="00AE569D">
      <w:pPr>
        <w:pStyle w:val="ListParagraph"/>
        <w:numPr>
          <w:ilvl w:val="0"/>
          <w:numId w:val="6"/>
        </w:numPr>
        <w:rPr>
          <w:sz w:val="22"/>
        </w:rPr>
      </w:pPr>
      <w:r>
        <w:rPr>
          <w:sz w:val="22"/>
        </w:rPr>
        <w:t>In the event that decisions of the</w:t>
      </w:r>
      <w:r w:rsidR="00902AFC">
        <w:rPr>
          <w:sz w:val="22"/>
        </w:rPr>
        <w:t xml:space="preserve"> appeals body </w:t>
      </w:r>
      <w:r>
        <w:rPr>
          <w:sz w:val="22"/>
        </w:rPr>
        <w:t xml:space="preserve">is remanded to the original decision-making body, requires the appeals body to </w:t>
      </w:r>
      <w:r w:rsidR="00AE569D" w:rsidRPr="00AE569D">
        <w:rPr>
          <w:sz w:val="22"/>
        </w:rPr>
        <w:t>explain the basis for a decision that differs from that of the original decision-making body</w:t>
      </w:r>
      <w:r w:rsidR="00902AFC">
        <w:rPr>
          <w:sz w:val="22"/>
        </w:rPr>
        <w:t>.</w:t>
      </w:r>
      <w:r w:rsidR="001F0D9E" w:rsidRPr="007C2BC7">
        <w:rPr>
          <w:sz w:val="22"/>
        </w:rPr>
        <w:t>.</w:t>
      </w:r>
    </w:p>
    <w:p w14:paraId="0F1B254F" w14:textId="72CA65D5" w:rsidR="008026A8" w:rsidRPr="002A64C4" w:rsidRDefault="001F0D9E" w:rsidP="002A64C4">
      <w:pPr>
        <w:pStyle w:val="ListParagraph"/>
        <w:numPr>
          <w:ilvl w:val="0"/>
          <w:numId w:val="6"/>
        </w:numPr>
        <w:rPr>
          <w:sz w:val="22"/>
        </w:rPr>
      </w:pPr>
      <w:r w:rsidRPr="007C2BC7">
        <w:rPr>
          <w:sz w:val="22"/>
        </w:rPr>
        <w:t xml:space="preserve">Make other </w:t>
      </w:r>
      <w:r w:rsidR="00902AFC">
        <w:rPr>
          <w:sz w:val="22"/>
        </w:rPr>
        <w:t>technical corrections to improve clarity</w:t>
      </w:r>
      <w:r w:rsidRPr="007C2BC7">
        <w:rPr>
          <w:sz w:val="22"/>
        </w:rPr>
        <w:t>.</w:t>
      </w:r>
    </w:p>
    <w:p w14:paraId="5E0E5236" w14:textId="16D91EB1" w:rsidR="001F0D9E" w:rsidRDefault="001F0D9E" w:rsidP="001F0D9E">
      <w:pPr>
        <w:pStyle w:val="Heading3"/>
      </w:pPr>
      <w:r>
        <w:t>§ 602.26</w:t>
      </w:r>
      <w:r w:rsidR="0012328A">
        <w:t xml:space="preserve"> </w:t>
      </w:r>
      <w:r w:rsidR="0012328A" w:rsidRPr="0012328A">
        <w:t>Notification of accrediting decisions.</w:t>
      </w:r>
    </w:p>
    <w:p w14:paraId="23E58E7D" w14:textId="0A12B495" w:rsidR="002F2BDD" w:rsidRPr="002A64C4" w:rsidRDefault="007D7166" w:rsidP="002A64C4">
      <w:pPr>
        <w:pStyle w:val="ListParagraph"/>
        <w:numPr>
          <w:ilvl w:val="0"/>
          <w:numId w:val="6"/>
        </w:numPr>
        <w:rPr>
          <w:sz w:val="22"/>
        </w:rPr>
      </w:pPr>
      <w:r>
        <w:rPr>
          <w:sz w:val="22"/>
        </w:rPr>
        <w:t xml:space="preserve">Shorten the amount of time that an agency has to notify the Department of a negative action to within three business days of notifying </w:t>
      </w:r>
      <w:r w:rsidR="002F2BDD" w:rsidRPr="007C2BC7">
        <w:rPr>
          <w:sz w:val="22"/>
        </w:rPr>
        <w:t>the institution or program</w:t>
      </w:r>
      <w:r w:rsidR="001F0D9E" w:rsidRPr="007C2BC7">
        <w:rPr>
          <w:sz w:val="22"/>
        </w:rPr>
        <w:t>.</w:t>
      </w:r>
    </w:p>
    <w:p w14:paraId="6EAAAA5A" w14:textId="547CBCCE" w:rsidR="002F2BDD" w:rsidRDefault="002F2BDD" w:rsidP="002F2BDD">
      <w:pPr>
        <w:pStyle w:val="Heading3"/>
      </w:pPr>
      <w:r>
        <w:lastRenderedPageBreak/>
        <w:t>§ 602.27</w:t>
      </w:r>
      <w:r w:rsidR="0012328A">
        <w:t xml:space="preserve"> </w:t>
      </w:r>
      <w:r w:rsidR="0012328A" w:rsidRPr="0012328A">
        <w:t>Other information an agency must provide the Department.</w:t>
      </w:r>
    </w:p>
    <w:p w14:paraId="24562E1E" w14:textId="3D6F4A40" w:rsidR="002F2BDD" w:rsidRPr="007C2BC7" w:rsidRDefault="00B51BBA" w:rsidP="002F2BDD">
      <w:pPr>
        <w:pStyle w:val="ListParagraph"/>
        <w:numPr>
          <w:ilvl w:val="0"/>
          <w:numId w:val="6"/>
        </w:numPr>
        <w:rPr>
          <w:sz w:val="22"/>
        </w:rPr>
      </w:pPr>
      <w:r w:rsidRPr="007C2BC7">
        <w:rPr>
          <w:sz w:val="22"/>
        </w:rPr>
        <w:t>Remove the requirement to submit an annual report to the Department</w:t>
      </w:r>
      <w:r w:rsidR="002F2BDD" w:rsidRPr="007C2BC7">
        <w:rPr>
          <w:sz w:val="22"/>
        </w:rPr>
        <w:t>.</w:t>
      </w:r>
    </w:p>
    <w:p w14:paraId="35385BFB" w14:textId="788F7359" w:rsidR="00B51BBA" w:rsidRPr="007C2BC7" w:rsidRDefault="00B51BBA" w:rsidP="002F2BDD">
      <w:pPr>
        <w:pStyle w:val="ListParagraph"/>
        <w:numPr>
          <w:ilvl w:val="0"/>
          <w:numId w:val="6"/>
        </w:numPr>
        <w:rPr>
          <w:sz w:val="22"/>
        </w:rPr>
      </w:pPr>
      <w:r w:rsidRPr="007C2BC7">
        <w:rPr>
          <w:sz w:val="22"/>
        </w:rPr>
        <w:t>Revise the request for confidentiality made by the Secretary regarding information provided by the agency regarding an institution’s compliance with its title IV, HEA program responsibilities.</w:t>
      </w:r>
    </w:p>
    <w:p w14:paraId="2F86DB26" w14:textId="3470C3E3" w:rsidR="008026A8" w:rsidRPr="002A64C4" w:rsidRDefault="00B51BBA" w:rsidP="000D1A8B">
      <w:pPr>
        <w:pStyle w:val="ListParagraph"/>
        <w:numPr>
          <w:ilvl w:val="0"/>
          <w:numId w:val="6"/>
        </w:numPr>
        <w:rPr>
          <w:sz w:val="22"/>
        </w:rPr>
      </w:pPr>
      <w:r w:rsidRPr="007C2BC7">
        <w:rPr>
          <w:sz w:val="22"/>
        </w:rPr>
        <w:t>Make other reorganization and technical, conforming, or word-choice edits for clarity.</w:t>
      </w:r>
    </w:p>
    <w:p w14:paraId="3F42A2E4" w14:textId="28A770AC" w:rsidR="00EC7015" w:rsidRDefault="00EC7015" w:rsidP="00EC7015">
      <w:pPr>
        <w:pStyle w:val="Heading3"/>
      </w:pPr>
      <w:r>
        <w:t>§ 602.28</w:t>
      </w:r>
      <w:r w:rsidR="0012328A">
        <w:t xml:space="preserve"> </w:t>
      </w:r>
      <w:r w:rsidR="0012328A" w:rsidRPr="0012328A">
        <w:t>Regard for decisions of States and other accrediting agencies.</w:t>
      </w:r>
    </w:p>
    <w:p w14:paraId="177B8C8A" w14:textId="611D6A62" w:rsidR="00EC7015" w:rsidRPr="002A64C4" w:rsidRDefault="00DF79FC" w:rsidP="000D1A8B">
      <w:pPr>
        <w:pStyle w:val="ListParagraph"/>
        <w:numPr>
          <w:ilvl w:val="0"/>
          <w:numId w:val="6"/>
        </w:numPr>
        <w:rPr>
          <w:sz w:val="22"/>
        </w:rPr>
      </w:pPr>
      <w:r>
        <w:rPr>
          <w:sz w:val="22"/>
        </w:rPr>
        <w:t>Provide limited exceptions to the</w:t>
      </w:r>
      <w:r w:rsidR="00EC7015" w:rsidRPr="007C2BC7">
        <w:rPr>
          <w:sz w:val="22"/>
        </w:rPr>
        <w:t xml:space="preserve"> </w:t>
      </w:r>
      <w:r>
        <w:rPr>
          <w:sz w:val="22"/>
        </w:rPr>
        <w:t>prohibition on</w:t>
      </w:r>
      <w:r w:rsidR="00EC7015" w:rsidRPr="007C2BC7">
        <w:rPr>
          <w:sz w:val="22"/>
        </w:rPr>
        <w:t xml:space="preserve"> grant</w:t>
      </w:r>
      <w:r>
        <w:rPr>
          <w:sz w:val="22"/>
        </w:rPr>
        <w:t>ing</w:t>
      </w:r>
      <w:r w:rsidR="00EC7015" w:rsidRPr="007C2BC7">
        <w:rPr>
          <w:sz w:val="22"/>
        </w:rPr>
        <w:t xml:space="preserve"> initial or renewed accreditation or preaccreditation to an institution or program </w:t>
      </w:r>
      <w:r>
        <w:rPr>
          <w:sz w:val="22"/>
        </w:rPr>
        <w:t>that is on</w:t>
      </w:r>
      <w:r w:rsidR="007D1340">
        <w:rPr>
          <w:sz w:val="22"/>
        </w:rPr>
        <w:t xml:space="preserve"> </w:t>
      </w:r>
      <w:r w:rsidR="00EC7015" w:rsidRPr="007C2BC7">
        <w:rPr>
          <w:sz w:val="22"/>
        </w:rPr>
        <w:t xml:space="preserve">probation or </w:t>
      </w:r>
      <w:r>
        <w:rPr>
          <w:sz w:val="22"/>
        </w:rPr>
        <w:t xml:space="preserve">the equivalent </w:t>
      </w:r>
      <w:r w:rsidR="00965F6D">
        <w:rPr>
          <w:sz w:val="22"/>
        </w:rPr>
        <w:t xml:space="preserve">with another </w:t>
      </w:r>
      <w:r w:rsidR="00EC7015" w:rsidRPr="007C2BC7">
        <w:rPr>
          <w:sz w:val="22"/>
        </w:rPr>
        <w:t>recognized agency.</w:t>
      </w:r>
      <w:r w:rsidR="00965F6D">
        <w:rPr>
          <w:sz w:val="22"/>
        </w:rPr>
        <w:t xml:space="preserve">  For example, if the agency has violated its due process procedures or has put an institution or program on probation due to an institution’s religious mission, it may be reasonable for the institution or program to seek accreditation from another recognized agency.  </w:t>
      </w:r>
    </w:p>
    <w:p w14:paraId="1E05F19C" w14:textId="71141362" w:rsidR="00EC7015" w:rsidRDefault="00EC7015" w:rsidP="00EC7015">
      <w:pPr>
        <w:pStyle w:val="Heading3"/>
      </w:pPr>
      <w:r>
        <w:t>§ 602.30</w:t>
      </w:r>
      <w:r w:rsidR="0012328A">
        <w:t xml:space="preserve"> </w:t>
      </w:r>
      <w:r w:rsidR="0012328A" w:rsidRPr="0012328A">
        <w:t>Activities covered by recognition procedures.</w:t>
      </w:r>
      <w:r w:rsidR="0012328A">
        <w:t xml:space="preserve"> </w:t>
      </w:r>
    </w:p>
    <w:p w14:paraId="180A717A" w14:textId="4EB1B97C" w:rsidR="00EC7015" w:rsidRPr="007C2BC7" w:rsidRDefault="008B7FC9" w:rsidP="002A64C4">
      <w:pPr>
        <w:pStyle w:val="ListParagraph"/>
        <w:rPr>
          <w:sz w:val="22"/>
        </w:rPr>
      </w:pPr>
      <w:r w:rsidRPr="007C2BC7">
        <w:rPr>
          <w:sz w:val="22"/>
        </w:rPr>
        <w:t>Delete</w:t>
      </w:r>
      <w:r w:rsidR="006D2106" w:rsidRPr="007C2BC7">
        <w:rPr>
          <w:sz w:val="22"/>
        </w:rPr>
        <w:t xml:space="preserve"> and reserve this section, which list</w:t>
      </w:r>
      <w:r w:rsidR="00965F6D">
        <w:rPr>
          <w:sz w:val="22"/>
        </w:rPr>
        <w:t>ed</w:t>
      </w:r>
      <w:r w:rsidR="006D2106" w:rsidRPr="007C2BC7">
        <w:rPr>
          <w:sz w:val="22"/>
        </w:rPr>
        <w:t xml:space="preserve"> the activities covered by the recognition procedures</w:t>
      </w:r>
      <w:r w:rsidR="00965F6D">
        <w:rPr>
          <w:sz w:val="22"/>
        </w:rPr>
        <w:t xml:space="preserve"> in other sections</w:t>
      </w:r>
      <w:r w:rsidR="006D2106" w:rsidRPr="007C2BC7">
        <w:rPr>
          <w:sz w:val="22"/>
        </w:rPr>
        <w:t>.</w:t>
      </w:r>
      <w:r w:rsidR="006D2106" w:rsidRPr="007C2BC7" w:rsidDel="008B7FC9">
        <w:rPr>
          <w:sz w:val="22"/>
        </w:rPr>
        <w:t xml:space="preserve"> </w:t>
      </w:r>
      <w:r w:rsidR="00EC7015" w:rsidRPr="007C2BC7">
        <w:rPr>
          <w:sz w:val="22"/>
          <w:szCs w:val="22"/>
        </w:rPr>
        <w:t xml:space="preserve"> </w:t>
      </w:r>
    </w:p>
    <w:p w14:paraId="6B2200A5" w14:textId="05C19DD1" w:rsidR="001B49A2" w:rsidRDefault="001B49A2" w:rsidP="001B49A2">
      <w:pPr>
        <w:pStyle w:val="Heading3"/>
      </w:pPr>
      <w:r>
        <w:t>§ 602.31</w:t>
      </w:r>
      <w:r w:rsidR="0012328A">
        <w:t xml:space="preserve"> </w:t>
      </w:r>
      <w:r w:rsidR="0012328A" w:rsidRPr="0012328A">
        <w:t>Agency submissions to the Department.</w:t>
      </w:r>
    </w:p>
    <w:p w14:paraId="127F9E33" w14:textId="255E8491" w:rsidR="001B49A2" w:rsidRPr="007C2BC7" w:rsidRDefault="00965F6D" w:rsidP="001B49A2">
      <w:pPr>
        <w:pStyle w:val="ListParagraph"/>
        <w:numPr>
          <w:ilvl w:val="0"/>
          <w:numId w:val="6"/>
        </w:numPr>
        <w:rPr>
          <w:sz w:val="22"/>
        </w:rPr>
      </w:pPr>
      <w:r>
        <w:rPr>
          <w:sz w:val="22"/>
        </w:rPr>
        <w:t xml:space="preserve">Require agencies to include in their petition for recognition or continuation of recognition all documents required by the Secretary </w:t>
      </w:r>
      <w:r w:rsidR="00B16487">
        <w:rPr>
          <w:sz w:val="22"/>
        </w:rPr>
        <w:t>as</w:t>
      </w:r>
      <w:r>
        <w:rPr>
          <w:sz w:val="22"/>
        </w:rPr>
        <w:t xml:space="preserve"> published </w:t>
      </w:r>
      <w:r w:rsidR="008B7FC9" w:rsidRPr="007C2BC7">
        <w:rPr>
          <w:sz w:val="22"/>
        </w:rPr>
        <w:t>in the Federal Register.</w:t>
      </w:r>
    </w:p>
    <w:p w14:paraId="036FE156" w14:textId="10D959C6" w:rsidR="001B49A2" w:rsidRPr="007C2BC7" w:rsidRDefault="00965F6D" w:rsidP="001B49A2">
      <w:pPr>
        <w:pStyle w:val="ListParagraph"/>
        <w:numPr>
          <w:ilvl w:val="0"/>
          <w:numId w:val="6"/>
        </w:numPr>
        <w:rPr>
          <w:sz w:val="22"/>
        </w:rPr>
      </w:pPr>
      <w:r>
        <w:rPr>
          <w:sz w:val="22"/>
        </w:rPr>
        <w:t>Require</w:t>
      </w:r>
      <w:r w:rsidRPr="007C2BC7">
        <w:rPr>
          <w:sz w:val="22"/>
        </w:rPr>
        <w:t xml:space="preserve"> </w:t>
      </w:r>
      <w:r w:rsidR="001B49A2" w:rsidRPr="007C2BC7">
        <w:rPr>
          <w:sz w:val="22"/>
        </w:rPr>
        <w:t xml:space="preserve">agencies to redact business information </w:t>
      </w:r>
      <w:r>
        <w:rPr>
          <w:sz w:val="22"/>
        </w:rPr>
        <w:t xml:space="preserve">from the documents provided to the Department, including in its petition for recognition, to protect sensitive information in the event that the documents are subject to a FOIA request.  </w:t>
      </w:r>
    </w:p>
    <w:p w14:paraId="732F5973" w14:textId="56B63CBA" w:rsidR="0009477E" w:rsidRPr="007C2BC7" w:rsidRDefault="00965F6D" w:rsidP="001B49A2">
      <w:pPr>
        <w:pStyle w:val="ListParagraph"/>
        <w:numPr>
          <w:ilvl w:val="0"/>
          <w:numId w:val="6"/>
        </w:numPr>
        <w:rPr>
          <w:sz w:val="22"/>
        </w:rPr>
      </w:pPr>
      <w:r>
        <w:rPr>
          <w:sz w:val="22"/>
          <w:szCs w:val="22"/>
        </w:rPr>
        <w:t>Require</w:t>
      </w:r>
      <w:r w:rsidR="002A64C4">
        <w:rPr>
          <w:sz w:val="22"/>
          <w:szCs w:val="22"/>
        </w:rPr>
        <w:t xml:space="preserve"> agencies to provide staff with</w:t>
      </w:r>
      <w:r w:rsidR="008B7FC9" w:rsidRPr="007C2BC7">
        <w:rPr>
          <w:sz w:val="22"/>
          <w:szCs w:val="22"/>
        </w:rPr>
        <w:t xml:space="preserve"> information redacted by the</w:t>
      </w:r>
      <w:r w:rsidR="00E1513D">
        <w:rPr>
          <w:sz w:val="22"/>
          <w:szCs w:val="22"/>
        </w:rPr>
        <w:t xml:space="preserve"> </w:t>
      </w:r>
      <w:r w:rsidR="0009477E" w:rsidRPr="007C2BC7">
        <w:rPr>
          <w:sz w:val="22"/>
          <w:szCs w:val="22"/>
        </w:rPr>
        <w:t>agency</w:t>
      </w:r>
      <w:r>
        <w:rPr>
          <w:sz w:val="22"/>
          <w:szCs w:val="22"/>
        </w:rPr>
        <w:t xml:space="preserve"> in its submissions to the Department</w:t>
      </w:r>
      <w:r w:rsidR="0009477E" w:rsidRPr="007C2BC7">
        <w:rPr>
          <w:sz w:val="22"/>
          <w:szCs w:val="22"/>
        </w:rPr>
        <w:t>.</w:t>
      </w:r>
    </w:p>
    <w:p w14:paraId="5B109CCB" w14:textId="1008C220" w:rsidR="00EC7015" w:rsidRPr="002A64C4" w:rsidRDefault="00965F6D" w:rsidP="000D1A8B">
      <w:pPr>
        <w:pStyle w:val="ListParagraph"/>
        <w:numPr>
          <w:ilvl w:val="0"/>
          <w:numId w:val="6"/>
        </w:numPr>
        <w:rPr>
          <w:sz w:val="22"/>
        </w:rPr>
      </w:pPr>
      <w:r>
        <w:rPr>
          <w:sz w:val="22"/>
        </w:rPr>
        <w:t>Permit</w:t>
      </w:r>
      <w:r w:rsidR="0009477E" w:rsidRPr="007C2BC7">
        <w:rPr>
          <w:sz w:val="22"/>
        </w:rPr>
        <w:t xml:space="preserve"> the Secretary </w:t>
      </w:r>
      <w:r>
        <w:rPr>
          <w:sz w:val="22"/>
        </w:rPr>
        <w:t>to</w:t>
      </w:r>
      <w:r w:rsidRPr="007C2BC7">
        <w:rPr>
          <w:sz w:val="22"/>
        </w:rPr>
        <w:t xml:space="preserve"> </w:t>
      </w:r>
      <w:r w:rsidR="0009477E" w:rsidRPr="007C2BC7">
        <w:rPr>
          <w:sz w:val="22"/>
        </w:rPr>
        <w:t>limit the length of agency submissions.</w:t>
      </w:r>
    </w:p>
    <w:p w14:paraId="3E760AD7" w14:textId="09964F46" w:rsidR="0009477E" w:rsidRDefault="0009477E" w:rsidP="0009477E">
      <w:pPr>
        <w:pStyle w:val="Heading3"/>
      </w:pPr>
      <w:r>
        <w:t>§ 602.32</w:t>
      </w:r>
      <w:r w:rsidR="0012328A">
        <w:t xml:space="preserve"> </w:t>
      </w:r>
      <w:r w:rsidR="0012328A" w:rsidRPr="0012328A">
        <w:t>Procedures for Department review of applications for recognition or for change in scope, compliance reports, and increases in enrollment.</w:t>
      </w:r>
    </w:p>
    <w:p w14:paraId="64444477" w14:textId="28448D47" w:rsidR="00DC52EF" w:rsidRPr="007C2BC7" w:rsidRDefault="00DC52EF" w:rsidP="0009477E">
      <w:pPr>
        <w:pStyle w:val="ListParagraph"/>
        <w:numPr>
          <w:ilvl w:val="0"/>
          <w:numId w:val="6"/>
        </w:numPr>
        <w:rPr>
          <w:sz w:val="22"/>
        </w:rPr>
      </w:pPr>
      <w:r w:rsidRPr="007C2BC7">
        <w:rPr>
          <w:sz w:val="22"/>
        </w:rPr>
        <w:t xml:space="preserve">Require agencies seeking renewal of recognition to submit, two years </w:t>
      </w:r>
      <w:r w:rsidR="00965F6D">
        <w:rPr>
          <w:sz w:val="22"/>
        </w:rPr>
        <w:t xml:space="preserve">prior to the expiration of their current term of recognition, a petition, copies of their standards and policy manuals, </w:t>
      </w:r>
      <w:r w:rsidRPr="007C2BC7">
        <w:rPr>
          <w:sz w:val="22"/>
        </w:rPr>
        <w:t xml:space="preserve">and a </w:t>
      </w:r>
      <w:r w:rsidR="00965F6D">
        <w:rPr>
          <w:sz w:val="22"/>
        </w:rPr>
        <w:t xml:space="preserve">list </w:t>
      </w:r>
      <w:r w:rsidRPr="007C2BC7">
        <w:rPr>
          <w:sz w:val="22"/>
        </w:rPr>
        <w:t xml:space="preserve">of their upcoming accrediting </w:t>
      </w:r>
      <w:r w:rsidR="00965F6D">
        <w:rPr>
          <w:sz w:val="22"/>
        </w:rPr>
        <w:t>reviews or decisions, including the timeline if known.</w:t>
      </w:r>
      <w:r w:rsidR="00965F6D" w:rsidRPr="007C2BC7" w:rsidDel="00965F6D">
        <w:rPr>
          <w:sz w:val="22"/>
        </w:rPr>
        <w:t xml:space="preserve"> </w:t>
      </w:r>
    </w:p>
    <w:p w14:paraId="50757707" w14:textId="5ACA4CDC" w:rsidR="00DC52EF" w:rsidRPr="007C2BC7" w:rsidRDefault="00DC52EF" w:rsidP="0009477E">
      <w:pPr>
        <w:pStyle w:val="ListParagraph"/>
        <w:numPr>
          <w:ilvl w:val="0"/>
          <w:numId w:val="6"/>
        </w:numPr>
        <w:rPr>
          <w:sz w:val="22"/>
        </w:rPr>
      </w:pPr>
      <w:r w:rsidRPr="007C2BC7">
        <w:rPr>
          <w:sz w:val="22"/>
        </w:rPr>
        <w:t xml:space="preserve">Provide that Department staff </w:t>
      </w:r>
      <w:r w:rsidR="00B16487">
        <w:rPr>
          <w:sz w:val="22"/>
        </w:rPr>
        <w:t>may consider legal complaints or other actions, but those actions will not be deemed to be determinative unless there is a final determination on the merits.</w:t>
      </w:r>
      <w:r w:rsidR="00B16487" w:rsidDel="00B16487">
        <w:rPr>
          <w:sz w:val="22"/>
        </w:rPr>
        <w:t xml:space="preserve"> </w:t>
      </w:r>
    </w:p>
    <w:p w14:paraId="199D96D4" w14:textId="68ECB13C" w:rsidR="00DC52EF" w:rsidRPr="007C2BC7" w:rsidRDefault="00555F96" w:rsidP="0009477E">
      <w:pPr>
        <w:pStyle w:val="ListParagraph"/>
        <w:numPr>
          <w:ilvl w:val="0"/>
          <w:numId w:val="6"/>
        </w:numPr>
        <w:rPr>
          <w:sz w:val="22"/>
        </w:rPr>
      </w:pPr>
      <w:r>
        <w:rPr>
          <w:sz w:val="22"/>
        </w:rPr>
        <w:t xml:space="preserve">Expand the available options for staff when reviewing an agency’s compliance with recognition requirements to include </w:t>
      </w:r>
      <w:r w:rsidRPr="007C2BC7">
        <w:rPr>
          <w:sz w:val="22"/>
        </w:rPr>
        <w:t>complia</w:t>
      </w:r>
      <w:r>
        <w:rPr>
          <w:sz w:val="22"/>
        </w:rPr>
        <w:t>nt,</w:t>
      </w:r>
      <w:r w:rsidR="004A6B0E">
        <w:rPr>
          <w:sz w:val="22"/>
        </w:rPr>
        <w:t xml:space="preserve"> </w:t>
      </w:r>
      <w:r w:rsidR="00DC52EF" w:rsidRPr="007C2BC7">
        <w:rPr>
          <w:sz w:val="22"/>
        </w:rPr>
        <w:t>substantial</w:t>
      </w:r>
      <w:r>
        <w:rPr>
          <w:sz w:val="22"/>
        </w:rPr>
        <w:t>ly</w:t>
      </w:r>
      <w:r w:rsidR="00DC52EF" w:rsidRPr="007C2BC7">
        <w:rPr>
          <w:sz w:val="22"/>
        </w:rPr>
        <w:t xml:space="preserve"> </w:t>
      </w:r>
      <w:r w:rsidRPr="007C2BC7">
        <w:rPr>
          <w:sz w:val="22"/>
        </w:rPr>
        <w:t>complian</w:t>
      </w:r>
      <w:r>
        <w:rPr>
          <w:sz w:val="22"/>
        </w:rPr>
        <w:t>t</w:t>
      </w:r>
      <w:r w:rsidRPr="007C2BC7">
        <w:rPr>
          <w:sz w:val="22"/>
        </w:rPr>
        <w:t xml:space="preserve"> </w:t>
      </w:r>
      <w:r w:rsidR="00DC52EF" w:rsidRPr="007C2BC7">
        <w:rPr>
          <w:sz w:val="22"/>
        </w:rPr>
        <w:t xml:space="preserve">or non-compliant </w:t>
      </w:r>
      <w:r>
        <w:rPr>
          <w:sz w:val="22"/>
        </w:rPr>
        <w:t xml:space="preserve">and expand the final staff recommendation to include </w:t>
      </w:r>
      <w:r w:rsidR="00D61B36" w:rsidRPr="007C2BC7">
        <w:rPr>
          <w:sz w:val="22"/>
        </w:rPr>
        <w:t xml:space="preserve">approval, approval with </w:t>
      </w:r>
      <w:r w:rsidR="00D61B36" w:rsidRPr="007C2BC7">
        <w:rPr>
          <w:color w:val="000000"/>
          <w:sz w:val="22"/>
        </w:rPr>
        <w:t xml:space="preserve">compliance reporting requirements, approval with monitoring </w:t>
      </w:r>
      <w:r>
        <w:rPr>
          <w:color w:val="000000"/>
          <w:sz w:val="22"/>
        </w:rPr>
        <w:t>report</w:t>
      </w:r>
      <w:r w:rsidR="00D61B36" w:rsidRPr="007C2BC7">
        <w:rPr>
          <w:color w:val="000000"/>
          <w:sz w:val="22"/>
        </w:rPr>
        <w:t xml:space="preserve"> requirements, denial, limitation, suspension or termination of recognition</w:t>
      </w:r>
      <w:r>
        <w:rPr>
          <w:color w:val="000000"/>
          <w:sz w:val="22"/>
        </w:rPr>
        <w:t>.</w:t>
      </w:r>
    </w:p>
    <w:p w14:paraId="7A3916F2" w14:textId="7DD84A84" w:rsidR="00380335" w:rsidRPr="007C2BC7" w:rsidRDefault="00380335" w:rsidP="0009477E">
      <w:pPr>
        <w:pStyle w:val="ListParagraph"/>
        <w:numPr>
          <w:ilvl w:val="0"/>
          <w:numId w:val="6"/>
        </w:numPr>
        <w:rPr>
          <w:sz w:val="22"/>
        </w:rPr>
      </w:pPr>
      <w:r w:rsidRPr="007C2BC7">
        <w:rPr>
          <w:sz w:val="22"/>
        </w:rPr>
        <w:t>Revise the timeframe</w:t>
      </w:r>
      <w:r w:rsidR="00555F96">
        <w:rPr>
          <w:sz w:val="22"/>
        </w:rPr>
        <w:t xml:space="preserve">s for the recognition review process to provide more time for agencies to respond to the Department and for NACIQI to review documents prior to their meetings.  </w:t>
      </w:r>
      <w:r w:rsidRPr="007C2BC7">
        <w:rPr>
          <w:sz w:val="22"/>
        </w:rPr>
        <w:t xml:space="preserve"> </w:t>
      </w:r>
    </w:p>
    <w:p w14:paraId="74A31860" w14:textId="77777777" w:rsidR="00D61B36" w:rsidRPr="007C2BC7" w:rsidRDefault="00D61B36" w:rsidP="0009477E">
      <w:pPr>
        <w:pStyle w:val="ListParagraph"/>
        <w:numPr>
          <w:ilvl w:val="0"/>
          <w:numId w:val="6"/>
        </w:numPr>
        <w:rPr>
          <w:sz w:val="22"/>
        </w:rPr>
      </w:pPr>
      <w:r w:rsidRPr="007C2BC7">
        <w:rPr>
          <w:sz w:val="22"/>
        </w:rPr>
        <w:t>Provide for review and decisions by the Department on requests for expansion of scope submitted outside of the regular renewal of recognition process.</w:t>
      </w:r>
    </w:p>
    <w:p w14:paraId="2AABBF2B" w14:textId="4ED4F0D7" w:rsidR="0009477E" w:rsidRDefault="00380335" w:rsidP="000D1A8B">
      <w:pPr>
        <w:pStyle w:val="ListParagraph"/>
        <w:numPr>
          <w:ilvl w:val="0"/>
          <w:numId w:val="6"/>
        </w:numPr>
        <w:rPr>
          <w:sz w:val="22"/>
        </w:rPr>
      </w:pPr>
      <w:r w:rsidRPr="007C2BC7">
        <w:rPr>
          <w:sz w:val="22"/>
        </w:rPr>
        <w:t xml:space="preserve">Make other </w:t>
      </w:r>
      <w:r w:rsidR="00555F96">
        <w:rPr>
          <w:sz w:val="22"/>
        </w:rPr>
        <w:t>technical corrections to improve regulatory</w:t>
      </w:r>
      <w:r w:rsidRPr="007C2BC7">
        <w:rPr>
          <w:sz w:val="22"/>
        </w:rPr>
        <w:t xml:space="preserve"> clarity.</w:t>
      </w:r>
    </w:p>
    <w:p w14:paraId="44C82F8C" w14:textId="77777777" w:rsidR="002A64C4" w:rsidRPr="002A64C4" w:rsidRDefault="002A64C4" w:rsidP="002A64C4">
      <w:pPr>
        <w:pStyle w:val="ListParagraph"/>
        <w:rPr>
          <w:sz w:val="22"/>
        </w:rPr>
      </w:pPr>
    </w:p>
    <w:p w14:paraId="24D0C006" w14:textId="4901329D" w:rsidR="00380335" w:rsidRDefault="00380335" w:rsidP="00380335">
      <w:pPr>
        <w:pStyle w:val="Heading3"/>
      </w:pPr>
      <w:r>
        <w:t>§ 602.33</w:t>
      </w:r>
      <w:r w:rsidR="0012328A">
        <w:t xml:space="preserve"> </w:t>
      </w:r>
      <w:r w:rsidR="0012328A" w:rsidRPr="0012328A">
        <w:t>Procedures for review of agencies during the period of recognition.</w:t>
      </w:r>
    </w:p>
    <w:p w14:paraId="076BD98F" w14:textId="6733AEDD" w:rsidR="00380335" w:rsidRPr="007C2BC7" w:rsidRDefault="002A64C4" w:rsidP="00380335">
      <w:pPr>
        <w:pStyle w:val="ListParagraph"/>
        <w:numPr>
          <w:ilvl w:val="0"/>
          <w:numId w:val="6"/>
        </w:numPr>
        <w:rPr>
          <w:sz w:val="22"/>
        </w:rPr>
      </w:pPr>
      <w:r>
        <w:rPr>
          <w:sz w:val="22"/>
        </w:rPr>
        <w:t>Clarify that compliance reviews</w:t>
      </w:r>
      <w:r w:rsidR="00BF552F">
        <w:rPr>
          <w:sz w:val="22"/>
        </w:rPr>
        <w:t xml:space="preserve"> are limited</w:t>
      </w:r>
      <w:r w:rsidR="00380335" w:rsidRPr="007C2BC7">
        <w:rPr>
          <w:sz w:val="22"/>
        </w:rPr>
        <w:t xml:space="preserve"> to the Secretary’s Criteria for Recognition.</w:t>
      </w:r>
    </w:p>
    <w:p w14:paraId="2743D27A" w14:textId="2B5690D8" w:rsidR="00380335" w:rsidRPr="007C2BC7" w:rsidRDefault="0028023A" w:rsidP="00380335">
      <w:pPr>
        <w:pStyle w:val="ListParagraph"/>
        <w:numPr>
          <w:ilvl w:val="0"/>
          <w:numId w:val="6"/>
        </w:numPr>
        <w:rPr>
          <w:sz w:val="22"/>
        </w:rPr>
      </w:pPr>
      <w:r w:rsidRPr="007C2BC7">
        <w:rPr>
          <w:sz w:val="22"/>
        </w:rPr>
        <w:t xml:space="preserve">Revise compliance review procedures to </w:t>
      </w:r>
      <w:r w:rsidR="00571C26">
        <w:rPr>
          <w:sz w:val="22"/>
        </w:rPr>
        <w:t>differentiate between reviews that can be completed by staff and those that must be reviewed by</w:t>
      </w:r>
      <w:r w:rsidRPr="007C2BC7">
        <w:rPr>
          <w:sz w:val="22"/>
        </w:rPr>
        <w:t xml:space="preserve"> NACIQI.</w:t>
      </w:r>
    </w:p>
    <w:p w14:paraId="5E806539" w14:textId="12035490" w:rsidR="00380335" w:rsidRPr="002A64C4" w:rsidRDefault="0028023A" w:rsidP="000D1A8B">
      <w:pPr>
        <w:pStyle w:val="ListParagraph"/>
        <w:numPr>
          <w:ilvl w:val="0"/>
          <w:numId w:val="6"/>
        </w:numPr>
        <w:rPr>
          <w:sz w:val="22"/>
        </w:rPr>
      </w:pPr>
      <w:r w:rsidRPr="007C2BC7">
        <w:rPr>
          <w:sz w:val="22"/>
        </w:rPr>
        <w:t xml:space="preserve">Make other </w:t>
      </w:r>
      <w:r w:rsidR="00571C26">
        <w:rPr>
          <w:sz w:val="22"/>
        </w:rPr>
        <w:t>technical corrections</w:t>
      </w:r>
      <w:r w:rsidRPr="007C2BC7">
        <w:rPr>
          <w:sz w:val="22"/>
        </w:rPr>
        <w:t xml:space="preserve"> for clarity.</w:t>
      </w:r>
    </w:p>
    <w:p w14:paraId="30164114" w14:textId="69C79F3C" w:rsidR="0028023A" w:rsidRDefault="0028023A" w:rsidP="0028023A">
      <w:pPr>
        <w:pStyle w:val="Heading3"/>
      </w:pPr>
      <w:r>
        <w:t>§ 602.34</w:t>
      </w:r>
      <w:r w:rsidR="0012328A">
        <w:t xml:space="preserve"> </w:t>
      </w:r>
      <w:r w:rsidR="0012328A" w:rsidRPr="0012328A">
        <w:t>Advisory Committee meetings.</w:t>
      </w:r>
    </w:p>
    <w:p w14:paraId="60CB58A8" w14:textId="580E9B41" w:rsidR="0028023A" w:rsidRPr="007C2BC7" w:rsidRDefault="0028023A" w:rsidP="0028023A">
      <w:pPr>
        <w:pStyle w:val="ListParagraph"/>
        <w:numPr>
          <w:ilvl w:val="0"/>
          <w:numId w:val="6"/>
        </w:numPr>
        <w:rPr>
          <w:sz w:val="22"/>
        </w:rPr>
      </w:pPr>
      <w:r w:rsidRPr="007C2BC7">
        <w:rPr>
          <w:sz w:val="22"/>
        </w:rPr>
        <w:t>Clarify that the agency’s response to the draft staff analysis is provided to NACIQI.</w:t>
      </w:r>
    </w:p>
    <w:p w14:paraId="101E32A6" w14:textId="45570D90" w:rsidR="0028023A" w:rsidRPr="002A64C4" w:rsidRDefault="0028023A" w:rsidP="000D1A8B">
      <w:pPr>
        <w:pStyle w:val="ListParagraph"/>
        <w:numPr>
          <w:ilvl w:val="0"/>
          <w:numId w:val="6"/>
        </w:numPr>
        <w:rPr>
          <w:sz w:val="22"/>
        </w:rPr>
      </w:pPr>
      <w:r w:rsidRPr="007C2BC7">
        <w:rPr>
          <w:sz w:val="22"/>
          <w:szCs w:val="22"/>
        </w:rPr>
        <w:t>Revise the recommendations available to the NACIQI</w:t>
      </w:r>
      <w:r w:rsidR="00F5707F">
        <w:rPr>
          <w:sz w:val="22"/>
          <w:szCs w:val="22"/>
        </w:rPr>
        <w:t xml:space="preserve"> to include those listed in 602.32</w:t>
      </w:r>
      <w:r w:rsidRPr="007C2BC7">
        <w:rPr>
          <w:sz w:val="22"/>
          <w:szCs w:val="22"/>
        </w:rPr>
        <w:t>.</w:t>
      </w:r>
    </w:p>
    <w:p w14:paraId="5A3C5FE6" w14:textId="00799404" w:rsidR="00E831C8" w:rsidRDefault="00E831C8" w:rsidP="00E831C8">
      <w:pPr>
        <w:pStyle w:val="Heading3"/>
      </w:pPr>
      <w:r>
        <w:t>§ 602.35</w:t>
      </w:r>
      <w:r w:rsidR="0012328A">
        <w:t xml:space="preserve"> </w:t>
      </w:r>
      <w:r w:rsidR="0012328A" w:rsidRPr="0012328A">
        <w:t>Responding to the Advisory Committee's recommendation.</w:t>
      </w:r>
    </w:p>
    <w:p w14:paraId="5937D5D1" w14:textId="326146A6" w:rsidR="00E831C8" w:rsidRPr="007C2BC7" w:rsidRDefault="00E831C8" w:rsidP="00E831C8">
      <w:pPr>
        <w:pStyle w:val="ListParagraph"/>
        <w:numPr>
          <w:ilvl w:val="0"/>
          <w:numId w:val="6"/>
        </w:numPr>
        <w:rPr>
          <w:sz w:val="22"/>
        </w:rPr>
      </w:pPr>
      <w:r w:rsidRPr="007C2BC7">
        <w:rPr>
          <w:sz w:val="22"/>
        </w:rPr>
        <w:t xml:space="preserve">Revise the timeframe for an agency and Department staff to submit written comments to the senior Department official to </w:t>
      </w:r>
      <w:r w:rsidR="009461E8" w:rsidRPr="007C2BC7">
        <w:rPr>
          <w:sz w:val="22"/>
        </w:rPr>
        <w:t xml:space="preserve">10 business </w:t>
      </w:r>
      <w:r w:rsidRPr="007C2BC7">
        <w:rPr>
          <w:sz w:val="22"/>
        </w:rPr>
        <w:t>days.</w:t>
      </w:r>
    </w:p>
    <w:p w14:paraId="775867B3" w14:textId="5914DA71" w:rsidR="009461E8" w:rsidRPr="007C2BC7" w:rsidRDefault="00E831C8" w:rsidP="009461E8">
      <w:pPr>
        <w:pStyle w:val="ListParagraph"/>
        <w:numPr>
          <w:ilvl w:val="0"/>
          <w:numId w:val="6"/>
        </w:numPr>
        <w:rPr>
          <w:sz w:val="22"/>
        </w:rPr>
      </w:pPr>
      <w:r w:rsidRPr="007C2BC7">
        <w:rPr>
          <w:sz w:val="22"/>
        </w:rPr>
        <w:t xml:space="preserve">Revise the timeframe for an agency and Department staff to submit written comments to the senior Department official in response to written comments received by the other party to be </w:t>
      </w:r>
      <w:r w:rsidR="006D2106" w:rsidRPr="007C2BC7">
        <w:rPr>
          <w:sz w:val="22"/>
          <w:szCs w:val="22"/>
        </w:rPr>
        <w:t>10</w:t>
      </w:r>
      <w:r w:rsidR="009461E8" w:rsidRPr="007C2BC7">
        <w:rPr>
          <w:sz w:val="22"/>
        </w:rPr>
        <w:t xml:space="preserve"> business </w:t>
      </w:r>
      <w:r w:rsidRPr="007C2BC7">
        <w:rPr>
          <w:sz w:val="22"/>
        </w:rPr>
        <w:t>days.</w:t>
      </w:r>
    </w:p>
    <w:p w14:paraId="455E5735" w14:textId="3CEC1276" w:rsidR="0004196E" w:rsidRPr="002A64C4" w:rsidRDefault="00E831C8" w:rsidP="002A64C4">
      <w:pPr>
        <w:pStyle w:val="ListParagraph"/>
        <w:numPr>
          <w:ilvl w:val="0"/>
          <w:numId w:val="6"/>
        </w:numPr>
        <w:rPr>
          <w:sz w:val="22"/>
        </w:rPr>
      </w:pPr>
      <w:r w:rsidRPr="007C2BC7">
        <w:rPr>
          <w:sz w:val="22"/>
        </w:rPr>
        <w:t>Add the limitation that no additional comments or new evidence may be submitted</w:t>
      </w:r>
      <w:r w:rsidR="0004196E" w:rsidRPr="007C2BC7">
        <w:rPr>
          <w:sz w:val="22"/>
        </w:rPr>
        <w:t xml:space="preserve"> by either party</w:t>
      </w:r>
      <w:r w:rsidRPr="007C2BC7">
        <w:rPr>
          <w:sz w:val="22"/>
        </w:rPr>
        <w:t xml:space="preserve"> after the responses</w:t>
      </w:r>
      <w:r w:rsidR="0004196E" w:rsidRPr="007C2BC7">
        <w:rPr>
          <w:sz w:val="22"/>
        </w:rPr>
        <w:t xml:space="preserve"> to the first comments are submitted.</w:t>
      </w:r>
    </w:p>
    <w:p w14:paraId="5E48FE2C" w14:textId="0B73BEEC" w:rsidR="0004196E" w:rsidRDefault="0004196E" w:rsidP="0004196E">
      <w:pPr>
        <w:pStyle w:val="Heading3"/>
      </w:pPr>
      <w:r>
        <w:t>§ 602.36</w:t>
      </w:r>
      <w:r w:rsidR="0012328A">
        <w:t xml:space="preserve"> </w:t>
      </w:r>
      <w:r w:rsidR="0012328A" w:rsidRPr="0012328A">
        <w:t>Senior Department official's decision.</w:t>
      </w:r>
    </w:p>
    <w:p w14:paraId="314BD605" w14:textId="73A2AAA3" w:rsidR="0004196E" w:rsidRPr="007C2BC7" w:rsidRDefault="0004196E" w:rsidP="0004196E">
      <w:pPr>
        <w:pStyle w:val="ListParagraph"/>
        <w:numPr>
          <w:ilvl w:val="0"/>
          <w:numId w:val="6"/>
        </w:numPr>
        <w:rPr>
          <w:sz w:val="22"/>
        </w:rPr>
      </w:pPr>
      <w:r w:rsidRPr="007C2BC7">
        <w:rPr>
          <w:sz w:val="22"/>
        </w:rPr>
        <w:t xml:space="preserve">Revise the </w:t>
      </w:r>
      <w:r w:rsidR="00677418" w:rsidRPr="007C2BC7">
        <w:rPr>
          <w:sz w:val="22"/>
        </w:rPr>
        <w:t xml:space="preserve">options </w:t>
      </w:r>
      <w:r w:rsidRPr="007C2BC7">
        <w:rPr>
          <w:sz w:val="22"/>
        </w:rPr>
        <w:t xml:space="preserve">available to the senior Department official to </w:t>
      </w:r>
      <w:r w:rsidR="00677418" w:rsidRPr="007C2BC7">
        <w:rPr>
          <w:sz w:val="22"/>
        </w:rPr>
        <w:t xml:space="preserve">include </w:t>
      </w:r>
      <w:r w:rsidR="00F5707F">
        <w:rPr>
          <w:sz w:val="22"/>
        </w:rPr>
        <w:t>those listed in 602.23</w:t>
      </w:r>
    </w:p>
    <w:p w14:paraId="19E04E4B" w14:textId="34168DE6" w:rsidR="0004196E" w:rsidRPr="007C2BC7" w:rsidRDefault="0004196E" w:rsidP="0004196E">
      <w:pPr>
        <w:pStyle w:val="ListParagraph"/>
        <w:numPr>
          <w:ilvl w:val="0"/>
          <w:numId w:val="6"/>
        </w:numPr>
        <w:rPr>
          <w:sz w:val="22"/>
        </w:rPr>
      </w:pPr>
      <w:r w:rsidRPr="007C2BC7">
        <w:rPr>
          <w:sz w:val="22"/>
        </w:rPr>
        <w:t xml:space="preserve">Clarify that the 12 months </w:t>
      </w:r>
      <w:r w:rsidR="00F5707F">
        <w:rPr>
          <w:sz w:val="22"/>
        </w:rPr>
        <w:t xml:space="preserve">period in which an agency must come into compliance begins on the date that the agency is notified </w:t>
      </w:r>
      <w:r w:rsidRPr="007C2BC7">
        <w:rPr>
          <w:sz w:val="22"/>
        </w:rPr>
        <w:t xml:space="preserve">of the </w:t>
      </w:r>
      <w:r w:rsidR="00F5707F">
        <w:rPr>
          <w:sz w:val="22"/>
        </w:rPr>
        <w:t>S</w:t>
      </w:r>
      <w:r w:rsidRPr="007C2BC7">
        <w:rPr>
          <w:sz w:val="22"/>
        </w:rPr>
        <w:t xml:space="preserve">enior Department </w:t>
      </w:r>
      <w:r w:rsidR="00F5707F">
        <w:rPr>
          <w:sz w:val="22"/>
        </w:rPr>
        <w:t>O</w:t>
      </w:r>
      <w:r w:rsidRPr="007C2BC7">
        <w:rPr>
          <w:sz w:val="22"/>
        </w:rPr>
        <w:t>fficial’s decision.</w:t>
      </w:r>
    </w:p>
    <w:p w14:paraId="32C2D7ED" w14:textId="41584838" w:rsidR="00E831C8" w:rsidRPr="002A64C4" w:rsidRDefault="0004196E" w:rsidP="000D1A8B">
      <w:pPr>
        <w:pStyle w:val="ListParagraph"/>
        <w:numPr>
          <w:ilvl w:val="0"/>
          <w:numId w:val="6"/>
        </w:numPr>
        <w:rPr>
          <w:sz w:val="22"/>
        </w:rPr>
      </w:pPr>
      <w:r w:rsidRPr="007C2BC7">
        <w:rPr>
          <w:sz w:val="22"/>
        </w:rPr>
        <w:t xml:space="preserve">Make other </w:t>
      </w:r>
      <w:r w:rsidR="00F5707F">
        <w:rPr>
          <w:sz w:val="22"/>
        </w:rPr>
        <w:t>technical corrections</w:t>
      </w:r>
      <w:r w:rsidRPr="007C2BC7">
        <w:rPr>
          <w:sz w:val="22"/>
        </w:rPr>
        <w:t xml:space="preserve"> for clarity.</w:t>
      </w:r>
    </w:p>
    <w:p w14:paraId="5287685F" w14:textId="72D76595" w:rsidR="0004196E" w:rsidRDefault="0004196E" w:rsidP="0004196E">
      <w:pPr>
        <w:pStyle w:val="Heading3"/>
      </w:pPr>
      <w:r>
        <w:t>§ 602.37</w:t>
      </w:r>
      <w:r w:rsidR="002A64C4">
        <w:t xml:space="preserve"> </w:t>
      </w:r>
      <w:r w:rsidR="0012328A" w:rsidRPr="0012328A">
        <w:t>Appealing the senior Department official's decision to the Secretary.</w:t>
      </w:r>
    </w:p>
    <w:p w14:paraId="15F29166" w14:textId="2A5AC186" w:rsidR="0004196E" w:rsidRPr="007C2BC7" w:rsidRDefault="0004196E" w:rsidP="0004196E">
      <w:pPr>
        <w:pStyle w:val="ListParagraph"/>
        <w:numPr>
          <w:ilvl w:val="0"/>
          <w:numId w:val="6"/>
        </w:numPr>
        <w:rPr>
          <w:sz w:val="22"/>
        </w:rPr>
      </w:pPr>
      <w:r w:rsidRPr="007C2BC7">
        <w:rPr>
          <w:sz w:val="22"/>
        </w:rPr>
        <w:t>Revise the timeframe for an agency to notify the Secretary and the senior Department official in writing of its intent to appeal to be 1</w:t>
      </w:r>
      <w:r w:rsidR="00677418" w:rsidRPr="007C2BC7">
        <w:rPr>
          <w:sz w:val="22"/>
        </w:rPr>
        <w:t xml:space="preserve">0 </w:t>
      </w:r>
      <w:r w:rsidR="00677418" w:rsidRPr="007C2BC7">
        <w:rPr>
          <w:sz w:val="22"/>
          <w:szCs w:val="22"/>
        </w:rPr>
        <w:t>business</w:t>
      </w:r>
      <w:r w:rsidRPr="007C2BC7">
        <w:rPr>
          <w:sz w:val="22"/>
        </w:rPr>
        <w:t xml:space="preserve"> days.</w:t>
      </w:r>
    </w:p>
    <w:p w14:paraId="2FBBEA7E" w14:textId="75F1FC53" w:rsidR="0004196E" w:rsidRPr="007C2BC7" w:rsidRDefault="0004196E" w:rsidP="0004196E">
      <w:pPr>
        <w:pStyle w:val="ListParagraph"/>
        <w:numPr>
          <w:ilvl w:val="0"/>
          <w:numId w:val="6"/>
        </w:numPr>
        <w:rPr>
          <w:sz w:val="22"/>
        </w:rPr>
      </w:pPr>
      <w:r w:rsidRPr="007C2BC7">
        <w:rPr>
          <w:sz w:val="22"/>
        </w:rPr>
        <w:t>Add the limitation that no additional comments or new evidence may be submitted by either party once the agency’s appeal and the senior Department official’s response are submitted.</w:t>
      </w:r>
    </w:p>
    <w:p w14:paraId="7064A634" w14:textId="591EF759" w:rsidR="00B83C05" w:rsidRPr="00331BCD" w:rsidRDefault="0004196E" w:rsidP="0004196E">
      <w:pPr>
        <w:pStyle w:val="ListParagraph"/>
        <w:numPr>
          <w:ilvl w:val="0"/>
          <w:numId w:val="6"/>
        </w:numPr>
        <w:rPr>
          <w:sz w:val="22"/>
        </w:rPr>
      </w:pPr>
      <w:r w:rsidRPr="007C2BC7">
        <w:rPr>
          <w:sz w:val="22"/>
        </w:rPr>
        <w:t xml:space="preserve">Make other </w:t>
      </w:r>
      <w:r w:rsidR="006C6F96">
        <w:rPr>
          <w:sz w:val="22"/>
        </w:rPr>
        <w:t>technical corrections</w:t>
      </w:r>
      <w:r w:rsidRPr="007C2BC7">
        <w:rPr>
          <w:sz w:val="22"/>
        </w:rPr>
        <w:t xml:space="preserve"> </w:t>
      </w:r>
      <w:r w:rsidR="006C6F96">
        <w:rPr>
          <w:sz w:val="22"/>
        </w:rPr>
        <w:t>to improve regulatory</w:t>
      </w:r>
      <w:r w:rsidR="00F0637F">
        <w:rPr>
          <w:sz w:val="22"/>
        </w:rPr>
        <w:t xml:space="preserve"> </w:t>
      </w:r>
      <w:r w:rsidRPr="007C2BC7">
        <w:rPr>
          <w:sz w:val="22"/>
        </w:rPr>
        <w:t>clarity.</w:t>
      </w:r>
    </w:p>
    <w:p w14:paraId="472FDA59" w14:textId="56E8C42D" w:rsidR="00B83C05" w:rsidRPr="00D514DD" w:rsidRDefault="00D514DD" w:rsidP="00B83C05">
      <w:pPr>
        <w:pStyle w:val="Heading1"/>
        <w:rPr>
          <w:rFonts w:eastAsia="Times New Roman"/>
          <w:color w:val="000000"/>
        </w:rPr>
      </w:pPr>
      <w:r>
        <w:rPr>
          <w:rFonts w:eastAsia="Times New Roman"/>
        </w:rPr>
        <w:t>Summary of Part</w:t>
      </w:r>
      <w:r w:rsidRPr="00FE6D54">
        <w:rPr>
          <w:rFonts w:eastAsia="Times New Roman"/>
        </w:rPr>
        <w:t xml:space="preserve"> </w:t>
      </w:r>
      <w:r>
        <w:rPr>
          <w:rFonts w:eastAsia="Times New Roman"/>
        </w:rPr>
        <w:t>603</w:t>
      </w:r>
      <w:r w:rsidRPr="00FE6D54">
        <w:rPr>
          <w:rFonts w:eastAsia="Times New Roman"/>
        </w:rPr>
        <w:t>—</w:t>
      </w:r>
      <w:r w:rsidR="0012328A">
        <w:t xml:space="preserve"> </w:t>
      </w:r>
      <w:r>
        <w:t>Secretary’s Recognition Procedures for State Agencies</w:t>
      </w:r>
    </w:p>
    <w:p w14:paraId="3B557A6F" w14:textId="14157D1F" w:rsidR="00B83C05" w:rsidRDefault="00B83C05" w:rsidP="00B83C05">
      <w:pPr>
        <w:pStyle w:val="Heading3"/>
      </w:pPr>
      <w:r>
        <w:t>§ 603.24</w:t>
      </w:r>
      <w:r w:rsidRPr="00B83C05">
        <w:t xml:space="preserve"> </w:t>
      </w:r>
      <w:r w:rsidR="0012328A">
        <w:t>Criteria for State agencies.</w:t>
      </w:r>
    </w:p>
    <w:p w14:paraId="3D2893FF" w14:textId="0A9D7456" w:rsidR="00B83C05" w:rsidRPr="00E1513D" w:rsidRDefault="00B83C05" w:rsidP="007C2BC7">
      <w:pPr>
        <w:pStyle w:val="ListParagraph"/>
        <w:numPr>
          <w:ilvl w:val="0"/>
          <w:numId w:val="6"/>
        </w:numPr>
        <w:rPr>
          <w:sz w:val="22"/>
        </w:rPr>
      </w:pPr>
      <w:r w:rsidRPr="007C2BC7">
        <w:rPr>
          <w:sz w:val="22"/>
        </w:rPr>
        <w:t>Remove the regulations related to credit hour policies.</w:t>
      </w:r>
    </w:p>
    <w:sectPr w:rsidR="00B83C05" w:rsidRPr="00E1513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6B250" w14:textId="77777777" w:rsidR="00A440E5" w:rsidRDefault="00A440E5" w:rsidP="00F625E2">
      <w:r>
        <w:separator/>
      </w:r>
    </w:p>
  </w:endnote>
  <w:endnote w:type="continuationSeparator" w:id="0">
    <w:p w14:paraId="7EFCAB3F" w14:textId="77777777" w:rsidR="00A440E5" w:rsidRDefault="00A440E5" w:rsidP="00F625E2">
      <w:r>
        <w:continuationSeparator/>
      </w:r>
    </w:p>
  </w:endnote>
  <w:endnote w:type="continuationNotice" w:id="1">
    <w:p w14:paraId="197C4118" w14:textId="77777777" w:rsidR="00A440E5" w:rsidRDefault="00A44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72DA" w14:textId="77777777" w:rsidR="00B2100B" w:rsidRDefault="00B210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95509"/>
      <w:docPartObj>
        <w:docPartGallery w:val="Page Numbers (Bottom of Page)"/>
        <w:docPartUnique/>
      </w:docPartObj>
    </w:sdtPr>
    <w:sdtEndPr>
      <w:rPr>
        <w:noProof/>
        <w:sz w:val="22"/>
      </w:rPr>
    </w:sdtEndPr>
    <w:sdtContent>
      <w:p w14:paraId="0BC16A7B" w14:textId="77777777" w:rsidR="00B2100B" w:rsidRPr="00B83CB4" w:rsidRDefault="00B2100B" w:rsidP="00B83CB4">
        <w:pPr>
          <w:pStyle w:val="Footer"/>
          <w:jc w:val="center"/>
          <w:rPr>
            <w:sz w:val="22"/>
          </w:rPr>
        </w:pPr>
        <w:r w:rsidRPr="00B83CB4">
          <w:rPr>
            <w:sz w:val="22"/>
          </w:rPr>
          <w:fldChar w:fldCharType="begin"/>
        </w:r>
        <w:r w:rsidRPr="00B83CB4">
          <w:rPr>
            <w:sz w:val="22"/>
          </w:rPr>
          <w:instrText xml:space="preserve"> PAGE   \* MERGEFORMAT </w:instrText>
        </w:r>
        <w:r w:rsidRPr="00B83CB4">
          <w:rPr>
            <w:sz w:val="22"/>
          </w:rPr>
          <w:fldChar w:fldCharType="separate"/>
        </w:r>
        <w:r w:rsidR="004848FD">
          <w:rPr>
            <w:noProof/>
            <w:sz w:val="22"/>
          </w:rPr>
          <w:t>5</w:t>
        </w:r>
        <w:r w:rsidRPr="00B83CB4">
          <w:rPr>
            <w:noProof/>
            <w:sz w:val="22"/>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69FF" w14:textId="77777777" w:rsidR="00B2100B" w:rsidRDefault="00B21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0A915" w14:textId="77777777" w:rsidR="00A440E5" w:rsidRDefault="00A440E5" w:rsidP="00F625E2">
      <w:r>
        <w:separator/>
      </w:r>
    </w:p>
  </w:footnote>
  <w:footnote w:type="continuationSeparator" w:id="0">
    <w:p w14:paraId="081CC2F3" w14:textId="77777777" w:rsidR="00A440E5" w:rsidRDefault="00A440E5" w:rsidP="00F625E2">
      <w:r>
        <w:continuationSeparator/>
      </w:r>
    </w:p>
  </w:footnote>
  <w:footnote w:type="continuationNotice" w:id="1">
    <w:p w14:paraId="2053DF4F" w14:textId="77777777" w:rsidR="00A440E5" w:rsidRDefault="00A440E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A0ED" w14:textId="77777777" w:rsidR="00B2100B" w:rsidRDefault="00B210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EF79" w14:textId="77777777" w:rsidR="00B2100B" w:rsidRDefault="00B210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E2B4" w14:textId="77777777" w:rsidR="00B2100B" w:rsidRDefault="00B210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E17"/>
    <w:multiLevelType w:val="hybridMultilevel"/>
    <w:tmpl w:val="1882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6784"/>
    <w:multiLevelType w:val="hybridMultilevel"/>
    <w:tmpl w:val="89588DF2"/>
    <w:lvl w:ilvl="0" w:tplc="94D2D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D20AC"/>
    <w:multiLevelType w:val="hybridMultilevel"/>
    <w:tmpl w:val="6D0E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457FD"/>
    <w:multiLevelType w:val="hybridMultilevel"/>
    <w:tmpl w:val="CED4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B05F0"/>
    <w:multiLevelType w:val="hybridMultilevel"/>
    <w:tmpl w:val="802CA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001D2"/>
    <w:multiLevelType w:val="hybridMultilevel"/>
    <w:tmpl w:val="F39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B2F06"/>
    <w:multiLevelType w:val="hybridMultilevel"/>
    <w:tmpl w:val="772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F2C32"/>
    <w:multiLevelType w:val="hybridMultilevel"/>
    <w:tmpl w:val="6A72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66"/>
    <w:rsid w:val="00016B09"/>
    <w:rsid w:val="00033966"/>
    <w:rsid w:val="0004196E"/>
    <w:rsid w:val="00045C42"/>
    <w:rsid w:val="00050A90"/>
    <w:rsid w:val="0005178F"/>
    <w:rsid w:val="0006741E"/>
    <w:rsid w:val="0007137B"/>
    <w:rsid w:val="00072AA8"/>
    <w:rsid w:val="0009477E"/>
    <w:rsid w:val="000B7524"/>
    <w:rsid w:val="000B7B58"/>
    <w:rsid w:val="000C6780"/>
    <w:rsid w:val="000D1A8B"/>
    <w:rsid w:val="000E2E60"/>
    <w:rsid w:val="000E3E8C"/>
    <w:rsid w:val="000E57F7"/>
    <w:rsid w:val="000F1B1B"/>
    <w:rsid w:val="000F2A2C"/>
    <w:rsid w:val="0011589A"/>
    <w:rsid w:val="0012328A"/>
    <w:rsid w:val="00136D12"/>
    <w:rsid w:val="00142561"/>
    <w:rsid w:val="00151113"/>
    <w:rsid w:val="00155FB3"/>
    <w:rsid w:val="00167EC0"/>
    <w:rsid w:val="001719AA"/>
    <w:rsid w:val="00174510"/>
    <w:rsid w:val="00174B56"/>
    <w:rsid w:val="001751B5"/>
    <w:rsid w:val="00187DDC"/>
    <w:rsid w:val="001B0FEE"/>
    <w:rsid w:val="001B49A2"/>
    <w:rsid w:val="001D6E22"/>
    <w:rsid w:val="001F0D9E"/>
    <w:rsid w:val="002059B1"/>
    <w:rsid w:val="00212195"/>
    <w:rsid w:val="002162D0"/>
    <w:rsid w:val="00234386"/>
    <w:rsid w:val="00240DBD"/>
    <w:rsid w:val="00253372"/>
    <w:rsid w:val="002660EB"/>
    <w:rsid w:val="0028023A"/>
    <w:rsid w:val="00295FA7"/>
    <w:rsid w:val="002A64C4"/>
    <w:rsid w:val="002D2F13"/>
    <w:rsid w:val="002E1716"/>
    <w:rsid w:val="002E232D"/>
    <w:rsid w:val="002E5543"/>
    <w:rsid w:val="002F2BCE"/>
    <w:rsid w:val="002F2BDD"/>
    <w:rsid w:val="00312641"/>
    <w:rsid w:val="00331BCD"/>
    <w:rsid w:val="00340593"/>
    <w:rsid w:val="003466C9"/>
    <w:rsid w:val="00377045"/>
    <w:rsid w:val="00380335"/>
    <w:rsid w:val="00387E37"/>
    <w:rsid w:val="003A428A"/>
    <w:rsid w:val="003B4B6C"/>
    <w:rsid w:val="003F0668"/>
    <w:rsid w:val="0040035F"/>
    <w:rsid w:val="00410380"/>
    <w:rsid w:val="00413B5D"/>
    <w:rsid w:val="004144E8"/>
    <w:rsid w:val="004312AE"/>
    <w:rsid w:val="00435EC4"/>
    <w:rsid w:val="004627FD"/>
    <w:rsid w:val="004663FF"/>
    <w:rsid w:val="004848FD"/>
    <w:rsid w:val="004A6B0E"/>
    <w:rsid w:val="004B4374"/>
    <w:rsid w:val="004B60BD"/>
    <w:rsid w:val="004D3C01"/>
    <w:rsid w:val="00537DB8"/>
    <w:rsid w:val="00540299"/>
    <w:rsid w:val="00553AFD"/>
    <w:rsid w:val="00555F96"/>
    <w:rsid w:val="0055607D"/>
    <w:rsid w:val="00557F5F"/>
    <w:rsid w:val="00571C26"/>
    <w:rsid w:val="005746BD"/>
    <w:rsid w:val="0058206E"/>
    <w:rsid w:val="005955FD"/>
    <w:rsid w:val="0059675C"/>
    <w:rsid w:val="005A6E3D"/>
    <w:rsid w:val="005D306D"/>
    <w:rsid w:val="00631D45"/>
    <w:rsid w:val="00633A13"/>
    <w:rsid w:val="006610DC"/>
    <w:rsid w:val="0067071D"/>
    <w:rsid w:val="006747E2"/>
    <w:rsid w:val="00677418"/>
    <w:rsid w:val="006A1003"/>
    <w:rsid w:val="006C6F96"/>
    <w:rsid w:val="006D2106"/>
    <w:rsid w:val="006F3F1E"/>
    <w:rsid w:val="006F40EF"/>
    <w:rsid w:val="00703874"/>
    <w:rsid w:val="00706030"/>
    <w:rsid w:val="00715096"/>
    <w:rsid w:val="0071706B"/>
    <w:rsid w:val="0072221B"/>
    <w:rsid w:val="007269CE"/>
    <w:rsid w:val="007351C0"/>
    <w:rsid w:val="00746E30"/>
    <w:rsid w:val="0075194A"/>
    <w:rsid w:val="00755F13"/>
    <w:rsid w:val="00764873"/>
    <w:rsid w:val="0078470F"/>
    <w:rsid w:val="0078600A"/>
    <w:rsid w:val="00790F3C"/>
    <w:rsid w:val="007B4BE3"/>
    <w:rsid w:val="007C2BC7"/>
    <w:rsid w:val="007D1340"/>
    <w:rsid w:val="007D3CFE"/>
    <w:rsid w:val="007D43CA"/>
    <w:rsid w:val="007D7166"/>
    <w:rsid w:val="008026A8"/>
    <w:rsid w:val="00805EED"/>
    <w:rsid w:val="00807FAF"/>
    <w:rsid w:val="00841D18"/>
    <w:rsid w:val="008720A7"/>
    <w:rsid w:val="00875072"/>
    <w:rsid w:val="00897606"/>
    <w:rsid w:val="008B3971"/>
    <w:rsid w:val="008B7FC9"/>
    <w:rsid w:val="008C2AE9"/>
    <w:rsid w:val="008D2E70"/>
    <w:rsid w:val="008D72EC"/>
    <w:rsid w:val="008F4A55"/>
    <w:rsid w:val="00902AFC"/>
    <w:rsid w:val="00903FE9"/>
    <w:rsid w:val="00930F24"/>
    <w:rsid w:val="0093142B"/>
    <w:rsid w:val="00933BF5"/>
    <w:rsid w:val="009461E8"/>
    <w:rsid w:val="00965F6D"/>
    <w:rsid w:val="00993351"/>
    <w:rsid w:val="009953E1"/>
    <w:rsid w:val="0099689D"/>
    <w:rsid w:val="009A4BA5"/>
    <w:rsid w:val="009C5D35"/>
    <w:rsid w:val="00A000F3"/>
    <w:rsid w:val="00A073B2"/>
    <w:rsid w:val="00A15446"/>
    <w:rsid w:val="00A339AD"/>
    <w:rsid w:val="00A440E5"/>
    <w:rsid w:val="00A55D8D"/>
    <w:rsid w:val="00A57484"/>
    <w:rsid w:val="00A721D7"/>
    <w:rsid w:val="00A80F85"/>
    <w:rsid w:val="00AB622E"/>
    <w:rsid w:val="00AC4A35"/>
    <w:rsid w:val="00AC649A"/>
    <w:rsid w:val="00AE2708"/>
    <w:rsid w:val="00AE569D"/>
    <w:rsid w:val="00AF0F7F"/>
    <w:rsid w:val="00AF54E8"/>
    <w:rsid w:val="00AF57F1"/>
    <w:rsid w:val="00AF6EFC"/>
    <w:rsid w:val="00B04C33"/>
    <w:rsid w:val="00B0560C"/>
    <w:rsid w:val="00B16487"/>
    <w:rsid w:val="00B178E1"/>
    <w:rsid w:val="00B203A3"/>
    <w:rsid w:val="00B2100B"/>
    <w:rsid w:val="00B2283D"/>
    <w:rsid w:val="00B51BBA"/>
    <w:rsid w:val="00B803C5"/>
    <w:rsid w:val="00B83C05"/>
    <w:rsid w:val="00B83CB4"/>
    <w:rsid w:val="00B87A9D"/>
    <w:rsid w:val="00B97CB5"/>
    <w:rsid w:val="00BB09B3"/>
    <w:rsid w:val="00BE0B47"/>
    <w:rsid w:val="00BE5B6F"/>
    <w:rsid w:val="00BE7132"/>
    <w:rsid w:val="00BE7999"/>
    <w:rsid w:val="00BF16B9"/>
    <w:rsid w:val="00BF4F03"/>
    <w:rsid w:val="00BF552F"/>
    <w:rsid w:val="00BF570E"/>
    <w:rsid w:val="00C06894"/>
    <w:rsid w:val="00C16C95"/>
    <w:rsid w:val="00C20F29"/>
    <w:rsid w:val="00C36364"/>
    <w:rsid w:val="00C467E0"/>
    <w:rsid w:val="00C557B2"/>
    <w:rsid w:val="00C71DD5"/>
    <w:rsid w:val="00C902E4"/>
    <w:rsid w:val="00C90366"/>
    <w:rsid w:val="00CA44F3"/>
    <w:rsid w:val="00CB2AC5"/>
    <w:rsid w:val="00CC4938"/>
    <w:rsid w:val="00CC787C"/>
    <w:rsid w:val="00CD1EB2"/>
    <w:rsid w:val="00CE56BA"/>
    <w:rsid w:val="00D172EC"/>
    <w:rsid w:val="00D20A4A"/>
    <w:rsid w:val="00D2108B"/>
    <w:rsid w:val="00D2321E"/>
    <w:rsid w:val="00D429C6"/>
    <w:rsid w:val="00D449D2"/>
    <w:rsid w:val="00D514DD"/>
    <w:rsid w:val="00D57C90"/>
    <w:rsid w:val="00D61B36"/>
    <w:rsid w:val="00D841E7"/>
    <w:rsid w:val="00D84A56"/>
    <w:rsid w:val="00D90925"/>
    <w:rsid w:val="00D9165F"/>
    <w:rsid w:val="00D9744E"/>
    <w:rsid w:val="00DC337D"/>
    <w:rsid w:val="00DC52EF"/>
    <w:rsid w:val="00DF0D08"/>
    <w:rsid w:val="00DF79FC"/>
    <w:rsid w:val="00E01559"/>
    <w:rsid w:val="00E11AC4"/>
    <w:rsid w:val="00E1513D"/>
    <w:rsid w:val="00E55D17"/>
    <w:rsid w:val="00E8136A"/>
    <w:rsid w:val="00E831C8"/>
    <w:rsid w:val="00E83248"/>
    <w:rsid w:val="00E95F3A"/>
    <w:rsid w:val="00E96D4C"/>
    <w:rsid w:val="00EC2D52"/>
    <w:rsid w:val="00EC64B6"/>
    <w:rsid w:val="00EC7015"/>
    <w:rsid w:val="00EC7CCE"/>
    <w:rsid w:val="00ED3382"/>
    <w:rsid w:val="00ED49FA"/>
    <w:rsid w:val="00EE3902"/>
    <w:rsid w:val="00EE7B76"/>
    <w:rsid w:val="00EF4029"/>
    <w:rsid w:val="00EF7905"/>
    <w:rsid w:val="00F0637F"/>
    <w:rsid w:val="00F324FA"/>
    <w:rsid w:val="00F42DC7"/>
    <w:rsid w:val="00F44B1F"/>
    <w:rsid w:val="00F47807"/>
    <w:rsid w:val="00F5707F"/>
    <w:rsid w:val="00F625E2"/>
    <w:rsid w:val="00F82DAF"/>
    <w:rsid w:val="00F85899"/>
    <w:rsid w:val="00F97854"/>
    <w:rsid w:val="00FD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0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7C2BC7"/>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2BC7"/>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7C2BC7"/>
    <w:pPr>
      <w:keepNext/>
      <w:keepLines/>
      <w:spacing w:before="200"/>
      <w:outlineLvl w:val="2"/>
    </w:pPr>
    <w:rPr>
      <w:rFonts w:ascii="Arial Black" w:eastAsiaTheme="majorEastAsia"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B0FEE"/>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FEE"/>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1B0FEE"/>
    <w:rPr>
      <w:rFonts w:ascii="Arial Black" w:eastAsiaTheme="majorEastAsia"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semiHidden/>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EE"/>
    <w:rPr>
      <w:rFonts w:eastAsiaTheme="minorEastAsia"/>
    </w:rPr>
  </w:style>
  <w:style w:type="paragraph" w:styleId="Heading1">
    <w:name w:val="heading 1"/>
    <w:basedOn w:val="Normal"/>
    <w:next w:val="Normal"/>
    <w:link w:val="Heading1Char"/>
    <w:uiPriority w:val="9"/>
    <w:qFormat/>
    <w:rsid w:val="007C2BC7"/>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2BC7"/>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7C2BC7"/>
    <w:pPr>
      <w:keepNext/>
      <w:keepLines/>
      <w:spacing w:before="200"/>
      <w:outlineLvl w:val="2"/>
    </w:pPr>
    <w:rPr>
      <w:rFonts w:ascii="Arial Black" w:eastAsiaTheme="majorEastAsia"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1B0F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0F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0FEE"/>
    <w:rPr>
      <w:vertAlign w:val="superscript"/>
    </w:rPr>
  </w:style>
  <w:style w:type="character" w:customStyle="1" w:styleId="apple-converted-space">
    <w:name w:val="apple-converted-space"/>
    <w:rsid w:val="001B0FEE"/>
  </w:style>
  <w:style w:type="paragraph" w:customStyle="1" w:styleId="Default">
    <w:name w:val="Default"/>
    <w:rsid w:val="001B0FEE"/>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1B0FEE"/>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FEE"/>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1B0FEE"/>
    <w:rPr>
      <w:rFonts w:ascii="Arial Black" w:eastAsiaTheme="majorEastAsia" w:hAnsi="Arial Black" w:cstheme="majorBidi"/>
      <w:b/>
      <w:bCs/>
      <w:color w:val="4F81BD" w:themeColor="accent1"/>
      <w:sz w:val="22"/>
      <w:szCs w:val="22"/>
    </w:rPr>
  </w:style>
  <w:style w:type="character" w:customStyle="1" w:styleId="Heading4Char">
    <w:name w:val="Heading 4 Char"/>
    <w:basedOn w:val="DefaultParagraphFont"/>
    <w:link w:val="Heading4"/>
    <w:uiPriority w:val="9"/>
    <w:rsid w:val="001B0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0FEE"/>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B0FEE"/>
    <w:rPr>
      <w:sz w:val="16"/>
      <w:szCs w:val="20"/>
    </w:rPr>
  </w:style>
  <w:style w:type="character" w:customStyle="1" w:styleId="FootnoteTextChar">
    <w:name w:val="Footnote Text Char"/>
    <w:basedOn w:val="DefaultParagraphFont"/>
    <w:link w:val="FootnoteText"/>
    <w:uiPriority w:val="99"/>
    <w:semiHidden/>
    <w:rsid w:val="001B0FEE"/>
    <w:rPr>
      <w:rFonts w:eastAsiaTheme="minorEastAsia"/>
      <w:sz w:val="16"/>
      <w:szCs w:val="20"/>
    </w:rPr>
  </w:style>
  <w:style w:type="paragraph" w:styleId="CommentText">
    <w:name w:val="annotation text"/>
    <w:basedOn w:val="Normal"/>
    <w:link w:val="CommentTextChar"/>
    <w:uiPriority w:val="99"/>
    <w:unhideWhenUsed/>
    <w:rsid w:val="001B0FEE"/>
  </w:style>
  <w:style w:type="character" w:customStyle="1" w:styleId="CommentTextChar">
    <w:name w:val="Comment Text Char"/>
    <w:basedOn w:val="DefaultParagraphFont"/>
    <w:link w:val="CommentText"/>
    <w:uiPriority w:val="99"/>
    <w:rsid w:val="001B0FEE"/>
    <w:rPr>
      <w:rFonts w:eastAsiaTheme="minorEastAsia"/>
    </w:rPr>
  </w:style>
  <w:style w:type="paragraph" w:styleId="Header">
    <w:name w:val="header"/>
    <w:basedOn w:val="Normal"/>
    <w:link w:val="HeaderChar"/>
    <w:uiPriority w:val="99"/>
    <w:unhideWhenUsed/>
    <w:rsid w:val="001B0FEE"/>
    <w:pPr>
      <w:tabs>
        <w:tab w:val="center" w:pos="4320"/>
        <w:tab w:val="right" w:pos="8640"/>
      </w:tabs>
    </w:pPr>
  </w:style>
  <w:style w:type="character" w:customStyle="1" w:styleId="HeaderChar">
    <w:name w:val="Header Char"/>
    <w:basedOn w:val="DefaultParagraphFont"/>
    <w:link w:val="Header"/>
    <w:uiPriority w:val="99"/>
    <w:rsid w:val="001B0FEE"/>
    <w:rPr>
      <w:rFonts w:eastAsiaTheme="minorEastAsia"/>
    </w:rPr>
  </w:style>
  <w:style w:type="paragraph" w:styleId="Footer">
    <w:name w:val="footer"/>
    <w:basedOn w:val="Normal"/>
    <w:link w:val="FooterChar"/>
    <w:uiPriority w:val="99"/>
    <w:unhideWhenUsed/>
    <w:rsid w:val="001B0FEE"/>
    <w:pPr>
      <w:tabs>
        <w:tab w:val="center" w:pos="4320"/>
        <w:tab w:val="right" w:pos="8640"/>
      </w:tabs>
    </w:pPr>
  </w:style>
  <w:style w:type="character" w:customStyle="1" w:styleId="FooterChar">
    <w:name w:val="Footer Char"/>
    <w:basedOn w:val="DefaultParagraphFont"/>
    <w:link w:val="Footer"/>
    <w:uiPriority w:val="99"/>
    <w:rsid w:val="001B0FEE"/>
    <w:rPr>
      <w:rFonts w:eastAsiaTheme="minorEastAsia"/>
    </w:rPr>
  </w:style>
  <w:style w:type="character" w:styleId="CommentReference">
    <w:name w:val="annotation reference"/>
    <w:basedOn w:val="DefaultParagraphFont"/>
    <w:uiPriority w:val="99"/>
    <w:semiHidden/>
    <w:unhideWhenUsed/>
    <w:rsid w:val="001B0FEE"/>
    <w:rPr>
      <w:sz w:val="18"/>
      <w:szCs w:val="18"/>
    </w:rPr>
  </w:style>
  <w:style w:type="character" w:styleId="EndnoteReference">
    <w:name w:val="endnote reference"/>
    <w:basedOn w:val="DefaultParagraphFont"/>
    <w:uiPriority w:val="99"/>
    <w:semiHidden/>
    <w:unhideWhenUsed/>
    <w:rsid w:val="001B0FEE"/>
    <w:rPr>
      <w:vertAlign w:val="superscript"/>
    </w:rPr>
  </w:style>
  <w:style w:type="paragraph" w:styleId="EndnoteText">
    <w:name w:val="endnote text"/>
    <w:basedOn w:val="Normal"/>
    <w:link w:val="EndnoteTextChar"/>
    <w:uiPriority w:val="99"/>
    <w:semiHidden/>
    <w:unhideWhenUsed/>
    <w:rsid w:val="001B0FEE"/>
    <w:rPr>
      <w:sz w:val="20"/>
      <w:szCs w:val="20"/>
    </w:rPr>
  </w:style>
  <w:style w:type="character" w:customStyle="1" w:styleId="EndnoteTextChar">
    <w:name w:val="Endnote Text Char"/>
    <w:basedOn w:val="DefaultParagraphFont"/>
    <w:link w:val="EndnoteText"/>
    <w:uiPriority w:val="99"/>
    <w:semiHidden/>
    <w:rsid w:val="001B0FEE"/>
    <w:rPr>
      <w:rFonts w:eastAsiaTheme="minorEastAsia"/>
      <w:sz w:val="20"/>
      <w:szCs w:val="20"/>
    </w:rPr>
  </w:style>
  <w:style w:type="paragraph" w:styleId="Title">
    <w:name w:val="Title"/>
    <w:basedOn w:val="Normal"/>
    <w:next w:val="Normal"/>
    <w:link w:val="TitleChar"/>
    <w:uiPriority w:val="10"/>
    <w:qFormat/>
    <w:rsid w:val="001B0F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FE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1B0FEE"/>
    <w:pPr>
      <w:spacing w:after="120"/>
    </w:pPr>
  </w:style>
  <w:style w:type="character" w:customStyle="1" w:styleId="BodyTextChar">
    <w:name w:val="Body Text Char"/>
    <w:basedOn w:val="DefaultParagraphFont"/>
    <w:link w:val="BodyText"/>
    <w:uiPriority w:val="99"/>
    <w:semiHidden/>
    <w:rsid w:val="001B0FEE"/>
    <w:rPr>
      <w:rFonts w:eastAsiaTheme="minorEastAsia"/>
    </w:rPr>
  </w:style>
  <w:style w:type="paragraph" w:styleId="Subtitle">
    <w:name w:val="Subtitle"/>
    <w:basedOn w:val="Normal"/>
    <w:next w:val="Normal"/>
    <w:link w:val="SubtitleChar"/>
    <w:uiPriority w:val="11"/>
    <w:qFormat/>
    <w:rsid w:val="001B0F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0FEE"/>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B0FEE"/>
    <w:rPr>
      <w:color w:val="0000FF" w:themeColor="hyperlink"/>
      <w:u w:val="single"/>
    </w:rPr>
  </w:style>
  <w:style w:type="character" w:styleId="FollowedHyperlink">
    <w:name w:val="FollowedHyperlink"/>
    <w:basedOn w:val="DefaultParagraphFont"/>
    <w:uiPriority w:val="99"/>
    <w:semiHidden/>
    <w:unhideWhenUsed/>
    <w:rsid w:val="001B0FEE"/>
    <w:rPr>
      <w:color w:val="800080" w:themeColor="followedHyperlink"/>
      <w:u w:val="single"/>
    </w:rPr>
  </w:style>
  <w:style w:type="paragraph" w:styleId="NormalWeb">
    <w:name w:val="Normal (Web)"/>
    <w:basedOn w:val="Normal"/>
    <w:uiPriority w:val="99"/>
    <w:semiHidden/>
    <w:unhideWhenUsed/>
    <w:rsid w:val="001B0F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0FEE"/>
    <w:rPr>
      <w:b/>
      <w:bCs/>
      <w:sz w:val="20"/>
      <w:szCs w:val="20"/>
    </w:rPr>
  </w:style>
  <w:style w:type="character" w:customStyle="1" w:styleId="CommentSubjectChar">
    <w:name w:val="Comment Subject Char"/>
    <w:basedOn w:val="CommentTextChar"/>
    <w:link w:val="CommentSubject"/>
    <w:uiPriority w:val="99"/>
    <w:semiHidden/>
    <w:rsid w:val="001B0FEE"/>
    <w:rPr>
      <w:rFonts w:eastAsiaTheme="minorEastAsia"/>
      <w:b/>
      <w:bCs/>
      <w:sz w:val="20"/>
      <w:szCs w:val="20"/>
    </w:rPr>
  </w:style>
  <w:style w:type="paragraph" w:styleId="BalloonText">
    <w:name w:val="Balloon Text"/>
    <w:basedOn w:val="Normal"/>
    <w:link w:val="BalloonTextChar"/>
    <w:uiPriority w:val="99"/>
    <w:semiHidden/>
    <w:unhideWhenUsed/>
    <w:rsid w:val="001B0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FEE"/>
    <w:rPr>
      <w:rFonts w:ascii="Lucida Grande" w:eastAsiaTheme="minorEastAsia" w:hAnsi="Lucida Grande" w:cs="Lucida Grande"/>
      <w:sz w:val="18"/>
      <w:szCs w:val="18"/>
    </w:rPr>
  </w:style>
  <w:style w:type="table" w:styleId="TableGrid">
    <w:name w:val="Table Grid"/>
    <w:basedOn w:val="TableNormal"/>
    <w:uiPriority w:val="59"/>
    <w:rsid w:val="001B0FE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B0FEE"/>
    <w:rPr>
      <w:sz w:val="22"/>
      <w:szCs w:val="22"/>
    </w:rPr>
  </w:style>
  <w:style w:type="character" w:customStyle="1" w:styleId="NoSpacingChar">
    <w:name w:val="No Spacing Char"/>
    <w:basedOn w:val="DefaultParagraphFont"/>
    <w:link w:val="NoSpacing"/>
    <w:uiPriority w:val="1"/>
    <w:rsid w:val="001B0FEE"/>
    <w:rPr>
      <w:sz w:val="22"/>
      <w:szCs w:val="22"/>
    </w:rPr>
  </w:style>
  <w:style w:type="paragraph" w:styleId="ListParagraph">
    <w:name w:val="List Paragraph"/>
    <w:basedOn w:val="Normal"/>
    <w:uiPriority w:val="34"/>
    <w:qFormat/>
    <w:rsid w:val="001B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E0ECBBA06654DB9CF6361B5B2A5C3" ma:contentTypeVersion="0" ma:contentTypeDescription="Create a new document." ma:contentTypeScope="" ma:versionID="428858bfa4d5ea9067ff87568306a6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3D68-519A-4F6A-BBC7-E950CB8B5519}">
  <ds:schemaRefs>
    <ds:schemaRef ds:uri="http://schemas.microsoft.com/sharepoint/v3/contenttype/forms"/>
  </ds:schemaRefs>
</ds:datastoreItem>
</file>

<file path=customXml/itemProps2.xml><?xml version="1.0" encoding="utf-8"?>
<ds:datastoreItem xmlns:ds="http://schemas.openxmlformats.org/officeDocument/2006/customXml" ds:itemID="{756B086B-1360-4252-9909-A32FD6380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219A3-6E98-40C1-BFEF-6E37DF52F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211116-025E-4F46-80DA-D0C47B3C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6</Pages>
  <Words>3038</Words>
  <Characters>17930</Characters>
  <Application>Microsoft Macintosh Word</Application>
  <DocSecurity>0</DocSecurity>
  <Lines>289</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Part 602—Accreditation (MS Word)</dc:title>
  <dc:subject/>
  <dc:creator>U.S. Department of Education</dc:creator>
  <cp:keywords/>
  <dc:description/>
  <cp:lastModifiedBy>Alan Smigielski</cp:lastModifiedBy>
  <cp:revision>53</cp:revision>
  <dcterms:created xsi:type="dcterms:W3CDTF">2018-11-30T13:57:00Z</dcterms:created>
  <dcterms:modified xsi:type="dcterms:W3CDTF">2019-01-07T14:58:00Z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0x0101006BCE0ECBBA06654DB9CF6361B5B2A5C3</vt:lpwstr>
  </property>
</Properties>
</file>