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EB1A" w14:textId="7A9BAE7A" w:rsidR="00906043" w:rsidRDefault="00906043" w:rsidP="00906043">
      <w:pPr>
        <w:pStyle w:val="Heading1"/>
        <w:rPr>
          <w:rFonts w:eastAsia="Times New Roman"/>
          <w:color w:val="000000"/>
        </w:rPr>
      </w:pPr>
      <w:bookmarkStart w:id="0" w:name="_GoBack"/>
      <w:r>
        <w:rPr>
          <w:rFonts w:eastAsia="Times New Roman"/>
        </w:rPr>
        <w:t>Summary of Part 600—Institutional Eligibility</w:t>
      </w:r>
    </w:p>
    <w:bookmarkEnd w:id="0"/>
    <w:p w14:paraId="60EE81BB" w14:textId="77777777" w:rsidR="0093314A" w:rsidRPr="00445D12" w:rsidRDefault="0093314A" w:rsidP="00445D12">
      <w:pPr>
        <w:pStyle w:val="Heading2"/>
      </w:pPr>
      <w:r w:rsidRPr="00445D12">
        <w:t>Overview</w:t>
      </w:r>
    </w:p>
    <w:p w14:paraId="60EE81BC" w14:textId="77777777" w:rsidR="0093314A" w:rsidRPr="00445D12" w:rsidRDefault="0093314A" w:rsidP="0093314A">
      <w:pPr>
        <w:rPr>
          <w:sz w:val="22"/>
          <w:szCs w:val="22"/>
        </w:rPr>
      </w:pPr>
    </w:p>
    <w:p w14:paraId="24889E6A" w14:textId="6B075840" w:rsidR="0025719F" w:rsidRPr="00445D12" w:rsidRDefault="0025719F" w:rsidP="0025719F">
      <w:pPr>
        <w:rPr>
          <w:sz w:val="22"/>
          <w:szCs w:val="22"/>
        </w:rPr>
      </w:pPr>
      <w:r w:rsidRPr="00445D12">
        <w:rPr>
          <w:sz w:val="22"/>
          <w:szCs w:val="22"/>
        </w:rPr>
        <w:t xml:space="preserve">The </w:t>
      </w:r>
      <w:r w:rsidR="001C7E9D">
        <w:rPr>
          <w:sz w:val="22"/>
          <w:szCs w:val="22"/>
        </w:rPr>
        <w:t>goal</w:t>
      </w:r>
      <w:r w:rsidRPr="00445D12">
        <w:rPr>
          <w:sz w:val="22"/>
          <w:szCs w:val="22"/>
        </w:rPr>
        <w:t xml:space="preserve"> of these negotiations is to modify</w:t>
      </w:r>
      <w:r w:rsidR="001C7E9D">
        <w:rPr>
          <w:sz w:val="22"/>
          <w:szCs w:val="22"/>
        </w:rPr>
        <w:t xml:space="preserve"> or clarify certain</w:t>
      </w:r>
      <w:r w:rsidRPr="00445D12">
        <w:rPr>
          <w:sz w:val="22"/>
          <w:szCs w:val="22"/>
        </w:rPr>
        <w:t xml:space="preserve"> regulations that pertain to institutional </w:t>
      </w:r>
      <w:r w:rsidR="001C7E9D">
        <w:rPr>
          <w:sz w:val="22"/>
          <w:szCs w:val="22"/>
        </w:rPr>
        <w:t xml:space="preserve">eligibility, including updating definitions and making conforming changes to those proposed for accreditation and educational innovation.   </w:t>
      </w:r>
    </w:p>
    <w:p w14:paraId="28320E0B" w14:textId="77777777" w:rsidR="0025719F" w:rsidRPr="00445D12" w:rsidRDefault="0025719F" w:rsidP="0025719F">
      <w:pPr>
        <w:rPr>
          <w:sz w:val="22"/>
          <w:szCs w:val="22"/>
        </w:rPr>
      </w:pPr>
    </w:p>
    <w:p w14:paraId="60EE81DA" w14:textId="03D91F26" w:rsidR="006065C9" w:rsidRPr="00445D12" w:rsidRDefault="005421DF" w:rsidP="006130AA">
      <w:pPr>
        <w:rPr>
          <w:sz w:val="22"/>
          <w:szCs w:val="22"/>
        </w:rPr>
      </w:pPr>
      <w:r w:rsidRPr="00445D12">
        <w:rPr>
          <w:sz w:val="22"/>
          <w:szCs w:val="22"/>
        </w:rPr>
        <w:t xml:space="preserve">We also intend to use this opportunity to </w:t>
      </w:r>
      <w:r w:rsidR="001C7E9D">
        <w:rPr>
          <w:sz w:val="22"/>
          <w:szCs w:val="22"/>
        </w:rPr>
        <w:t>make</w:t>
      </w:r>
      <w:r w:rsidRPr="00445D12">
        <w:rPr>
          <w:sz w:val="22"/>
          <w:szCs w:val="22"/>
        </w:rPr>
        <w:t xml:space="preserve"> technical corrections </w:t>
      </w:r>
      <w:r w:rsidR="001C7E9D">
        <w:rPr>
          <w:sz w:val="22"/>
          <w:szCs w:val="22"/>
        </w:rPr>
        <w:t xml:space="preserve">to provide greater regulatory </w:t>
      </w:r>
      <w:r w:rsidRPr="00445D12">
        <w:rPr>
          <w:sz w:val="22"/>
          <w:szCs w:val="22"/>
        </w:rPr>
        <w:t>clari</w:t>
      </w:r>
      <w:r w:rsidR="001C7E9D">
        <w:rPr>
          <w:sz w:val="22"/>
          <w:szCs w:val="22"/>
        </w:rPr>
        <w:t>ty</w:t>
      </w:r>
      <w:r w:rsidR="0071618D">
        <w:rPr>
          <w:sz w:val="22"/>
          <w:szCs w:val="22"/>
        </w:rPr>
        <w:t xml:space="preserve"> </w:t>
      </w:r>
      <w:r w:rsidR="001C7E9D">
        <w:rPr>
          <w:sz w:val="22"/>
          <w:szCs w:val="22"/>
        </w:rPr>
        <w:t>and</w:t>
      </w:r>
      <w:r w:rsidRPr="00445D12">
        <w:rPr>
          <w:sz w:val="22"/>
          <w:szCs w:val="22"/>
        </w:rPr>
        <w:t xml:space="preserve"> better conform </w:t>
      </w:r>
      <w:proofErr w:type="gramStart"/>
      <w:r w:rsidRPr="00445D12">
        <w:rPr>
          <w:sz w:val="22"/>
          <w:szCs w:val="22"/>
        </w:rPr>
        <w:t>with</w:t>
      </w:r>
      <w:proofErr w:type="gramEnd"/>
      <w:r w:rsidRPr="00445D12">
        <w:rPr>
          <w:sz w:val="22"/>
          <w:szCs w:val="22"/>
        </w:rPr>
        <w:t xml:space="preserve"> statut</w:t>
      </w:r>
      <w:r w:rsidR="001C7E9D">
        <w:rPr>
          <w:sz w:val="22"/>
          <w:szCs w:val="22"/>
        </w:rPr>
        <w:t xml:space="preserve">ory requirements. </w:t>
      </w:r>
    </w:p>
    <w:p w14:paraId="5DCE9D97" w14:textId="073ACF9D" w:rsidR="00A006F2" w:rsidRPr="00445D12" w:rsidRDefault="00A006F2" w:rsidP="00445D12">
      <w:pPr>
        <w:pStyle w:val="Heading2"/>
        <w:rPr>
          <w:rFonts w:eastAsia="Times New Roman"/>
        </w:rPr>
      </w:pPr>
      <w:r w:rsidRPr="00445D12">
        <w:rPr>
          <w:rFonts w:eastAsia="Times New Roman"/>
        </w:rPr>
        <w:t>SUBPART A—GENERAL</w:t>
      </w:r>
    </w:p>
    <w:p w14:paraId="60EE81DC" w14:textId="3B8CB16C" w:rsidR="003314E7" w:rsidRPr="00445D12" w:rsidRDefault="0019181A" w:rsidP="00295057">
      <w:pPr>
        <w:pStyle w:val="Heading3"/>
      </w:pPr>
      <w:r w:rsidRPr="00445D12">
        <w:t>§600.2   Definitions.</w:t>
      </w:r>
    </w:p>
    <w:p w14:paraId="17F510BE" w14:textId="75AE59C3" w:rsidR="00DD37DA" w:rsidRPr="00445D12" w:rsidRDefault="0019181A" w:rsidP="00DD37DA">
      <w:pPr>
        <w:pStyle w:val="ListParagraph"/>
        <w:numPr>
          <w:ilvl w:val="0"/>
          <w:numId w:val="9"/>
        </w:numPr>
        <w:rPr>
          <w:sz w:val="22"/>
          <w:szCs w:val="22"/>
        </w:rPr>
      </w:pPr>
      <w:r w:rsidRPr="00445D12">
        <w:rPr>
          <w:sz w:val="22"/>
          <w:szCs w:val="22"/>
        </w:rPr>
        <w:t xml:space="preserve">Add a definition for </w:t>
      </w:r>
      <w:r w:rsidRPr="00445D12">
        <w:rPr>
          <w:i/>
          <w:sz w:val="22"/>
          <w:szCs w:val="22"/>
        </w:rPr>
        <w:t>Additional Location.</w:t>
      </w:r>
    </w:p>
    <w:p w14:paraId="3CB6740B" w14:textId="1F7F540D" w:rsidR="0019181A" w:rsidRPr="00445D12" w:rsidRDefault="0019181A" w:rsidP="00DD37DA">
      <w:pPr>
        <w:pStyle w:val="ListParagraph"/>
        <w:numPr>
          <w:ilvl w:val="0"/>
          <w:numId w:val="9"/>
        </w:numPr>
        <w:rPr>
          <w:sz w:val="22"/>
          <w:szCs w:val="22"/>
        </w:rPr>
      </w:pPr>
      <w:r w:rsidRPr="00445D12">
        <w:rPr>
          <w:sz w:val="22"/>
          <w:szCs w:val="22"/>
        </w:rPr>
        <w:t xml:space="preserve">Modify the definition of </w:t>
      </w:r>
      <w:r w:rsidRPr="00445D12">
        <w:rPr>
          <w:i/>
          <w:sz w:val="22"/>
          <w:szCs w:val="22"/>
        </w:rPr>
        <w:t xml:space="preserve">Branch Campus </w:t>
      </w:r>
      <w:r w:rsidRPr="00445D12">
        <w:rPr>
          <w:sz w:val="22"/>
          <w:szCs w:val="22"/>
        </w:rPr>
        <w:t xml:space="preserve">to </w:t>
      </w:r>
      <w:r w:rsidR="001C7E9D">
        <w:rPr>
          <w:sz w:val="22"/>
          <w:szCs w:val="22"/>
        </w:rPr>
        <w:t>distinguish it from other additional locations</w:t>
      </w:r>
      <w:r w:rsidRPr="00445D12">
        <w:rPr>
          <w:sz w:val="22"/>
          <w:szCs w:val="22"/>
        </w:rPr>
        <w:t>.</w:t>
      </w:r>
    </w:p>
    <w:p w14:paraId="7760C5B5" w14:textId="091AFDBF" w:rsidR="0019181A" w:rsidRPr="00445D12" w:rsidRDefault="0019181A" w:rsidP="00DD37DA">
      <w:pPr>
        <w:pStyle w:val="ListParagraph"/>
        <w:numPr>
          <w:ilvl w:val="0"/>
          <w:numId w:val="9"/>
        </w:numPr>
        <w:rPr>
          <w:sz w:val="22"/>
          <w:szCs w:val="22"/>
        </w:rPr>
      </w:pPr>
      <w:r w:rsidRPr="00445D12">
        <w:rPr>
          <w:sz w:val="22"/>
          <w:szCs w:val="22"/>
        </w:rPr>
        <w:t xml:space="preserve">Modify the definition of </w:t>
      </w:r>
      <w:r w:rsidRPr="00445D12">
        <w:rPr>
          <w:i/>
          <w:sz w:val="22"/>
          <w:szCs w:val="22"/>
        </w:rPr>
        <w:t xml:space="preserve">Clock Hour </w:t>
      </w:r>
      <w:r w:rsidRPr="00445D12">
        <w:rPr>
          <w:sz w:val="22"/>
          <w:szCs w:val="22"/>
        </w:rPr>
        <w:t xml:space="preserve">to </w:t>
      </w:r>
      <w:r w:rsidR="001C7E9D">
        <w:rPr>
          <w:sz w:val="22"/>
          <w:szCs w:val="22"/>
        </w:rPr>
        <w:t>include</w:t>
      </w:r>
      <w:r w:rsidR="001C7E9D" w:rsidRPr="00445D12">
        <w:rPr>
          <w:sz w:val="22"/>
          <w:szCs w:val="22"/>
        </w:rPr>
        <w:t xml:space="preserve"> </w:t>
      </w:r>
      <w:r w:rsidRPr="00445D12">
        <w:rPr>
          <w:sz w:val="22"/>
          <w:szCs w:val="22"/>
        </w:rPr>
        <w:t>distance education</w:t>
      </w:r>
      <w:r w:rsidR="001C7E9D">
        <w:rPr>
          <w:sz w:val="22"/>
          <w:szCs w:val="22"/>
        </w:rPr>
        <w:t xml:space="preserve"> in States where it is permitted for clock hour programs</w:t>
      </w:r>
      <w:r w:rsidRPr="00445D12">
        <w:rPr>
          <w:sz w:val="22"/>
          <w:szCs w:val="22"/>
        </w:rPr>
        <w:t>.</w:t>
      </w:r>
    </w:p>
    <w:p w14:paraId="185B1960" w14:textId="43D51BB9" w:rsidR="0019181A" w:rsidRPr="00445D12" w:rsidRDefault="0019181A" w:rsidP="0019181A">
      <w:pPr>
        <w:pStyle w:val="ListParagraph"/>
        <w:numPr>
          <w:ilvl w:val="0"/>
          <w:numId w:val="9"/>
        </w:numPr>
        <w:rPr>
          <w:sz w:val="22"/>
          <w:szCs w:val="22"/>
        </w:rPr>
      </w:pPr>
      <w:r w:rsidRPr="00445D12">
        <w:rPr>
          <w:sz w:val="22"/>
          <w:szCs w:val="22"/>
        </w:rPr>
        <w:t xml:space="preserve">Modify the definition of </w:t>
      </w:r>
      <w:r w:rsidRPr="00445D12">
        <w:rPr>
          <w:i/>
          <w:sz w:val="22"/>
          <w:szCs w:val="22"/>
        </w:rPr>
        <w:t xml:space="preserve">Correspondence Course </w:t>
      </w:r>
      <w:r w:rsidRPr="00445D12">
        <w:rPr>
          <w:sz w:val="22"/>
          <w:szCs w:val="22"/>
        </w:rPr>
        <w:t xml:space="preserve">to </w:t>
      </w:r>
      <w:r w:rsidR="001C7E9D">
        <w:rPr>
          <w:sz w:val="22"/>
          <w:szCs w:val="22"/>
        </w:rPr>
        <w:t xml:space="preserve">distinguish it from distance learning.  In correspondence courses, the interaction between </w:t>
      </w:r>
      <w:proofErr w:type="gramStart"/>
      <w:r w:rsidR="001C7E9D">
        <w:rPr>
          <w:sz w:val="22"/>
          <w:szCs w:val="22"/>
        </w:rPr>
        <w:t xml:space="preserve">the </w:t>
      </w:r>
      <w:r w:rsidRPr="00445D12">
        <w:rPr>
          <w:sz w:val="22"/>
          <w:szCs w:val="22"/>
        </w:rPr>
        <w:t xml:space="preserve"> instructor</w:t>
      </w:r>
      <w:proofErr w:type="gramEnd"/>
      <w:r w:rsidRPr="00445D12">
        <w:rPr>
          <w:sz w:val="22"/>
          <w:szCs w:val="22"/>
        </w:rPr>
        <w:t xml:space="preserve"> and students is limite</w:t>
      </w:r>
      <w:r w:rsidR="001C7E9D">
        <w:rPr>
          <w:sz w:val="22"/>
          <w:szCs w:val="22"/>
        </w:rPr>
        <w:t xml:space="preserve">d to interactions initiated by the student and instructors do not follow a student’s progress or performance throughout the duration of the program or course.  </w:t>
      </w:r>
    </w:p>
    <w:p w14:paraId="089115B6" w14:textId="3A292CE6" w:rsidR="0019181A" w:rsidRPr="00445D12" w:rsidRDefault="0019181A" w:rsidP="0019181A">
      <w:pPr>
        <w:pStyle w:val="ListParagraph"/>
        <w:numPr>
          <w:ilvl w:val="0"/>
          <w:numId w:val="9"/>
        </w:numPr>
        <w:rPr>
          <w:sz w:val="22"/>
          <w:szCs w:val="22"/>
        </w:rPr>
      </w:pPr>
      <w:r w:rsidRPr="00445D12">
        <w:rPr>
          <w:sz w:val="22"/>
          <w:szCs w:val="22"/>
        </w:rPr>
        <w:t xml:space="preserve">Modify the definition of </w:t>
      </w:r>
      <w:r w:rsidRPr="00445D12">
        <w:rPr>
          <w:i/>
          <w:sz w:val="22"/>
          <w:szCs w:val="22"/>
        </w:rPr>
        <w:t>Credit Hour</w:t>
      </w:r>
      <w:r w:rsidRPr="00445D12">
        <w:rPr>
          <w:sz w:val="22"/>
          <w:szCs w:val="22"/>
        </w:rPr>
        <w:t xml:space="preserve"> to </w:t>
      </w:r>
      <w:r w:rsidR="005B71FE">
        <w:rPr>
          <w:sz w:val="22"/>
          <w:szCs w:val="22"/>
        </w:rPr>
        <w:t xml:space="preserve">allow institutions and accreditors to determine how they will </w:t>
      </w:r>
      <w:r w:rsidR="0071618D">
        <w:rPr>
          <w:sz w:val="22"/>
          <w:szCs w:val="22"/>
        </w:rPr>
        <w:t>evaluate</w:t>
      </w:r>
      <w:r w:rsidR="005B71FE">
        <w:rPr>
          <w:sz w:val="22"/>
          <w:szCs w:val="22"/>
        </w:rPr>
        <w:t xml:space="preserve"> academic progress.</w:t>
      </w:r>
      <w:r w:rsidR="00E663AF">
        <w:rPr>
          <w:sz w:val="22"/>
          <w:szCs w:val="22"/>
        </w:rPr>
        <w:t xml:space="preserve">  However, the </w:t>
      </w:r>
      <w:r w:rsidR="00E663AF" w:rsidRPr="00E663AF">
        <w:rPr>
          <w:sz w:val="22"/>
          <w:szCs w:val="22"/>
        </w:rPr>
        <w:t>Department is interested in feedback about how to create standards or guidelines that ensure quality, protect taxpayers, and do not limit innovation.</w:t>
      </w:r>
    </w:p>
    <w:p w14:paraId="693D0BDA" w14:textId="679DDB64" w:rsidR="00792FF0" w:rsidRPr="00445D12" w:rsidRDefault="00792FF0" w:rsidP="00965F34">
      <w:pPr>
        <w:pStyle w:val="ListParagraph"/>
        <w:numPr>
          <w:ilvl w:val="0"/>
          <w:numId w:val="9"/>
        </w:numPr>
        <w:rPr>
          <w:sz w:val="22"/>
          <w:szCs w:val="22"/>
        </w:rPr>
      </w:pPr>
      <w:r w:rsidRPr="00445D12">
        <w:rPr>
          <w:sz w:val="22"/>
          <w:szCs w:val="22"/>
        </w:rPr>
        <w:t xml:space="preserve">Modify the definition of </w:t>
      </w:r>
      <w:r w:rsidRPr="00445D12">
        <w:rPr>
          <w:i/>
          <w:sz w:val="22"/>
          <w:szCs w:val="22"/>
        </w:rPr>
        <w:t xml:space="preserve">Distance Education </w:t>
      </w:r>
      <w:r w:rsidRPr="00445D12">
        <w:rPr>
          <w:sz w:val="22"/>
          <w:szCs w:val="22"/>
        </w:rPr>
        <w:t xml:space="preserve">to </w:t>
      </w:r>
      <w:r w:rsidR="001C7E9D">
        <w:rPr>
          <w:sz w:val="22"/>
          <w:szCs w:val="22"/>
        </w:rPr>
        <w:t>more clearly define</w:t>
      </w:r>
      <w:r w:rsidR="00B6576E">
        <w:rPr>
          <w:sz w:val="22"/>
          <w:szCs w:val="22"/>
        </w:rPr>
        <w:t xml:space="preserve"> the requirements of “regular and substantive interaction,” which distinguishes distance education from correspondence education.  Expands the definition of instructor to include instructional teams and provides greater flexibility for determining when and how often a student and instructor must interact.  </w:t>
      </w:r>
      <w:r w:rsidR="001C7E9D">
        <w:rPr>
          <w:sz w:val="22"/>
          <w:szCs w:val="22"/>
        </w:rPr>
        <w:t xml:space="preserve"> </w:t>
      </w:r>
    </w:p>
    <w:p w14:paraId="68BECB65" w14:textId="06AFA7E8" w:rsidR="00676139" w:rsidRPr="00445D12" w:rsidRDefault="00676139" w:rsidP="00676139">
      <w:pPr>
        <w:pStyle w:val="ListParagraph"/>
        <w:numPr>
          <w:ilvl w:val="0"/>
          <w:numId w:val="9"/>
        </w:numPr>
        <w:rPr>
          <w:sz w:val="22"/>
          <w:szCs w:val="22"/>
        </w:rPr>
      </w:pPr>
      <w:r w:rsidRPr="00445D12">
        <w:rPr>
          <w:sz w:val="22"/>
          <w:szCs w:val="22"/>
        </w:rPr>
        <w:t>Define</w:t>
      </w:r>
      <w:r w:rsidRPr="00445D12">
        <w:rPr>
          <w:i/>
          <w:sz w:val="22"/>
          <w:szCs w:val="22"/>
        </w:rPr>
        <w:t xml:space="preserve"> Regular </w:t>
      </w:r>
      <w:r w:rsidRPr="00445D12">
        <w:rPr>
          <w:sz w:val="22"/>
          <w:szCs w:val="22"/>
        </w:rPr>
        <w:t>to mean the frequency or periodicity of contact initiated by an instructor or members of an instructional team with a student, as approved by the institution’s accrediting agency</w:t>
      </w:r>
      <w:r w:rsidR="00B6576E">
        <w:rPr>
          <w:sz w:val="22"/>
          <w:szCs w:val="22"/>
        </w:rPr>
        <w:t xml:space="preserve">.  Removes requirements that regular interactions must occur at a particular time interval and provides greater flexibility to accommodate the needs of non-traditional students who engage in self-paced learning.  </w:t>
      </w:r>
    </w:p>
    <w:p w14:paraId="62EC9EE1" w14:textId="44B02EA9" w:rsidR="00676139" w:rsidRPr="00445D12" w:rsidRDefault="00676139" w:rsidP="00676139">
      <w:pPr>
        <w:pStyle w:val="ListParagraph"/>
        <w:numPr>
          <w:ilvl w:val="0"/>
          <w:numId w:val="9"/>
        </w:numPr>
        <w:rPr>
          <w:sz w:val="22"/>
          <w:szCs w:val="22"/>
        </w:rPr>
      </w:pPr>
      <w:r w:rsidRPr="00445D12">
        <w:rPr>
          <w:sz w:val="22"/>
          <w:szCs w:val="22"/>
        </w:rPr>
        <w:t xml:space="preserve">Define </w:t>
      </w:r>
      <w:r w:rsidRPr="00445D12">
        <w:rPr>
          <w:i/>
          <w:sz w:val="22"/>
          <w:szCs w:val="22"/>
        </w:rPr>
        <w:t>Substantive</w:t>
      </w:r>
      <w:r w:rsidRPr="00445D12">
        <w:rPr>
          <w:sz w:val="22"/>
          <w:szCs w:val="22"/>
        </w:rPr>
        <w:t xml:space="preserve"> to </w:t>
      </w:r>
      <w:r w:rsidR="005B71FE">
        <w:rPr>
          <w:sz w:val="22"/>
          <w:szCs w:val="22"/>
        </w:rPr>
        <w:t xml:space="preserve">expand the types of interactions that can be included as substantive interactions and expands the definition of an instructor to include instructional teams in which different members perform different functions.  </w:t>
      </w:r>
    </w:p>
    <w:p w14:paraId="1B6D6990" w14:textId="52C456C7" w:rsidR="00676139" w:rsidRPr="00445D12" w:rsidRDefault="00676139" w:rsidP="00676139">
      <w:pPr>
        <w:pStyle w:val="ListParagraph"/>
        <w:numPr>
          <w:ilvl w:val="0"/>
          <w:numId w:val="9"/>
        </w:numPr>
        <w:rPr>
          <w:sz w:val="22"/>
          <w:szCs w:val="22"/>
        </w:rPr>
      </w:pPr>
      <w:r w:rsidRPr="00445D12">
        <w:rPr>
          <w:sz w:val="22"/>
          <w:szCs w:val="22"/>
        </w:rPr>
        <w:t xml:space="preserve">Modify the definition of </w:t>
      </w:r>
      <w:r w:rsidRPr="00445D12">
        <w:rPr>
          <w:i/>
          <w:sz w:val="22"/>
          <w:szCs w:val="22"/>
        </w:rPr>
        <w:t xml:space="preserve">Eligible Institution </w:t>
      </w:r>
      <w:r w:rsidRPr="00445D12">
        <w:rPr>
          <w:sz w:val="22"/>
          <w:szCs w:val="22"/>
        </w:rPr>
        <w:t xml:space="preserve">to </w:t>
      </w:r>
      <w:r w:rsidR="00B6576E">
        <w:rPr>
          <w:sz w:val="22"/>
          <w:szCs w:val="22"/>
        </w:rPr>
        <w:t>clarify that an</w:t>
      </w:r>
      <w:r w:rsidRPr="00445D12">
        <w:rPr>
          <w:sz w:val="22"/>
          <w:szCs w:val="22"/>
        </w:rPr>
        <w:t xml:space="preserve"> institution that does not participate in HEA programs is not required to meet the requirements of 600.4, 600.5 or 600.6.  </w:t>
      </w:r>
    </w:p>
    <w:p w14:paraId="5EAC06EA" w14:textId="3BB611D8" w:rsidR="00DB0D74" w:rsidRPr="00445D12" w:rsidRDefault="00DB0D74" w:rsidP="00A12D55">
      <w:pPr>
        <w:pStyle w:val="ListParagraph"/>
        <w:numPr>
          <w:ilvl w:val="0"/>
          <w:numId w:val="9"/>
        </w:numPr>
        <w:rPr>
          <w:sz w:val="22"/>
          <w:szCs w:val="22"/>
        </w:rPr>
      </w:pPr>
      <w:r w:rsidRPr="00445D12">
        <w:rPr>
          <w:sz w:val="22"/>
          <w:szCs w:val="22"/>
        </w:rPr>
        <w:t xml:space="preserve">Modify the definition of </w:t>
      </w:r>
      <w:r w:rsidRPr="00445D12">
        <w:rPr>
          <w:i/>
          <w:sz w:val="22"/>
          <w:szCs w:val="22"/>
        </w:rPr>
        <w:t xml:space="preserve">Incarcerated Student </w:t>
      </w:r>
      <w:r w:rsidRPr="00445D12">
        <w:rPr>
          <w:sz w:val="22"/>
          <w:szCs w:val="22"/>
        </w:rPr>
        <w:t xml:space="preserve">to include those </w:t>
      </w:r>
      <w:r w:rsidR="00A12D55" w:rsidRPr="00445D12">
        <w:rPr>
          <w:sz w:val="22"/>
          <w:szCs w:val="22"/>
        </w:rPr>
        <w:t>serving a criminal sentence in a youth correctional facility.</w:t>
      </w:r>
    </w:p>
    <w:p w14:paraId="1150FC55" w14:textId="63658867" w:rsidR="00A12D55" w:rsidRPr="00445D12" w:rsidRDefault="00A12D55" w:rsidP="00A12D55">
      <w:pPr>
        <w:pStyle w:val="ListParagraph"/>
        <w:numPr>
          <w:ilvl w:val="0"/>
          <w:numId w:val="9"/>
        </w:numPr>
        <w:rPr>
          <w:sz w:val="22"/>
          <w:szCs w:val="22"/>
        </w:rPr>
      </w:pPr>
      <w:r w:rsidRPr="00445D12">
        <w:rPr>
          <w:sz w:val="22"/>
          <w:szCs w:val="22"/>
        </w:rPr>
        <w:t xml:space="preserve">Modify the definition of </w:t>
      </w:r>
      <w:proofErr w:type="gramStart"/>
      <w:r w:rsidRPr="00445D12">
        <w:rPr>
          <w:i/>
          <w:sz w:val="22"/>
          <w:szCs w:val="22"/>
        </w:rPr>
        <w:t>Nonprofit</w:t>
      </w:r>
      <w:proofErr w:type="gramEnd"/>
      <w:r w:rsidRPr="00445D12">
        <w:rPr>
          <w:i/>
          <w:sz w:val="22"/>
          <w:szCs w:val="22"/>
        </w:rPr>
        <w:t xml:space="preserve"> institution</w:t>
      </w:r>
      <w:r w:rsidR="00B6576E">
        <w:rPr>
          <w:sz w:val="22"/>
          <w:szCs w:val="22"/>
        </w:rPr>
        <w:t xml:space="preserve"> with regard to foreign institutions, to eliminate the reference to a determination made by the U.S. Internal Revenue Service.   </w:t>
      </w:r>
    </w:p>
    <w:p w14:paraId="2E8A8619" w14:textId="2E82C3FA" w:rsidR="003728D7" w:rsidRPr="00445D12" w:rsidRDefault="00B6576E" w:rsidP="003728D7">
      <w:pPr>
        <w:pStyle w:val="ListParagraph"/>
        <w:numPr>
          <w:ilvl w:val="0"/>
          <w:numId w:val="9"/>
        </w:numPr>
        <w:rPr>
          <w:sz w:val="22"/>
          <w:szCs w:val="22"/>
        </w:rPr>
      </w:pPr>
      <w:r>
        <w:rPr>
          <w:sz w:val="22"/>
          <w:szCs w:val="22"/>
        </w:rPr>
        <w:lastRenderedPageBreak/>
        <w:t xml:space="preserve">Modifies the definition of </w:t>
      </w:r>
      <w:r w:rsidR="003728D7" w:rsidRPr="00445D12">
        <w:rPr>
          <w:i/>
          <w:sz w:val="22"/>
          <w:szCs w:val="22"/>
        </w:rPr>
        <w:t>Preaccreditation</w:t>
      </w:r>
      <w:r w:rsidR="003728D7" w:rsidRPr="00445D12">
        <w:rPr>
          <w:sz w:val="22"/>
          <w:szCs w:val="22"/>
        </w:rPr>
        <w:t xml:space="preserve"> (sometimes referred to as candidacy status) to </w:t>
      </w:r>
      <w:r w:rsidR="00187B5B">
        <w:rPr>
          <w:sz w:val="22"/>
          <w:szCs w:val="22"/>
        </w:rPr>
        <w:t xml:space="preserve">explain that this is a temporary, full-accreditation status, rather than a quasi-accreditation status. Since students enrolled in a preaccredited institution or program are eligible to participate in title IV programs, it is incumbent upon the Department to ensure that credits or degrees earned during this time have the full value of any other title IV participating program or institution.  Otherwise, many students who complete their program will never be allowed to practice in their field since some accreditors require an institution or program to graduate one or more cohorts of students prior to making a final accreditation decision.  Since </w:t>
      </w:r>
      <w:proofErr w:type="spellStart"/>
      <w:r w:rsidR="00187B5B">
        <w:rPr>
          <w:sz w:val="22"/>
          <w:szCs w:val="22"/>
        </w:rPr>
        <w:t>preaccrediation</w:t>
      </w:r>
      <w:proofErr w:type="spellEnd"/>
      <w:r w:rsidR="00187B5B">
        <w:rPr>
          <w:sz w:val="22"/>
          <w:szCs w:val="22"/>
        </w:rPr>
        <w:t xml:space="preserve"> can last for 5 years, and students could be using up their Pell eligibility and taking loans during that time, we must make sure that students obtain the full value of their investment.</w:t>
      </w:r>
      <w:r w:rsidR="003728D7" w:rsidRPr="00445D12">
        <w:rPr>
          <w:sz w:val="22"/>
          <w:szCs w:val="22"/>
        </w:rPr>
        <w:t xml:space="preserve"> </w:t>
      </w:r>
    </w:p>
    <w:p w14:paraId="55868873" w14:textId="27B57405" w:rsidR="003728D7" w:rsidRPr="00445D12" w:rsidRDefault="00187B5B" w:rsidP="003728D7">
      <w:pPr>
        <w:pStyle w:val="ListParagraph"/>
        <w:numPr>
          <w:ilvl w:val="0"/>
          <w:numId w:val="9"/>
        </w:numPr>
        <w:rPr>
          <w:sz w:val="22"/>
          <w:szCs w:val="22"/>
        </w:rPr>
      </w:pPr>
      <w:r>
        <w:rPr>
          <w:sz w:val="22"/>
          <w:szCs w:val="22"/>
        </w:rPr>
        <w:t>Modify the definition of</w:t>
      </w:r>
      <w:r w:rsidRPr="00445D12">
        <w:rPr>
          <w:sz w:val="22"/>
          <w:szCs w:val="22"/>
        </w:rPr>
        <w:t xml:space="preserve"> </w:t>
      </w:r>
      <w:r w:rsidR="003728D7" w:rsidRPr="00445D12">
        <w:rPr>
          <w:i/>
          <w:sz w:val="22"/>
          <w:szCs w:val="22"/>
        </w:rPr>
        <w:t>Religious mission</w:t>
      </w:r>
      <w:r w:rsidR="003728D7" w:rsidRPr="00445D12">
        <w:rPr>
          <w:sz w:val="22"/>
          <w:szCs w:val="22"/>
        </w:rPr>
        <w:t xml:space="preserve"> </w:t>
      </w:r>
      <w:r>
        <w:rPr>
          <w:sz w:val="22"/>
          <w:szCs w:val="22"/>
        </w:rPr>
        <w:t xml:space="preserve">to protect religious freedom and ensure that accreditors </w:t>
      </w:r>
      <w:r w:rsidR="0071618D">
        <w:rPr>
          <w:sz w:val="22"/>
          <w:szCs w:val="22"/>
        </w:rPr>
        <w:t>do</w:t>
      </w:r>
      <w:r>
        <w:rPr>
          <w:sz w:val="22"/>
          <w:szCs w:val="22"/>
        </w:rPr>
        <w:t xml:space="preserve"> not discriminate against an institution on the basis of their religious tenets, beliefs or teachings. </w:t>
      </w:r>
    </w:p>
    <w:p w14:paraId="382A3F1E" w14:textId="7936EA03" w:rsidR="003728D7" w:rsidRPr="00445D12" w:rsidRDefault="003728D7" w:rsidP="00472658">
      <w:pPr>
        <w:pStyle w:val="ListParagraph"/>
        <w:numPr>
          <w:ilvl w:val="0"/>
          <w:numId w:val="9"/>
        </w:numPr>
        <w:rPr>
          <w:sz w:val="22"/>
          <w:szCs w:val="22"/>
        </w:rPr>
      </w:pPr>
      <w:r w:rsidRPr="00445D12">
        <w:rPr>
          <w:sz w:val="22"/>
          <w:szCs w:val="22"/>
        </w:rPr>
        <w:t>Define</w:t>
      </w:r>
      <w:r w:rsidRPr="00445D12">
        <w:rPr>
          <w:i/>
          <w:sz w:val="22"/>
          <w:szCs w:val="22"/>
        </w:rPr>
        <w:t xml:space="preserve"> State authorization reciprocity </w:t>
      </w:r>
      <w:r w:rsidR="008403FB" w:rsidRPr="00445D12">
        <w:rPr>
          <w:i/>
          <w:sz w:val="22"/>
          <w:szCs w:val="22"/>
        </w:rPr>
        <w:t>agreement</w:t>
      </w:r>
      <w:r w:rsidR="008403FB" w:rsidRPr="00445D12">
        <w:rPr>
          <w:sz w:val="22"/>
          <w:szCs w:val="22"/>
        </w:rPr>
        <w:t xml:space="preserve"> to</w:t>
      </w:r>
      <w:r w:rsidR="00187B5B">
        <w:rPr>
          <w:sz w:val="22"/>
          <w:szCs w:val="22"/>
        </w:rPr>
        <w:t xml:space="preserve"> reduce regulatory and compliance burden and provide students greater access to </w:t>
      </w:r>
      <w:r w:rsidR="0071618D">
        <w:rPr>
          <w:sz w:val="22"/>
          <w:szCs w:val="22"/>
        </w:rPr>
        <w:t>a</w:t>
      </w:r>
      <w:r w:rsidR="00187B5B">
        <w:rPr>
          <w:sz w:val="22"/>
          <w:szCs w:val="22"/>
        </w:rPr>
        <w:t xml:space="preserve"> range of educational options</w:t>
      </w:r>
      <w:r w:rsidRPr="00445D12">
        <w:rPr>
          <w:sz w:val="22"/>
          <w:szCs w:val="22"/>
        </w:rPr>
        <w:t>.</w:t>
      </w:r>
      <w:r w:rsidR="00DF501B">
        <w:rPr>
          <w:sz w:val="22"/>
          <w:szCs w:val="22"/>
        </w:rPr>
        <w:t xml:space="preserve">  </w:t>
      </w:r>
      <w:r w:rsidR="00472658" w:rsidRPr="00472658">
        <w:rPr>
          <w:sz w:val="22"/>
          <w:szCs w:val="22"/>
        </w:rPr>
        <w:t xml:space="preserve">The Department is </w:t>
      </w:r>
      <w:r w:rsidR="00472658">
        <w:rPr>
          <w:sz w:val="22"/>
          <w:szCs w:val="22"/>
        </w:rPr>
        <w:t xml:space="preserve">also </w:t>
      </w:r>
      <w:r w:rsidR="00472658" w:rsidRPr="00472658">
        <w:rPr>
          <w:sz w:val="22"/>
          <w:szCs w:val="22"/>
        </w:rPr>
        <w:t>interested in recommendations for maintaining or improving reciprocity agreements and any other necessary definitional clarifications.</w:t>
      </w:r>
    </w:p>
    <w:p w14:paraId="47C4464D" w14:textId="229BA2C8" w:rsidR="003728D7" w:rsidRPr="00445D12" w:rsidRDefault="00187B5B" w:rsidP="003728D7">
      <w:pPr>
        <w:pStyle w:val="ListParagraph"/>
        <w:numPr>
          <w:ilvl w:val="0"/>
          <w:numId w:val="9"/>
        </w:numPr>
        <w:rPr>
          <w:sz w:val="22"/>
          <w:szCs w:val="22"/>
        </w:rPr>
      </w:pPr>
      <w:r>
        <w:rPr>
          <w:sz w:val="22"/>
          <w:szCs w:val="22"/>
        </w:rPr>
        <w:t>Clarify that a</w:t>
      </w:r>
      <w:r w:rsidRPr="00445D12">
        <w:rPr>
          <w:i/>
          <w:sz w:val="22"/>
          <w:szCs w:val="22"/>
        </w:rPr>
        <w:t xml:space="preserve"> </w:t>
      </w:r>
      <w:r w:rsidR="003728D7" w:rsidRPr="00445D12">
        <w:rPr>
          <w:i/>
          <w:sz w:val="22"/>
          <w:szCs w:val="22"/>
        </w:rPr>
        <w:t>Teach-out</w:t>
      </w:r>
      <w:r w:rsidR="003728D7" w:rsidRPr="00445D12">
        <w:rPr>
          <w:sz w:val="22"/>
          <w:szCs w:val="22"/>
        </w:rPr>
        <w:t xml:space="preserve"> </w:t>
      </w:r>
      <w:r>
        <w:rPr>
          <w:sz w:val="22"/>
          <w:szCs w:val="22"/>
        </w:rPr>
        <w:t xml:space="preserve">may include the period of time in which an institution engages in an orderly closure or the period of time after a precipitous closure when another institution steps in to enable students to complete their program.  </w:t>
      </w:r>
    </w:p>
    <w:p w14:paraId="070C698E" w14:textId="6C48E29F" w:rsidR="003728D7" w:rsidRPr="00445D12" w:rsidRDefault="003728D7" w:rsidP="003728D7">
      <w:pPr>
        <w:pStyle w:val="ListParagraph"/>
        <w:numPr>
          <w:ilvl w:val="0"/>
          <w:numId w:val="9"/>
        </w:numPr>
        <w:rPr>
          <w:sz w:val="22"/>
          <w:szCs w:val="22"/>
        </w:rPr>
      </w:pPr>
      <w:r w:rsidRPr="00445D12">
        <w:rPr>
          <w:sz w:val="22"/>
          <w:szCs w:val="22"/>
        </w:rPr>
        <w:t>Define</w:t>
      </w:r>
      <w:r w:rsidRPr="00445D12">
        <w:rPr>
          <w:i/>
          <w:sz w:val="22"/>
          <w:szCs w:val="22"/>
        </w:rPr>
        <w:t xml:space="preserve"> Teach-out agreement</w:t>
      </w:r>
      <w:r w:rsidRPr="00445D12">
        <w:rPr>
          <w:sz w:val="22"/>
          <w:szCs w:val="22"/>
        </w:rPr>
        <w:t xml:space="preserve"> as a written agreement between institutions that provides for the equitable treatment of students and a reasonable opportunity for students to complete their program of study if an institution</w:t>
      </w:r>
      <w:r w:rsidR="005B71FE">
        <w:rPr>
          <w:sz w:val="22"/>
          <w:szCs w:val="22"/>
        </w:rPr>
        <w:t>.  Oftentimes</w:t>
      </w:r>
      <w:r w:rsidR="0071618D">
        <w:rPr>
          <w:sz w:val="22"/>
          <w:szCs w:val="22"/>
        </w:rPr>
        <w:t>,</w:t>
      </w:r>
      <w:r w:rsidR="005B71FE">
        <w:rPr>
          <w:sz w:val="22"/>
          <w:szCs w:val="22"/>
        </w:rPr>
        <w:t xml:space="preserve"> there is confusion about the role of teach-out plans, which are generic frameworks for a school closure, and teach-out agreements.</w:t>
      </w:r>
    </w:p>
    <w:p w14:paraId="2B75B2C3" w14:textId="70C7C001" w:rsidR="009D0C98" w:rsidRPr="00295057" w:rsidRDefault="009D0C98" w:rsidP="00295057">
      <w:pPr>
        <w:pStyle w:val="ListParagraph"/>
        <w:numPr>
          <w:ilvl w:val="0"/>
          <w:numId w:val="9"/>
        </w:numPr>
        <w:rPr>
          <w:sz w:val="22"/>
          <w:szCs w:val="22"/>
        </w:rPr>
      </w:pPr>
      <w:r w:rsidRPr="00445D12">
        <w:rPr>
          <w:sz w:val="22"/>
          <w:szCs w:val="22"/>
        </w:rPr>
        <w:t xml:space="preserve">Modify the definition of </w:t>
      </w:r>
      <w:r w:rsidRPr="00445D12">
        <w:rPr>
          <w:i/>
          <w:sz w:val="22"/>
          <w:szCs w:val="22"/>
        </w:rPr>
        <w:t xml:space="preserve">Teach-out plan </w:t>
      </w:r>
      <w:r w:rsidRPr="00445D12">
        <w:rPr>
          <w:sz w:val="22"/>
          <w:szCs w:val="22"/>
        </w:rPr>
        <w:t xml:space="preserve">to include institutions that </w:t>
      </w:r>
      <w:r w:rsidR="005B71FE">
        <w:rPr>
          <w:sz w:val="22"/>
          <w:szCs w:val="22"/>
        </w:rPr>
        <w:t xml:space="preserve">are engaged in an orderly closure as well as institutions that are taking over a closed campus or accepting students enrolled at a closed campus to enable them to complete their programs.  </w:t>
      </w:r>
      <w:r w:rsidRPr="00445D12">
        <w:rPr>
          <w:sz w:val="22"/>
          <w:szCs w:val="22"/>
        </w:rPr>
        <w:t xml:space="preserve"> </w:t>
      </w:r>
    </w:p>
    <w:p w14:paraId="10251F1C" w14:textId="16DD0C15" w:rsidR="009D0C98" w:rsidRPr="00445D12" w:rsidRDefault="009D0C98" w:rsidP="00295057">
      <w:pPr>
        <w:pStyle w:val="Heading3"/>
      </w:pPr>
      <w:r w:rsidRPr="00445D12">
        <w:t>§600.4   Institution of higher education.</w:t>
      </w:r>
    </w:p>
    <w:p w14:paraId="5E084D0F" w14:textId="6A35946F" w:rsidR="00C20CFB" w:rsidRPr="00295057" w:rsidRDefault="005B71FE" w:rsidP="00295057">
      <w:pPr>
        <w:pStyle w:val="ListParagraph"/>
        <w:numPr>
          <w:ilvl w:val="0"/>
          <w:numId w:val="9"/>
        </w:numPr>
        <w:rPr>
          <w:sz w:val="22"/>
          <w:szCs w:val="22"/>
        </w:rPr>
      </w:pPr>
      <w:r>
        <w:rPr>
          <w:sz w:val="22"/>
          <w:szCs w:val="22"/>
        </w:rPr>
        <w:t xml:space="preserve">Adds to our regulations the statutory requirement that institutions must engage in arbitration prior to taking legal action against their accreditor in the event of a negative action.  </w:t>
      </w:r>
      <w:r w:rsidRPr="00445D12">
        <w:rPr>
          <w:sz w:val="22"/>
          <w:szCs w:val="22"/>
        </w:rPr>
        <w:t xml:space="preserve"> </w:t>
      </w:r>
      <w:r>
        <w:rPr>
          <w:sz w:val="22"/>
          <w:szCs w:val="22"/>
        </w:rPr>
        <w:t xml:space="preserve">When agencies withdraw accreditation, they </w:t>
      </w:r>
      <w:r w:rsidR="00C20CFB">
        <w:rPr>
          <w:sz w:val="22"/>
          <w:szCs w:val="22"/>
        </w:rPr>
        <w:t>may be</w:t>
      </w:r>
      <w:r>
        <w:rPr>
          <w:sz w:val="22"/>
          <w:szCs w:val="22"/>
        </w:rPr>
        <w:t xml:space="preserve"> sued by the institution.  Accreditors are encumbered by lengthy and costly legal battles when they take an adverse action, which serves as a significant deterrent from taking necessary action.  Arbitration will allow agencies to take action as necessary and disputes to be resolved without costly litigation.</w:t>
      </w:r>
    </w:p>
    <w:p w14:paraId="60EE81FB" w14:textId="4B4AEC2D" w:rsidR="00932985" w:rsidRPr="00445D12" w:rsidRDefault="00EB48D2" w:rsidP="00295057">
      <w:pPr>
        <w:pStyle w:val="Heading3"/>
      </w:pPr>
      <w:r w:rsidRPr="00445D12">
        <w:t>§600.5   Proprietary institution of higher education.</w:t>
      </w:r>
    </w:p>
    <w:p w14:paraId="0B17CBD9" w14:textId="3A43D4A9" w:rsidR="001B01F1" w:rsidRPr="00445D12" w:rsidRDefault="00445D12" w:rsidP="001B01F1">
      <w:pPr>
        <w:pStyle w:val="ListParagraph"/>
        <w:numPr>
          <w:ilvl w:val="0"/>
          <w:numId w:val="9"/>
        </w:numPr>
        <w:rPr>
          <w:sz w:val="22"/>
          <w:szCs w:val="22"/>
        </w:rPr>
      </w:pPr>
      <w:r>
        <w:rPr>
          <w:sz w:val="22"/>
          <w:szCs w:val="22"/>
        </w:rPr>
        <w:t>Make conforming changes related to the initial arbitration requirement</w:t>
      </w:r>
      <w:r w:rsidR="001B01F1" w:rsidRPr="00445D12">
        <w:rPr>
          <w:sz w:val="22"/>
          <w:szCs w:val="22"/>
        </w:rPr>
        <w:t>.</w:t>
      </w:r>
    </w:p>
    <w:p w14:paraId="66CEE415" w14:textId="25F5CC33" w:rsidR="001B01F1" w:rsidRPr="00445D12" w:rsidRDefault="001B01F1" w:rsidP="001B01F1">
      <w:pPr>
        <w:pStyle w:val="ListParagraph"/>
        <w:numPr>
          <w:ilvl w:val="0"/>
          <w:numId w:val="9"/>
        </w:numPr>
        <w:rPr>
          <w:sz w:val="22"/>
          <w:szCs w:val="22"/>
        </w:rPr>
      </w:pPr>
      <w:r w:rsidRPr="00445D12">
        <w:rPr>
          <w:rFonts w:eastAsia="Times New Roman" w:cs="Arial"/>
          <w:color w:val="000000"/>
          <w:sz w:val="22"/>
          <w:szCs w:val="22"/>
        </w:rPr>
        <w:t>Streamline the language regarding programs leading to a baccalaureate degree in liberal arts by removing redundant information regarding accrediting agencies.</w:t>
      </w:r>
    </w:p>
    <w:p w14:paraId="52B4ECB4" w14:textId="0E88F072" w:rsidR="005E18FA" w:rsidRPr="00445D12" w:rsidRDefault="005E18FA" w:rsidP="00295057">
      <w:pPr>
        <w:pStyle w:val="Heading3"/>
      </w:pPr>
      <w:proofErr w:type="gramStart"/>
      <w:r w:rsidRPr="00445D12">
        <w:rPr>
          <w:rFonts w:eastAsia="Times New Roman"/>
        </w:rPr>
        <w:t>§600.6   Postsecondary vocational institution.</w:t>
      </w:r>
      <w:proofErr w:type="gramEnd"/>
    </w:p>
    <w:p w14:paraId="22DDA906" w14:textId="77777777" w:rsidR="00445D12" w:rsidRPr="00445D12" w:rsidRDefault="00445D12" w:rsidP="00445D12">
      <w:pPr>
        <w:pStyle w:val="ListParagraph"/>
        <w:numPr>
          <w:ilvl w:val="0"/>
          <w:numId w:val="9"/>
        </w:numPr>
        <w:rPr>
          <w:sz w:val="22"/>
          <w:szCs w:val="22"/>
        </w:rPr>
      </w:pPr>
      <w:r>
        <w:rPr>
          <w:sz w:val="22"/>
          <w:szCs w:val="22"/>
        </w:rPr>
        <w:t>Make conforming changes related to the initial arbitration requirement</w:t>
      </w:r>
      <w:r w:rsidRPr="00445D12">
        <w:rPr>
          <w:sz w:val="22"/>
          <w:szCs w:val="22"/>
        </w:rPr>
        <w:t>.</w:t>
      </w:r>
    </w:p>
    <w:p w14:paraId="2C187DE6" w14:textId="4178FC91" w:rsidR="00997B8A" w:rsidRPr="00445D12" w:rsidRDefault="005E18FA" w:rsidP="00295057">
      <w:pPr>
        <w:pStyle w:val="Heading3"/>
      </w:pPr>
      <w:r w:rsidRPr="00445D12">
        <w:rPr>
          <w:rFonts w:eastAsia="Times New Roman"/>
        </w:rPr>
        <w:t>§600.7   Conditions of institutional ineligibility.</w:t>
      </w:r>
    </w:p>
    <w:p w14:paraId="6D91F199" w14:textId="16A30143" w:rsidR="00997B8A" w:rsidRPr="00445D12" w:rsidRDefault="001B01F1" w:rsidP="00BA20F4">
      <w:pPr>
        <w:pStyle w:val="ListParagraph"/>
        <w:numPr>
          <w:ilvl w:val="0"/>
          <w:numId w:val="9"/>
        </w:numPr>
        <w:rPr>
          <w:sz w:val="22"/>
          <w:szCs w:val="22"/>
        </w:rPr>
      </w:pPr>
      <w:r w:rsidRPr="00445D12">
        <w:rPr>
          <w:bCs/>
          <w:sz w:val="22"/>
          <w:szCs w:val="22"/>
        </w:rPr>
        <w:t>Define</w:t>
      </w:r>
      <w:r w:rsidR="00147053" w:rsidRPr="00445D12">
        <w:rPr>
          <w:bCs/>
          <w:sz w:val="22"/>
          <w:szCs w:val="22"/>
        </w:rPr>
        <w:t xml:space="preserve"> a</w:t>
      </w:r>
      <w:r w:rsidR="00BA20F4" w:rsidRPr="00445D12">
        <w:rPr>
          <w:bCs/>
          <w:sz w:val="22"/>
          <w:szCs w:val="22"/>
        </w:rPr>
        <w:t xml:space="preserve"> correspondence student </w:t>
      </w:r>
      <w:r w:rsidRPr="00445D12">
        <w:rPr>
          <w:bCs/>
          <w:sz w:val="22"/>
          <w:szCs w:val="22"/>
        </w:rPr>
        <w:t>as</w:t>
      </w:r>
      <w:r w:rsidR="00BA20F4" w:rsidRPr="00445D12">
        <w:rPr>
          <w:bCs/>
          <w:sz w:val="22"/>
          <w:szCs w:val="22"/>
        </w:rPr>
        <w:t xml:space="preserve"> </w:t>
      </w:r>
      <w:r w:rsidR="00147053" w:rsidRPr="00445D12">
        <w:rPr>
          <w:bCs/>
          <w:sz w:val="22"/>
          <w:szCs w:val="22"/>
        </w:rPr>
        <w:t xml:space="preserve">one </w:t>
      </w:r>
      <w:r w:rsidR="00BA20F4" w:rsidRPr="00445D12">
        <w:rPr>
          <w:bCs/>
          <w:sz w:val="22"/>
          <w:szCs w:val="22"/>
        </w:rPr>
        <w:t>whose enrollment during an award year was entirely in correspondence courses.</w:t>
      </w:r>
    </w:p>
    <w:p w14:paraId="449CB534" w14:textId="71BBA7A3" w:rsidR="00BA20F4" w:rsidRPr="00445D12" w:rsidRDefault="00BA20F4" w:rsidP="00295057">
      <w:pPr>
        <w:pStyle w:val="Heading3"/>
      </w:pPr>
      <w:proofErr w:type="gramStart"/>
      <w:r w:rsidRPr="00445D12">
        <w:rPr>
          <w:rFonts w:eastAsia="Times New Roman"/>
        </w:rPr>
        <w:lastRenderedPageBreak/>
        <w:t>§600.9   State authorization.</w:t>
      </w:r>
      <w:proofErr w:type="gramEnd"/>
    </w:p>
    <w:p w14:paraId="60EE81FD" w14:textId="471B1412" w:rsidR="002E76C1" w:rsidRPr="00445D12" w:rsidRDefault="001B01F1" w:rsidP="00BA20F4">
      <w:pPr>
        <w:pStyle w:val="ListParagraph"/>
        <w:numPr>
          <w:ilvl w:val="0"/>
          <w:numId w:val="9"/>
        </w:numPr>
        <w:rPr>
          <w:sz w:val="22"/>
          <w:szCs w:val="22"/>
        </w:rPr>
      </w:pPr>
      <w:r w:rsidRPr="00445D12">
        <w:rPr>
          <w:sz w:val="22"/>
          <w:szCs w:val="22"/>
        </w:rPr>
        <w:t>Define</w:t>
      </w:r>
      <w:r w:rsidR="00147053" w:rsidRPr="00445D12">
        <w:rPr>
          <w:bCs/>
          <w:sz w:val="22"/>
          <w:szCs w:val="22"/>
        </w:rPr>
        <w:t xml:space="preserve"> </w:t>
      </w:r>
      <w:r w:rsidR="00BA20F4" w:rsidRPr="00445D12">
        <w:rPr>
          <w:bCs/>
          <w:sz w:val="22"/>
          <w:szCs w:val="22"/>
        </w:rPr>
        <w:t xml:space="preserve">a religious institution </w:t>
      </w:r>
      <w:r w:rsidR="000F6B12">
        <w:rPr>
          <w:bCs/>
          <w:sz w:val="22"/>
          <w:szCs w:val="22"/>
        </w:rPr>
        <w:t>a</w:t>
      </w:r>
      <w:r w:rsidR="00BA20F4" w:rsidRPr="00445D12">
        <w:rPr>
          <w:bCs/>
          <w:sz w:val="22"/>
          <w:szCs w:val="22"/>
        </w:rPr>
        <w:t xml:space="preserve">s </w:t>
      </w:r>
      <w:r w:rsidRPr="00445D12">
        <w:rPr>
          <w:bCs/>
          <w:sz w:val="22"/>
          <w:szCs w:val="22"/>
        </w:rPr>
        <w:t>one</w:t>
      </w:r>
      <w:r w:rsidR="00BA20F4" w:rsidRPr="00445D12">
        <w:rPr>
          <w:bCs/>
          <w:sz w:val="22"/>
          <w:szCs w:val="22"/>
        </w:rPr>
        <w:t xml:space="preserve"> that publicly identifies itself as having, in part or in whole, a religious mission, or that maintains an instituti</w:t>
      </w:r>
      <w:r w:rsidR="00147053" w:rsidRPr="00445D12">
        <w:rPr>
          <w:bCs/>
          <w:sz w:val="22"/>
          <w:szCs w:val="22"/>
        </w:rPr>
        <w:t>onal religious affiliation.</w:t>
      </w:r>
    </w:p>
    <w:p w14:paraId="539D4968" w14:textId="77777777" w:rsidR="00BA20F4" w:rsidRPr="00445D12" w:rsidRDefault="00BA20F4" w:rsidP="00BA20F4">
      <w:pPr>
        <w:ind w:left="360"/>
        <w:rPr>
          <w:sz w:val="22"/>
          <w:szCs w:val="22"/>
        </w:rPr>
      </w:pPr>
    </w:p>
    <w:p w14:paraId="3FFEB701" w14:textId="74DDDA1E" w:rsidR="0046680F" w:rsidRPr="00445D12" w:rsidRDefault="0046680F" w:rsidP="00295057">
      <w:pPr>
        <w:pStyle w:val="Heading3"/>
      </w:pPr>
      <w:r w:rsidRPr="00445D12">
        <w:rPr>
          <w:rFonts w:eastAsia="Times New Roman"/>
        </w:rPr>
        <w:t>§</w:t>
      </w:r>
      <w:proofErr w:type="gramStart"/>
      <w:r w:rsidRPr="00445D12">
        <w:rPr>
          <w:rFonts w:eastAsia="Times New Roman"/>
        </w:rPr>
        <w:t>600.10  Date</w:t>
      </w:r>
      <w:proofErr w:type="gramEnd"/>
      <w:r w:rsidRPr="00445D12">
        <w:rPr>
          <w:rFonts w:eastAsia="Times New Roman"/>
        </w:rPr>
        <w:t xml:space="preserve">, extent, duration, and consequence of eligibility </w:t>
      </w:r>
    </w:p>
    <w:p w14:paraId="79B265B8" w14:textId="6201CFED" w:rsidR="0046680F" w:rsidRPr="00445D12" w:rsidRDefault="0046680F">
      <w:pPr>
        <w:pStyle w:val="ListParagraph"/>
        <w:numPr>
          <w:ilvl w:val="0"/>
          <w:numId w:val="16"/>
        </w:numPr>
        <w:rPr>
          <w:sz w:val="22"/>
          <w:szCs w:val="22"/>
        </w:rPr>
      </w:pPr>
      <w:r w:rsidRPr="00445D12">
        <w:rPr>
          <w:sz w:val="22"/>
          <w:szCs w:val="22"/>
        </w:rPr>
        <w:t xml:space="preserve">Limit </w:t>
      </w:r>
      <w:r w:rsidR="000F6B12">
        <w:rPr>
          <w:sz w:val="22"/>
          <w:szCs w:val="22"/>
        </w:rPr>
        <w:t xml:space="preserve">the </w:t>
      </w:r>
      <w:r w:rsidRPr="00445D12">
        <w:rPr>
          <w:sz w:val="22"/>
          <w:szCs w:val="22"/>
        </w:rPr>
        <w:t xml:space="preserve">requirement for Department approval of direct assessment </w:t>
      </w:r>
      <w:r w:rsidRPr="00445D12">
        <w:rPr>
          <w:rFonts w:eastAsia="Times New Roman" w:cs="Arial"/>
          <w:color w:val="000000"/>
          <w:sz w:val="22"/>
          <w:szCs w:val="22"/>
        </w:rPr>
        <w:t xml:space="preserve">postsecondary </w:t>
      </w:r>
      <w:r w:rsidRPr="00445D12">
        <w:rPr>
          <w:sz w:val="22"/>
          <w:szCs w:val="22"/>
        </w:rPr>
        <w:t>programs to the institution’s first program of that type.</w:t>
      </w:r>
    </w:p>
    <w:p w14:paraId="19C66795" w14:textId="7A92B2BA" w:rsidR="00BA20F4" w:rsidRPr="00445D12" w:rsidRDefault="00BA20F4" w:rsidP="00295057">
      <w:pPr>
        <w:pStyle w:val="Heading3"/>
      </w:pPr>
      <w:r w:rsidRPr="00445D12">
        <w:rPr>
          <w:rFonts w:eastAsia="Times New Roman"/>
        </w:rPr>
        <w:t>§600.11   Special rules regarding institutional accreditation or preaccreditation.</w:t>
      </w:r>
    </w:p>
    <w:p w14:paraId="099B6895" w14:textId="61061613" w:rsidR="00147053" w:rsidRPr="00445D12" w:rsidRDefault="001B01F1" w:rsidP="00147053">
      <w:pPr>
        <w:pStyle w:val="ListParagraph"/>
        <w:numPr>
          <w:ilvl w:val="0"/>
          <w:numId w:val="13"/>
        </w:numPr>
        <w:rPr>
          <w:sz w:val="22"/>
          <w:szCs w:val="22"/>
        </w:rPr>
      </w:pPr>
      <w:r w:rsidRPr="00445D12">
        <w:rPr>
          <w:bCs/>
          <w:sz w:val="22"/>
          <w:szCs w:val="22"/>
        </w:rPr>
        <w:t>E</w:t>
      </w:r>
      <w:r w:rsidR="00147053" w:rsidRPr="00445D12">
        <w:rPr>
          <w:bCs/>
          <w:sz w:val="22"/>
          <w:szCs w:val="22"/>
        </w:rPr>
        <w:t xml:space="preserve">stablish the conditions under which the Secretary may determine </w:t>
      </w:r>
      <w:r w:rsidR="00CC4626">
        <w:rPr>
          <w:bCs/>
          <w:sz w:val="22"/>
          <w:szCs w:val="22"/>
        </w:rPr>
        <w:t>an</w:t>
      </w:r>
      <w:r w:rsidR="00CC4626" w:rsidRPr="00445D12">
        <w:rPr>
          <w:bCs/>
          <w:sz w:val="22"/>
          <w:szCs w:val="22"/>
        </w:rPr>
        <w:t xml:space="preserve"> </w:t>
      </w:r>
      <w:r w:rsidR="00147053" w:rsidRPr="00445D12">
        <w:rPr>
          <w:bCs/>
          <w:sz w:val="22"/>
          <w:szCs w:val="22"/>
        </w:rPr>
        <w:t>institution’s cause for changing its accrediting agency</w:t>
      </w:r>
      <w:r w:rsidRPr="00445D12">
        <w:rPr>
          <w:bCs/>
          <w:sz w:val="22"/>
          <w:szCs w:val="22"/>
        </w:rPr>
        <w:t xml:space="preserve">, or </w:t>
      </w:r>
      <w:r w:rsidR="00147053" w:rsidRPr="00445D12">
        <w:rPr>
          <w:bCs/>
          <w:sz w:val="22"/>
          <w:szCs w:val="22"/>
        </w:rPr>
        <w:t xml:space="preserve">the institution’s cause for </w:t>
      </w:r>
      <w:proofErr w:type="gramStart"/>
      <w:r w:rsidR="00CC4626">
        <w:rPr>
          <w:bCs/>
          <w:sz w:val="22"/>
          <w:szCs w:val="22"/>
        </w:rPr>
        <w:t xml:space="preserve">holding </w:t>
      </w:r>
      <w:r w:rsidR="00147053" w:rsidRPr="00445D12">
        <w:rPr>
          <w:bCs/>
          <w:sz w:val="22"/>
          <w:szCs w:val="22"/>
        </w:rPr>
        <w:t xml:space="preserve"> accreditation</w:t>
      </w:r>
      <w:proofErr w:type="gramEnd"/>
      <w:r w:rsidR="00CC4626">
        <w:rPr>
          <w:bCs/>
          <w:sz w:val="22"/>
          <w:szCs w:val="22"/>
        </w:rPr>
        <w:t xml:space="preserve"> from more than one agency</w:t>
      </w:r>
      <w:r w:rsidRPr="00445D12">
        <w:rPr>
          <w:bCs/>
          <w:sz w:val="22"/>
          <w:szCs w:val="22"/>
        </w:rPr>
        <w:t>,</w:t>
      </w:r>
      <w:r w:rsidR="00147053" w:rsidRPr="00445D12">
        <w:rPr>
          <w:bCs/>
          <w:sz w:val="22"/>
          <w:szCs w:val="22"/>
        </w:rPr>
        <w:t xml:space="preserve"> to be reasonable.</w:t>
      </w:r>
    </w:p>
    <w:p w14:paraId="693D41A1" w14:textId="375A9FE4" w:rsidR="002D386D" w:rsidRPr="00445D12" w:rsidRDefault="002D386D" w:rsidP="00445D12">
      <w:pPr>
        <w:pStyle w:val="Heading2"/>
      </w:pPr>
      <w:r w:rsidRPr="00445D12">
        <w:t>SUBPART B—PROCEDURES FOR ESTABLISHING ELIGIBILITY</w:t>
      </w:r>
    </w:p>
    <w:p w14:paraId="7B1B99FF" w14:textId="4189BB9B" w:rsidR="00DD42D8" w:rsidRPr="00445D12" w:rsidRDefault="00DD42D8" w:rsidP="00295057">
      <w:pPr>
        <w:pStyle w:val="Heading3"/>
      </w:pPr>
      <w:r w:rsidRPr="00445D12">
        <w:t>§600.20   Notice and application procedures for establishing, reestablishing, maintaining, or expanding institutional eligibility and certification.</w:t>
      </w:r>
    </w:p>
    <w:p w14:paraId="6285D3E2" w14:textId="74D4C5C8" w:rsidR="002D386D" w:rsidRPr="00445D12" w:rsidRDefault="001B01F1" w:rsidP="004D1FA3">
      <w:pPr>
        <w:pStyle w:val="ListParagraph"/>
        <w:numPr>
          <w:ilvl w:val="0"/>
          <w:numId w:val="14"/>
        </w:numPr>
        <w:rPr>
          <w:sz w:val="22"/>
          <w:szCs w:val="22"/>
        </w:rPr>
      </w:pPr>
      <w:r w:rsidRPr="00445D12">
        <w:rPr>
          <w:bCs/>
          <w:sz w:val="22"/>
          <w:szCs w:val="22"/>
        </w:rPr>
        <w:t>A</w:t>
      </w:r>
      <w:r w:rsidR="004D1FA3" w:rsidRPr="00445D12">
        <w:rPr>
          <w:bCs/>
          <w:sz w:val="22"/>
          <w:szCs w:val="22"/>
        </w:rPr>
        <w:t>ssert that t</w:t>
      </w:r>
      <w:r w:rsidR="00DD42D8" w:rsidRPr="00445D12">
        <w:rPr>
          <w:bCs/>
          <w:sz w:val="22"/>
          <w:szCs w:val="22"/>
        </w:rPr>
        <w:t>he Secretary shall ensure prompt action is taken by the Department on any application required under this section.</w:t>
      </w:r>
      <w:r w:rsidR="004D1FA3" w:rsidRPr="00445D12">
        <w:rPr>
          <w:bCs/>
          <w:sz w:val="22"/>
          <w:szCs w:val="22"/>
        </w:rPr>
        <w:t xml:space="preserve"> </w:t>
      </w:r>
    </w:p>
    <w:p w14:paraId="451785F6" w14:textId="5BEF07F1" w:rsidR="002D386D" w:rsidRPr="00445D12" w:rsidRDefault="002D386D" w:rsidP="00295057">
      <w:pPr>
        <w:pStyle w:val="Heading3"/>
      </w:pPr>
      <w:proofErr w:type="gramStart"/>
      <w:r w:rsidRPr="00445D12">
        <w:t>§600.21   Updating application information.</w:t>
      </w:r>
      <w:proofErr w:type="gramEnd"/>
    </w:p>
    <w:p w14:paraId="773C3943" w14:textId="77777777" w:rsidR="00CC4626" w:rsidRPr="00CC4626" w:rsidRDefault="001B01F1" w:rsidP="00295057">
      <w:pPr>
        <w:pStyle w:val="ListParagraph"/>
        <w:numPr>
          <w:ilvl w:val="0"/>
          <w:numId w:val="14"/>
        </w:numPr>
        <w:rPr>
          <w:sz w:val="22"/>
          <w:szCs w:val="22"/>
        </w:rPr>
      </w:pPr>
      <w:r w:rsidRPr="00295057">
        <w:rPr>
          <w:bCs/>
          <w:sz w:val="22"/>
          <w:szCs w:val="22"/>
        </w:rPr>
        <w:t>A</w:t>
      </w:r>
      <w:r w:rsidR="007E74E1" w:rsidRPr="00295057">
        <w:rPr>
          <w:bCs/>
          <w:sz w:val="22"/>
          <w:szCs w:val="22"/>
        </w:rPr>
        <w:t>dd new section</w:t>
      </w:r>
      <w:r w:rsidRPr="00295057">
        <w:rPr>
          <w:bCs/>
          <w:sz w:val="22"/>
          <w:szCs w:val="22"/>
        </w:rPr>
        <w:t>s</w:t>
      </w:r>
      <w:r w:rsidR="007E74E1" w:rsidRPr="00295057">
        <w:rPr>
          <w:bCs/>
          <w:sz w:val="22"/>
          <w:szCs w:val="22"/>
        </w:rPr>
        <w:t xml:space="preserve"> to address the addition of </w:t>
      </w:r>
      <w:r w:rsidR="002D386D" w:rsidRPr="00295057">
        <w:rPr>
          <w:bCs/>
          <w:sz w:val="22"/>
          <w:szCs w:val="22"/>
        </w:rPr>
        <w:t>a direct assessment program</w:t>
      </w:r>
    </w:p>
    <w:p w14:paraId="406A11F0" w14:textId="385A95FC" w:rsidR="004C51AF" w:rsidRPr="0071618D" w:rsidRDefault="00CC4626" w:rsidP="00295057">
      <w:pPr>
        <w:pStyle w:val="ListParagraph"/>
        <w:numPr>
          <w:ilvl w:val="0"/>
          <w:numId w:val="14"/>
        </w:numPr>
        <w:rPr>
          <w:bCs/>
          <w:sz w:val="22"/>
          <w:szCs w:val="22"/>
        </w:rPr>
      </w:pPr>
      <w:r w:rsidRPr="00CC4626">
        <w:rPr>
          <w:sz w:val="22"/>
          <w:szCs w:val="22"/>
        </w:rPr>
        <w:t xml:space="preserve">Require an institution entering into a written agreement with an ineligible provider that will provide more than </w:t>
      </w:r>
      <w:r w:rsidR="00751AD1">
        <w:rPr>
          <w:sz w:val="22"/>
          <w:szCs w:val="22"/>
        </w:rPr>
        <w:t>25</w:t>
      </w:r>
      <w:r w:rsidRPr="00CC4626">
        <w:rPr>
          <w:sz w:val="22"/>
          <w:szCs w:val="22"/>
        </w:rPr>
        <w:t xml:space="preserve"> percent of a program to receive prior approval from the institution</w:t>
      </w:r>
      <w:r w:rsidRPr="004C51AF">
        <w:rPr>
          <w:sz w:val="22"/>
          <w:szCs w:val="22"/>
        </w:rPr>
        <w:t>’s accreditor</w:t>
      </w:r>
      <w:r w:rsidR="00751AD1">
        <w:rPr>
          <w:sz w:val="22"/>
          <w:szCs w:val="22"/>
        </w:rPr>
        <w:t xml:space="preserve"> and notify the Department</w:t>
      </w:r>
      <w:r w:rsidRPr="004C51AF">
        <w:rPr>
          <w:sz w:val="22"/>
          <w:szCs w:val="22"/>
        </w:rPr>
        <w:t xml:space="preserve">. </w:t>
      </w:r>
      <w:r w:rsidRPr="00CC4626">
        <w:rPr>
          <w:sz w:val="22"/>
          <w:szCs w:val="22"/>
        </w:rPr>
        <w:t xml:space="preserve"> </w:t>
      </w:r>
      <w:r w:rsidR="001B01F1" w:rsidRPr="00295057">
        <w:rPr>
          <w:bCs/>
          <w:sz w:val="22"/>
          <w:szCs w:val="22"/>
        </w:rPr>
        <w:t xml:space="preserve"> </w:t>
      </w:r>
    </w:p>
    <w:p w14:paraId="5C2A9E68" w14:textId="25DACEFE" w:rsidR="002D386D" w:rsidRPr="00445D12" w:rsidRDefault="002D386D">
      <w:pPr>
        <w:pStyle w:val="Heading2"/>
      </w:pPr>
      <w:r w:rsidRPr="00445D12">
        <w:t>SUBPART C—MAINTAINING ELIGIBILITY</w:t>
      </w:r>
    </w:p>
    <w:p w14:paraId="762F8478" w14:textId="50AF388C" w:rsidR="008364AC" w:rsidRPr="00445D12" w:rsidRDefault="002D386D" w:rsidP="00295057">
      <w:pPr>
        <w:pStyle w:val="Heading3"/>
      </w:pPr>
      <w:r w:rsidRPr="00445D12">
        <w:t>§600.31   Change in ownership resulting in a change in control for private nonprofit, private for-profit and public institutions.</w:t>
      </w:r>
    </w:p>
    <w:p w14:paraId="06C533B7" w14:textId="6D192ECB" w:rsidR="008364AC" w:rsidRPr="00445D12" w:rsidRDefault="001B01F1" w:rsidP="00923DC3">
      <w:pPr>
        <w:pStyle w:val="ListParagraph"/>
        <w:numPr>
          <w:ilvl w:val="0"/>
          <w:numId w:val="15"/>
        </w:numPr>
        <w:rPr>
          <w:sz w:val="22"/>
          <w:szCs w:val="22"/>
        </w:rPr>
      </w:pPr>
      <w:r w:rsidRPr="00445D12">
        <w:rPr>
          <w:bCs/>
          <w:sz w:val="22"/>
          <w:szCs w:val="22"/>
        </w:rPr>
        <w:t>M</w:t>
      </w:r>
      <w:r w:rsidR="00923DC3" w:rsidRPr="00445D12">
        <w:rPr>
          <w:bCs/>
          <w:sz w:val="22"/>
          <w:szCs w:val="22"/>
        </w:rPr>
        <w:t xml:space="preserve">odify </w:t>
      </w:r>
      <w:r w:rsidRPr="00445D12">
        <w:rPr>
          <w:bCs/>
          <w:sz w:val="22"/>
          <w:szCs w:val="22"/>
        </w:rPr>
        <w:t xml:space="preserve">the </w:t>
      </w:r>
      <w:r w:rsidR="00923DC3" w:rsidRPr="00445D12">
        <w:rPr>
          <w:bCs/>
          <w:sz w:val="22"/>
          <w:szCs w:val="22"/>
        </w:rPr>
        <w:t xml:space="preserve">definitions of </w:t>
      </w:r>
      <w:r w:rsidR="00923DC3" w:rsidRPr="00445D12">
        <w:rPr>
          <w:i/>
          <w:sz w:val="22"/>
          <w:szCs w:val="22"/>
        </w:rPr>
        <w:t xml:space="preserve">Closely-held </w:t>
      </w:r>
      <w:proofErr w:type="gramStart"/>
      <w:r w:rsidR="00923DC3" w:rsidRPr="00445D12">
        <w:rPr>
          <w:i/>
          <w:sz w:val="22"/>
          <w:szCs w:val="22"/>
        </w:rPr>
        <w:t>corporation</w:t>
      </w:r>
      <w:proofErr w:type="gramEnd"/>
      <w:r w:rsidR="00923DC3" w:rsidRPr="00445D12">
        <w:rPr>
          <w:i/>
          <w:sz w:val="22"/>
          <w:szCs w:val="22"/>
        </w:rPr>
        <w:t xml:space="preserve">, </w:t>
      </w:r>
      <w:r w:rsidR="008364AC" w:rsidRPr="00445D12">
        <w:rPr>
          <w:i/>
          <w:sz w:val="22"/>
          <w:szCs w:val="22"/>
        </w:rPr>
        <w:t>Parent</w:t>
      </w:r>
      <w:r w:rsidR="00923DC3" w:rsidRPr="00445D12">
        <w:rPr>
          <w:sz w:val="22"/>
          <w:szCs w:val="22"/>
        </w:rPr>
        <w:t xml:space="preserve">, </w:t>
      </w:r>
      <w:r w:rsidR="008364AC" w:rsidRPr="00445D12">
        <w:rPr>
          <w:i/>
          <w:sz w:val="22"/>
          <w:szCs w:val="22"/>
        </w:rPr>
        <w:t>Person</w:t>
      </w:r>
      <w:r w:rsidR="00923DC3" w:rsidRPr="00445D12">
        <w:rPr>
          <w:i/>
          <w:sz w:val="22"/>
          <w:szCs w:val="22"/>
        </w:rPr>
        <w:t xml:space="preserve">, </w:t>
      </w:r>
      <w:r w:rsidR="00923DC3" w:rsidRPr="00445D12">
        <w:rPr>
          <w:sz w:val="22"/>
          <w:szCs w:val="22"/>
        </w:rPr>
        <w:t>and</w:t>
      </w:r>
      <w:r w:rsidR="00923DC3" w:rsidRPr="00445D12">
        <w:rPr>
          <w:i/>
          <w:sz w:val="22"/>
          <w:szCs w:val="22"/>
        </w:rPr>
        <w:t xml:space="preserve"> </w:t>
      </w:r>
      <w:r w:rsidR="00A9115C" w:rsidRPr="00445D12">
        <w:rPr>
          <w:i/>
          <w:sz w:val="22"/>
          <w:szCs w:val="22"/>
        </w:rPr>
        <w:t xml:space="preserve">the </w:t>
      </w:r>
      <w:r w:rsidR="00923DC3" w:rsidRPr="00445D12">
        <w:rPr>
          <w:rFonts w:cs="Arial"/>
          <w:i/>
          <w:iCs/>
          <w:color w:val="000000"/>
          <w:sz w:val="22"/>
          <w:szCs w:val="22"/>
        </w:rPr>
        <w:t>Standards for identifying changes of ownership and control</w:t>
      </w:r>
      <w:r w:rsidR="00A9115C" w:rsidRPr="00445D12">
        <w:rPr>
          <w:rFonts w:cs="Arial"/>
          <w:i/>
          <w:iCs/>
          <w:color w:val="000000"/>
          <w:sz w:val="22"/>
          <w:szCs w:val="22"/>
        </w:rPr>
        <w:t>,</w:t>
      </w:r>
      <w:r w:rsidR="008364AC" w:rsidRPr="00445D12">
        <w:rPr>
          <w:sz w:val="22"/>
          <w:szCs w:val="22"/>
        </w:rPr>
        <w:t xml:space="preserve"> to </w:t>
      </w:r>
      <w:r w:rsidR="00923DC3" w:rsidRPr="00445D12">
        <w:rPr>
          <w:sz w:val="22"/>
          <w:szCs w:val="22"/>
        </w:rPr>
        <w:t>more accurately reflect these how these entities are considered under Securities and Exchange Commission (SEC) rules.</w:t>
      </w:r>
    </w:p>
    <w:p w14:paraId="1FFD7F79" w14:textId="7A251D13" w:rsidR="00862719" w:rsidRPr="00445D12" w:rsidRDefault="00862719" w:rsidP="00295057">
      <w:pPr>
        <w:pStyle w:val="Heading3"/>
      </w:pPr>
      <w:r w:rsidRPr="00445D12">
        <w:t>§600.32   Eligibility of additional locations.</w:t>
      </w:r>
    </w:p>
    <w:p w14:paraId="39DF32A8" w14:textId="7902259C" w:rsidR="00923DC3" w:rsidRPr="00445D12" w:rsidRDefault="003D7CC5" w:rsidP="00C20CFB">
      <w:pPr>
        <w:pStyle w:val="ListParagraph"/>
        <w:numPr>
          <w:ilvl w:val="0"/>
          <w:numId w:val="15"/>
        </w:numPr>
        <w:rPr>
          <w:bCs/>
          <w:sz w:val="22"/>
          <w:szCs w:val="22"/>
        </w:rPr>
      </w:pPr>
      <w:r w:rsidRPr="00445D12">
        <w:rPr>
          <w:sz w:val="22"/>
          <w:szCs w:val="22"/>
        </w:rPr>
        <w:t>Remove</w:t>
      </w:r>
      <w:r w:rsidR="00923DC3" w:rsidRPr="00445D12">
        <w:rPr>
          <w:bCs/>
          <w:sz w:val="22"/>
          <w:szCs w:val="22"/>
        </w:rPr>
        <w:t xml:space="preserve"> the two-year requirement </w:t>
      </w:r>
      <w:r w:rsidRPr="00445D12">
        <w:rPr>
          <w:bCs/>
          <w:sz w:val="22"/>
          <w:szCs w:val="22"/>
        </w:rPr>
        <w:t xml:space="preserve">for </w:t>
      </w:r>
      <w:r w:rsidR="00C20CFB" w:rsidRPr="00C20CFB">
        <w:rPr>
          <w:bCs/>
          <w:sz w:val="22"/>
          <w:szCs w:val="22"/>
        </w:rPr>
        <w:t>§§600.5(a)(7) or 600.6(a)(</w:t>
      </w:r>
      <w:proofErr w:type="gramStart"/>
      <w:r w:rsidR="00C20CFB" w:rsidRPr="00C20CFB">
        <w:rPr>
          <w:bCs/>
          <w:sz w:val="22"/>
          <w:szCs w:val="22"/>
        </w:rPr>
        <w:t>6)</w:t>
      </w:r>
      <w:r w:rsidR="00CC4626">
        <w:rPr>
          <w:bCs/>
          <w:sz w:val="22"/>
          <w:szCs w:val="22"/>
        </w:rPr>
        <w:t>in</w:t>
      </w:r>
      <w:proofErr w:type="gramEnd"/>
      <w:r w:rsidR="00CC4626">
        <w:rPr>
          <w:bCs/>
          <w:sz w:val="22"/>
          <w:szCs w:val="22"/>
        </w:rPr>
        <w:t xml:space="preserve"> </w:t>
      </w:r>
      <w:r w:rsidRPr="00445D12">
        <w:rPr>
          <w:bCs/>
          <w:sz w:val="22"/>
          <w:szCs w:val="22"/>
        </w:rPr>
        <w:t xml:space="preserve">circumstances where </w:t>
      </w:r>
      <w:r w:rsidR="00923DC3" w:rsidRPr="00445D12">
        <w:rPr>
          <w:bCs/>
          <w:sz w:val="22"/>
          <w:szCs w:val="22"/>
        </w:rPr>
        <w:t xml:space="preserve">the applicant institution and the original </w:t>
      </w:r>
      <w:r w:rsidR="000F5DC6" w:rsidRPr="00445D12">
        <w:rPr>
          <w:bCs/>
          <w:sz w:val="22"/>
          <w:szCs w:val="22"/>
        </w:rPr>
        <w:t xml:space="preserve">closed </w:t>
      </w:r>
      <w:r w:rsidR="00923DC3" w:rsidRPr="00445D12">
        <w:rPr>
          <w:bCs/>
          <w:sz w:val="22"/>
          <w:szCs w:val="22"/>
        </w:rPr>
        <w:t xml:space="preserve">institution are not related parties, </w:t>
      </w:r>
      <w:r w:rsidR="00CC4626">
        <w:rPr>
          <w:bCs/>
          <w:sz w:val="22"/>
          <w:szCs w:val="22"/>
        </w:rPr>
        <w:t>have</w:t>
      </w:r>
      <w:r w:rsidR="00923DC3" w:rsidRPr="00445D12">
        <w:rPr>
          <w:bCs/>
          <w:sz w:val="22"/>
          <w:szCs w:val="22"/>
        </w:rPr>
        <w:t xml:space="preserve"> no commonality of ownership or management, and the applicant institution agrees to accept liability for the closed institution’s prior actions </w:t>
      </w:r>
      <w:r w:rsidR="00A9115C" w:rsidRPr="00445D12">
        <w:rPr>
          <w:bCs/>
          <w:sz w:val="22"/>
          <w:szCs w:val="22"/>
        </w:rPr>
        <w:t xml:space="preserve">and its unpaid refunds </w:t>
      </w:r>
      <w:r w:rsidR="00923DC3" w:rsidRPr="00445D12">
        <w:rPr>
          <w:bCs/>
          <w:sz w:val="22"/>
          <w:szCs w:val="22"/>
        </w:rPr>
        <w:t>during the current term and for one prior academic year</w:t>
      </w:r>
      <w:r w:rsidR="000F5DC6" w:rsidRPr="00445D12">
        <w:rPr>
          <w:bCs/>
          <w:sz w:val="22"/>
          <w:szCs w:val="22"/>
        </w:rPr>
        <w:t>, and to abide by the closed institution’s refund policies.</w:t>
      </w:r>
    </w:p>
    <w:p w14:paraId="1C12627C" w14:textId="3A39CA91" w:rsidR="009B2D77" w:rsidRPr="00295057" w:rsidRDefault="000F5DC6" w:rsidP="00295057">
      <w:pPr>
        <w:pStyle w:val="ListParagraph"/>
        <w:numPr>
          <w:ilvl w:val="0"/>
          <w:numId w:val="15"/>
        </w:numPr>
        <w:rPr>
          <w:sz w:val="22"/>
          <w:szCs w:val="22"/>
        </w:rPr>
      </w:pPr>
      <w:r w:rsidRPr="00445D12">
        <w:rPr>
          <w:bCs/>
          <w:sz w:val="22"/>
          <w:szCs w:val="22"/>
        </w:rPr>
        <w:t xml:space="preserve">Permit an institution to apply to have a location that does not meet the two year requirement added to </w:t>
      </w:r>
      <w:r w:rsidR="00CC4626">
        <w:rPr>
          <w:bCs/>
          <w:sz w:val="22"/>
          <w:szCs w:val="22"/>
        </w:rPr>
        <w:t>its Program Participation Agreement</w:t>
      </w:r>
      <w:r w:rsidRPr="00445D12">
        <w:rPr>
          <w:bCs/>
          <w:sz w:val="22"/>
          <w:szCs w:val="22"/>
        </w:rPr>
        <w:t xml:space="preserve"> if the institution </w:t>
      </w:r>
      <w:r w:rsidR="00CC4626">
        <w:rPr>
          <w:bCs/>
          <w:sz w:val="22"/>
          <w:szCs w:val="22"/>
        </w:rPr>
        <w:t xml:space="preserve">is </w:t>
      </w:r>
      <w:r w:rsidR="003E0515" w:rsidRPr="00445D12">
        <w:rPr>
          <w:bCs/>
          <w:sz w:val="22"/>
          <w:szCs w:val="22"/>
        </w:rPr>
        <w:t>conducting a teach</w:t>
      </w:r>
      <w:r w:rsidR="00CC4626">
        <w:rPr>
          <w:bCs/>
          <w:sz w:val="22"/>
          <w:szCs w:val="22"/>
        </w:rPr>
        <w:t>-</w:t>
      </w:r>
      <w:r w:rsidR="003E0515" w:rsidRPr="00445D12">
        <w:rPr>
          <w:bCs/>
          <w:sz w:val="22"/>
          <w:szCs w:val="22"/>
        </w:rPr>
        <w:t>out pursuant to a teach</w:t>
      </w:r>
      <w:r w:rsidR="00CC4626">
        <w:rPr>
          <w:bCs/>
          <w:sz w:val="22"/>
          <w:szCs w:val="22"/>
        </w:rPr>
        <w:t>-</w:t>
      </w:r>
      <w:r w:rsidR="003E0515" w:rsidRPr="00445D12">
        <w:rPr>
          <w:bCs/>
          <w:sz w:val="22"/>
          <w:szCs w:val="22"/>
        </w:rPr>
        <w:t>out plan approved by both accrediting agenc</w:t>
      </w:r>
      <w:r w:rsidR="000C3D01" w:rsidRPr="00445D12">
        <w:rPr>
          <w:bCs/>
          <w:sz w:val="22"/>
          <w:szCs w:val="22"/>
        </w:rPr>
        <w:t>ies</w:t>
      </w:r>
      <w:r w:rsidR="003E0515" w:rsidRPr="00445D12">
        <w:rPr>
          <w:bCs/>
          <w:sz w:val="22"/>
          <w:szCs w:val="22"/>
        </w:rPr>
        <w:t>.</w:t>
      </w:r>
    </w:p>
    <w:p w14:paraId="22932A3F" w14:textId="3B9761FA" w:rsidR="009B2D77" w:rsidRPr="00445D12" w:rsidRDefault="009B2D77" w:rsidP="00445D12">
      <w:pPr>
        <w:pStyle w:val="Heading3"/>
      </w:pPr>
      <w:r w:rsidRPr="00445D12">
        <w:lastRenderedPageBreak/>
        <w:t>§600.41   Termination and emergency action proceedings</w:t>
      </w:r>
    </w:p>
    <w:p w14:paraId="3B07B4FE" w14:textId="390773E0" w:rsidR="00446784" w:rsidRPr="00295057" w:rsidRDefault="00446784" w:rsidP="00C77423">
      <w:pPr>
        <w:pStyle w:val="ListParagraph"/>
        <w:numPr>
          <w:ilvl w:val="0"/>
          <w:numId w:val="18"/>
        </w:numPr>
        <w:rPr>
          <w:sz w:val="22"/>
          <w:szCs w:val="22"/>
        </w:rPr>
      </w:pPr>
      <w:r w:rsidRPr="00295057">
        <w:rPr>
          <w:sz w:val="22"/>
          <w:szCs w:val="22"/>
        </w:rPr>
        <w:t>Removed outdated language regarding termination of an institution or location</w:t>
      </w:r>
    </w:p>
    <w:p w14:paraId="5E84C0E4" w14:textId="561CE129" w:rsidR="00EA1CBB" w:rsidRPr="00295057" w:rsidRDefault="00446784" w:rsidP="00295057">
      <w:pPr>
        <w:pStyle w:val="ListParagraph"/>
        <w:numPr>
          <w:ilvl w:val="0"/>
          <w:numId w:val="17"/>
        </w:numPr>
        <w:rPr>
          <w:sz w:val="22"/>
          <w:szCs w:val="22"/>
        </w:rPr>
      </w:pPr>
      <w:r w:rsidRPr="00445D12">
        <w:rPr>
          <w:sz w:val="22"/>
          <w:szCs w:val="22"/>
        </w:rPr>
        <w:t>Added language regarding</w:t>
      </w:r>
      <w:r w:rsidR="00DE05B0" w:rsidRPr="00445D12">
        <w:rPr>
          <w:sz w:val="22"/>
          <w:szCs w:val="22"/>
        </w:rPr>
        <w:t xml:space="preserve"> use of a teach-out plan following termination when the Secretary determines it is in the best interest of the students</w:t>
      </w:r>
    </w:p>
    <w:p w14:paraId="17F65D63" w14:textId="2CF6BC7C" w:rsidR="00493B66" w:rsidRPr="00445D12" w:rsidRDefault="00EA1CBB" w:rsidP="00295057">
      <w:pPr>
        <w:pStyle w:val="Heading3"/>
      </w:pPr>
      <w:r w:rsidRPr="00445D12">
        <w:t>§600.52   Definitions</w:t>
      </w:r>
    </w:p>
    <w:p w14:paraId="1538F6E3" w14:textId="02E7292A" w:rsidR="006220E7" w:rsidRPr="00493B66" w:rsidRDefault="00493B66" w:rsidP="00493B66">
      <w:pPr>
        <w:pStyle w:val="ListParagraph"/>
        <w:numPr>
          <w:ilvl w:val="0"/>
          <w:numId w:val="17"/>
        </w:numPr>
      </w:pPr>
      <w:r w:rsidRPr="00445D12">
        <w:rPr>
          <w:sz w:val="22"/>
          <w:szCs w:val="22"/>
        </w:rPr>
        <w:t xml:space="preserve">This section </w:t>
      </w:r>
      <w:r w:rsidR="00422451">
        <w:rPr>
          <w:sz w:val="22"/>
          <w:szCs w:val="22"/>
        </w:rPr>
        <w:t>eliminates a restriction on U.S. students enrolled at a</w:t>
      </w:r>
      <w:r w:rsidRPr="00445D12">
        <w:rPr>
          <w:sz w:val="22"/>
          <w:szCs w:val="22"/>
        </w:rPr>
        <w:t xml:space="preserve"> </w:t>
      </w:r>
      <w:r w:rsidRPr="00445D12">
        <w:rPr>
          <w:i/>
          <w:sz w:val="22"/>
          <w:szCs w:val="22"/>
        </w:rPr>
        <w:t>foreign institution</w:t>
      </w:r>
      <w:r w:rsidR="00422451">
        <w:rPr>
          <w:i/>
          <w:sz w:val="22"/>
          <w:szCs w:val="22"/>
        </w:rPr>
        <w:t xml:space="preserve"> </w:t>
      </w:r>
      <w:r w:rsidR="00422451" w:rsidRPr="00295057">
        <w:rPr>
          <w:sz w:val="22"/>
          <w:szCs w:val="22"/>
        </w:rPr>
        <w:t>from taking any classes at a U.S. institution or another foreign institution</w:t>
      </w:r>
      <w:r w:rsidR="00422451">
        <w:rPr>
          <w:sz w:val="22"/>
          <w:szCs w:val="22"/>
        </w:rPr>
        <w:t xml:space="preserve">, or to forfeit title IV participation for their entire program.  This is an unreasonable restriction that adds to the cost of attendance for those students and that prevents those students from taking advantage of opportunities to take courses the foreign institution doesn’t offer or to continue earning credits toward completion during school breaks.  </w:t>
      </w:r>
      <w:r w:rsidRPr="00445D12">
        <w:rPr>
          <w:sz w:val="22"/>
          <w:szCs w:val="22"/>
        </w:rPr>
        <w:t xml:space="preserve">We propose to amend </w:t>
      </w:r>
      <w:r w:rsidR="00422451" w:rsidRPr="00445D12">
        <w:rPr>
          <w:sz w:val="22"/>
          <w:szCs w:val="22"/>
        </w:rPr>
        <w:t>th</w:t>
      </w:r>
      <w:r w:rsidR="00422451">
        <w:rPr>
          <w:sz w:val="22"/>
          <w:szCs w:val="22"/>
        </w:rPr>
        <w:t>ese</w:t>
      </w:r>
      <w:r w:rsidR="00422451" w:rsidRPr="00445D12">
        <w:rPr>
          <w:sz w:val="22"/>
          <w:szCs w:val="22"/>
        </w:rPr>
        <w:t xml:space="preserve"> </w:t>
      </w:r>
      <w:r w:rsidRPr="00445D12">
        <w:rPr>
          <w:sz w:val="22"/>
          <w:szCs w:val="22"/>
        </w:rPr>
        <w:t>regulations to allow</w:t>
      </w:r>
      <w:r w:rsidR="00422451">
        <w:rPr>
          <w:sz w:val="22"/>
          <w:szCs w:val="22"/>
        </w:rPr>
        <w:t xml:space="preserve"> students enrolled at</w:t>
      </w:r>
      <w:r w:rsidRPr="00445D12">
        <w:rPr>
          <w:sz w:val="22"/>
          <w:szCs w:val="22"/>
        </w:rPr>
        <w:t xml:space="preserve"> foreign institutions to </w:t>
      </w:r>
      <w:r w:rsidR="00422451">
        <w:rPr>
          <w:sz w:val="22"/>
          <w:szCs w:val="22"/>
        </w:rPr>
        <w:t>complete up to</w:t>
      </w:r>
      <w:r w:rsidRPr="00445D12">
        <w:rPr>
          <w:sz w:val="22"/>
          <w:szCs w:val="22"/>
        </w:rPr>
        <w:t xml:space="preserve"> 25% of their program </w:t>
      </w:r>
      <w:r w:rsidR="00422451">
        <w:rPr>
          <w:sz w:val="22"/>
          <w:szCs w:val="22"/>
        </w:rPr>
        <w:t>at a U.S. institution or another foreign institution</w:t>
      </w:r>
      <w:r w:rsidRPr="00445D12">
        <w:rPr>
          <w:sz w:val="22"/>
          <w:szCs w:val="22"/>
        </w:rPr>
        <w:t xml:space="preserve">. </w:t>
      </w:r>
      <w:r w:rsidR="009B7E61" w:rsidRPr="00445D12">
        <w:rPr>
          <w:sz w:val="22"/>
          <w:szCs w:val="22"/>
        </w:rPr>
        <w:t xml:space="preserve"> </w:t>
      </w:r>
      <w:r w:rsidRPr="00445D12">
        <w:rPr>
          <w:sz w:val="22"/>
          <w:szCs w:val="22"/>
        </w:rPr>
        <w:t xml:space="preserve">We believe this will </w:t>
      </w:r>
      <w:r w:rsidR="009B7E61" w:rsidRPr="00445D12">
        <w:rPr>
          <w:sz w:val="22"/>
          <w:szCs w:val="22"/>
        </w:rPr>
        <w:t>provide increased flexibility for students,</w:t>
      </w:r>
      <w:r w:rsidRPr="00445D12">
        <w:rPr>
          <w:sz w:val="22"/>
          <w:szCs w:val="22"/>
        </w:rPr>
        <w:t xml:space="preserve"> </w:t>
      </w:r>
      <w:r w:rsidR="00422451">
        <w:rPr>
          <w:sz w:val="22"/>
          <w:szCs w:val="22"/>
        </w:rPr>
        <w:t>which may improve the educational experience, accelerate completion or reduce the total cost of earning a degree.</w:t>
      </w:r>
      <w:r w:rsidRPr="00445D12">
        <w:rPr>
          <w:sz w:val="22"/>
          <w:szCs w:val="22"/>
        </w:rPr>
        <w:t xml:space="preserve"> </w:t>
      </w:r>
    </w:p>
    <w:sectPr w:rsidR="006220E7" w:rsidRPr="00493B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31D8" w14:textId="77777777" w:rsidR="00012D50" w:rsidRDefault="00012D50" w:rsidP="00906043">
      <w:r>
        <w:separator/>
      </w:r>
    </w:p>
  </w:endnote>
  <w:endnote w:type="continuationSeparator" w:id="0">
    <w:p w14:paraId="4EADBEDC" w14:textId="77777777" w:rsidR="00012D50" w:rsidRDefault="00012D50" w:rsidP="0090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2F01" w14:textId="77777777" w:rsidR="00CA49EE" w:rsidRDefault="00CA49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56493"/>
      <w:docPartObj>
        <w:docPartGallery w:val="Page Numbers (Bottom of Page)"/>
        <w:docPartUnique/>
      </w:docPartObj>
    </w:sdtPr>
    <w:sdtEndPr>
      <w:rPr>
        <w:noProof/>
      </w:rPr>
    </w:sdtEndPr>
    <w:sdtContent>
      <w:p w14:paraId="751753B0" w14:textId="5BC1AFF8" w:rsidR="00906043" w:rsidRDefault="00906043" w:rsidP="00906043">
        <w:pPr>
          <w:pStyle w:val="Footer"/>
          <w:jc w:val="center"/>
        </w:pPr>
        <w:r>
          <w:fldChar w:fldCharType="begin"/>
        </w:r>
        <w:r>
          <w:instrText xml:space="preserve"> PAGE   \* MERGEFORMAT </w:instrText>
        </w:r>
        <w:r>
          <w:fldChar w:fldCharType="separate"/>
        </w:r>
        <w:r w:rsidR="00891B17">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EEBB" w14:textId="77777777" w:rsidR="00CA49EE" w:rsidRDefault="00CA49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8B5EE" w14:textId="77777777" w:rsidR="00012D50" w:rsidRDefault="00012D50" w:rsidP="00906043">
      <w:r>
        <w:separator/>
      </w:r>
    </w:p>
  </w:footnote>
  <w:footnote w:type="continuationSeparator" w:id="0">
    <w:p w14:paraId="596B877D" w14:textId="77777777" w:rsidR="00012D50" w:rsidRDefault="00012D50" w:rsidP="009060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7E87" w14:textId="77777777" w:rsidR="00CA49EE" w:rsidRDefault="00CA49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1067" w14:textId="77777777" w:rsidR="00CA49EE" w:rsidRDefault="00CA49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0F8C1" w14:textId="77777777" w:rsidR="00CA49EE" w:rsidRDefault="00CA49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E17"/>
    <w:multiLevelType w:val="hybridMultilevel"/>
    <w:tmpl w:val="1882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75354"/>
    <w:multiLevelType w:val="hybridMultilevel"/>
    <w:tmpl w:val="EA78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B7359"/>
    <w:multiLevelType w:val="hybridMultilevel"/>
    <w:tmpl w:val="4650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D20AC"/>
    <w:multiLevelType w:val="hybridMultilevel"/>
    <w:tmpl w:val="6D0E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457FD"/>
    <w:multiLevelType w:val="hybridMultilevel"/>
    <w:tmpl w:val="AB7C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B05F0"/>
    <w:multiLevelType w:val="hybridMultilevel"/>
    <w:tmpl w:val="802CA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01C2"/>
    <w:multiLevelType w:val="hybridMultilevel"/>
    <w:tmpl w:val="29A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B2F06"/>
    <w:multiLevelType w:val="hybridMultilevel"/>
    <w:tmpl w:val="772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76C76"/>
    <w:multiLevelType w:val="hybridMultilevel"/>
    <w:tmpl w:val="6994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57CBC"/>
    <w:multiLevelType w:val="hybridMultilevel"/>
    <w:tmpl w:val="548C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45E08"/>
    <w:multiLevelType w:val="hybridMultilevel"/>
    <w:tmpl w:val="A9C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41882"/>
    <w:multiLevelType w:val="hybridMultilevel"/>
    <w:tmpl w:val="E4F8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B7F3D"/>
    <w:multiLevelType w:val="hybridMultilevel"/>
    <w:tmpl w:val="E5F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461EF"/>
    <w:multiLevelType w:val="hybridMultilevel"/>
    <w:tmpl w:val="478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F2C32"/>
    <w:multiLevelType w:val="hybridMultilevel"/>
    <w:tmpl w:val="6A72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35340"/>
    <w:multiLevelType w:val="hybridMultilevel"/>
    <w:tmpl w:val="2FCA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22444"/>
    <w:multiLevelType w:val="hybridMultilevel"/>
    <w:tmpl w:val="F724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D47B9"/>
    <w:multiLevelType w:val="hybridMultilevel"/>
    <w:tmpl w:val="DBE8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14"/>
  </w:num>
  <w:num w:numId="7">
    <w:abstractNumId w:val="16"/>
  </w:num>
  <w:num w:numId="8">
    <w:abstractNumId w:val="15"/>
  </w:num>
  <w:num w:numId="9">
    <w:abstractNumId w:val="12"/>
  </w:num>
  <w:num w:numId="10">
    <w:abstractNumId w:val="9"/>
  </w:num>
  <w:num w:numId="11">
    <w:abstractNumId w:val="2"/>
  </w:num>
  <w:num w:numId="12">
    <w:abstractNumId w:val="8"/>
  </w:num>
  <w:num w:numId="13">
    <w:abstractNumId w:val="1"/>
  </w:num>
  <w:num w:numId="14">
    <w:abstractNumId w:val="10"/>
  </w:num>
  <w:num w:numId="15">
    <w:abstractNumId w:val="13"/>
  </w:num>
  <w:num w:numId="16">
    <w:abstractNumId w:val="1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4A"/>
    <w:rsid w:val="00005469"/>
    <w:rsid w:val="00012D50"/>
    <w:rsid w:val="000301B2"/>
    <w:rsid w:val="00085687"/>
    <w:rsid w:val="000A2F93"/>
    <w:rsid w:val="000B254F"/>
    <w:rsid w:val="000C3D01"/>
    <w:rsid w:val="000F5DC6"/>
    <w:rsid w:val="000F6B12"/>
    <w:rsid w:val="00105476"/>
    <w:rsid w:val="00106997"/>
    <w:rsid w:val="00136BED"/>
    <w:rsid w:val="00147053"/>
    <w:rsid w:val="0018152D"/>
    <w:rsid w:val="00187B5B"/>
    <w:rsid w:val="0019181A"/>
    <w:rsid w:val="001B01F1"/>
    <w:rsid w:val="001C50DF"/>
    <w:rsid w:val="001C7E9D"/>
    <w:rsid w:val="00227D65"/>
    <w:rsid w:val="0025719F"/>
    <w:rsid w:val="00262AE3"/>
    <w:rsid w:val="00295057"/>
    <w:rsid w:val="002D386D"/>
    <w:rsid w:val="002E1CBC"/>
    <w:rsid w:val="002E76C1"/>
    <w:rsid w:val="003314E7"/>
    <w:rsid w:val="003727BC"/>
    <w:rsid w:val="003728D7"/>
    <w:rsid w:val="0037652C"/>
    <w:rsid w:val="00396C52"/>
    <w:rsid w:val="003D4DC6"/>
    <w:rsid w:val="003D7CC5"/>
    <w:rsid w:val="003E0515"/>
    <w:rsid w:val="003E0ED4"/>
    <w:rsid w:val="00422451"/>
    <w:rsid w:val="00442D40"/>
    <w:rsid w:val="00445D12"/>
    <w:rsid w:val="00446784"/>
    <w:rsid w:val="0046680F"/>
    <w:rsid w:val="00472658"/>
    <w:rsid w:val="00493B66"/>
    <w:rsid w:val="004C51AF"/>
    <w:rsid w:val="004C5CD2"/>
    <w:rsid w:val="004D1FA3"/>
    <w:rsid w:val="004F7037"/>
    <w:rsid w:val="00507D20"/>
    <w:rsid w:val="005226CE"/>
    <w:rsid w:val="00524B0C"/>
    <w:rsid w:val="005421DF"/>
    <w:rsid w:val="005B2647"/>
    <w:rsid w:val="005B71FE"/>
    <w:rsid w:val="005E18FA"/>
    <w:rsid w:val="005F14DF"/>
    <w:rsid w:val="006065C9"/>
    <w:rsid w:val="006130AA"/>
    <w:rsid w:val="006220E7"/>
    <w:rsid w:val="0062475B"/>
    <w:rsid w:val="00676139"/>
    <w:rsid w:val="00680324"/>
    <w:rsid w:val="006B37C1"/>
    <w:rsid w:val="006F3C76"/>
    <w:rsid w:val="0071618D"/>
    <w:rsid w:val="00751AD1"/>
    <w:rsid w:val="007542D7"/>
    <w:rsid w:val="00792FF0"/>
    <w:rsid w:val="007D16B7"/>
    <w:rsid w:val="007E74E1"/>
    <w:rsid w:val="008041EB"/>
    <w:rsid w:val="00824F7F"/>
    <w:rsid w:val="008364AC"/>
    <w:rsid w:val="008403FB"/>
    <w:rsid w:val="008431C8"/>
    <w:rsid w:val="00862719"/>
    <w:rsid w:val="00891B17"/>
    <w:rsid w:val="008D7F79"/>
    <w:rsid w:val="00906043"/>
    <w:rsid w:val="0091336A"/>
    <w:rsid w:val="00923DC3"/>
    <w:rsid w:val="00932985"/>
    <w:rsid w:val="0093314A"/>
    <w:rsid w:val="00965F34"/>
    <w:rsid w:val="009661C2"/>
    <w:rsid w:val="00976DAA"/>
    <w:rsid w:val="00980651"/>
    <w:rsid w:val="00997B8A"/>
    <w:rsid w:val="009B2D77"/>
    <w:rsid w:val="009B7E61"/>
    <w:rsid w:val="009C0C50"/>
    <w:rsid w:val="009D0C98"/>
    <w:rsid w:val="00A0065D"/>
    <w:rsid w:val="00A006F2"/>
    <w:rsid w:val="00A12D55"/>
    <w:rsid w:val="00A9115C"/>
    <w:rsid w:val="00A96FDA"/>
    <w:rsid w:val="00AA1D46"/>
    <w:rsid w:val="00AF2047"/>
    <w:rsid w:val="00B3331E"/>
    <w:rsid w:val="00B6576E"/>
    <w:rsid w:val="00BA20F4"/>
    <w:rsid w:val="00BD5068"/>
    <w:rsid w:val="00C20CFB"/>
    <w:rsid w:val="00C51027"/>
    <w:rsid w:val="00C6780B"/>
    <w:rsid w:val="00C77423"/>
    <w:rsid w:val="00C825E6"/>
    <w:rsid w:val="00CA49EE"/>
    <w:rsid w:val="00CC4626"/>
    <w:rsid w:val="00D76721"/>
    <w:rsid w:val="00D91EE2"/>
    <w:rsid w:val="00D9239E"/>
    <w:rsid w:val="00DB0D74"/>
    <w:rsid w:val="00DD37DA"/>
    <w:rsid w:val="00DD42D8"/>
    <w:rsid w:val="00DD7DB6"/>
    <w:rsid w:val="00DE05B0"/>
    <w:rsid w:val="00DF501B"/>
    <w:rsid w:val="00E31383"/>
    <w:rsid w:val="00E323D1"/>
    <w:rsid w:val="00E41E9E"/>
    <w:rsid w:val="00E618F0"/>
    <w:rsid w:val="00E663AF"/>
    <w:rsid w:val="00E67991"/>
    <w:rsid w:val="00E7318E"/>
    <w:rsid w:val="00EA1CBB"/>
    <w:rsid w:val="00EB48D2"/>
    <w:rsid w:val="00F24018"/>
    <w:rsid w:val="00FC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E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4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45D12"/>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5D12"/>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445D12"/>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BD50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D12"/>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5D12"/>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445D12"/>
    <w:rPr>
      <w:rFonts w:ascii="Arial Black" w:eastAsiaTheme="majorEastAsia" w:hAnsi="Arial Black" w:cstheme="majorBidi"/>
      <w:b/>
      <w:bCs/>
      <w:color w:val="4F81BD" w:themeColor="accent1"/>
    </w:rPr>
  </w:style>
  <w:style w:type="paragraph" w:styleId="CommentText">
    <w:name w:val="annotation text"/>
    <w:basedOn w:val="Normal"/>
    <w:link w:val="CommentTextChar"/>
    <w:uiPriority w:val="99"/>
    <w:unhideWhenUsed/>
    <w:rsid w:val="0093314A"/>
  </w:style>
  <w:style w:type="character" w:customStyle="1" w:styleId="CommentTextChar">
    <w:name w:val="Comment Text Char"/>
    <w:basedOn w:val="DefaultParagraphFont"/>
    <w:link w:val="CommentText"/>
    <w:uiPriority w:val="99"/>
    <w:rsid w:val="0093314A"/>
    <w:rPr>
      <w:rFonts w:eastAsiaTheme="minorEastAsia"/>
      <w:sz w:val="24"/>
      <w:szCs w:val="24"/>
    </w:rPr>
  </w:style>
  <w:style w:type="character" w:styleId="CommentReference">
    <w:name w:val="annotation reference"/>
    <w:basedOn w:val="DefaultParagraphFont"/>
    <w:uiPriority w:val="99"/>
    <w:semiHidden/>
    <w:unhideWhenUsed/>
    <w:rsid w:val="0093314A"/>
    <w:rPr>
      <w:sz w:val="18"/>
      <w:szCs w:val="18"/>
    </w:rPr>
  </w:style>
  <w:style w:type="paragraph" w:styleId="ListParagraph">
    <w:name w:val="List Paragraph"/>
    <w:basedOn w:val="Normal"/>
    <w:uiPriority w:val="34"/>
    <w:qFormat/>
    <w:rsid w:val="0093314A"/>
    <w:pPr>
      <w:ind w:left="720"/>
      <w:contextualSpacing/>
    </w:pPr>
  </w:style>
  <w:style w:type="paragraph" w:styleId="BalloonText">
    <w:name w:val="Balloon Text"/>
    <w:basedOn w:val="Normal"/>
    <w:link w:val="BalloonTextChar"/>
    <w:uiPriority w:val="99"/>
    <w:semiHidden/>
    <w:unhideWhenUsed/>
    <w:rsid w:val="0093314A"/>
    <w:rPr>
      <w:rFonts w:ascii="Tahoma" w:hAnsi="Tahoma" w:cs="Tahoma"/>
      <w:sz w:val="16"/>
      <w:szCs w:val="16"/>
    </w:rPr>
  </w:style>
  <w:style w:type="character" w:customStyle="1" w:styleId="BalloonTextChar">
    <w:name w:val="Balloon Text Char"/>
    <w:basedOn w:val="DefaultParagraphFont"/>
    <w:link w:val="BalloonText"/>
    <w:uiPriority w:val="99"/>
    <w:semiHidden/>
    <w:rsid w:val="0093314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BD5068"/>
    <w:rPr>
      <w:rFonts w:asciiTheme="majorHAnsi" w:eastAsiaTheme="majorEastAsia" w:hAnsiTheme="majorHAnsi" w:cstheme="majorBidi"/>
      <w:b/>
      <w:bCs/>
      <w:i/>
      <w:i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BD5068"/>
    <w:rPr>
      <w:b/>
      <w:bCs/>
      <w:sz w:val="20"/>
      <w:szCs w:val="20"/>
    </w:rPr>
  </w:style>
  <w:style w:type="character" w:customStyle="1" w:styleId="CommentSubjectChar">
    <w:name w:val="Comment Subject Char"/>
    <w:basedOn w:val="CommentTextChar"/>
    <w:link w:val="CommentSubject"/>
    <w:uiPriority w:val="99"/>
    <w:semiHidden/>
    <w:rsid w:val="00BD5068"/>
    <w:rPr>
      <w:rFonts w:eastAsiaTheme="minorEastAsia"/>
      <w:b/>
      <w:bCs/>
      <w:sz w:val="20"/>
      <w:szCs w:val="20"/>
    </w:rPr>
  </w:style>
  <w:style w:type="paragraph" w:styleId="NormalWeb">
    <w:name w:val="Normal (Web)"/>
    <w:basedOn w:val="Normal"/>
    <w:uiPriority w:val="99"/>
    <w:unhideWhenUsed/>
    <w:rsid w:val="009329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06043"/>
    <w:pPr>
      <w:tabs>
        <w:tab w:val="center" w:pos="4680"/>
        <w:tab w:val="right" w:pos="9360"/>
      </w:tabs>
    </w:pPr>
  </w:style>
  <w:style w:type="character" w:customStyle="1" w:styleId="HeaderChar">
    <w:name w:val="Header Char"/>
    <w:basedOn w:val="DefaultParagraphFont"/>
    <w:link w:val="Header"/>
    <w:uiPriority w:val="99"/>
    <w:rsid w:val="00906043"/>
    <w:rPr>
      <w:rFonts w:eastAsiaTheme="minorEastAsia"/>
      <w:sz w:val="24"/>
      <w:szCs w:val="24"/>
    </w:rPr>
  </w:style>
  <w:style w:type="paragraph" w:styleId="Footer">
    <w:name w:val="footer"/>
    <w:basedOn w:val="Normal"/>
    <w:link w:val="FooterChar"/>
    <w:uiPriority w:val="99"/>
    <w:unhideWhenUsed/>
    <w:rsid w:val="00906043"/>
    <w:pPr>
      <w:tabs>
        <w:tab w:val="center" w:pos="4680"/>
        <w:tab w:val="right" w:pos="9360"/>
      </w:tabs>
    </w:pPr>
  </w:style>
  <w:style w:type="character" w:customStyle="1" w:styleId="FooterChar">
    <w:name w:val="Footer Char"/>
    <w:basedOn w:val="DefaultParagraphFont"/>
    <w:link w:val="Footer"/>
    <w:uiPriority w:val="99"/>
    <w:rsid w:val="00906043"/>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4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45D12"/>
    <w:pPr>
      <w:keepNext/>
      <w:keepLines/>
      <w:spacing w:before="480"/>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5D12"/>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445D12"/>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BD50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D12"/>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5D12"/>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445D12"/>
    <w:rPr>
      <w:rFonts w:ascii="Arial Black" w:eastAsiaTheme="majorEastAsia" w:hAnsi="Arial Black" w:cstheme="majorBidi"/>
      <w:b/>
      <w:bCs/>
      <w:color w:val="4F81BD" w:themeColor="accent1"/>
    </w:rPr>
  </w:style>
  <w:style w:type="paragraph" w:styleId="CommentText">
    <w:name w:val="annotation text"/>
    <w:basedOn w:val="Normal"/>
    <w:link w:val="CommentTextChar"/>
    <w:uiPriority w:val="99"/>
    <w:unhideWhenUsed/>
    <w:rsid w:val="0093314A"/>
  </w:style>
  <w:style w:type="character" w:customStyle="1" w:styleId="CommentTextChar">
    <w:name w:val="Comment Text Char"/>
    <w:basedOn w:val="DefaultParagraphFont"/>
    <w:link w:val="CommentText"/>
    <w:uiPriority w:val="99"/>
    <w:rsid w:val="0093314A"/>
    <w:rPr>
      <w:rFonts w:eastAsiaTheme="minorEastAsia"/>
      <w:sz w:val="24"/>
      <w:szCs w:val="24"/>
    </w:rPr>
  </w:style>
  <w:style w:type="character" w:styleId="CommentReference">
    <w:name w:val="annotation reference"/>
    <w:basedOn w:val="DefaultParagraphFont"/>
    <w:uiPriority w:val="99"/>
    <w:semiHidden/>
    <w:unhideWhenUsed/>
    <w:rsid w:val="0093314A"/>
    <w:rPr>
      <w:sz w:val="18"/>
      <w:szCs w:val="18"/>
    </w:rPr>
  </w:style>
  <w:style w:type="paragraph" w:styleId="ListParagraph">
    <w:name w:val="List Paragraph"/>
    <w:basedOn w:val="Normal"/>
    <w:uiPriority w:val="34"/>
    <w:qFormat/>
    <w:rsid w:val="0093314A"/>
    <w:pPr>
      <w:ind w:left="720"/>
      <w:contextualSpacing/>
    </w:pPr>
  </w:style>
  <w:style w:type="paragraph" w:styleId="BalloonText">
    <w:name w:val="Balloon Text"/>
    <w:basedOn w:val="Normal"/>
    <w:link w:val="BalloonTextChar"/>
    <w:uiPriority w:val="99"/>
    <w:semiHidden/>
    <w:unhideWhenUsed/>
    <w:rsid w:val="0093314A"/>
    <w:rPr>
      <w:rFonts w:ascii="Tahoma" w:hAnsi="Tahoma" w:cs="Tahoma"/>
      <w:sz w:val="16"/>
      <w:szCs w:val="16"/>
    </w:rPr>
  </w:style>
  <w:style w:type="character" w:customStyle="1" w:styleId="BalloonTextChar">
    <w:name w:val="Balloon Text Char"/>
    <w:basedOn w:val="DefaultParagraphFont"/>
    <w:link w:val="BalloonText"/>
    <w:uiPriority w:val="99"/>
    <w:semiHidden/>
    <w:rsid w:val="0093314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BD5068"/>
    <w:rPr>
      <w:rFonts w:asciiTheme="majorHAnsi" w:eastAsiaTheme="majorEastAsia" w:hAnsiTheme="majorHAnsi" w:cstheme="majorBidi"/>
      <w:b/>
      <w:bCs/>
      <w:i/>
      <w:i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BD5068"/>
    <w:rPr>
      <w:b/>
      <w:bCs/>
      <w:sz w:val="20"/>
      <w:szCs w:val="20"/>
    </w:rPr>
  </w:style>
  <w:style w:type="character" w:customStyle="1" w:styleId="CommentSubjectChar">
    <w:name w:val="Comment Subject Char"/>
    <w:basedOn w:val="CommentTextChar"/>
    <w:link w:val="CommentSubject"/>
    <w:uiPriority w:val="99"/>
    <w:semiHidden/>
    <w:rsid w:val="00BD5068"/>
    <w:rPr>
      <w:rFonts w:eastAsiaTheme="minorEastAsia"/>
      <w:b/>
      <w:bCs/>
      <w:sz w:val="20"/>
      <w:szCs w:val="20"/>
    </w:rPr>
  </w:style>
  <w:style w:type="paragraph" w:styleId="NormalWeb">
    <w:name w:val="Normal (Web)"/>
    <w:basedOn w:val="Normal"/>
    <w:uiPriority w:val="99"/>
    <w:unhideWhenUsed/>
    <w:rsid w:val="009329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06043"/>
    <w:pPr>
      <w:tabs>
        <w:tab w:val="center" w:pos="4680"/>
        <w:tab w:val="right" w:pos="9360"/>
      </w:tabs>
    </w:pPr>
  </w:style>
  <w:style w:type="character" w:customStyle="1" w:styleId="HeaderChar">
    <w:name w:val="Header Char"/>
    <w:basedOn w:val="DefaultParagraphFont"/>
    <w:link w:val="Header"/>
    <w:uiPriority w:val="99"/>
    <w:rsid w:val="00906043"/>
    <w:rPr>
      <w:rFonts w:eastAsiaTheme="minorEastAsia"/>
      <w:sz w:val="24"/>
      <w:szCs w:val="24"/>
    </w:rPr>
  </w:style>
  <w:style w:type="paragraph" w:styleId="Footer">
    <w:name w:val="footer"/>
    <w:basedOn w:val="Normal"/>
    <w:link w:val="FooterChar"/>
    <w:uiPriority w:val="99"/>
    <w:unhideWhenUsed/>
    <w:rsid w:val="00906043"/>
    <w:pPr>
      <w:tabs>
        <w:tab w:val="center" w:pos="4680"/>
        <w:tab w:val="right" w:pos="9360"/>
      </w:tabs>
    </w:pPr>
  </w:style>
  <w:style w:type="character" w:customStyle="1" w:styleId="FooterChar">
    <w:name w:val="Footer Char"/>
    <w:basedOn w:val="DefaultParagraphFont"/>
    <w:link w:val="Footer"/>
    <w:uiPriority w:val="99"/>
    <w:rsid w:val="0090604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0288">
      <w:bodyDiv w:val="1"/>
      <w:marLeft w:val="0"/>
      <w:marRight w:val="0"/>
      <w:marTop w:val="0"/>
      <w:marBottom w:val="0"/>
      <w:divBdr>
        <w:top w:val="none" w:sz="0" w:space="0" w:color="auto"/>
        <w:left w:val="none" w:sz="0" w:space="0" w:color="auto"/>
        <w:bottom w:val="none" w:sz="0" w:space="0" w:color="auto"/>
        <w:right w:val="none" w:sz="0" w:space="0" w:color="auto"/>
      </w:divBdr>
    </w:div>
    <w:div w:id="1394234155">
      <w:bodyDiv w:val="1"/>
      <w:marLeft w:val="0"/>
      <w:marRight w:val="0"/>
      <w:marTop w:val="0"/>
      <w:marBottom w:val="0"/>
      <w:divBdr>
        <w:top w:val="none" w:sz="0" w:space="0" w:color="auto"/>
        <w:left w:val="none" w:sz="0" w:space="0" w:color="auto"/>
        <w:bottom w:val="none" w:sz="0" w:space="0" w:color="auto"/>
        <w:right w:val="none" w:sz="0" w:space="0" w:color="auto"/>
      </w:divBdr>
    </w:div>
    <w:div w:id="20931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E0ECBBA06654DB9CF6361B5B2A5C3" ma:contentTypeVersion="0" ma:contentTypeDescription="Create a new document." ma:contentTypeScope="" ma:versionID="428858bfa4d5ea9067ff87568306a6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F9AAA-41DD-442C-AAA2-EE20132EB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A2A48-B9E5-40F0-99AC-8FCA8CECF640}">
  <ds:schemaRefs>
    <ds:schemaRef ds:uri="http://schemas.microsoft.com/sharepoint/v3/contenttype/forms"/>
  </ds:schemaRefs>
</ds:datastoreItem>
</file>

<file path=customXml/itemProps3.xml><?xml version="1.0" encoding="utf-8"?>
<ds:datastoreItem xmlns:ds="http://schemas.openxmlformats.org/officeDocument/2006/customXml" ds:itemID="{CCB52F1F-E224-4C18-987F-1FCFB7D95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1446</Words>
  <Characters>8667</Characters>
  <Application>Microsoft Macintosh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Part 600—Institutional Eligibility (MS Word)</dc:title>
  <dc:subject/>
  <dc:creator>U.S. Department of Education</dc:creator>
  <cp:keywords/>
  <dc:description/>
  <cp:lastModifiedBy>Alan Smigielski</cp:lastModifiedBy>
  <cp:revision>5</cp:revision>
  <dcterms:created xsi:type="dcterms:W3CDTF">2018-12-06T14:33:00Z</dcterms:created>
  <dcterms:modified xsi:type="dcterms:W3CDTF">2019-01-07T14:58:00Z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0x0101006BCE0ECBBA06654DB9CF6361B5B2A5C3</vt:lpwstr>
  </property>
</Properties>
</file>