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C0" w:rsidRPr="00530F65" w:rsidRDefault="009351C0" w:rsidP="00F11B63">
      <w:pPr>
        <w:pStyle w:val="Heading1"/>
        <w:jc w:val="left"/>
        <w:rPr>
          <w:noProof/>
        </w:rPr>
      </w:pPr>
      <w:r w:rsidRPr="00530F65">
        <w:rPr>
          <w:noProof/>
        </w:rPr>
        <w:t>Introduction</w:t>
      </w:r>
    </w:p>
    <w:p w:rsidR="00F16E8C" w:rsidRPr="00530F65" w:rsidRDefault="00F16E8C" w:rsidP="00060003">
      <w:pPr>
        <w:jc w:val="both"/>
      </w:pPr>
    </w:p>
    <w:p w:rsidR="00E21295" w:rsidRDefault="003A4F8F" w:rsidP="004D5D86">
      <w:pPr>
        <w:jc w:val="left"/>
      </w:pPr>
      <w:r>
        <w:t xml:space="preserve">The U. S. Department of Education is conducting negotiated rulemaking on the topic of gainful employment.  </w:t>
      </w:r>
      <w:r w:rsidR="009351C0" w:rsidRPr="00530F65">
        <w:t>Gainful Employment (GE)</w:t>
      </w:r>
      <w:r w:rsidR="001A49D8" w:rsidRPr="00530F65">
        <w:t xml:space="preserve"> programs</w:t>
      </w:r>
      <w:r w:rsidR="009351C0" w:rsidRPr="00530F65">
        <w:t xml:space="preserve"> </w:t>
      </w:r>
      <w:r w:rsidR="001A49D8" w:rsidRPr="00530F65">
        <w:t>are certificate programs at public</w:t>
      </w:r>
      <w:r>
        <w:t>,</w:t>
      </w:r>
      <w:r w:rsidR="001A49D8" w:rsidRPr="00530F65">
        <w:t xml:space="preserve"> private</w:t>
      </w:r>
      <w:r>
        <w:t>, and proprietary</w:t>
      </w:r>
      <w:r w:rsidR="001A49D8" w:rsidRPr="00530F65">
        <w:t xml:space="preserve"> institutions </w:t>
      </w:r>
      <w:r>
        <w:t xml:space="preserve">as well as </w:t>
      </w:r>
      <w:r w:rsidR="001A49D8" w:rsidRPr="00530F65">
        <w:t>degree programs at proprietary institutions.</w:t>
      </w:r>
      <w:r>
        <w:t xml:space="preserve"> </w:t>
      </w:r>
      <w:r w:rsidR="001A49D8" w:rsidRPr="00530F65">
        <w:t xml:space="preserve"> </w:t>
      </w:r>
      <w:r w:rsidRPr="00530F65">
        <w:t xml:space="preserve">GE negotiators </w:t>
      </w:r>
      <w:r>
        <w:t>requested data that would show the impact of expanding debt to earnings computations to all schools and all progr</w:t>
      </w:r>
      <w:r w:rsidR="00C30D63">
        <w:t xml:space="preserve">ams, regardless of </w:t>
      </w:r>
      <w:r>
        <w:t xml:space="preserve">control or </w:t>
      </w:r>
      <w:r w:rsidR="00C30D63">
        <w:t xml:space="preserve">credential </w:t>
      </w:r>
      <w:r>
        <w:t>level.</w:t>
      </w:r>
    </w:p>
    <w:p w:rsidR="00E21295" w:rsidRDefault="00E21295" w:rsidP="004D5D86">
      <w:pPr>
        <w:jc w:val="left"/>
      </w:pPr>
    </w:p>
    <w:p w:rsidR="00CF4B65" w:rsidRPr="00530F65" w:rsidRDefault="00E21295" w:rsidP="004D5D86">
      <w:pPr>
        <w:jc w:val="left"/>
      </w:pPr>
      <w:r>
        <w:t xml:space="preserve"> </w:t>
      </w:r>
      <w:r w:rsidR="003A4F8F">
        <w:t>Currently, t</w:t>
      </w:r>
      <w:r w:rsidR="00901C68">
        <w:t>he Department computes</w:t>
      </w:r>
      <w:r w:rsidR="003F4D7C" w:rsidRPr="00530F65">
        <w:t xml:space="preserve"> d</w:t>
      </w:r>
      <w:r w:rsidR="009351C0" w:rsidRPr="00530F65">
        <w:t xml:space="preserve">ebt to earnings rates </w:t>
      </w:r>
      <w:r w:rsidR="003A4F8F">
        <w:t xml:space="preserve">only </w:t>
      </w:r>
      <w:r w:rsidR="00901C68">
        <w:t xml:space="preserve">for GE programs.  Further, the Department only has income data </w:t>
      </w:r>
      <w:r w:rsidR="003A4F8F">
        <w:t xml:space="preserve">at the program-level </w:t>
      </w:r>
      <w:r w:rsidR="00901C68">
        <w:t xml:space="preserve">for </w:t>
      </w:r>
      <w:r w:rsidR="00A26E30">
        <w:t>cohorts</w:t>
      </w:r>
      <w:r w:rsidR="00901C68">
        <w:t xml:space="preserve"> in GE programs.  Therefore, comparing </w:t>
      </w:r>
      <w:r w:rsidR="00A26E30">
        <w:t xml:space="preserve">debt to earnings at the program level across institutional type </w:t>
      </w:r>
      <w:r w:rsidR="00901C68">
        <w:t xml:space="preserve">is not possible </w:t>
      </w:r>
      <w:r w:rsidR="00B84A91">
        <w:t>with existing Department data</w:t>
      </w:r>
      <w:r w:rsidR="001A49D8" w:rsidRPr="00530F65">
        <w:t>.</w:t>
      </w:r>
      <w:r w:rsidR="003F4D7C" w:rsidRPr="00530F65">
        <w:t xml:space="preserve"> </w:t>
      </w:r>
      <w:r w:rsidR="003A4F8F">
        <w:t xml:space="preserve"> </w:t>
      </w:r>
      <w:r w:rsidR="00A26E30">
        <w:t xml:space="preserve">The best data proxy </w:t>
      </w:r>
      <w:r w:rsidR="00B84A91">
        <w:t xml:space="preserve">currently </w:t>
      </w:r>
      <w:r w:rsidR="00A26E30">
        <w:t>available to the Department is College Scorecard data, which is at the institutional but not the programmatic level.  It is important to note that</w:t>
      </w:r>
      <w:r w:rsidR="003F4D7C" w:rsidRPr="00530F65">
        <w:t xml:space="preserve"> the data generating process for College Scorecard debt and earnings values is substantially different </w:t>
      </w:r>
      <w:r w:rsidR="00060003" w:rsidRPr="00530F65">
        <w:t>than the</w:t>
      </w:r>
      <w:r w:rsidR="003F4D7C" w:rsidRPr="00530F65">
        <w:t xml:space="preserve"> GE data generating process</w:t>
      </w:r>
      <w:r w:rsidR="003A4F8F">
        <w:t>.  These differences are further explained in the Methods section</w:t>
      </w:r>
      <w:r w:rsidR="00C30D63">
        <w:t xml:space="preserve"> (see Exhibit</w:t>
      </w:r>
      <w:r w:rsidR="00CF4B65">
        <w:t xml:space="preserve"> 1)</w:t>
      </w:r>
      <w:r w:rsidR="003F4D7C" w:rsidRPr="00530F65">
        <w:t xml:space="preserve">. </w:t>
      </w:r>
      <w:r w:rsidR="003A4F8F">
        <w:t xml:space="preserve"> </w:t>
      </w:r>
      <w:r w:rsidR="003A4F8F" w:rsidRPr="00530F65">
        <w:t>Given the differences in the two processes for generating these data, findings derived from Scorecard data are limited in estimating how debt to earnings using the GE methodology compare across control categories.</w:t>
      </w:r>
    </w:p>
    <w:p w:rsidR="0002567C" w:rsidRDefault="0002567C" w:rsidP="004B6F58">
      <w:pPr>
        <w:jc w:val="left"/>
      </w:pPr>
    </w:p>
    <w:p w:rsidR="00D5707E" w:rsidRDefault="00D5707E" w:rsidP="008D66F6">
      <w:pPr>
        <w:pStyle w:val="Heading1"/>
        <w:numPr>
          <w:ilvl w:val="0"/>
          <w:numId w:val="1"/>
        </w:numPr>
        <w:ind w:left="360"/>
        <w:jc w:val="left"/>
      </w:pPr>
      <w:r>
        <w:t>Key findings</w:t>
      </w:r>
    </w:p>
    <w:p w:rsidR="00BC79CF" w:rsidRDefault="00BC79CF" w:rsidP="0004434E">
      <w:pPr>
        <w:pStyle w:val="ListParagraph"/>
        <w:numPr>
          <w:ilvl w:val="0"/>
          <w:numId w:val="4"/>
        </w:numPr>
        <w:jc w:val="left"/>
      </w:pPr>
      <w:r>
        <w:t xml:space="preserve">In each of the three categories of bachelor’s, associate’s, and undergraduate certificate level institutions, proprietary institutions had the most variation </w:t>
      </w:r>
      <w:r w:rsidR="002D2D42">
        <w:t xml:space="preserve">(standard deviation) </w:t>
      </w:r>
      <w:r>
        <w:t>of debt to earnings rates</w:t>
      </w:r>
      <w:r w:rsidR="00794C20">
        <w:t xml:space="preserve"> followed by private institutions</w:t>
      </w:r>
      <w:r w:rsidR="009B510A">
        <w:t>, followed by p</w:t>
      </w:r>
      <w:r>
        <w:t>ublic inst</w:t>
      </w:r>
      <w:r w:rsidR="009B510A">
        <w:t>itutions</w:t>
      </w:r>
      <w:r>
        <w:t>.</w:t>
      </w:r>
    </w:p>
    <w:p w:rsidR="00BC79CF" w:rsidRDefault="00BC79CF" w:rsidP="0004434E">
      <w:pPr>
        <w:pStyle w:val="ListParagraph"/>
        <w:numPr>
          <w:ilvl w:val="0"/>
          <w:numId w:val="4"/>
        </w:numPr>
        <w:jc w:val="left"/>
      </w:pPr>
      <w:r w:rsidRPr="00530F65">
        <w:t>Among bachelor</w:t>
      </w:r>
      <w:r>
        <w:t>’s level institutions</w:t>
      </w:r>
      <w:r w:rsidRPr="00530F65">
        <w:t xml:space="preserve">, the median </w:t>
      </w:r>
      <w:r>
        <w:t>debt to earnings</w:t>
      </w:r>
      <w:r w:rsidRPr="00530F65">
        <w:t xml:space="preserve"> was </w:t>
      </w:r>
      <w:r>
        <w:t>lowest</w:t>
      </w:r>
      <w:r w:rsidRPr="00530F65">
        <w:t xml:space="preserve"> </w:t>
      </w:r>
      <w:r>
        <w:t xml:space="preserve">at </w:t>
      </w:r>
      <w:r w:rsidRPr="00530F65">
        <w:t xml:space="preserve">public </w:t>
      </w:r>
      <w:r>
        <w:t>institutions</w:t>
      </w:r>
      <w:r w:rsidRPr="00530F65">
        <w:t xml:space="preserve">, followed by proprietary and private institutions. However, the </w:t>
      </w:r>
      <w:r>
        <w:t xml:space="preserve">number of </w:t>
      </w:r>
      <w:r w:rsidRPr="00530F65">
        <w:t>proprietary institution</w:t>
      </w:r>
      <w:r>
        <w:t>s</w:t>
      </w:r>
      <w:r w:rsidRPr="00530F65">
        <w:t xml:space="preserve"> was relatively </w:t>
      </w:r>
      <w:r>
        <w:t>small</w:t>
      </w:r>
      <w:r w:rsidR="00B75A3D">
        <w:t xml:space="preserve"> in this category</w:t>
      </w:r>
      <w:r w:rsidRPr="00530F65">
        <w:t>.</w:t>
      </w:r>
    </w:p>
    <w:p w:rsidR="00E21295" w:rsidRDefault="00794C20" w:rsidP="0004434E">
      <w:pPr>
        <w:pStyle w:val="ListParagraph"/>
        <w:numPr>
          <w:ilvl w:val="0"/>
          <w:numId w:val="4"/>
        </w:numPr>
        <w:jc w:val="left"/>
      </w:pPr>
      <w:r>
        <w:t xml:space="preserve">At </w:t>
      </w:r>
      <w:r w:rsidRPr="00530F65">
        <w:t>associate</w:t>
      </w:r>
      <w:r>
        <w:t>’s level institutions, the middle half (25</w:t>
      </w:r>
      <w:r w:rsidRPr="00E6111C">
        <w:rPr>
          <w:vertAlign w:val="superscript"/>
        </w:rPr>
        <w:t>th</w:t>
      </w:r>
      <w:r>
        <w:t xml:space="preserve"> through 75</w:t>
      </w:r>
      <w:r w:rsidRPr="00E6111C">
        <w:rPr>
          <w:vertAlign w:val="superscript"/>
        </w:rPr>
        <w:t>th</w:t>
      </w:r>
      <w:r>
        <w:t xml:space="preserve"> percentiles) of the debt to earnings</w:t>
      </w:r>
      <w:r w:rsidRPr="00530F65">
        <w:t xml:space="preserve"> </w:t>
      </w:r>
      <w:r>
        <w:t xml:space="preserve">rates </w:t>
      </w:r>
      <w:r w:rsidRPr="00530F65">
        <w:t xml:space="preserve">at public institutions was lower than private institutions, which in turn </w:t>
      </w:r>
      <w:r>
        <w:t xml:space="preserve">were </w:t>
      </w:r>
      <w:r w:rsidRPr="00530F65">
        <w:t xml:space="preserve">lower </w:t>
      </w:r>
      <w:r>
        <w:t xml:space="preserve">than at </w:t>
      </w:r>
      <w:r w:rsidRPr="00530F65">
        <w:t>proprietary institutions.</w:t>
      </w:r>
    </w:p>
    <w:p w:rsidR="00BC79CF" w:rsidRDefault="00BC79CF" w:rsidP="0004434E">
      <w:pPr>
        <w:pStyle w:val="ListParagraph"/>
        <w:numPr>
          <w:ilvl w:val="0"/>
          <w:numId w:val="4"/>
        </w:numPr>
        <w:jc w:val="left"/>
      </w:pPr>
      <w:r>
        <w:t xml:space="preserve">At </w:t>
      </w:r>
      <w:r w:rsidRPr="00530F65">
        <w:t>certificate</w:t>
      </w:r>
      <w:r>
        <w:t xml:space="preserve"> level institutions</w:t>
      </w:r>
      <w:r w:rsidRPr="00530F65">
        <w:t>,</w:t>
      </w:r>
      <w:r>
        <w:t xml:space="preserve"> public institutions had relatively lower debt to earnings rates</w:t>
      </w:r>
      <w:r w:rsidR="0004434E">
        <w:t>.  As can be seen in the box and whisker plots,</w:t>
      </w:r>
      <w:r>
        <w:t xml:space="preserve"> there was a large overlap between private and proprietary institutions</w:t>
      </w:r>
      <w:r w:rsidRPr="00530F65">
        <w:t xml:space="preserve">. </w:t>
      </w:r>
      <w:r>
        <w:t xml:space="preserve">However, </w:t>
      </w:r>
      <w:r w:rsidR="00865F4C">
        <w:t>p</w:t>
      </w:r>
      <w:r w:rsidRPr="00530F65">
        <w:t>rivate institutions were relatively few in this category.</w:t>
      </w:r>
      <w:r>
        <w:t xml:space="preserve">  </w:t>
      </w:r>
    </w:p>
    <w:p w:rsidR="00BC79CF" w:rsidRDefault="00BC79CF" w:rsidP="0004434E">
      <w:pPr>
        <w:pStyle w:val="ListParagraph"/>
        <w:numPr>
          <w:ilvl w:val="0"/>
          <w:numId w:val="4"/>
        </w:numPr>
        <w:jc w:val="left"/>
      </w:pPr>
      <w:r>
        <w:t xml:space="preserve">Debt to earnings rates were not </w:t>
      </w:r>
      <w:r w:rsidR="0073169A">
        <w:t xml:space="preserve">strongly </w:t>
      </w:r>
      <w:r>
        <w:t>correlated with repayment rates.</w:t>
      </w:r>
    </w:p>
    <w:p w:rsidR="00BC79CF" w:rsidRPr="00D5707E" w:rsidRDefault="00BC79CF" w:rsidP="0004434E">
      <w:pPr>
        <w:pStyle w:val="ListParagraph"/>
        <w:jc w:val="left"/>
      </w:pPr>
    </w:p>
    <w:p w:rsidR="009351C0" w:rsidRPr="00530F65" w:rsidRDefault="009351C0" w:rsidP="008D66F6">
      <w:pPr>
        <w:pStyle w:val="Heading1"/>
        <w:numPr>
          <w:ilvl w:val="0"/>
          <w:numId w:val="1"/>
        </w:numPr>
        <w:ind w:left="360"/>
        <w:jc w:val="left"/>
      </w:pPr>
      <w:r w:rsidRPr="00530F65">
        <w:t>Methods</w:t>
      </w:r>
    </w:p>
    <w:p w:rsidR="00F16E8C" w:rsidRPr="00530F65" w:rsidRDefault="00F16E8C" w:rsidP="00F16E8C"/>
    <w:p w:rsidR="00782C08" w:rsidRDefault="008D66F6" w:rsidP="00782C08">
      <w:pPr>
        <w:jc w:val="left"/>
      </w:pPr>
      <w:r>
        <w:t>The U. S. Department of Education produces the College Scorecard</w:t>
      </w:r>
      <w:r>
        <w:rPr>
          <w:rStyle w:val="FootnoteReference"/>
        </w:rPr>
        <w:footnoteReference w:id="1"/>
      </w:r>
      <w:r>
        <w:t xml:space="preserve"> </w:t>
      </w:r>
      <w:r w:rsidR="00B84A91">
        <w:t>debt and earnings values annually</w:t>
      </w:r>
      <w:r>
        <w:t>.  The data</w:t>
      </w:r>
      <w:r>
        <w:rPr>
          <w:rStyle w:val="FootnoteReference"/>
        </w:rPr>
        <w:footnoteReference w:id="2"/>
      </w:r>
      <w:r>
        <w:t xml:space="preserve"> underlying the September 2017 Scorecard release were used to produce the analyses in this report.  The I</w:t>
      </w:r>
      <w:r w:rsidR="00F16E8C" w:rsidRPr="00530F65">
        <w:t xml:space="preserve">nstitutions </w:t>
      </w:r>
      <w:r>
        <w:t xml:space="preserve">included in these data are limited to those </w:t>
      </w:r>
      <w:r w:rsidR="00F16E8C" w:rsidRPr="00530F65">
        <w:t xml:space="preserve">with at least one currently operating </w:t>
      </w:r>
      <w:r w:rsidR="00F16E8C" w:rsidRPr="00530F65">
        <w:lastRenderedPageBreak/>
        <w:t>location participating in Title IV programs.</w:t>
      </w:r>
      <w:r w:rsidR="00F16E8C" w:rsidRPr="00530F65">
        <w:rPr>
          <w:rStyle w:val="FootnoteReference"/>
        </w:rPr>
        <w:footnoteReference w:id="3"/>
      </w:r>
      <w:r w:rsidR="00F16E8C" w:rsidRPr="00530F65">
        <w:t xml:space="preserve"> </w:t>
      </w:r>
      <w:r>
        <w:t xml:space="preserve"> </w:t>
      </w:r>
      <w:r w:rsidR="008F6C78">
        <w:t>Debt to earnings measures were computed using the College Scorecard data and the formula below:</w:t>
      </w:r>
    </w:p>
    <w:p w:rsidR="00782C08" w:rsidRDefault="00782C08" w:rsidP="00782C08"/>
    <w:p w:rsidR="008F6C78" w:rsidRPr="00782C08" w:rsidRDefault="00782C08" w:rsidP="00457A88">
      <w:pPr>
        <w:jc w:val="left"/>
      </w:pPr>
      <m:oMathPara>
        <m:oMath>
          <m:r>
            <m:rPr>
              <m:nor/>
            </m:rPr>
            <w:rPr>
              <w:rFonts w:ascii="Cambria Math" w:hAnsi="Cambria Math"/>
            </w:rPr>
            <m:t xml:space="preserve">annual earnings rate = </m:t>
          </m:r>
          <m:f>
            <m:fPr>
              <m:ctrlPr>
                <w:rPr>
                  <w:rFonts w:ascii="Cambria Math" w:hAnsi="Cambria Math"/>
                  <w:i/>
                </w:rPr>
              </m:ctrlPr>
            </m:fPr>
            <m:num>
              <m:r>
                <m:rPr>
                  <m:nor/>
                </m:rPr>
                <w:rPr>
                  <w:rFonts w:ascii="Cambria Math" w:hAnsi="Cambria Math"/>
                </w:rPr>
                <m:t>annual loan payment</m:t>
              </m:r>
            </m:num>
            <m:den>
              <m:r>
                <m:rPr>
                  <m:nor/>
                </m:rPr>
                <w:rPr>
                  <w:rFonts w:ascii="Cambria Math" w:hAnsi="Cambria Math"/>
                </w:rPr>
                <m:t>annual earnings</m:t>
              </m:r>
            </m:den>
          </m:f>
        </m:oMath>
      </m:oMathPara>
    </w:p>
    <w:p w:rsidR="00782C08" w:rsidRDefault="00782C08" w:rsidP="00457A88">
      <w:pPr>
        <w:jc w:val="left"/>
      </w:pPr>
    </w:p>
    <w:p w:rsidR="00EC53E8" w:rsidRDefault="008F6C78" w:rsidP="00EC53E8">
      <w:pPr>
        <w:jc w:val="left"/>
      </w:pPr>
      <w:r>
        <w:t xml:space="preserve">It is important to note that College Scorecard data has important differences from the data currently being used to compute GE program debt to earnings measures (see </w:t>
      </w:r>
      <w:r w:rsidR="009F196B">
        <w:t>Exhibit</w:t>
      </w:r>
      <w:r>
        <w:t xml:space="preserve"> 1).  For this reason, the Department expects that the results in this paper may differ from those publicly available for GE programs.</w:t>
      </w:r>
    </w:p>
    <w:p w:rsidR="008F6C78" w:rsidRPr="00530F65" w:rsidRDefault="008F6C78" w:rsidP="00EC53E8">
      <w:pPr>
        <w:jc w:val="left"/>
      </w:pPr>
      <w:r>
        <w:t xml:space="preserve"> </w:t>
      </w:r>
    </w:p>
    <w:p w:rsidR="008F6C78" w:rsidRPr="008D66F6" w:rsidRDefault="004526F6" w:rsidP="00B743D9">
      <w:pPr>
        <w:keepNext/>
        <w:jc w:val="left"/>
        <w:rPr>
          <w:b/>
        </w:rPr>
      </w:pPr>
      <w:r>
        <w:rPr>
          <w:b/>
        </w:rPr>
        <w:t>Exhibit</w:t>
      </w:r>
      <w:r w:rsidR="008F6C78" w:rsidRPr="008D66F6">
        <w:rPr>
          <w:b/>
        </w:rPr>
        <w:t xml:space="preserve"> 1: Data and methods differences</w:t>
      </w:r>
    </w:p>
    <w:tbl>
      <w:tblPr>
        <w:tblStyle w:val="TableGrid"/>
        <w:tblW w:w="0" w:type="auto"/>
        <w:tblLook w:val="04A0" w:firstRow="1" w:lastRow="0" w:firstColumn="1" w:lastColumn="0" w:noHBand="0" w:noVBand="1"/>
        <w:tblCaption w:val="Data and Methods Differences"/>
        <w:tblDescription w:val="This table explains differences between the data in the College Scorecard and the data currently used to calculcate Gainful Employment metrics."/>
      </w:tblPr>
      <w:tblGrid>
        <w:gridCol w:w="4608"/>
        <w:gridCol w:w="4410"/>
      </w:tblGrid>
      <w:tr w:rsidR="008F6C78" w:rsidRPr="00CF4B65" w:rsidTr="00EC53E8">
        <w:trPr>
          <w:tblHeader/>
        </w:trPr>
        <w:tc>
          <w:tcPr>
            <w:tcW w:w="4608" w:type="dxa"/>
          </w:tcPr>
          <w:p w:rsidR="008F6C78" w:rsidRPr="00CF4B65" w:rsidRDefault="008F6C78" w:rsidP="004526F6">
            <w:pPr>
              <w:jc w:val="left"/>
              <w:rPr>
                <w:b/>
              </w:rPr>
            </w:pPr>
            <w:r w:rsidRPr="00CF4B65">
              <w:rPr>
                <w:b/>
              </w:rPr>
              <w:t>GE programs debt to earnings</w:t>
            </w:r>
          </w:p>
        </w:tc>
        <w:tc>
          <w:tcPr>
            <w:tcW w:w="4410" w:type="dxa"/>
          </w:tcPr>
          <w:p w:rsidR="008F6C78" w:rsidRPr="00CF4B65" w:rsidRDefault="008F6C78" w:rsidP="004526F6">
            <w:pPr>
              <w:jc w:val="left"/>
              <w:rPr>
                <w:b/>
              </w:rPr>
            </w:pPr>
            <w:r w:rsidRPr="00CF4B65">
              <w:rPr>
                <w:b/>
              </w:rPr>
              <w:t>College Scorecard debt to earnings</w:t>
            </w:r>
          </w:p>
        </w:tc>
      </w:tr>
      <w:tr w:rsidR="008F6C78" w:rsidTr="00C30D63">
        <w:tc>
          <w:tcPr>
            <w:tcW w:w="4608" w:type="dxa"/>
          </w:tcPr>
          <w:p w:rsidR="008F6C78" w:rsidRDefault="008F6C78" w:rsidP="004526F6">
            <w:pPr>
              <w:jc w:val="left"/>
            </w:pPr>
            <w:r>
              <w:t>Calculated at program level</w:t>
            </w:r>
          </w:p>
        </w:tc>
        <w:tc>
          <w:tcPr>
            <w:tcW w:w="4410" w:type="dxa"/>
          </w:tcPr>
          <w:p w:rsidR="008F6C78" w:rsidRDefault="008F6C78" w:rsidP="004526F6">
            <w:pPr>
              <w:jc w:val="left"/>
            </w:pPr>
            <w:r>
              <w:t>Calculated at institution level</w:t>
            </w:r>
          </w:p>
        </w:tc>
      </w:tr>
      <w:tr w:rsidR="008F6C78" w:rsidTr="00C30D63">
        <w:tc>
          <w:tcPr>
            <w:tcW w:w="4608" w:type="dxa"/>
          </w:tcPr>
          <w:p w:rsidR="008F6C78" w:rsidRDefault="008F6C78" w:rsidP="004526F6">
            <w:pPr>
              <w:jc w:val="left"/>
            </w:pPr>
            <w:r>
              <w:t>Uses an exit cohort</w:t>
            </w:r>
            <w:r w:rsidR="00D5707E">
              <w:t xml:space="preserve"> for both debt and earnings calculations</w:t>
            </w:r>
          </w:p>
        </w:tc>
        <w:tc>
          <w:tcPr>
            <w:tcW w:w="4410" w:type="dxa"/>
          </w:tcPr>
          <w:p w:rsidR="008F6C78" w:rsidRDefault="008F6C78" w:rsidP="00D5707E">
            <w:pPr>
              <w:jc w:val="left"/>
            </w:pPr>
            <w:r>
              <w:t>Uses an entry cohort</w:t>
            </w:r>
            <w:r w:rsidR="00D5707E">
              <w:t xml:space="preserve"> for earnings calculations and an exit cohort for debt calculations</w:t>
            </w:r>
          </w:p>
        </w:tc>
      </w:tr>
      <w:tr w:rsidR="008F6C78" w:rsidTr="00C30D63">
        <w:tc>
          <w:tcPr>
            <w:tcW w:w="4608" w:type="dxa"/>
          </w:tcPr>
          <w:p w:rsidR="008F6C78" w:rsidRDefault="00DE5674" w:rsidP="00DE5674">
            <w:pPr>
              <w:jc w:val="left"/>
            </w:pPr>
            <w:r>
              <w:t>E</w:t>
            </w:r>
            <w:r w:rsidR="008F6C78">
              <w:t>xcludes non-completers</w:t>
            </w:r>
          </w:p>
        </w:tc>
        <w:tc>
          <w:tcPr>
            <w:tcW w:w="4410" w:type="dxa"/>
          </w:tcPr>
          <w:p w:rsidR="008F6C78" w:rsidRDefault="00DE5674" w:rsidP="00DE5674">
            <w:pPr>
              <w:jc w:val="left"/>
            </w:pPr>
            <w:r>
              <w:t>I</w:t>
            </w:r>
            <w:r w:rsidR="008F6C78">
              <w:t>ncludes non-completers</w:t>
            </w:r>
          </w:p>
        </w:tc>
      </w:tr>
      <w:tr w:rsidR="008F6C78" w:rsidTr="00C30D63">
        <w:tc>
          <w:tcPr>
            <w:tcW w:w="4608" w:type="dxa"/>
          </w:tcPr>
          <w:p w:rsidR="008F6C78" w:rsidRDefault="00DE5674" w:rsidP="00DE5674">
            <w:pPr>
              <w:jc w:val="left"/>
            </w:pPr>
            <w:r>
              <w:t>I</w:t>
            </w:r>
            <w:r w:rsidR="008F6C78">
              <w:t>ncludes non-borrowers (e.g. Pell-only)</w:t>
            </w:r>
            <w:r w:rsidR="00C30D63">
              <w:t xml:space="preserve"> in both median debt calcu</w:t>
            </w:r>
            <w:r w:rsidR="00C733E5">
              <w:t>lation and earnings calculation</w:t>
            </w:r>
          </w:p>
        </w:tc>
        <w:tc>
          <w:tcPr>
            <w:tcW w:w="4410" w:type="dxa"/>
          </w:tcPr>
          <w:p w:rsidR="008F6C78" w:rsidRDefault="00DE5674" w:rsidP="00DE5674">
            <w:pPr>
              <w:jc w:val="left"/>
            </w:pPr>
            <w:r>
              <w:t>E</w:t>
            </w:r>
            <w:r w:rsidR="008F6C78">
              <w:t>xcludes non-borrowers</w:t>
            </w:r>
            <w:r w:rsidR="00C30D63">
              <w:t xml:space="preserve"> in median debt calculation, </w:t>
            </w:r>
            <w:r w:rsidR="001E5039">
              <w:t>but</w:t>
            </w:r>
            <w:r w:rsidR="00C30D63">
              <w:t xml:space="preserve"> includes non-borrowers in the earnings calculation </w:t>
            </w:r>
          </w:p>
        </w:tc>
      </w:tr>
      <w:tr w:rsidR="008F6C78" w:rsidTr="00C30D63">
        <w:tc>
          <w:tcPr>
            <w:tcW w:w="4608" w:type="dxa"/>
          </w:tcPr>
          <w:p w:rsidR="008F6C78" w:rsidRDefault="008F6C78" w:rsidP="004526F6">
            <w:pPr>
              <w:jc w:val="left"/>
            </w:pPr>
            <w:r>
              <w:t>Debt capped at tuition and fees</w:t>
            </w:r>
          </w:p>
        </w:tc>
        <w:tc>
          <w:tcPr>
            <w:tcW w:w="4410" w:type="dxa"/>
          </w:tcPr>
          <w:p w:rsidR="008F6C78" w:rsidRDefault="008F6C78" w:rsidP="004526F6">
            <w:pPr>
              <w:jc w:val="left"/>
            </w:pPr>
            <w:r>
              <w:t>No cap on debt</w:t>
            </w:r>
          </w:p>
        </w:tc>
      </w:tr>
      <w:tr w:rsidR="00FD700F" w:rsidTr="00C30D63">
        <w:tc>
          <w:tcPr>
            <w:tcW w:w="4608" w:type="dxa"/>
          </w:tcPr>
          <w:p w:rsidR="00FD700F" w:rsidRDefault="00FD700F" w:rsidP="004526F6">
            <w:pPr>
              <w:jc w:val="left"/>
            </w:pPr>
            <w:r>
              <w:t>Debt includes nonfederal debt</w:t>
            </w:r>
          </w:p>
        </w:tc>
        <w:tc>
          <w:tcPr>
            <w:tcW w:w="4410" w:type="dxa"/>
          </w:tcPr>
          <w:p w:rsidR="00FD700F" w:rsidRDefault="00FD700F" w:rsidP="00FD700F">
            <w:pPr>
              <w:jc w:val="left"/>
            </w:pPr>
            <w:r>
              <w:t>Debt excludes nonfederal debt</w:t>
            </w:r>
          </w:p>
        </w:tc>
      </w:tr>
      <w:tr w:rsidR="008F6C78" w:rsidTr="00C30D63">
        <w:tc>
          <w:tcPr>
            <w:tcW w:w="4608" w:type="dxa"/>
          </w:tcPr>
          <w:p w:rsidR="008F6C78" w:rsidRDefault="00B662C5" w:rsidP="00B662C5">
            <w:pPr>
              <w:jc w:val="left"/>
            </w:pPr>
            <w:r>
              <w:t>Earnings values are based on a cohort that</w:t>
            </w:r>
            <w:r w:rsidR="007C4D61">
              <w:t xml:space="preserve"> includes zero dollar earners</w:t>
            </w:r>
          </w:p>
        </w:tc>
        <w:tc>
          <w:tcPr>
            <w:tcW w:w="4410" w:type="dxa"/>
          </w:tcPr>
          <w:p w:rsidR="008F6C78" w:rsidRDefault="00B662C5" w:rsidP="00B662C5">
            <w:pPr>
              <w:jc w:val="left"/>
            </w:pPr>
            <w:r>
              <w:t xml:space="preserve">Earnings values are based on a cohort that </w:t>
            </w:r>
            <w:r w:rsidR="008F6C78">
              <w:t xml:space="preserve"> excludes zero dollar earners</w:t>
            </w:r>
          </w:p>
        </w:tc>
      </w:tr>
      <w:tr w:rsidR="00C30D63" w:rsidTr="00C30D63">
        <w:tc>
          <w:tcPr>
            <w:tcW w:w="4608" w:type="dxa"/>
          </w:tcPr>
          <w:p w:rsidR="00C30D63" w:rsidRDefault="00C04A97" w:rsidP="00C04A97">
            <w:pPr>
              <w:jc w:val="left"/>
            </w:pPr>
            <w:r>
              <w:t xml:space="preserve">Program level debt and earnings values are calculated for both undergraduate and </w:t>
            </w:r>
            <w:r w:rsidR="00C30D63">
              <w:t>graduate programs</w:t>
            </w:r>
          </w:p>
        </w:tc>
        <w:tc>
          <w:tcPr>
            <w:tcW w:w="4410" w:type="dxa"/>
          </w:tcPr>
          <w:p w:rsidR="00C30D63" w:rsidRDefault="00C04A97" w:rsidP="00C04A97">
            <w:pPr>
              <w:jc w:val="left"/>
            </w:pPr>
            <w:r>
              <w:t xml:space="preserve">Institution level debt and earnings values are calculated for only undergraduate students </w:t>
            </w:r>
          </w:p>
        </w:tc>
      </w:tr>
    </w:tbl>
    <w:p w:rsidR="007D223F" w:rsidRPr="00530F65" w:rsidRDefault="007D223F" w:rsidP="00457A88">
      <w:pPr>
        <w:jc w:val="left"/>
      </w:pPr>
    </w:p>
    <w:p w:rsidR="00F16E8C" w:rsidRPr="00530F65" w:rsidRDefault="0049384A" w:rsidP="00162143">
      <w:pPr>
        <w:jc w:val="left"/>
      </w:pPr>
      <w:r>
        <w:t>Below are definitions for</w:t>
      </w:r>
      <w:r w:rsidR="008F6C78" w:rsidRPr="00530F65">
        <w:t xml:space="preserve"> </w:t>
      </w:r>
      <w:r w:rsidR="008F6C78">
        <w:t xml:space="preserve">data </w:t>
      </w:r>
      <w:r>
        <w:t>used in this report</w:t>
      </w:r>
      <w:r w:rsidR="00F16E8C" w:rsidRPr="00530F65">
        <w:t>:</w:t>
      </w:r>
    </w:p>
    <w:p w:rsidR="00E12D02" w:rsidRPr="00530F65" w:rsidRDefault="00E12D02" w:rsidP="00B743D9">
      <w:pPr>
        <w:pStyle w:val="ListParagraph"/>
        <w:numPr>
          <w:ilvl w:val="0"/>
          <w:numId w:val="2"/>
        </w:numPr>
        <w:jc w:val="left"/>
      </w:pPr>
      <w:r w:rsidRPr="00530F65">
        <w:rPr>
          <w:u w:val="single"/>
        </w:rPr>
        <w:t>Predominant award:</w:t>
      </w:r>
      <w:r w:rsidRPr="00530F65">
        <w:t xml:space="preserve"> Scorecard classifies institutions by the </w:t>
      </w:r>
      <w:r w:rsidR="00162143">
        <w:t xml:space="preserve">most common </w:t>
      </w:r>
      <w:r w:rsidRPr="00530F65">
        <w:t xml:space="preserve">undergraduate </w:t>
      </w:r>
      <w:r w:rsidR="00162143">
        <w:t xml:space="preserve">level </w:t>
      </w:r>
      <w:r w:rsidRPr="00530F65">
        <w:t>the institution</w:t>
      </w:r>
      <w:r w:rsidR="00162143">
        <w:t xml:space="preserve"> awards</w:t>
      </w:r>
      <w:r w:rsidR="008F6C78">
        <w:t>.</w:t>
      </w:r>
      <w:r w:rsidR="00162143">
        <w:t xml:space="preserve"> </w:t>
      </w:r>
      <w:r w:rsidRPr="00530F65">
        <w:t xml:space="preserve"> </w:t>
      </w:r>
      <w:r w:rsidR="008F6C78">
        <w:t>F</w:t>
      </w:r>
      <w:r w:rsidRPr="00530F65">
        <w:t xml:space="preserve">or </w:t>
      </w:r>
      <w:r w:rsidR="008F6C78">
        <w:t>example</w:t>
      </w:r>
      <w:r w:rsidRPr="00530F65">
        <w:t xml:space="preserve">, an institution that awards 40 percent bachelor’s degrees, 30 percent associate degrees, and 30 percent certificate programs </w:t>
      </w:r>
      <w:r w:rsidR="00F850A8">
        <w:t>is</w:t>
      </w:r>
      <w:r w:rsidRPr="00530F65">
        <w:t xml:space="preserve"> classified as predominantly bachelor’s degree awarding. </w:t>
      </w:r>
    </w:p>
    <w:p w:rsidR="00E820FD" w:rsidRPr="00530F65" w:rsidRDefault="00E820FD" w:rsidP="00162143">
      <w:pPr>
        <w:pStyle w:val="ListParagraph"/>
        <w:numPr>
          <w:ilvl w:val="0"/>
          <w:numId w:val="2"/>
        </w:numPr>
        <w:jc w:val="left"/>
        <w:rPr>
          <w:u w:val="single"/>
        </w:rPr>
      </w:pPr>
      <w:r w:rsidRPr="00530F65">
        <w:rPr>
          <w:u w:val="single"/>
        </w:rPr>
        <w:t>Earnings:</w:t>
      </w:r>
      <w:r w:rsidR="00B84D93" w:rsidRPr="00530F65">
        <w:t xml:space="preserve"> </w:t>
      </w:r>
      <w:r w:rsidR="00F850A8">
        <w:t xml:space="preserve">Calendar year 2013 and 2014 earnings </w:t>
      </w:r>
      <w:r w:rsidR="00F20D55">
        <w:t>(high</w:t>
      </w:r>
      <w:r w:rsidR="001F423D">
        <w:t>er of mean and median earnings)</w:t>
      </w:r>
      <w:r w:rsidR="00F850A8">
        <w:t xml:space="preserve"> </w:t>
      </w:r>
      <w:r w:rsidR="00162143">
        <w:t xml:space="preserve">for </w:t>
      </w:r>
      <w:r w:rsidR="00836F91" w:rsidRPr="00530F65">
        <w:t>cohort</w:t>
      </w:r>
      <w:r w:rsidR="00162143">
        <w:t>s</w:t>
      </w:r>
      <w:r w:rsidR="005579AF">
        <w:t xml:space="preserve"> of students who entered the institution in</w:t>
      </w:r>
      <w:r w:rsidR="009F5D6A">
        <w:t>:</w:t>
      </w:r>
    </w:p>
    <w:p w:rsidR="00B84D93" w:rsidRPr="00530F65" w:rsidRDefault="00F850A8" w:rsidP="00162143">
      <w:pPr>
        <w:pStyle w:val="ListParagraph"/>
        <w:numPr>
          <w:ilvl w:val="1"/>
          <w:numId w:val="2"/>
        </w:numPr>
        <w:jc w:val="left"/>
      </w:pPr>
      <w:r>
        <w:t xml:space="preserve">Academic years </w:t>
      </w:r>
      <w:r w:rsidRPr="00530F65">
        <w:t xml:space="preserve">2004-05 and 2005-06 </w:t>
      </w:r>
      <w:r>
        <w:t>at p</w:t>
      </w:r>
      <w:r w:rsidR="00B84D93" w:rsidRPr="00530F65">
        <w:t>redominantly bachelor’s degree awarding institutions</w:t>
      </w:r>
      <w:r w:rsidR="00836F91" w:rsidRPr="00530F65">
        <w:t xml:space="preserve"> </w:t>
      </w:r>
      <w:r w:rsidR="00457A88" w:rsidRPr="00530F65">
        <w:t xml:space="preserve">(measuring earnings eight years after </w:t>
      </w:r>
      <w:r w:rsidR="009F5D6A">
        <w:t>entry</w:t>
      </w:r>
      <w:r w:rsidR="00457A88" w:rsidRPr="00530F65">
        <w:t>)</w:t>
      </w:r>
      <w:r w:rsidR="00162143">
        <w:t>,</w:t>
      </w:r>
      <w:r w:rsidR="00E95A45" w:rsidRPr="00530F65">
        <w:t xml:space="preserve"> </w:t>
      </w:r>
    </w:p>
    <w:p w:rsidR="00836F91" w:rsidRPr="00530F65" w:rsidRDefault="00F850A8" w:rsidP="00162143">
      <w:pPr>
        <w:pStyle w:val="ListParagraph"/>
        <w:numPr>
          <w:ilvl w:val="1"/>
          <w:numId w:val="2"/>
        </w:numPr>
        <w:jc w:val="left"/>
      </w:pPr>
      <w:r>
        <w:t xml:space="preserve">Academic years </w:t>
      </w:r>
      <w:r w:rsidRPr="00530F65">
        <w:t>2006-07 and 2007-08</w:t>
      </w:r>
      <w:r>
        <w:t xml:space="preserve"> at p</w:t>
      </w:r>
      <w:r w:rsidR="00836F91" w:rsidRPr="00530F65">
        <w:t>redominantly associate degree awarding institutions</w:t>
      </w:r>
      <w:r w:rsidR="00FB5195" w:rsidRPr="00530F65">
        <w:t xml:space="preserve"> </w:t>
      </w:r>
      <w:r w:rsidR="00457A88" w:rsidRPr="00530F65">
        <w:t xml:space="preserve">(measuring earnings six years after </w:t>
      </w:r>
      <w:r w:rsidR="009F5D6A">
        <w:t>entry</w:t>
      </w:r>
      <w:r w:rsidR="00457A88" w:rsidRPr="00530F65">
        <w:t>)</w:t>
      </w:r>
      <w:r w:rsidR="00162143">
        <w:t>, and</w:t>
      </w:r>
    </w:p>
    <w:p w:rsidR="00836F91" w:rsidRPr="00530F65" w:rsidRDefault="00F850A8" w:rsidP="00162143">
      <w:pPr>
        <w:pStyle w:val="ListParagraph"/>
        <w:numPr>
          <w:ilvl w:val="1"/>
          <w:numId w:val="2"/>
        </w:numPr>
        <w:jc w:val="left"/>
      </w:pPr>
      <w:r>
        <w:t xml:space="preserve">Academic years </w:t>
      </w:r>
      <w:r w:rsidRPr="00530F65">
        <w:t>2006-07 and 2007-08</w:t>
      </w:r>
      <w:r>
        <w:t xml:space="preserve"> at p</w:t>
      </w:r>
      <w:r w:rsidR="00836F91" w:rsidRPr="00530F65">
        <w:t>redominantly certificate awarding institutions</w:t>
      </w:r>
      <w:r w:rsidR="00FB5195" w:rsidRPr="00530F65">
        <w:t xml:space="preserve"> </w:t>
      </w:r>
      <w:r w:rsidR="00457A88" w:rsidRPr="00530F65">
        <w:t xml:space="preserve">(measuring earnings six years after </w:t>
      </w:r>
      <w:r w:rsidR="009F5D6A">
        <w:t>entry</w:t>
      </w:r>
      <w:r w:rsidR="00457A88" w:rsidRPr="00530F65">
        <w:t>)</w:t>
      </w:r>
      <w:r w:rsidR="00FB5195" w:rsidRPr="00530F65">
        <w:t xml:space="preserve">. </w:t>
      </w:r>
    </w:p>
    <w:p w:rsidR="006428B4" w:rsidRDefault="00E820FD" w:rsidP="00162143">
      <w:pPr>
        <w:pStyle w:val="ListParagraph"/>
        <w:numPr>
          <w:ilvl w:val="0"/>
          <w:numId w:val="2"/>
        </w:numPr>
        <w:jc w:val="left"/>
      </w:pPr>
      <w:r w:rsidRPr="00530F65">
        <w:rPr>
          <w:u w:val="single"/>
        </w:rPr>
        <w:t>Debt:</w:t>
      </w:r>
      <w:r w:rsidR="00BA113D" w:rsidRPr="00530F65">
        <w:t xml:space="preserve"> </w:t>
      </w:r>
      <w:r w:rsidR="00FB60EE">
        <w:t xml:space="preserve">Cumulative </w:t>
      </w:r>
      <w:r w:rsidR="00F52A2D">
        <w:t>median d</w:t>
      </w:r>
      <w:r w:rsidR="00A214CE">
        <w:t xml:space="preserve">ebt was captured for students that exited </w:t>
      </w:r>
      <w:r w:rsidR="00F52A2D">
        <w:t xml:space="preserve">(completed or withdrew) </w:t>
      </w:r>
      <w:r w:rsidR="00A214CE">
        <w:t>in fiscal years 2010 and 2011</w:t>
      </w:r>
      <w:r w:rsidR="00F52A2D">
        <w:t>.  C</w:t>
      </w:r>
      <w:r w:rsidR="00A214CE">
        <w:t xml:space="preserve">ohorts with fewer than 30 students were excluded. </w:t>
      </w:r>
    </w:p>
    <w:p w:rsidR="00E820FD" w:rsidRPr="00530F65" w:rsidRDefault="006428B4" w:rsidP="00A8182A">
      <w:pPr>
        <w:pStyle w:val="ListParagraph"/>
        <w:numPr>
          <w:ilvl w:val="0"/>
          <w:numId w:val="2"/>
        </w:numPr>
        <w:jc w:val="left"/>
      </w:pPr>
      <w:r>
        <w:rPr>
          <w:u w:val="single"/>
        </w:rPr>
        <w:lastRenderedPageBreak/>
        <w:t>Debt to earnings:</w:t>
      </w:r>
      <w:r>
        <w:t xml:space="preserve"> A three year lag between debt and earnings was used here to more closely match </w:t>
      </w:r>
      <w:r w:rsidR="00457A88" w:rsidRPr="00530F65">
        <w:t xml:space="preserve">the GE </w:t>
      </w:r>
      <w:r w:rsidR="00A214CE">
        <w:t>debt to earnings calculation</w:t>
      </w:r>
      <w:r w:rsidR="00DC654C" w:rsidRPr="00530F65">
        <w:t>.</w:t>
      </w:r>
      <w:r w:rsidR="00FB60EE">
        <w:t xml:space="preserve"> Since </w:t>
      </w:r>
      <w:r>
        <w:t xml:space="preserve">the most recent earnings data in Scorecard is </w:t>
      </w:r>
      <w:r w:rsidR="00A8182A">
        <w:t xml:space="preserve">calendar years </w:t>
      </w:r>
      <w:r>
        <w:t xml:space="preserve">2013 and 2014, implementing the 3 year lag means </w:t>
      </w:r>
      <w:r w:rsidR="00A8182A">
        <w:t>using debt values from the 2010 and 2011 award years</w:t>
      </w:r>
      <w:r>
        <w:t>.</w:t>
      </w:r>
      <w:r w:rsidR="00FB60EE">
        <w:t xml:space="preserve"> The cumulative debt value</w:t>
      </w:r>
      <w:r w:rsidR="00A8182A">
        <w:t>s were</w:t>
      </w:r>
      <w:r w:rsidR="00FB60EE">
        <w:t xml:space="preserve"> converted to an annual loan payment with a 6.8</w:t>
      </w:r>
      <w:r w:rsidR="002D3ED4">
        <w:t xml:space="preserve"> percent interest rate and a 15-</w:t>
      </w:r>
      <w:r w:rsidR="00FB60EE">
        <w:t xml:space="preserve">year repayment plan for institutions </w:t>
      </w:r>
      <w:r w:rsidR="00A8182A">
        <w:t xml:space="preserve">predominantly </w:t>
      </w:r>
      <w:r w:rsidR="00FB60EE">
        <w:t>awarding bachelor’s degrees and a 10</w:t>
      </w:r>
      <w:r w:rsidR="002D3ED4">
        <w:t>-</w:t>
      </w:r>
      <w:r w:rsidR="00FB60EE">
        <w:t>year repayment plan for institutions</w:t>
      </w:r>
      <w:r w:rsidR="00A8182A">
        <w:t xml:space="preserve"> predominantly </w:t>
      </w:r>
      <w:r w:rsidR="00FB60EE">
        <w:t>awarding associate’s degrees and certificates.</w:t>
      </w:r>
    </w:p>
    <w:p w:rsidR="00E820FD" w:rsidRPr="00530F65" w:rsidRDefault="00E820FD" w:rsidP="00B743D9">
      <w:pPr>
        <w:pStyle w:val="ListParagraph"/>
        <w:numPr>
          <w:ilvl w:val="0"/>
          <w:numId w:val="2"/>
        </w:numPr>
        <w:jc w:val="left"/>
        <w:rPr>
          <w:u w:val="single"/>
        </w:rPr>
      </w:pPr>
      <w:r w:rsidRPr="00530F65">
        <w:rPr>
          <w:u w:val="single"/>
        </w:rPr>
        <w:t>Repayment Rate</w:t>
      </w:r>
      <w:r w:rsidR="00500C34" w:rsidRPr="00530F65">
        <w:rPr>
          <w:u w:val="single"/>
        </w:rPr>
        <w:t>:</w:t>
      </w:r>
      <w:r w:rsidR="00472CE9" w:rsidRPr="00530F65">
        <w:t xml:space="preserve"> </w:t>
      </w:r>
      <w:r w:rsidR="00DC654C" w:rsidRPr="00530F65">
        <w:t xml:space="preserve">The proportion of borrowers repaying at least one dollar on their initial balance after three years. </w:t>
      </w:r>
      <w:r w:rsidR="006428B4">
        <w:t xml:space="preserve"> </w:t>
      </w:r>
      <w:r w:rsidR="00DC654C" w:rsidRPr="00530F65">
        <w:t xml:space="preserve">Repayment rates used in this document reflect the </w:t>
      </w:r>
      <w:r w:rsidR="006428B4">
        <w:t>combined</w:t>
      </w:r>
      <w:r w:rsidR="006428B4" w:rsidRPr="00530F65">
        <w:t xml:space="preserve"> </w:t>
      </w:r>
      <w:r w:rsidR="00E578D3" w:rsidRPr="00530F65">
        <w:t>FY2010</w:t>
      </w:r>
      <w:r w:rsidR="006428B4">
        <w:t xml:space="preserve"> and </w:t>
      </w:r>
      <w:r w:rsidR="00E578D3" w:rsidRPr="00530F65">
        <w:t>FY2011 cohorts measured in FY2013</w:t>
      </w:r>
      <w:r w:rsidR="006428B4">
        <w:t xml:space="preserve"> and</w:t>
      </w:r>
      <w:r w:rsidR="00E578D3" w:rsidRPr="00530F65">
        <w:t xml:space="preserve"> FY2014</w:t>
      </w:r>
      <w:r w:rsidR="00DC654C" w:rsidRPr="00530F65">
        <w:t xml:space="preserve">. Scorecard provides more recent data, </w:t>
      </w:r>
      <w:r w:rsidR="008B639B">
        <w:t xml:space="preserve">but </w:t>
      </w:r>
      <w:r w:rsidR="006428B4">
        <w:t>these data were selected to match with the debt to earnings calculation</w:t>
      </w:r>
      <w:r w:rsidR="00DC654C" w:rsidRPr="00530F65">
        <w:t>.</w:t>
      </w:r>
    </w:p>
    <w:p w:rsidR="00E6111C" w:rsidRDefault="00E6111C">
      <w:pPr>
        <w:jc w:val="left"/>
        <w:rPr>
          <w:rFonts w:asciiTheme="majorHAnsi" w:eastAsiaTheme="majorEastAsia" w:hAnsiTheme="majorHAnsi" w:cstheme="majorBidi"/>
          <w:b/>
          <w:bCs/>
          <w:kern w:val="32"/>
          <w:sz w:val="32"/>
          <w:szCs w:val="32"/>
        </w:rPr>
      </w:pPr>
    </w:p>
    <w:p w:rsidR="009351C0" w:rsidRPr="00530F65" w:rsidRDefault="009351C0" w:rsidP="00B743D9">
      <w:pPr>
        <w:pStyle w:val="Heading1"/>
        <w:numPr>
          <w:ilvl w:val="0"/>
          <w:numId w:val="1"/>
        </w:numPr>
        <w:ind w:left="360"/>
        <w:jc w:val="left"/>
      </w:pPr>
      <w:r w:rsidRPr="00530F65">
        <w:t>Results</w:t>
      </w:r>
    </w:p>
    <w:p w:rsidR="00BF2ACB" w:rsidRPr="00530F65" w:rsidRDefault="00BF2ACB" w:rsidP="00BF2ACB">
      <w:pPr>
        <w:pStyle w:val="ListParagraph"/>
        <w:jc w:val="both"/>
      </w:pPr>
    </w:p>
    <w:p w:rsidR="00EC53E8" w:rsidRDefault="004526F6" w:rsidP="00EC53E8">
      <w:pPr>
        <w:jc w:val="left"/>
      </w:pPr>
      <w:r>
        <w:t>Debt to earnings</w:t>
      </w:r>
      <w:r w:rsidR="002100AC" w:rsidRPr="00530F65">
        <w:t xml:space="preserve"> rates</w:t>
      </w:r>
      <w:r w:rsidR="00D37003" w:rsidRPr="00530F65">
        <w:t xml:space="preserve"> were calculated for 3,5</w:t>
      </w:r>
      <w:r w:rsidR="00964810" w:rsidRPr="00530F65">
        <w:t>4</w:t>
      </w:r>
      <w:r w:rsidR="00D37003" w:rsidRPr="00530F65">
        <w:t xml:space="preserve">2 institutions </w:t>
      </w:r>
      <w:r w:rsidR="002100AC" w:rsidRPr="00530F65">
        <w:t xml:space="preserve">after exclusions for </w:t>
      </w:r>
      <w:r w:rsidR="0016139A" w:rsidRPr="00530F65">
        <w:t xml:space="preserve">small </w:t>
      </w:r>
      <w:r w:rsidR="002100AC" w:rsidRPr="00530F65">
        <w:t>cell sizes.</w:t>
      </w:r>
      <w:r w:rsidR="00D37003" w:rsidRPr="00530F65">
        <w:t xml:space="preserve"> </w:t>
      </w:r>
      <w:r w:rsidR="00FB613E" w:rsidRPr="00530F65">
        <w:t xml:space="preserve">The distribution of </w:t>
      </w:r>
      <w:r>
        <w:t>debt to earnings</w:t>
      </w:r>
      <w:r w:rsidR="00FB613E" w:rsidRPr="00530F65">
        <w:t xml:space="preserve"> </w:t>
      </w:r>
      <w:r w:rsidR="000A728A" w:rsidRPr="00530F65">
        <w:t xml:space="preserve">in these </w:t>
      </w:r>
      <w:r w:rsidR="00FB613E" w:rsidRPr="00530F65">
        <w:t xml:space="preserve">institutions is provided in </w:t>
      </w:r>
      <w:r>
        <w:t>E</w:t>
      </w:r>
      <w:r w:rsidR="00FB613E" w:rsidRPr="00530F65">
        <w:t>xhibit</w:t>
      </w:r>
      <w:r w:rsidR="000A728A" w:rsidRPr="00530F65">
        <w:t>s</w:t>
      </w:r>
      <w:r w:rsidR="00FB613E" w:rsidRPr="00530F65">
        <w:t xml:space="preserve"> </w:t>
      </w:r>
      <w:r>
        <w:t>2</w:t>
      </w:r>
      <w:r w:rsidR="003934B9" w:rsidRPr="00530F65">
        <w:t xml:space="preserve"> and </w:t>
      </w:r>
      <w:r>
        <w:t>3</w:t>
      </w:r>
      <w:r w:rsidR="00FB613E" w:rsidRPr="00530F65">
        <w:t xml:space="preserve">. Exhibit </w:t>
      </w:r>
      <w:r>
        <w:t>2</w:t>
      </w:r>
      <w:r w:rsidR="00FB613E" w:rsidRPr="00530F65">
        <w:t xml:space="preserve"> displays </w:t>
      </w:r>
      <w:r w:rsidR="003934B9" w:rsidRPr="00530F65">
        <w:t xml:space="preserve">descriptive statistics </w:t>
      </w:r>
      <w:r w:rsidR="009A6242" w:rsidRPr="00530F65">
        <w:t>by control and predominant undergraduate award</w:t>
      </w:r>
      <w:r>
        <w:t xml:space="preserve">; </w:t>
      </w:r>
      <w:r w:rsidR="003934B9" w:rsidRPr="00530F65">
        <w:t xml:space="preserve">Exhibit </w:t>
      </w:r>
      <w:r>
        <w:t>3</w:t>
      </w:r>
      <w:r w:rsidR="003934B9" w:rsidRPr="00530F65">
        <w:t xml:space="preserve"> provides b</w:t>
      </w:r>
      <w:r w:rsidR="00FB613E" w:rsidRPr="00530F65">
        <w:t>ox and whisker plots by control and predominant undergraduate award.</w:t>
      </w:r>
    </w:p>
    <w:p w:rsidR="00E6111C" w:rsidRDefault="00EC53E8" w:rsidP="00EC53E8">
      <w:pPr>
        <w:jc w:val="left"/>
      </w:pPr>
      <w:r>
        <w:t xml:space="preserve"> </w:t>
      </w:r>
    </w:p>
    <w:p w:rsidR="00DC654C" w:rsidRPr="00530F65" w:rsidRDefault="00E6111C" w:rsidP="00B84A91">
      <w:pPr>
        <w:jc w:val="left"/>
      </w:pPr>
      <w:proofErr w:type="gramStart"/>
      <w:r w:rsidRPr="00530F65">
        <w:rPr>
          <w:rFonts w:eastAsia="Times New Roman"/>
          <w:b/>
        </w:rPr>
        <w:t xml:space="preserve">Exhibit </w:t>
      </w:r>
      <w:r>
        <w:rPr>
          <w:rFonts w:eastAsia="Times New Roman"/>
          <w:b/>
        </w:rPr>
        <w:t>2</w:t>
      </w:r>
      <w:r w:rsidRPr="00530F65">
        <w:rPr>
          <w:rFonts w:eastAsia="Times New Roman"/>
          <w:b/>
        </w:rPr>
        <w:t>.</w:t>
      </w:r>
      <w:proofErr w:type="gramEnd"/>
      <w:r w:rsidRPr="00530F65">
        <w:rPr>
          <w:rFonts w:eastAsia="Times New Roman"/>
          <w:b/>
        </w:rPr>
        <w:t xml:space="preserve"> </w:t>
      </w:r>
      <w:r>
        <w:rPr>
          <w:rFonts w:eastAsia="Times New Roman"/>
          <w:b/>
        </w:rPr>
        <w:t>Descriptive Statistics for Debt to Earnings</w:t>
      </w:r>
    </w:p>
    <w:tbl>
      <w:tblPr>
        <w:tblW w:w="8620" w:type="dxa"/>
        <w:tblInd w:w="93" w:type="dxa"/>
        <w:tblLook w:val="04A0" w:firstRow="1" w:lastRow="0" w:firstColumn="1" w:lastColumn="0" w:noHBand="0" w:noVBand="1"/>
      </w:tblPr>
      <w:tblGrid>
        <w:gridCol w:w="2088"/>
        <w:gridCol w:w="706"/>
        <w:gridCol w:w="772"/>
        <w:gridCol w:w="764"/>
        <w:gridCol w:w="706"/>
        <w:gridCol w:w="764"/>
        <w:gridCol w:w="764"/>
        <w:gridCol w:w="706"/>
        <w:gridCol w:w="818"/>
        <w:gridCol w:w="764"/>
      </w:tblGrid>
      <w:tr w:rsidR="00E6111C" w:rsidRPr="003934B9" w:rsidTr="00E6111C">
        <w:trPr>
          <w:trHeight w:val="300"/>
        </w:trPr>
        <w:tc>
          <w:tcPr>
            <w:tcW w:w="2088" w:type="dxa"/>
            <w:vMerge w:val="restart"/>
            <w:tcBorders>
              <w:top w:val="single" w:sz="4" w:space="0" w:color="auto"/>
              <w:left w:val="single" w:sz="4" w:space="0" w:color="auto"/>
              <w:right w:val="single" w:sz="4" w:space="0" w:color="auto"/>
            </w:tcBorders>
            <w:shd w:val="clear" w:color="auto" w:fill="auto"/>
            <w:noWrap/>
            <w:vAlign w:val="center"/>
            <w:hideMark/>
          </w:tcPr>
          <w:p w:rsidR="00E6111C" w:rsidRPr="003934B9" w:rsidRDefault="00E6111C" w:rsidP="00E6111C">
            <w:pPr>
              <w:rPr>
                <w:rFonts w:eastAsia="Times New Roman"/>
                <w:b/>
              </w:rPr>
            </w:pPr>
          </w:p>
          <w:p w:rsidR="00E6111C" w:rsidRDefault="00E6111C" w:rsidP="00E6111C">
            <w:pPr>
              <w:rPr>
                <w:rFonts w:eastAsia="Times New Roman"/>
                <w:b/>
              </w:rPr>
            </w:pPr>
            <w:r>
              <w:rPr>
                <w:rFonts w:eastAsia="Times New Roman"/>
                <w:b/>
              </w:rPr>
              <w:t>Descriptive</w:t>
            </w:r>
          </w:p>
          <w:p w:rsidR="00E6111C" w:rsidRPr="003934B9" w:rsidRDefault="00E6111C" w:rsidP="00E6111C">
            <w:pPr>
              <w:rPr>
                <w:rFonts w:eastAsia="Times New Roman"/>
                <w:b/>
              </w:rPr>
            </w:pPr>
            <w:r>
              <w:rPr>
                <w:rFonts w:eastAsia="Times New Roman"/>
                <w:b/>
              </w:rPr>
              <w:t>Statistic</w:t>
            </w:r>
          </w:p>
        </w:tc>
        <w:tc>
          <w:tcPr>
            <w:tcW w:w="218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111C" w:rsidRPr="003934B9" w:rsidRDefault="00E6111C" w:rsidP="00E6111C">
            <w:pPr>
              <w:rPr>
                <w:rFonts w:eastAsia="Times New Roman"/>
                <w:b/>
              </w:rPr>
            </w:pPr>
            <w:r w:rsidRPr="003934B9">
              <w:rPr>
                <w:rFonts w:eastAsia="Times New Roman"/>
                <w:b/>
              </w:rPr>
              <w:t>Bachelor</w:t>
            </w:r>
          </w:p>
        </w:tc>
        <w:tc>
          <w:tcPr>
            <w:tcW w:w="2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E6111C" w:rsidRPr="003934B9" w:rsidRDefault="00E6111C" w:rsidP="00E6111C">
            <w:pPr>
              <w:rPr>
                <w:rFonts w:eastAsia="Times New Roman"/>
                <w:b/>
              </w:rPr>
            </w:pPr>
            <w:r w:rsidRPr="003934B9">
              <w:rPr>
                <w:rFonts w:eastAsia="Times New Roman"/>
                <w:b/>
              </w:rPr>
              <w:t>Associate</w:t>
            </w:r>
          </w:p>
        </w:tc>
        <w:tc>
          <w:tcPr>
            <w:tcW w:w="2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111C" w:rsidRPr="003934B9" w:rsidRDefault="00E6111C" w:rsidP="00E6111C">
            <w:pPr>
              <w:rPr>
                <w:rFonts w:eastAsia="Times New Roman"/>
                <w:b/>
              </w:rPr>
            </w:pPr>
            <w:r w:rsidRPr="003934B9">
              <w:rPr>
                <w:rFonts w:eastAsia="Times New Roman"/>
                <w:b/>
              </w:rPr>
              <w:t>Certificate</w:t>
            </w:r>
          </w:p>
        </w:tc>
      </w:tr>
      <w:tr w:rsidR="00E6111C" w:rsidRPr="00530F65" w:rsidTr="00E6111C">
        <w:trPr>
          <w:cantSplit/>
          <w:trHeight w:val="1277"/>
        </w:trPr>
        <w:tc>
          <w:tcPr>
            <w:tcW w:w="2088" w:type="dxa"/>
            <w:vMerge/>
            <w:tcBorders>
              <w:left w:val="single" w:sz="4" w:space="0" w:color="auto"/>
              <w:bottom w:val="single" w:sz="4" w:space="0" w:color="auto"/>
              <w:right w:val="single" w:sz="4" w:space="0" w:color="auto"/>
            </w:tcBorders>
            <w:shd w:val="clear" w:color="auto" w:fill="auto"/>
            <w:noWrap/>
            <w:vAlign w:val="bottom"/>
            <w:hideMark/>
          </w:tcPr>
          <w:p w:rsidR="00E6111C" w:rsidRPr="003934B9" w:rsidRDefault="00E6111C" w:rsidP="003934B9">
            <w:pPr>
              <w:jc w:val="left"/>
              <w:rPr>
                <w:rFonts w:eastAsia="Times New Roman"/>
                <w:b/>
              </w:rPr>
            </w:pPr>
          </w:p>
        </w:tc>
        <w:tc>
          <w:tcPr>
            <w:tcW w:w="706" w:type="dxa"/>
            <w:tcBorders>
              <w:top w:val="nil"/>
              <w:left w:val="nil"/>
              <w:bottom w:val="single" w:sz="4" w:space="0" w:color="auto"/>
              <w:right w:val="single" w:sz="4" w:space="0" w:color="auto"/>
            </w:tcBorders>
            <w:shd w:val="clear" w:color="auto" w:fill="auto"/>
            <w:noWrap/>
            <w:textDirection w:val="btLr"/>
            <w:vAlign w:val="center"/>
            <w:hideMark/>
          </w:tcPr>
          <w:p w:rsidR="00E6111C" w:rsidRPr="003934B9" w:rsidRDefault="00E6111C" w:rsidP="00E6111C">
            <w:pPr>
              <w:ind w:left="113" w:right="113"/>
              <w:jc w:val="left"/>
              <w:rPr>
                <w:rFonts w:eastAsia="Times New Roman"/>
                <w:b/>
              </w:rPr>
            </w:pPr>
            <w:r w:rsidRPr="003934B9">
              <w:rPr>
                <w:rFonts w:eastAsia="Times New Roman"/>
                <w:b/>
              </w:rPr>
              <w:t>Public</w:t>
            </w:r>
          </w:p>
        </w:tc>
        <w:tc>
          <w:tcPr>
            <w:tcW w:w="772" w:type="dxa"/>
            <w:tcBorders>
              <w:top w:val="nil"/>
              <w:left w:val="nil"/>
              <w:bottom w:val="single" w:sz="4" w:space="0" w:color="auto"/>
              <w:right w:val="single" w:sz="4" w:space="0" w:color="auto"/>
            </w:tcBorders>
            <w:shd w:val="clear" w:color="auto" w:fill="auto"/>
            <w:noWrap/>
            <w:textDirection w:val="btLr"/>
            <w:vAlign w:val="center"/>
            <w:hideMark/>
          </w:tcPr>
          <w:p w:rsidR="00E6111C" w:rsidRPr="003934B9" w:rsidRDefault="00E6111C" w:rsidP="00E6111C">
            <w:pPr>
              <w:ind w:left="113" w:right="113"/>
              <w:jc w:val="left"/>
              <w:rPr>
                <w:rFonts w:eastAsia="Times New Roman"/>
                <w:b/>
              </w:rPr>
            </w:pPr>
            <w:r w:rsidRPr="003934B9">
              <w:rPr>
                <w:rFonts w:eastAsia="Times New Roman"/>
                <w:b/>
              </w:rPr>
              <w:t>Private</w:t>
            </w:r>
          </w:p>
        </w:tc>
        <w:tc>
          <w:tcPr>
            <w:tcW w:w="706" w:type="dxa"/>
            <w:tcBorders>
              <w:top w:val="nil"/>
              <w:left w:val="nil"/>
              <w:bottom w:val="single" w:sz="4" w:space="0" w:color="auto"/>
              <w:right w:val="single" w:sz="4" w:space="0" w:color="auto"/>
            </w:tcBorders>
            <w:shd w:val="clear" w:color="auto" w:fill="auto"/>
            <w:noWrap/>
            <w:textDirection w:val="btLr"/>
            <w:vAlign w:val="center"/>
            <w:hideMark/>
          </w:tcPr>
          <w:p w:rsidR="00E6111C" w:rsidRPr="003934B9" w:rsidRDefault="00E6111C" w:rsidP="00E6111C">
            <w:pPr>
              <w:ind w:left="113" w:right="113"/>
              <w:jc w:val="left"/>
              <w:rPr>
                <w:rFonts w:eastAsia="Times New Roman"/>
                <w:b/>
              </w:rPr>
            </w:pPr>
            <w:r w:rsidRPr="003934B9">
              <w:rPr>
                <w:rFonts w:eastAsia="Times New Roman"/>
                <w:b/>
              </w:rPr>
              <w:t>Proprietary</w:t>
            </w:r>
          </w:p>
        </w:tc>
        <w:tc>
          <w:tcPr>
            <w:tcW w:w="706" w:type="dxa"/>
            <w:tcBorders>
              <w:top w:val="nil"/>
              <w:left w:val="nil"/>
              <w:bottom w:val="single" w:sz="4" w:space="0" w:color="auto"/>
              <w:right w:val="single" w:sz="4" w:space="0" w:color="auto"/>
            </w:tcBorders>
            <w:shd w:val="clear" w:color="auto" w:fill="auto"/>
            <w:noWrap/>
            <w:textDirection w:val="btLr"/>
            <w:vAlign w:val="center"/>
            <w:hideMark/>
          </w:tcPr>
          <w:p w:rsidR="00E6111C" w:rsidRPr="003934B9" w:rsidRDefault="00E6111C" w:rsidP="00E6111C">
            <w:pPr>
              <w:ind w:left="113" w:right="113"/>
              <w:jc w:val="left"/>
              <w:rPr>
                <w:rFonts w:eastAsia="Times New Roman"/>
                <w:b/>
              </w:rPr>
            </w:pPr>
            <w:r w:rsidRPr="003934B9">
              <w:rPr>
                <w:rFonts w:eastAsia="Times New Roman"/>
                <w:b/>
              </w:rPr>
              <w:t>Public</w:t>
            </w:r>
          </w:p>
        </w:tc>
        <w:tc>
          <w:tcPr>
            <w:tcW w:w="706" w:type="dxa"/>
            <w:tcBorders>
              <w:top w:val="nil"/>
              <w:left w:val="nil"/>
              <w:bottom w:val="single" w:sz="4" w:space="0" w:color="auto"/>
              <w:right w:val="single" w:sz="4" w:space="0" w:color="auto"/>
            </w:tcBorders>
            <w:shd w:val="clear" w:color="auto" w:fill="auto"/>
            <w:noWrap/>
            <w:textDirection w:val="btLr"/>
            <w:vAlign w:val="center"/>
            <w:hideMark/>
          </w:tcPr>
          <w:p w:rsidR="00E6111C" w:rsidRPr="003934B9" w:rsidRDefault="00E6111C" w:rsidP="00E6111C">
            <w:pPr>
              <w:ind w:left="113" w:right="113"/>
              <w:jc w:val="left"/>
              <w:rPr>
                <w:rFonts w:eastAsia="Times New Roman"/>
                <w:b/>
              </w:rPr>
            </w:pPr>
            <w:r w:rsidRPr="003934B9">
              <w:rPr>
                <w:rFonts w:eastAsia="Times New Roman"/>
                <w:b/>
              </w:rPr>
              <w:t>Private</w:t>
            </w:r>
          </w:p>
        </w:tc>
        <w:tc>
          <w:tcPr>
            <w:tcW w:w="706" w:type="dxa"/>
            <w:tcBorders>
              <w:top w:val="nil"/>
              <w:left w:val="nil"/>
              <w:bottom w:val="single" w:sz="4" w:space="0" w:color="auto"/>
              <w:right w:val="single" w:sz="4" w:space="0" w:color="auto"/>
            </w:tcBorders>
            <w:shd w:val="clear" w:color="auto" w:fill="auto"/>
            <w:noWrap/>
            <w:textDirection w:val="btLr"/>
            <w:vAlign w:val="center"/>
            <w:hideMark/>
          </w:tcPr>
          <w:p w:rsidR="00E6111C" w:rsidRPr="003934B9" w:rsidRDefault="00E6111C" w:rsidP="00E6111C">
            <w:pPr>
              <w:ind w:left="113" w:right="113"/>
              <w:jc w:val="left"/>
              <w:rPr>
                <w:rFonts w:eastAsia="Times New Roman"/>
                <w:b/>
              </w:rPr>
            </w:pPr>
            <w:r w:rsidRPr="003934B9">
              <w:rPr>
                <w:rFonts w:eastAsia="Times New Roman"/>
                <w:b/>
              </w:rPr>
              <w:t>Proprietary</w:t>
            </w:r>
          </w:p>
        </w:tc>
        <w:tc>
          <w:tcPr>
            <w:tcW w:w="706" w:type="dxa"/>
            <w:tcBorders>
              <w:top w:val="nil"/>
              <w:left w:val="nil"/>
              <w:bottom w:val="single" w:sz="4" w:space="0" w:color="auto"/>
              <w:right w:val="single" w:sz="4" w:space="0" w:color="auto"/>
            </w:tcBorders>
            <w:shd w:val="clear" w:color="auto" w:fill="auto"/>
            <w:noWrap/>
            <w:textDirection w:val="btLr"/>
            <w:vAlign w:val="center"/>
            <w:hideMark/>
          </w:tcPr>
          <w:p w:rsidR="00E6111C" w:rsidRPr="003934B9" w:rsidRDefault="00E6111C" w:rsidP="00E6111C">
            <w:pPr>
              <w:ind w:left="113" w:right="113"/>
              <w:jc w:val="left"/>
              <w:rPr>
                <w:rFonts w:eastAsia="Times New Roman"/>
                <w:b/>
              </w:rPr>
            </w:pPr>
            <w:r w:rsidRPr="003934B9">
              <w:rPr>
                <w:rFonts w:eastAsia="Times New Roman"/>
                <w:b/>
              </w:rPr>
              <w:t>Public</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E6111C" w:rsidRPr="003934B9" w:rsidRDefault="00E6111C" w:rsidP="00E6111C">
            <w:pPr>
              <w:ind w:left="113" w:right="113"/>
              <w:jc w:val="left"/>
              <w:rPr>
                <w:rFonts w:eastAsia="Times New Roman"/>
                <w:b/>
              </w:rPr>
            </w:pPr>
            <w:r w:rsidRPr="003934B9">
              <w:rPr>
                <w:rFonts w:eastAsia="Times New Roman"/>
                <w:b/>
              </w:rPr>
              <w:t>Private</w:t>
            </w:r>
          </w:p>
        </w:tc>
        <w:tc>
          <w:tcPr>
            <w:tcW w:w="706" w:type="dxa"/>
            <w:tcBorders>
              <w:top w:val="nil"/>
              <w:left w:val="nil"/>
              <w:bottom w:val="single" w:sz="4" w:space="0" w:color="auto"/>
              <w:right w:val="single" w:sz="4" w:space="0" w:color="auto"/>
            </w:tcBorders>
            <w:shd w:val="clear" w:color="auto" w:fill="auto"/>
            <w:noWrap/>
            <w:textDirection w:val="btLr"/>
            <w:vAlign w:val="center"/>
            <w:hideMark/>
          </w:tcPr>
          <w:p w:rsidR="00E6111C" w:rsidRPr="003934B9" w:rsidRDefault="00E6111C" w:rsidP="00E6111C">
            <w:pPr>
              <w:ind w:left="113" w:right="113"/>
              <w:jc w:val="left"/>
              <w:rPr>
                <w:rFonts w:eastAsia="Times New Roman"/>
                <w:b/>
              </w:rPr>
            </w:pPr>
            <w:r w:rsidRPr="003934B9">
              <w:rPr>
                <w:rFonts w:eastAsia="Times New Roman"/>
                <w:b/>
              </w:rPr>
              <w:t>Proprietary</w:t>
            </w:r>
          </w:p>
        </w:tc>
      </w:tr>
      <w:tr w:rsidR="00D5707E" w:rsidRPr="00530F65" w:rsidTr="00053134">
        <w:trPr>
          <w:trHeight w:val="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D5707E" w:rsidRPr="003934B9" w:rsidRDefault="00D5707E" w:rsidP="00E6111C">
            <w:pPr>
              <w:jc w:val="left"/>
              <w:rPr>
                <w:rFonts w:eastAsia="Times New Roman"/>
                <w:b/>
              </w:rPr>
            </w:pPr>
            <w:r>
              <w:rPr>
                <w:rFonts w:eastAsia="Times New Roman"/>
                <w:b/>
              </w:rPr>
              <w:t>Number</w:t>
            </w:r>
          </w:p>
        </w:tc>
        <w:tc>
          <w:tcPr>
            <w:tcW w:w="706" w:type="dxa"/>
            <w:tcBorders>
              <w:top w:val="nil"/>
              <w:left w:val="nil"/>
              <w:bottom w:val="single" w:sz="4" w:space="0" w:color="auto"/>
              <w:right w:val="single" w:sz="4" w:space="0" w:color="auto"/>
            </w:tcBorders>
            <w:shd w:val="clear" w:color="auto" w:fill="auto"/>
            <w:noWrap/>
            <w:vAlign w:val="bottom"/>
            <w:hideMark/>
          </w:tcPr>
          <w:p w:rsidR="00D5707E" w:rsidRPr="003934B9" w:rsidRDefault="00D5707E" w:rsidP="00E6111C">
            <w:pPr>
              <w:jc w:val="right"/>
              <w:rPr>
                <w:rFonts w:eastAsia="Times New Roman"/>
              </w:rPr>
            </w:pPr>
            <w:r>
              <w:rPr>
                <w:color w:val="000000"/>
              </w:rPr>
              <w:t>531</w:t>
            </w:r>
          </w:p>
        </w:tc>
        <w:tc>
          <w:tcPr>
            <w:tcW w:w="772" w:type="dxa"/>
            <w:tcBorders>
              <w:top w:val="nil"/>
              <w:left w:val="nil"/>
              <w:bottom w:val="single" w:sz="4" w:space="0" w:color="auto"/>
              <w:right w:val="single" w:sz="4" w:space="0" w:color="auto"/>
            </w:tcBorders>
            <w:shd w:val="clear" w:color="auto" w:fill="auto"/>
            <w:noWrap/>
            <w:vAlign w:val="bottom"/>
            <w:hideMark/>
          </w:tcPr>
          <w:p w:rsidR="00D5707E" w:rsidRPr="003934B9" w:rsidRDefault="00D5707E" w:rsidP="00E6111C">
            <w:pPr>
              <w:jc w:val="right"/>
              <w:rPr>
                <w:rFonts w:eastAsia="Times New Roman"/>
              </w:rPr>
            </w:pPr>
            <w:r>
              <w:rPr>
                <w:color w:val="000000"/>
              </w:rPr>
              <w:t>1016</w:t>
            </w:r>
          </w:p>
        </w:tc>
        <w:tc>
          <w:tcPr>
            <w:tcW w:w="706" w:type="dxa"/>
            <w:tcBorders>
              <w:top w:val="nil"/>
              <w:left w:val="nil"/>
              <w:bottom w:val="single" w:sz="4" w:space="0" w:color="auto"/>
              <w:right w:val="single" w:sz="4" w:space="0" w:color="auto"/>
            </w:tcBorders>
            <w:shd w:val="clear" w:color="auto" w:fill="auto"/>
            <w:noWrap/>
            <w:vAlign w:val="bottom"/>
            <w:hideMark/>
          </w:tcPr>
          <w:p w:rsidR="00D5707E" w:rsidRPr="003934B9" w:rsidRDefault="00D5707E" w:rsidP="00E6111C">
            <w:pPr>
              <w:jc w:val="right"/>
              <w:rPr>
                <w:rFonts w:eastAsia="Times New Roman"/>
              </w:rPr>
            </w:pPr>
            <w:r>
              <w:rPr>
                <w:color w:val="000000"/>
              </w:rPr>
              <w:t>60</w:t>
            </w:r>
          </w:p>
        </w:tc>
        <w:tc>
          <w:tcPr>
            <w:tcW w:w="706" w:type="dxa"/>
            <w:tcBorders>
              <w:top w:val="nil"/>
              <w:left w:val="nil"/>
              <w:bottom w:val="single" w:sz="4" w:space="0" w:color="auto"/>
              <w:right w:val="single" w:sz="4" w:space="0" w:color="auto"/>
            </w:tcBorders>
            <w:shd w:val="clear" w:color="auto" w:fill="auto"/>
            <w:noWrap/>
            <w:vAlign w:val="bottom"/>
            <w:hideMark/>
          </w:tcPr>
          <w:p w:rsidR="00D5707E" w:rsidRPr="003934B9" w:rsidRDefault="00D5707E" w:rsidP="00E6111C">
            <w:pPr>
              <w:jc w:val="right"/>
              <w:rPr>
                <w:rFonts w:eastAsia="Times New Roman"/>
              </w:rPr>
            </w:pPr>
            <w:r>
              <w:rPr>
                <w:color w:val="000000"/>
              </w:rPr>
              <w:t>622</w:t>
            </w:r>
          </w:p>
        </w:tc>
        <w:tc>
          <w:tcPr>
            <w:tcW w:w="706" w:type="dxa"/>
            <w:tcBorders>
              <w:top w:val="nil"/>
              <w:left w:val="nil"/>
              <w:bottom w:val="single" w:sz="4" w:space="0" w:color="auto"/>
              <w:right w:val="single" w:sz="4" w:space="0" w:color="auto"/>
            </w:tcBorders>
            <w:shd w:val="clear" w:color="auto" w:fill="auto"/>
            <w:noWrap/>
            <w:vAlign w:val="bottom"/>
            <w:hideMark/>
          </w:tcPr>
          <w:p w:rsidR="00D5707E" w:rsidRPr="003934B9" w:rsidRDefault="00D5707E" w:rsidP="00E6111C">
            <w:pPr>
              <w:jc w:val="right"/>
              <w:rPr>
                <w:rFonts w:eastAsia="Times New Roman"/>
              </w:rPr>
            </w:pPr>
            <w:r>
              <w:rPr>
                <w:color w:val="000000"/>
              </w:rPr>
              <w:t>89</w:t>
            </w:r>
          </w:p>
        </w:tc>
        <w:tc>
          <w:tcPr>
            <w:tcW w:w="706" w:type="dxa"/>
            <w:tcBorders>
              <w:top w:val="nil"/>
              <w:left w:val="nil"/>
              <w:bottom w:val="single" w:sz="4" w:space="0" w:color="auto"/>
              <w:right w:val="single" w:sz="4" w:space="0" w:color="auto"/>
            </w:tcBorders>
            <w:shd w:val="clear" w:color="auto" w:fill="auto"/>
            <w:noWrap/>
            <w:vAlign w:val="bottom"/>
            <w:hideMark/>
          </w:tcPr>
          <w:p w:rsidR="00D5707E" w:rsidRPr="003934B9" w:rsidRDefault="00D5707E" w:rsidP="00E6111C">
            <w:pPr>
              <w:jc w:val="right"/>
              <w:rPr>
                <w:rFonts w:eastAsia="Times New Roman"/>
              </w:rPr>
            </w:pPr>
            <w:r>
              <w:rPr>
                <w:color w:val="000000"/>
              </w:rPr>
              <w:t>151</w:t>
            </w:r>
          </w:p>
        </w:tc>
        <w:tc>
          <w:tcPr>
            <w:tcW w:w="706" w:type="dxa"/>
            <w:tcBorders>
              <w:top w:val="nil"/>
              <w:left w:val="nil"/>
              <w:bottom w:val="single" w:sz="4" w:space="0" w:color="auto"/>
              <w:right w:val="single" w:sz="4" w:space="0" w:color="auto"/>
            </w:tcBorders>
            <w:shd w:val="clear" w:color="auto" w:fill="auto"/>
            <w:noWrap/>
            <w:vAlign w:val="bottom"/>
            <w:hideMark/>
          </w:tcPr>
          <w:p w:rsidR="00D5707E" w:rsidRPr="003934B9" w:rsidRDefault="00D5707E" w:rsidP="00E6111C">
            <w:pPr>
              <w:jc w:val="right"/>
              <w:rPr>
                <w:rFonts w:eastAsia="Times New Roman"/>
              </w:rPr>
            </w:pPr>
            <w:r>
              <w:rPr>
                <w:color w:val="000000"/>
              </w:rPr>
              <w:t>296</w:t>
            </w:r>
          </w:p>
        </w:tc>
        <w:tc>
          <w:tcPr>
            <w:tcW w:w="818" w:type="dxa"/>
            <w:tcBorders>
              <w:top w:val="nil"/>
              <w:left w:val="nil"/>
              <w:bottom w:val="single" w:sz="4" w:space="0" w:color="auto"/>
              <w:right w:val="single" w:sz="4" w:space="0" w:color="auto"/>
            </w:tcBorders>
            <w:shd w:val="clear" w:color="auto" w:fill="auto"/>
            <w:noWrap/>
            <w:vAlign w:val="bottom"/>
            <w:hideMark/>
          </w:tcPr>
          <w:p w:rsidR="00D5707E" w:rsidRPr="003934B9" w:rsidRDefault="00D5707E" w:rsidP="00E6111C">
            <w:pPr>
              <w:jc w:val="right"/>
              <w:rPr>
                <w:rFonts w:eastAsia="Times New Roman"/>
              </w:rPr>
            </w:pPr>
            <w:r>
              <w:rPr>
                <w:color w:val="000000"/>
              </w:rPr>
              <w:t>68</w:t>
            </w:r>
          </w:p>
        </w:tc>
        <w:tc>
          <w:tcPr>
            <w:tcW w:w="706" w:type="dxa"/>
            <w:tcBorders>
              <w:top w:val="nil"/>
              <w:left w:val="nil"/>
              <w:bottom w:val="single" w:sz="4" w:space="0" w:color="auto"/>
              <w:right w:val="single" w:sz="4" w:space="0" w:color="auto"/>
            </w:tcBorders>
            <w:shd w:val="clear" w:color="auto" w:fill="auto"/>
            <w:noWrap/>
            <w:vAlign w:val="bottom"/>
            <w:hideMark/>
          </w:tcPr>
          <w:p w:rsidR="00D5707E" w:rsidRPr="003934B9" w:rsidRDefault="00D5707E" w:rsidP="00E6111C">
            <w:pPr>
              <w:jc w:val="right"/>
              <w:rPr>
                <w:rFonts w:eastAsia="Times New Roman"/>
              </w:rPr>
            </w:pPr>
            <w:r>
              <w:rPr>
                <w:color w:val="000000"/>
              </w:rPr>
              <w:t>709</w:t>
            </w:r>
          </w:p>
        </w:tc>
      </w:tr>
      <w:tr w:rsidR="009F196B" w:rsidRPr="00530F65" w:rsidTr="00053134">
        <w:trPr>
          <w:trHeight w:val="30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9F196B" w:rsidRPr="003934B9" w:rsidRDefault="009F196B" w:rsidP="00E6111C">
            <w:pPr>
              <w:jc w:val="left"/>
              <w:rPr>
                <w:rFonts w:eastAsia="Times New Roman"/>
                <w:b/>
              </w:rPr>
            </w:pPr>
            <w:r>
              <w:rPr>
                <w:rFonts w:eastAsia="Times New Roman"/>
                <w:b/>
              </w:rPr>
              <w:t>Mean</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2.7%</w:t>
            </w:r>
          </w:p>
        </w:tc>
        <w:tc>
          <w:tcPr>
            <w:tcW w:w="772"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3.5%</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3.1%</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2.2%</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4.0%</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5.4%</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2.5%</w:t>
            </w:r>
          </w:p>
        </w:tc>
        <w:tc>
          <w:tcPr>
            <w:tcW w:w="818"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4.4%</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4.9%</w:t>
            </w:r>
          </w:p>
        </w:tc>
      </w:tr>
      <w:tr w:rsidR="009F196B" w:rsidRPr="00530F65" w:rsidTr="00053134">
        <w:trPr>
          <w:trHeight w:val="30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9F196B" w:rsidRPr="003934B9" w:rsidRDefault="009F196B" w:rsidP="00E6111C">
            <w:pPr>
              <w:jc w:val="left"/>
              <w:rPr>
                <w:rFonts w:eastAsia="Times New Roman"/>
                <w:b/>
              </w:rPr>
            </w:pPr>
            <w:r>
              <w:rPr>
                <w:rFonts w:eastAsia="Times New Roman"/>
                <w:b/>
              </w:rPr>
              <w:t>Standard Deviation</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0.8%</w:t>
            </w:r>
          </w:p>
        </w:tc>
        <w:tc>
          <w:tcPr>
            <w:tcW w:w="772"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1.1%</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1.7%</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0.5%</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1.3%</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1.8%</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1.0%</w:t>
            </w:r>
          </w:p>
        </w:tc>
        <w:tc>
          <w:tcPr>
            <w:tcW w:w="818"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2.0%</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1.7%</w:t>
            </w:r>
          </w:p>
        </w:tc>
      </w:tr>
      <w:tr w:rsidR="009F196B" w:rsidRPr="00530F65" w:rsidTr="00053134">
        <w:trPr>
          <w:trHeight w:val="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9F196B" w:rsidRPr="003934B9" w:rsidRDefault="009F196B" w:rsidP="00E6111C">
            <w:pPr>
              <w:jc w:val="left"/>
              <w:rPr>
                <w:rFonts w:eastAsia="Times New Roman"/>
                <w:b/>
              </w:rPr>
            </w:pPr>
            <w:r>
              <w:rPr>
                <w:rFonts w:eastAsia="Times New Roman"/>
                <w:b/>
              </w:rPr>
              <w:t>Minimum</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0.3%</w:t>
            </w:r>
          </w:p>
        </w:tc>
        <w:tc>
          <w:tcPr>
            <w:tcW w:w="772"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0.5%</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0.5%</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0.9%</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1.4%</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2.0%</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0.7%</w:t>
            </w:r>
          </w:p>
        </w:tc>
        <w:tc>
          <w:tcPr>
            <w:tcW w:w="818"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0.9%</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0.5%</w:t>
            </w:r>
          </w:p>
        </w:tc>
      </w:tr>
      <w:tr w:rsidR="009F196B" w:rsidRPr="00530F65" w:rsidTr="00053134">
        <w:trPr>
          <w:trHeight w:val="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9F196B" w:rsidRPr="003934B9" w:rsidRDefault="009F196B" w:rsidP="00E6111C">
            <w:pPr>
              <w:jc w:val="left"/>
              <w:rPr>
                <w:rFonts w:eastAsia="Times New Roman"/>
                <w:b/>
              </w:rPr>
            </w:pPr>
            <w:r>
              <w:rPr>
                <w:rFonts w:eastAsia="Times New Roman"/>
                <w:b/>
              </w:rPr>
              <w:t>Median</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2.6%</w:t>
            </w:r>
          </w:p>
        </w:tc>
        <w:tc>
          <w:tcPr>
            <w:tcW w:w="772"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3.5%</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2.8%</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2.1%</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4.0%</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5.4%</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2.3%</w:t>
            </w:r>
          </w:p>
        </w:tc>
        <w:tc>
          <w:tcPr>
            <w:tcW w:w="818"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3.9%</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4.8%</w:t>
            </w:r>
          </w:p>
        </w:tc>
      </w:tr>
      <w:tr w:rsidR="009F196B" w:rsidRPr="00530F65" w:rsidTr="00053134">
        <w:trPr>
          <w:trHeight w:val="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9F196B" w:rsidRPr="003934B9" w:rsidRDefault="009F196B" w:rsidP="00E6111C">
            <w:pPr>
              <w:jc w:val="left"/>
              <w:rPr>
                <w:rFonts w:eastAsia="Times New Roman"/>
                <w:b/>
              </w:rPr>
            </w:pPr>
            <w:r>
              <w:rPr>
                <w:rFonts w:eastAsia="Times New Roman"/>
                <w:b/>
              </w:rPr>
              <w:t>Maximum</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6.7%</w:t>
            </w:r>
          </w:p>
        </w:tc>
        <w:tc>
          <w:tcPr>
            <w:tcW w:w="772"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7.7%</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10.3%</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4.6%</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10.0%</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12.5%</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8.7%</w:t>
            </w:r>
          </w:p>
        </w:tc>
        <w:tc>
          <w:tcPr>
            <w:tcW w:w="818"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14.1%</w:t>
            </w:r>
          </w:p>
        </w:tc>
        <w:tc>
          <w:tcPr>
            <w:tcW w:w="706" w:type="dxa"/>
            <w:tcBorders>
              <w:top w:val="nil"/>
              <w:left w:val="nil"/>
              <w:bottom w:val="single" w:sz="4" w:space="0" w:color="auto"/>
              <w:right w:val="single" w:sz="4" w:space="0" w:color="auto"/>
            </w:tcBorders>
            <w:shd w:val="clear" w:color="auto" w:fill="auto"/>
            <w:noWrap/>
            <w:vAlign w:val="bottom"/>
            <w:hideMark/>
          </w:tcPr>
          <w:p w:rsidR="009F196B" w:rsidRPr="003934B9" w:rsidRDefault="009F196B" w:rsidP="00E6111C">
            <w:pPr>
              <w:jc w:val="right"/>
              <w:rPr>
                <w:rFonts w:eastAsia="Times New Roman"/>
              </w:rPr>
            </w:pPr>
            <w:r>
              <w:rPr>
                <w:color w:val="000000"/>
              </w:rPr>
              <w:t>11.9%</w:t>
            </w:r>
          </w:p>
        </w:tc>
      </w:tr>
    </w:tbl>
    <w:p w:rsidR="00635B21" w:rsidRDefault="00635B21" w:rsidP="00635B21">
      <w:pPr>
        <w:jc w:val="left"/>
      </w:pPr>
    </w:p>
    <w:p w:rsidR="00635B21" w:rsidRDefault="00BA06D0" w:rsidP="00635B21">
      <w:pPr>
        <w:jc w:val="left"/>
      </w:pPr>
      <w:r>
        <w:t>The most s</w:t>
      </w:r>
      <w:r w:rsidR="001726D9">
        <w:t>ubstantive</w:t>
      </w:r>
      <w:r>
        <w:t xml:space="preserve"> differences between types of institutions were at </w:t>
      </w:r>
      <w:r w:rsidRPr="00530F65">
        <w:t>associate</w:t>
      </w:r>
      <w:r w:rsidR="00FF04F2">
        <w:t>’s</w:t>
      </w:r>
      <w:r>
        <w:t xml:space="preserve"> level institutions.   The middle half (25</w:t>
      </w:r>
      <w:r w:rsidRPr="00E6111C">
        <w:rPr>
          <w:vertAlign w:val="superscript"/>
        </w:rPr>
        <w:t>th</w:t>
      </w:r>
      <w:r>
        <w:t xml:space="preserve"> through 75</w:t>
      </w:r>
      <w:r w:rsidRPr="00E6111C">
        <w:rPr>
          <w:vertAlign w:val="superscript"/>
        </w:rPr>
        <w:t>th</w:t>
      </w:r>
      <w:r>
        <w:t xml:space="preserve"> percentiles) of the debt to earnings</w:t>
      </w:r>
      <w:r w:rsidRPr="00530F65">
        <w:t xml:space="preserve"> </w:t>
      </w:r>
      <w:r>
        <w:t xml:space="preserve">rates </w:t>
      </w:r>
      <w:r w:rsidRPr="00530F65">
        <w:t xml:space="preserve">at public institutions was lower than private institutions, which in turn </w:t>
      </w:r>
      <w:r>
        <w:t xml:space="preserve">were </w:t>
      </w:r>
      <w:r w:rsidRPr="00530F65">
        <w:t xml:space="preserve">lower </w:t>
      </w:r>
      <w:r>
        <w:t xml:space="preserve">than at </w:t>
      </w:r>
      <w:r w:rsidRPr="00530F65">
        <w:t>proprietary institutions.</w:t>
      </w:r>
      <w:r w:rsidRPr="00BA06D0">
        <w:t xml:space="preserve"> </w:t>
      </w:r>
      <w:r>
        <w:t xml:space="preserve">  At </w:t>
      </w:r>
      <w:r w:rsidRPr="00530F65">
        <w:t>certificate</w:t>
      </w:r>
      <w:r>
        <w:t xml:space="preserve"> level institutions</w:t>
      </w:r>
      <w:r w:rsidRPr="00530F65">
        <w:t>,</w:t>
      </w:r>
      <w:r>
        <w:t xml:space="preserve"> public institutions continued to be </w:t>
      </w:r>
      <w:r w:rsidRPr="00530F65">
        <w:t xml:space="preserve">lowest, </w:t>
      </w:r>
      <w:r>
        <w:t>and there was a large overlap between private and proprietary</w:t>
      </w:r>
      <w:r w:rsidRPr="00530F65">
        <w:t>. Private institutions were relatively few in this category.</w:t>
      </w:r>
      <w:r>
        <w:t xml:space="preserve">  </w:t>
      </w:r>
      <w:r w:rsidR="00635B21" w:rsidRPr="00530F65">
        <w:t>Among bachelor</w:t>
      </w:r>
      <w:r w:rsidR="00BC79CF">
        <w:t>’s</w:t>
      </w:r>
      <w:r w:rsidR="00635B21">
        <w:t xml:space="preserve"> level institutions</w:t>
      </w:r>
      <w:r w:rsidR="00635B21" w:rsidRPr="00530F65">
        <w:t xml:space="preserve">, the median </w:t>
      </w:r>
      <w:r w:rsidR="00635B21">
        <w:t>debt to earnings</w:t>
      </w:r>
      <w:r w:rsidR="00635B21" w:rsidRPr="00530F65">
        <w:t xml:space="preserve"> was </w:t>
      </w:r>
      <w:r w:rsidR="00635B21">
        <w:t>lowest</w:t>
      </w:r>
      <w:r w:rsidR="00635B21" w:rsidRPr="00530F65">
        <w:t xml:space="preserve"> </w:t>
      </w:r>
      <w:r w:rsidR="00635B21">
        <w:t xml:space="preserve">at </w:t>
      </w:r>
      <w:r w:rsidR="00635B21" w:rsidRPr="00530F65">
        <w:t xml:space="preserve">public </w:t>
      </w:r>
      <w:r w:rsidR="00635B21">
        <w:t>institutions</w:t>
      </w:r>
      <w:r w:rsidR="00635B21" w:rsidRPr="00530F65">
        <w:t xml:space="preserve">, followed by proprietary and private institutions. </w:t>
      </w:r>
      <w:r w:rsidR="00635B21">
        <w:t>There was more variation in rates (standard deviation) at p</w:t>
      </w:r>
      <w:r w:rsidR="00635B21" w:rsidRPr="00530F65">
        <w:t xml:space="preserve">roprietary institutions </w:t>
      </w:r>
      <w:r w:rsidR="00635B21">
        <w:t>than public and private institutions</w:t>
      </w:r>
      <w:r w:rsidR="00635B21" w:rsidRPr="00530F65">
        <w:t>.</w:t>
      </w:r>
      <w:r w:rsidR="00635B21">
        <w:t xml:space="preserve"> </w:t>
      </w:r>
      <w:r w:rsidR="00635B21" w:rsidRPr="00530F65">
        <w:t xml:space="preserve"> However, the </w:t>
      </w:r>
      <w:r w:rsidR="00635B21">
        <w:t xml:space="preserve">number of </w:t>
      </w:r>
      <w:r w:rsidR="00635B21" w:rsidRPr="00530F65">
        <w:t>proprietary institution</w:t>
      </w:r>
      <w:r w:rsidR="00635B21">
        <w:t>s</w:t>
      </w:r>
      <w:r w:rsidR="00635B21" w:rsidRPr="00530F65">
        <w:t xml:space="preserve"> was relatively </w:t>
      </w:r>
      <w:r w:rsidR="00635B21">
        <w:t>small</w:t>
      </w:r>
      <w:r w:rsidR="00635B21" w:rsidRPr="00530F65">
        <w:t>.</w:t>
      </w:r>
    </w:p>
    <w:p w:rsidR="000853A7" w:rsidRDefault="000853A7" w:rsidP="00635B21">
      <w:pPr>
        <w:jc w:val="left"/>
      </w:pPr>
    </w:p>
    <w:p w:rsidR="000853A7" w:rsidRDefault="000853A7" w:rsidP="000853A7">
      <w:pPr>
        <w:jc w:val="left"/>
      </w:pPr>
      <w:r>
        <w:t>Higher education institutions are diverse in the types of students they serve. For example</w:t>
      </w:r>
      <w:r w:rsidR="00C00FA6">
        <w:t>, some</w:t>
      </w:r>
      <w:r w:rsidR="00F84A09">
        <w:t xml:space="preserve"> </w:t>
      </w:r>
      <w:r>
        <w:t xml:space="preserve">institutions </w:t>
      </w:r>
      <w:r w:rsidR="00F84A09">
        <w:t xml:space="preserve">are more selective </w:t>
      </w:r>
      <w:r>
        <w:t xml:space="preserve">or </w:t>
      </w:r>
      <w:r w:rsidR="00F84A09">
        <w:t xml:space="preserve">enroll </w:t>
      </w:r>
      <w:r>
        <w:t xml:space="preserve">students with higher levels of prior academic achievement. To </w:t>
      </w:r>
      <w:r>
        <w:lastRenderedPageBreak/>
        <w:t>compare institutions with more similar characteristics, the universe of institutions was limited to open enrollment institutions only. Analysis on open enrollment institutions showed similar results</w:t>
      </w:r>
      <w:r w:rsidR="00F84A09">
        <w:t xml:space="preserve"> to those presented for all institutions</w:t>
      </w:r>
      <w:r>
        <w:t xml:space="preserve"> (results not shown).</w:t>
      </w:r>
    </w:p>
    <w:p w:rsidR="00635B21" w:rsidRPr="00530F65" w:rsidRDefault="00635B21" w:rsidP="00635B21">
      <w:pPr>
        <w:jc w:val="left"/>
      </w:pPr>
    </w:p>
    <w:p w:rsidR="002100AC" w:rsidRDefault="003934B9" w:rsidP="00B84A91">
      <w:pPr>
        <w:keepNext/>
        <w:jc w:val="left"/>
        <w:rPr>
          <w:b/>
        </w:rPr>
      </w:pPr>
      <w:proofErr w:type="gramStart"/>
      <w:r w:rsidRPr="00530F65">
        <w:rPr>
          <w:b/>
        </w:rPr>
        <w:t>Exhibit</w:t>
      </w:r>
      <w:r w:rsidR="0016139A" w:rsidRPr="00530F65">
        <w:rPr>
          <w:b/>
        </w:rPr>
        <w:t xml:space="preserve"> </w:t>
      </w:r>
      <w:r w:rsidR="00FD36A0">
        <w:rPr>
          <w:b/>
        </w:rPr>
        <w:t>3</w:t>
      </w:r>
      <w:r w:rsidR="0014083F" w:rsidRPr="00530F65">
        <w:rPr>
          <w:b/>
        </w:rPr>
        <w:t>.</w:t>
      </w:r>
      <w:proofErr w:type="gramEnd"/>
      <w:r w:rsidR="0014083F" w:rsidRPr="00530F65">
        <w:rPr>
          <w:b/>
        </w:rPr>
        <w:t xml:space="preserve"> Distribution of Debt to Earnings </w:t>
      </w:r>
    </w:p>
    <w:p w:rsidR="00B33B76" w:rsidRDefault="0004434E" w:rsidP="00B84A91">
      <w:pPr>
        <w:keepNext/>
        <w:jc w:val="left"/>
        <w:rPr>
          <w:b/>
        </w:rPr>
      </w:pPr>
      <w:r>
        <w:rPr>
          <w:b/>
          <w:noProof/>
          <w:lang w:eastAsia="en-US"/>
        </w:rPr>
        <w:drawing>
          <wp:inline distT="0" distB="0" distL="0" distR="0" wp14:anchorId="141FB461" wp14:editId="5E9BC594">
            <wp:extent cx="4750747" cy="2717975"/>
            <wp:effectExtent l="0" t="0" r="0" b="6350"/>
            <wp:docPr id="7" name="Picture 7" descr="This table represents the distribution of debt to earnings based on degree level and type of institution." title="Distribution of Debt to 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3b.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2676" cy="2719079"/>
                    </a:xfrm>
                    <a:prstGeom prst="rect">
                      <a:avLst/>
                    </a:prstGeom>
                  </pic:spPr>
                </pic:pic>
              </a:graphicData>
            </a:graphic>
          </wp:inline>
        </w:drawing>
      </w:r>
    </w:p>
    <w:p w:rsidR="00635B21" w:rsidRDefault="00635B21" w:rsidP="00E6111C">
      <w:pPr>
        <w:jc w:val="both"/>
      </w:pPr>
    </w:p>
    <w:p w:rsidR="00EC53E8" w:rsidRDefault="00E6111C" w:rsidP="00B84A91">
      <w:pPr>
        <w:jc w:val="both"/>
      </w:pPr>
      <w:r w:rsidRPr="00530F65">
        <w:t xml:space="preserve">In </w:t>
      </w:r>
      <w:r>
        <w:t>box and whisker</w:t>
      </w:r>
      <w:r w:rsidRPr="00530F65">
        <w:t xml:space="preserve"> plots, the line in</w:t>
      </w:r>
      <w:r>
        <w:t>side the box is the median, and the box contains the middle 50% of the data.  The dots past the ends of the whiskers are considered statistical outliers.</w:t>
      </w:r>
    </w:p>
    <w:p w:rsidR="0004434E" w:rsidRDefault="00EC53E8" w:rsidP="00B84A91">
      <w:pPr>
        <w:jc w:val="both"/>
        <w:rPr>
          <w:b/>
        </w:rPr>
      </w:pPr>
      <w:r>
        <w:rPr>
          <w:b/>
        </w:rPr>
        <w:t xml:space="preserve"> </w:t>
      </w:r>
    </w:p>
    <w:p w:rsidR="009A6242" w:rsidRDefault="00862101" w:rsidP="009A6242">
      <w:pPr>
        <w:jc w:val="left"/>
      </w:pPr>
      <w:r w:rsidRPr="00530F65">
        <w:t xml:space="preserve">Exhibit </w:t>
      </w:r>
      <w:r w:rsidR="005D21BD">
        <w:t>4</w:t>
      </w:r>
      <w:r w:rsidRPr="00530F65">
        <w:t xml:space="preserve"> shows repayment rates</w:t>
      </w:r>
      <w:r w:rsidR="00C6050D">
        <w:t xml:space="preserve"> (</w:t>
      </w:r>
      <w:r w:rsidR="00C6050D" w:rsidRPr="00530F65">
        <w:t>proportion of borrowers repaying at least one dollar on their initial balance after three years</w:t>
      </w:r>
      <w:r w:rsidR="00C6050D">
        <w:t xml:space="preserve">) </w:t>
      </w:r>
      <w:r w:rsidRPr="00530F65">
        <w:t xml:space="preserve">for </w:t>
      </w:r>
      <w:r w:rsidR="005D21BD">
        <w:t>institutions that have debt to earnings rates</w:t>
      </w:r>
      <w:r w:rsidRPr="00530F65">
        <w:t>.</w:t>
      </w:r>
      <w:r w:rsidR="00E6111C">
        <w:t xml:space="preserve">  </w:t>
      </w:r>
      <w:r w:rsidR="00117598">
        <w:t xml:space="preserve">When comparing Exhibit 3 to 4, debt to earnings does not appear to be </w:t>
      </w:r>
      <w:r w:rsidR="005A5FFA">
        <w:t xml:space="preserve">strongly </w:t>
      </w:r>
      <w:r w:rsidR="00117598">
        <w:t xml:space="preserve">correlated with repayment </w:t>
      </w:r>
      <w:r w:rsidR="009F196B">
        <w:t>(correlation coefficient = -0.165</w:t>
      </w:r>
      <w:r w:rsidR="00CF08CB">
        <w:t>)</w:t>
      </w:r>
      <w:r w:rsidR="00FF04F2">
        <w:t>.</w:t>
      </w:r>
      <w:r w:rsidR="00117598">
        <w:t xml:space="preserve">  That is, it does not appear to be a reliable expectation that as </w:t>
      </w:r>
      <w:r w:rsidR="008C1670">
        <w:t>repayment</w:t>
      </w:r>
      <w:r w:rsidR="00117598">
        <w:t xml:space="preserve"> increases </w:t>
      </w:r>
      <w:r w:rsidR="008C1670">
        <w:t>debt to earnings</w:t>
      </w:r>
      <w:r w:rsidR="00117598">
        <w:t xml:space="preserve"> decreases.</w:t>
      </w:r>
    </w:p>
    <w:p w:rsidR="00862F40" w:rsidRDefault="00862F40" w:rsidP="00B84A91">
      <w:pPr>
        <w:keepNext/>
        <w:jc w:val="left"/>
        <w:rPr>
          <w:b/>
        </w:rPr>
      </w:pPr>
    </w:p>
    <w:p w:rsidR="00CF5B57" w:rsidRDefault="00862101" w:rsidP="00B84A91">
      <w:pPr>
        <w:keepNext/>
        <w:jc w:val="left"/>
        <w:rPr>
          <w:b/>
        </w:rPr>
      </w:pPr>
      <w:proofErr w:type="gramStart"/>
      <w:r w:rsidRPr="00530F65">
        <w:rPr>
          <w:b/>
        </w:rPr>
        <w:t xml:space="preserve">Exhibit </w:t>
      </w:r>
      <w:r w:rsidR="005A6DF5">
        <w:rPr>
          <w:b/>
        </w:rPr>
        <w:t>4</w:t>
      </w:r>
      <w:r w:rsidRPr="00530F65">
        <w:rPr>
          <w:b/>
        </w:rPr>
        <w:t>.</w:t>
      </w:r>
      <w:proofErr w:type="gramEnd"/>
      <w:r w:rsidRPr="00530F65">
        <w:rPr>
          <w:b/>
        </w:rPr>
        <w:t xml:space="preserve"> Distribution of Repayment Rates </w:t>
      </w:r>
    </w:p>
    <w:p w:rsidR="00862101" w:rsidRPr="00530F65" w:rsidRDefault="00CF5B57" w:rsidP="00B84A91">
      <w:pPr>
        <w:keepNext/>
        <w:jc w:val="left"/>
        <w:rPr>
          <w:b/>
        </w:rPr>
      </w:pPr>
      <w:bookmarkStart w:id="0" w:name="_GoBack"/>
      <w:r>
        <w:rPr>
          <w:b/>
          <w:noProof/>
          <w:lang w:eastAsia="en-US"/>
        </w:rPr>
        <w:drawing>
          <wp:inline distT="0" distB="0" distL="0" distR="0" wp14:anchorId="7D9C98A2" wp14:editId="2CDB189B">
            <wp:extent cx="4735961" cy="2724281"/>
            <wp:effectExtent l="0" t="0" r="7620" b="0"/>
            <wp:docPr id="3" name="Picture 3" descr="This table reflects the distribution of repayment rates by degree level." title="Distribution of Repaymen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4.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735200" cy="272384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1E4251" w:rsidRDefault="001E4251" w:rsidP="00B84A91">
      <w:pPr>
        <w:jc w:val="both"/>
      </w:pPr>
    </w:p>
    <w:p w:rsidR="000A728A" w:rsidRDefault="00404CA3" w:rsidP="0004434E">
      <w:pPr>
        <w:pStyle w:val="Heading1"/>
        <w:numPr>
          <w:ilvl w:val="0"/>
          <w:numId w:val="1"/>
        </w:numPr>
        <w:ind w:left="360"/>
        <w:jc w:val="left"/>
      </w:pPr>
      <w:r>
        <w:t>Conclusion</w:t>
      </w:r>
    </w:p>
    <w:p w:rsidR="00953BB6" w:rsidRDefault="00953BB6" w:rsidP="00953BB6">
      <w:pPr>
        <w:jc w:val="left"/>
      </w:pPr>
    </w:p>
    <w:p w:rsidR="00404CA3" w:rsidRPr="00404CA3" w:rsidRDefault="00953BB6" w:rsidP="00CD7B19">
      <w:pPr>
        <w:jc w:val="left"/>
      </w:pPr>
      <w:r>
        <w:t xml:space="preserve">Comparisons of institution-level estimates of </w:t>
      </w:r>
      <w:r w:rsidR="004A5B0D">
        <w:t>debt to earnings</w:t>
      </w:r>
      <w:r>
        <w:t xml:space="preserve"> rates reveal variation </w:t>
      </w:r>
      <w:r w:rsidR="00C514C2">
        <w:t xml:space="preserve">in rates both </w:t>
      </w:r>
      <w:r>
        <w:t xml:space="preserve">across sectors and within sectors. </w:t>
      </w:r>
      <w:r w:rsidR="00C514C2">
        <w:t xml:space="preserve"> W</w:t>
      </w:r>
      <w:r>
        <w:t>hile some groups of institutions may have higher or lower distribution</w:t>
      </w:r>
      <w:r w:rsidR="004A5B0D">
        <w:t>s</w:t>
      </w:r>
      <w:r>
        <w:t xml:space="preserve"> of </w:t>
      </w:r>
      <w:r w:rsidR="004A5B0D">
        <w:t>debt to earnings</w:t>
      </w:r>
      <w:r>
        <w:t xml:space="preserve">, </w:t>
      </w:r>
      <w:r w:rsidR="004A5B0D">
        <w:t>there is enough overlap in distributions that</w:t>
      </w:r>
      <w:r>
        <w:t xml:space="preserve"> </w:t>
      </w:r>
      <w:r w:rsidR="00C1692D">
        <w:t xml:space="preserve">an individual institution </w:t>
      </w:r>
      <w:r w:rsidR="00C514C2">
        <w:t xml:space="preserve">in any given group may have higher or lower </w:t>
      </w:r>
      <w:r w:rsidR="004A5B0D">
        <w:t>debt to earnings</w:t>
      </w:r>
      <w:r w:rsidR="00C514C2">
        <w:t xml:space="preserve"> than </w:t>
      </w:r>
      <w:r w:rsidR="004A5B0D">
        <w:t xml:space="preserve">another </w:t>
      </w:r>
      <w:r w:rsidR="00C1692D">
        <w:t xml:space="preserve">institution </w:t>
      </w:r>
      <w:r w:rsidR="00C514C2">
        <w:t xml:space="preserve">in a </w:t>
      </w:r>
      <w:r w:rsidR="004A5B0D">
        <w:t xml:space="preserve">different </w:t>
      </w:r>
      <w:r w:rsidR="00C514C2">
        <w:t xml:space="preserve">group. Given this overlap, prospective students may benefit from information related to as many institutions as possible. </w:t>
      </w:r>
      <w:r w:rsidR="004A5B0D">
        <w:t>Further, because repayment rate did not appear to be highly correlated with debt to earnings</w:t>
      </w:r>
      <w:r w:rsidR="00C1692D">
        <w:t xml:space="preserve">, prospective students may benefit from multiple metrics </w:t>
      </w:r>
      <w:r w:rsidR="004A5B0D">
        <w:t xml:space="preserve">when choosing </w:t>
      </w:r>
      <w:r w:rsidR="00C1692D">
        <w:t>an institution.</w:t>
      </w:r>
    </w:p>
    <w:sectPr w:rsidR="00404CA3" w:rsidRPr="00404CA3" w:rsidSect="00B743D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13" w:rsidRDefault="00930513" w:rsidP="00F16E8C">
      <w:r>
        <w:separator/>
      </w:r>
    </w:p>
  </w:endnote>
  <w:endnote w:type="continuationSeparator" w:id="0">
    <w:p w:rsidR="00930513" w:rsidRDefault="00930513" w:rsidP="00F1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701805"/>
      <w:docPartObj>
        <w:docPartGallery w:val="Page Numbers (Bottom of Page)"/>
        <w:docPartUnique/>
      </w:docPartObj>
    </w:sdtPr>
    <w:sdtEndPr>
      <w:rPr>
        <w:noProof/>
      </w:rPr>
    </w:sdtEndPr>
    <w:sdtContent>
      <w:p w:rsidR="00782C08" w:rsidRDefault="00782C08" w:rsidP="00B743D9">
        <w:pPr>
          <w:pStyle w:val="Footer"/>
          <w:jc w:val="left"/>
        </w:pPr>
        <w:r>
          <w:t>U. S. Department of Education</w:t>
        </w:r>
        <w:r>
          <w:tab/>
          <w:t>PUBLIC</w:t>
        </w:r>
        <w:r>
          <w:tab/>
        </w:r>
        <w:r>
          <w:fldChar w:fldCharType="begin"/>
        </w:r>
        <w:r>
          <w:instrText xml:space="preserve"> PAGE   \* MERGEFORMAT </w:instrText>
        </w:r>
        <w:r>
          <w:fldChar w:fldCharType="separate"/>
        </w:r>
        <w:r w:rsidR="00EC53E8">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42631"/>
      <w:docPartObj>
        <w:docPartGallery w:val="Page Numbers (Bottom of Page)"/>
        <w:docPartUnique/>
      </w:docPartObj>
    </w:sdtPr>
    <w:sdtEndPr>
      <w:rPr>
        <w:noProof/>
      </w:rPr>
    </w:sdtEndPr>
    <w:sdtContent>
      <w:p w:rsidR="00782C08" w:rsidRDefault="00782C08" w:rsidP="00B743D9">
        <w:pPr>
          <w:pStyle w:val="Footer"/>
          <w:jc w:val="left"/>
        </w:pPr>
        <w:r>
          <w:tab/>
          <w:t>PUBLIC</w:t>
        </w:r>
        <w:r>
          <w:tab/>
        </w:r>
        <w:r>
          <w:fldChar w:fldCharType="begin"/>
        </w:r>
        <w:r>
          <w:instrText xml:space="preserve"> PAGE   \* MERGEFORMAT </w:instrText>
        </w:r>
        <w:r>
          <w:fldChar w:fldCharType="separate"/>
        </w:r>
        <w:r w:rsidR="00EC53E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13" w:rsidRDefault="00930513" w:rsidP="00F16E8C">
      <w:r>
        <w:separator/>
      </w:r>
    </w:p>
  </w:footnote>
  <w:footnote w:type="continuationSeparator" w:id="0">
    <w:p w:rsidR="00930513" w:rsidRDefault="00930513" w:rsidP="00F16E8C">
      <w:r>
        <w:continuationSeparator/>
      </w:r>
    </w:p>
  </w:footnote>
  <w:footnote w:id="1">
    <w:p w:rsidR="00782C08" w:rsidRDefault="00782C08" w:rsidP="008F6C78">
      <w:pPr>
        <w:pStyle w:val="FootnoteText"/>
        <w:jc w:val="left"/>
      </w:pPr>
      <w:r>
        <w:rPr>
          <w:rStyle w:val="FootnoteReference"/>
        </w:rPr>
        <w:footnoteRef/>
      </w:r>
      <w:r>
        <w:t xml:space="preserve"> </w:t>
      </w:r>
      <w:hyperlink r:id="rId1" w:history="1">
        <w:r w:rsidR="00EC53E8">
          <w:rPr>
            <w:rStyle w:val="Hyperlink"/>
          </w:rPr>
          <w:t>College Scorecard</w:t>
        </w:r>
      </w:hyperlink>
      <w:r>
        <w:t xml:space="preserve"> </w:t>
      </w:r>
    </w:p>
  </w:footnote>
  <w:footnote w:id="2">
    <w:p w:rsidR="00782C08" w:rsidRDefault="00782C08" w:rsidP="008F6C78">
      <w:pPr>
        <w:pStyle w:val="FootnoteText"/>
        <w:jc w:val="left"/>
      </w:pPr>
      <w:r>
        <w:rPr>
          <w:rStyle w:val="FootnoteReference"/>
        </w:rPr>
        <w:footnoteRef/>
      </w:r>
      <w:r>
        <w:t xml:space="preserve"> </w:t>
      </w:r>
      <w:hyperlink r:id="rId2" w:history="1">
        <w:r w:rsidR="00EC53E8">
          <w:rPr>
            <w:rStyle w:val="Hyperlink"/>
          </w:rPr>
          <w:t>College Scorecard Data</w:t>
        </w:r>
      </w:hyperlink>
      <w:r>
        <w:t xml:space="preserve"> </w:t>
      </w:r>
    </w:p>
  </w:footnote>
  <w:footnote w:id="3">
    <w:p w:rsidR="00782C08" w:rsidRDefault="00782C08" w:rsidP="00F16E8C">
      <w:pPr>
        <w:pStyle w:val="FootnoteText"/>
        <w:jc w:val="left"/>
      </w:pPr>
      <w:r>
        <w:rPr>
          <w:rStyle w:val="FootnoteReference"/>
        </w:rPr>
        <w:footnoteRef/>
      </w:r>
      <w:r>
        <w:t xml:space="preserve"> Because some metrics are calculated at the IPEDS reporting unit (UNITID) level and others are calculated at the institution (six-digit OPEID) level, when an institution met the criteria for inclusion, all associated locations included in the College Scorecard (regardless of their individual currently operating status) were included in these metrics to maintain consistency across metric 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08" w:rsidRDefault="00782C08" w:rsidP="00B743D9">
    <w:pPr>
      <w:pStyle w:val="Header"/>
      <w:jc w:val="left"/>
    </w:pPr>
    <w:r>
      <w:tab/>
    </w:r>
    <w:r>
      <w:tab/>
      <w:t>College Scorecard Debt to Earnings Estimates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08" w:rsidRPr="00530F65" w:rsidRDefault="00782C08" w:rsidP="00196664">
    <w:pPr>
      <w:rPr>
        <w:b/>
        <w:noProof/>
        <w:sz w:val="32"/>
      </w:rPr>
    </w:pPr>
    <w:r w:rsidRPr="00530F65">
      <w:rPr>
        <w:b/>
        <w:noProof/>
        <w:sz w:val="32"/>
      </w:rPr>
      <w:t xml:space="preserve">Debt to Earnings Analysis Using College Scorecard Data </w:t>
    </w:r>
  </w:p>
  <w:p w:rsidR="00782C08" w:rsidRDefault="00782C08" w:rsidP="00196664">
    <w:pPr>
      <w:rPr>
        <w:noProof/>
        <w:sz w:val="28"/>
      </w:rPr>
    </w:pPr>
    <w:r>
      <w:rPr>
        <w:noProof/>
        <w:sz w:val="28"/>
      </w:rPr>
      <w:t>U. S. Department of Education</w:t>
    </w:r>
  </w:p>
  <w:p w:rsidR="00782C08" w:rsidRDefault="00782C08" w:rsidP="00B743D9">
    <w:pPr>
      <w:rPr>
        <w:noProof/>
      </w:rPr>
    </w:pPr>
    <w:r w:rsidRPr="008D66F6">
      <w:rPr>
        <w:noProof/>
      </w:rPr>
      <w:t>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10844"/>
    <w:multiLevelType w:val="hybridMultilevel"/>
    <w:tmpl w:val="81F658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0225E87"/>
    <w:multiLevelType w:val="hybridMultilevel"/>
    <w:tmpl w:val="6090E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B204D"/>
    <w:multiLevelType w:val="hybridMultilevel"/>
    <w:tmpl w:val="25F0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47369"/>
    <w:multiLevelType w:val="multilevel"/>
    <w:tmpl w:val="80EC6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1CF72A1-849E-4092-8B3D-B71FF41C1153}"/>
    <w:docVar w:name="dgnword-eventsink" w:val="114254072"/>
  </w:docVars>
  <w:rsids>
    <w:rsidRoot w:val="009351C0"/>
    <w:rsid w:val="0002567C"/>
    <w:rsid w:val="0004434E"/>
    <w:rsid w:val="00060003"/>
    <w:rsid w:val="000853A7"/>
    <w:rsid w:val="00093B34"/>
    <w:rsid w:val="00095B58"/>
    <w:rsid w:val="000A728A"/>
    <w:rsid w:val="000C0DB9"/>
    <w:rsid w:val="0011321E"/>
    <w:rsid w:val="00117598"/>
    <w:rsid w:val="00121A2C"/>
    <w:rsid w:val="00126A2A"/>
    <w:rsid w:val="0014083F"/>
    <w:rsid w:val="001464E6"/>
    <w:rsid w:val="0016139A"/>
    <w:rsid w:val="00162143"/>
    <w:rsid w:val="001654BE"/>
    <w:rsid w:val="0016618D"/>
    <w:rsid w:val="001726D9"/>
    <w:rsid w:val="001865B3"/>
    <w:rsid w:val="00196664"/>
    <w:rsid w:val="00197757"/>
    <w:rsid w:val="001A49D8"/>
    <w:rsid w:val="001C138C"/>
    <w:rsid w:val="001C7A12"/>
    <w:rsid w:val="001E4251"/>
    <w:rsid w:val="001E5039"/>
    <w:rsid w:val="001F423D"/>
    <w:rsid w:val="00205771"/>
    <w:rsid w:val="002100AC"/>
    <w:rsid w:val="00233235"/>
    <w:rsid w:val="002C3052"/>
    <w:rsid w:val="002C7283"/>
    <w:rsid w:val="002D2D42"/>
    <w:rsid w:val="002D3ED4"/>
    <w:rsid w:val="002D52A9"/>
    <w:rsid w:val="00361F6E"/>
    <w:rsid w:val="0038052F"/>
    <w:rsid w:val="003934B9"/>
    <w:rsid w:val="003A19FC"/>
    <w:rsid w:val="003A4F8F"/>
    <w:rsid w:val="003F2A89"/>
    <w:rsid w:val="003F4D7C"/>
    <w:rsid w:val="003F602C"/>
    <w:rsid w:val="00404CA3"/>
    <w:rsid w:val="004526F6"/>
    <w:rsid w:val="0045451D"/>
    <w:rsid w:val="00457A88"/>
    <w:rsid w:val="00472CE9"/>
    <w:rsid w:val="00486F7D"/>
    <w:rsid w:val="0049154A"/>
    <w:rsid w:val="00492B43"/>
    <w:rsid w:val="0049384A"/>
    <w:rsid w:val="004A5B0D"/>
    <w:rsid w:val="004B5308"/>
    <w:rsid w:val="004B6F58"/>
    <w:rsid w:val="004D5D86"/>
    <w:rsid w:val="004F4137"/>
    <w:rsid w:val="00500C34"/>
    <w:rsid w:val="00530F65"/>
    <w:rsid w:val="00551B7D"/>
    <w:rsid w:val="00555F27"/>
    <w:rsid w:val="005579AF"/>
    <w:rsid w:val="005A5FFA"/>
    <w:rsid w:val="005A6DF5"/>
    <w:rsid w:val="005D21BD"/>
    <w:rsid w:val="005E421C"/>
    <w:rsid w:val="00635B21"/>
    <w:rsid w:val="006428B4"/>
    <w:rsid w:val="0066222E"/>
    <w:rsid w:val="00685208"/>
    <w:rsid w:val="006C3439"/>
    <w:rsid w:val="006D5DBB"/>
    <w:rsid w:val="006E760C"/>
    <w:rsid w:val="00726F01"/>
    <w:rsid w:val="0073169A"/>
    <w:rsid w:val="00782C08"/>
    <w:rsid w:val="0079218F"/>
    <w:rsid w:val="00794C20"/>
    <w:rsid w:val="007C4D61"/>
    <w:rsid w:val="007D223F"/>
    <w:rsid w:val="00807E83"/>
    <w:rsid w:val="00836F91"/>
    <w:rsid w:val="0085250F"/>
    <w:rsid w:val="00856CF4"/>
    <w:rsid w:val="00862101"/>
    <w:rsid w:val="00862F40"/>
    <w:rsid w:val="00863130"/>
    <w:rsid w:val="00865F4C"/>
    <w:rsid w:val="008678F6"/>
    <w:rsid w:val="008B639B"/>
    <w:rsid w:val="008C1670"/>
    <w:rsid w:val="008C5CE7"/>
    <w:rsid w:val="008D16FD"/>
    <w:rsid w:val="008D66F6"/>
    <w:rsid w:val="008F6C78"/>
    <w:rsid w:val="00901C68"/>
    <w:rsid w:val="00916A36"/>
    <w:rsid w:val="009174DB"/>
    <w:rsid w:val="00923BD2"/>
    <w:rsid w:val="00930513"/>
    <w:rsid w:val="009351C0"/>
    <w:rsid w:val="00945D82"/>
    <w:rsid w:val="0095110F"/>
    <w:rsid w:val="00953BB6"/>
    <w:rsid w:val="00961D62"/>
    <w:rsid w:val="00964810"/>
    <w:rsid w:val="00970072"/>
    <w:rsid w:val="00991BF1"/>
    <w:rsid w:val="009A6242"/>
    <w:rsid w:val="009A76AA"/>
    <w:rsid w:val="009B510A"/>
    <w:rsid w:val="009C44EC"/>
    <w:rsid w:val="009E3391"/>
    <w:rsid w:val="009F196B"/>
    <w:rsid w:val="009F5D6A"/>
    <w:rsid w:val="00A214CE"/>
    <w:rsid w:val="00A26E30"/>
    <w:rsid w:val="00A8182A"/>
    <w:rsid w:val="00A87D26"/>
    <w:rsid w:val="00AB597C"/>
    <w:rsid w:val="00B33B76"/>
    <w:rsid w:val="00B43709"/>
    <w:rsid w:val="00B662C5"/>
    <w:rsid w:val="00B743D9"/>
    <w:rsid w:val="00B75A3D"/>
    <w:rsid w:val="00B84A91"/>
    <w:rsid w:val="00B84D93"/>
    <w:rsid w:val="00BA06D0"/>
    <w:rsid w:val="00BA113D"/>
    <w:rsid w:val="00BC79CF"/>
    <w:rsid w:val="00BE2C9E"/>
    <w:rsid w:val="00BE4CD9"/>
    <w:rsid w:val="00BF2ACB"/>
    <w:rsid w:val="00C00FA6"/>
    <w:rsid w:val="00C04A97"/>
    <w:rsid w:val="00C15940"/>
    <w:rsid w:val="00C1692D"/>
    <w:rsid w:val="00C30D63"/>
    <w:rsid w:val="00C514C2"/>
    <w:rsid w:val="00C6050D"/>
    <w:rsid w:val="00C6090D"/>
    <w:rsid w:val="00C733E5"/>
    <w:rsid w:val="00C85E65"/>
    <w:rsid w:val="00CA7060"/>
    <w:rsid w:val="00CD2ED0"/>
    <w:rsid w:val="00CD7B19"/>
    <w:rsid w:val="00CE7985"/>
    <w:rsid w:val="00CF08CB"/>
    <w:rsid w:val="00CF4B65"/>
    <w:rsid w:val="00CF5B57"/>
    <w:rsid w:val="00D31385"/>
    <w:rsid w:val="00D37003"/>
    <w:rsid w:val="00D443F0"/>
    <w:rsid w:val="00D5707E"/>
    <w:rsid w:val="00D6791F"/>
    <w:rsid w:val="00D741C7"/>
    <w:rsid w:val="00DB3589"/>
    <w:rsid w:val="00DC654C"/>
    <w:rsid w:val="00DC7188"/>
    <w:rsid w:val="00DE5674"/>
    <w:rsid w:val="00E12D02"/>
    <w:rsid w:val="00E21295"/>
    <w:rsid w:val="00E44F66"/>
    <w:rsid w:val="00E578D3"/>
    <w:rsid w:val="00E6111C"/>
    <w:rsid w:val="00E7519C"/>
    <w:rsid w:val="00E820FD"/>
    <w:rsid w:val="00E95A45"/>
    <w:rsid w:val="00E96E5A"/>
    <w:rsid w:val="00EC53E8"/>
    <w:rsid w:val="00ED27EA"/>
    <w:rsid w:val="00EF18DA"/>
    <w:rsid w:val="00F11B63"/>
    <w:rsid w:val="00F16E8C"/>
    <w:rsid w:val="00F20D55"/>
    <w:rsid w:val="00F31863"/>
    <w:rsid w:val="00F52A2D"/>
    <w:rsid w:val="00F62BA3"/>
    <w:rsid w:val="00F84A09"/>
    <w:rsid w:val="00F850A8"/>
    <w:rsid w:val="00F87784"/>
    <w:rsid w:val="00FB5195"/>
    <w:rsid w:val="00FB60EE"/>
    <w:rsid w:val="00FB613E"/>
    <w:rsid w:val="00FD36A0"/>
    <w:rsid w:val="00FD700F"/>
    <w:rsid w:val="00FE259E"/>
    <w:rsid w:val="00FF0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rPr>
  </w:style>
  <w:style w:type="paragraph" w:styleId="Heading1">
    <w:name w:val="heading 1"/>
    <w:basedOn w:val="Normal"/>
    <w:next w:val="Normal"/>
    <w:link w:val="Heading1Char"/>
    <w:uiPriority w:val="9"/>
    <w:qFormat/>
    <w:rsid w:val="009351C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F2A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351C0"/>
  </w:style>
  <w:style w:type="character" w:customStyle="1" w:styleId="DateChar">
    <w:name w:val="Date Char"/>
    <w:basedOn w:val="DefaultParagraphFont"/>
    <w:link w:val="Date"/>
    <w:uiPriority w:val="99"/>
    <w:semiHidden/>
    <w:rsid w:val="009351C0"/>
    <w:rPr>
      <w:sz w:val="22"/>
      <w:szCs w:val="22"/>
    </w:rPr>
  </w:style>
  <w:style w:type="character" w:customStyle="1" w:styleId="Heading1Char">
    <w:name w:val="Heading 1 Char"/>
    <w:basedOn w:val="DefaultParagraphFont"/>
    <w:link w:val="Heading1"/>
    <w:uiPriority w:val="9"/>
    <w:rsid w:val="009351C0"/>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E820FD"/>
    <w:pPr>
      <w:ind w:left="720"/>
      <w:contextualSpacing/>
    </w:pPr>
  </w:style>
  <w:style w:type="paragraph" w:styleId="FootnoteText">
    <w:name w:val="footnote text"/>
    <w:basedOn w:val="Normal"/>
    <w:link w:val="FootnoteTextChar"/>
    <w:uiPriority w:val="99"/>
    <w:semiHidden/>
    <w:unhideWhenUsed/>
    <w:rsid w:val="00F16E8C"/>
    <w:rPr>
      <w:sz w:val="20"/>
      <w:szCs w:val="20"/>
    </w:rPr>
  </w:style>
  <w:style w:type="character" w:customStyle="1" w:styleId="FootnoteTextChar">
    <w:name w:val="Footnote Text Char"/>
    <w:basedOn w:val="DefaultParagraphFont"/>
    <w:link w:val="FootnoteText"/>
    <w:uiPriority w:val="99"/>
    <w:semiHidden/>
    <w:rsid w:val="00F16E8C"/>
  </w:style>
  <w:style w:type="character" w:styleId="FootnoteReference">
    <w:name w:val="footnote reference"/>
    <w:basedOn w:val="DefaultParagraphFont"/>
    <w:uiPriority w:val="99"/>
    <w:semiHidden/>
    <w:unhideWhenUsed/>
    <w:rsid w:val="00F16E8C"/>
    <w:rPr>
      <w:vertAlign w:val="superscript"/>
    </w:rPr>
  </w:style>
  <w:style w:type="paragraph" w:styleId="BalloonText">
    <w:name w:val="Balloon Text"/>
    <w:basedOn w:val="Normal"/>
    <w:link w:val="BalloonTextChar"/>
    <w:uiPriority w:val="99"/>
    <w:semiHidden/>
    <w:unhideWhenUsed/>
    <w:rsid w:val="002100AC"/>
    <w:rPr>
      <w:rFonts w:ascii="Tahoma" w:hAnsi="Tahoma" w:cs="Tahoma"/>
      <w:sz w:val="16"/>
      <w:szCs w:val="16"/>
    </w:rPr>
  </w:style>
  <w:style w:type="character" w:customStyle="1" w:styleId="BalloonTextChar">
    <w:name w:val="Balloon Text Char"/>
    <w:basedOn w:val="DefaultParagraphFont"/>
    <w:link w:val="BalloonText"/>
    <w:uiPriority w:val="99"/>
    <w:semiHidden/>
    <w:rsid w:val="002100AC"/>
    <w:rPr>
      <w:rFonts w:ascii="Tahoma" w:hAnsi="Tahoma" w:cs="Tahoma"/>
      <w:sz w:val="16"/>
      <w:szCs w:val="16"/>
    </w:rPr>
  </w:style>
  <w:style w:type="character" w:customStyle="1" w:styleId="Heading2Char">
    <w:name w:val="Heading 2 Char"/>
    <w:basedOn w:val="DefaultParagraphFont"/>
    <w:link w:val="Heading2"/>
    <w:uiPriority w:val="9"/>
    <w:rsid w:val="00BF2A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1BF1"/>
    <w:pPr>
      <w:tabs>
        <w:tab w:val="center" w:pos="4680"/>
        <w:tab w:val="right" w:pos="9360"/>
      </w:tabs>
    </w:pPr>
  </w:style>
  <w:style w:type="character" w:customStyle="1" w:styleId="HeaderChar">
    <w:name w:val="Header Char"/>
    <w:basedOn w:val="DefaultParagraphFont"/>
    <w:link w:val="Header"/>
    <w:uiPriority w:val="99"/>
    <w:rsid w:val="00991BF1"/>
    <w:rPr>
      <w:sz w:val="22"/>
      <w:szCs w:val="22"/>
    </w:rPr>
  </w:style>
  <w:style w:type="paragraph" w:styleId="Footer">
    <w:name w:val="footer"/>
    <w:basedOn w:val="Normal"/>
    <w:link w:val="FooterChar"/>
    <w:uiPriority w:val="99"/>
    <w:unhideWhenUsed/>
    <w:rsid w:val="00991BF1"/>
    <w:pPr>
      <w:tabs>
        <w:tab w:val="center" w:pos="4680"/>
        <w:tab w:val="right" w:pos="9360"/>
      </w:tabs>
    </w:pPr>
  </w:style>
  <w:style w:type="character" w:customStyle="1" w:styleId="FooterChar">
    <w:name w:val="Footer Char"/>
    <w:basedOn w:val="DefaultParagraphFont"/>
    <w:link w:val="Footer"/>
    <w:uiPriority w:val="99"/>
    <w:rsid w:val="00991BF1"/>
    <w:rPr>
      <w:sz w:val="22"/>
      <w:szCs w:val="22"/>
    </w:rPr>
  </w:style>
  <w:style w:type="table" w:styleId="TableGrid">
    <w:name w:val="Table Grid"/>
    <w:basedOn w:val="TableNormal"/>
    <w:uiPriority w:val="59"/>
    <w:rsid w:val="00CF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208"/>
    <w:rPr>
      <w:sz w:val="16"/>
      <w:szCs w:val="16"/>
    </w:rPr>
  </w:style>
  <w:style w:type="paragraph" w:styleId="CommentText">
    <w:name w:val="annotation text"/>
    <w:basedOn w:val="Normal"/>
    <w:link w:val="CommentTextChar"/>
    <w:uiPriority w:val="99"/>
    <w:semiHidden/>
    <w:unhideWhenUsed/>
    <w:rsid w:val="00685208"/>
    <w:rPr>
      <w:sz w:val="20"/>
      <w:szCs w:val="20"/>
    </w:rPr>
  </w:style>
  <w:style w:type="character" w:customStyle="1" w:styleId="CommentTextChar">
    <w:name w:val="Comment Text Char"/>
    <w:basedOn w:val="DefaultParagraphFont"/>
    <w:link w:val="CommentText"/>
    <w:uiPriority w:val="99"/>
    <w:semiHidden/>
    <w:rsid w:val="00685208"/>
  </w:style>
  <w:style w:type="paragraph" w:styleId="CommentSubject">
    <w:name w:val="annotation subject"/>
    <w:basedOn w:val="CommentText"/>
    <w:next w:val="CommentText"/>
    <w:link w:val="CommentSubjectChar"/>
    <w:uiPriority w:val="99"/>
    <w:semiHidden/>
    <w:unhideWhenUsed/>
    <w:rsid w:val="00685208"/>
    <w:rPr>
      <w:b/>
      <w:bCs/>
    </w:rPr>
  </w:style>
  <w:style w:type="character" w:customStyle="1" w:styleId="CommentSubjectChar">
    <w:name w:val="Comment Subject Char"/>
    <w:basedOn w:val="CommentTextChar"/>
    <w:link w:val="CommentSubject"/>
    <w:uiPriority w:val="99"/>
    <w:semiHidden/>
    <w:rsid w:val="00685208"/>
    <w:rPr>
      <w:b/>
      <w:bCs/>
    </w:rPr>
  </w:style>
  <w:style w:type="paragraph" w:styleId="Revision">
    <w:name w:val="Revision"/>
    <w:hidden/>
    <w:uiPriority w:val="99"/>
    <w:semiHidden/>
    <w:rsid w:val="00685208"/>
    <w:rPr>
      <w:sz w:val="22"/>
      <w:szCs w:val="22"/>
    </w:rPr>
  </w:style>
  <w:style w:type="character" w:styleId="Hyperlink">
    <w:name w:val="Hyperlink"/>
    <w:basedOn w:val="DefaultParagraphFont"/>
    <w:uiPriority w:val="99"/>
    <w:unhideWhenUsed/>
    <w:rsid w:val="008D66F6"/>
    <w:rPr>
      <w:color w:val="0000FF" w:themeColor="hyperlink"/>
      <w:u w:val="single"/>
    </w:rPr>
  </w:style>
  <w:style w:type="character" w:styleId="PlaceholderText">
    <w:name w:val="Placeholder Text"/>
    <w:basedOn w:val="DefaultParagraphFont"/>
    <w:uiPriority w:val="99"/>
    <w:semiHidden/>
    <w:rsid w:val="00B743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rPr>
  </w:style>
  <w:style w:type="paragraph" w:styleId="Heading1">
    <w:name w:val="heading 1"/>
    <w:basedOn w:val="Normal"/>
    <w:next w:val="Normal"/>
    <w:link w:val="Heading1Char"/>
    <w:uiPriority w:val="9"/>
    <w:qFormat/>
    <w:rsid w:val="009351C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F2A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351C0"/>
  </w:style>
  <w:style w:type="character" w:customStyle="1" w:styleId="DateChar">
    <w:name w:val="Date Char"/>
    <w:basedOn w:val="DefaultParagraphFont"/>
    <w:link w:val="Date"/>
    <w:uiPriority w:val="99"/>
    <w:semiHidden/>
    <w:rsid w:val="009351C0"/>
    <w:rPr>
      <w:sz w:val="22"/>
      <w:szCs w:val="22"/>
    </w:rPr>
  </w:style>
  <w:style w:type="character" w:customStyle="1" w:styleId="Heading1Char">
    <w:name w:val="Heading 1 Char"/>
    <w:basedOn w:val="DefaultParagraphFont"/>
    <w:link w:val="Heading1"/>
    <w:uiPriority w:val="9"/>
    <w:rsid w:val="009351C0"/>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E820FD"/>
    <w:pPr>
      <w:ind w:left="720"/>
      <w:contextualSpacing/>
    </w:pPr>
  </w:style>
  <w:style w:type="paragraph" w:styleId="FootnoteText">
    <w:name w:val="footnote text"/>
    <w:basedOn w:val="Normal"/>
    <w:link w:val="FootnoteTextChar"/>
    <w:uiPriority w:val="99"/>
    <w:semiHidden/>
    <w:unhideWhenUsed/>
    <w:rsid w:val="00F16E8C"/>
    <w:rPr>
      <w:sz w:val="20"/>
      <w:szCs w:val="20"/>
    </w:rPr>
  </w:style>
  <w:style w:type="character" w:customStyle="1" w:styleId="FootnoteTextChar">
    <w:name w:val="Footnote Text Char"/>
    <w:basedOn w:val="DefaultParagraphFont"/>
    <w:link w:val="FootnoteText"/>
    <w:uiPriority w:val="99"/>
    <w:semiHidden/>
    <w:rsid w:val="00F16E8C"/>
  </w:style>
  <w:style w:type="character" w:styleId="FootnoteReference">
    <w:name w:val="footnote reference"/>
    <w:basedOn w:val="DefaultParagraphFont"/>
    <w:uiPriority w:val="99"/>
    <w:semiHidden/>
    <w:unhideWhenUsed/>
    <w:rsid w:val="00F16E8C"/>
    <w:rPr>
      <w:vertAlign w:val="superscript"/>
    </w:rPr>
  </w:style>
  <w:style w:type="paragraph" w:styleId="BalloonText">
    <w:name w:val="Balloon Text"/>
    <w:basedOn w:val="Normal"/>
    <w:link w:val="BalloonTextChar"/>
    <w:uiPriority w:val="99"/>
    <w:semiHidden/>
    <w:unhideWhenUsed/>
    <w:rsid w:val="002100AC"/>
    <w:rPr>
      <w:rFonts w:ascii="Tahoma" w:hAnsi="Tahoma" w:cs="Tahoma"/>
      <w:sz w:val="16"/>
      <w:szCs w:val="16"/>
    </w:rPr>
  </w:style>
  <w:style w:type="character" w:customStyle="1" w:styleId="BalloonTextChar">
    <w:name w:val="Balloon Text Char"/>
    <w:basedOn w:val="DefaultParagraphFont"/>
    <w:link w:val="BalloonText"/>
    <w:uiPriority w:val="99"/>
    <w:semiHidden/>
    <w:rsid w:val="002100AC"/>
    <w:rPr>
      <w:rFonts w:ascii="Tahoma" w:hAnsi="Tahoma" w:cs="Tahoma"/>
      <w:sz w:val="16"/>
      <w:szCs w:val="16"/>
    </w:rPr>
  </w:style>
  <w:style w:type="character" w:customStyle="1" w:styleId="Heading2Char">
    <w:name w:val="Heading 2 Char"/>
    <w:basedOn w:val="DefaultParagraphFont"/>
    <w:link w:val="Heading2"/>
    <w:uiPriority w:val="9"/>
    <w:rsid w:val="00BF2A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1BF1"/>
    <w:pPr>
      <w:tabs>
        <w:tab w:val="center" w:pos="4680"/>
        <w:tab w:val="right" w:pos="9360"/>
      </w:tabs>
    </w:pPr>
  </w:style>
  <w:style w:type="character" w:customStyle="1" w:styleId="HeaderChar">
    <w:name w:val="Header Char"/>
    <w:basedOn w:val="DefaultParagraphFont"/>
    <w:link w:val="Header"/>
    <w:uiPriority w:val="99"/>
    <w:rsid w:val="00991BF1"/>
    <w:rPr>
      <w:sz w:val="22"/>
      <w:szCs w:val="22"/>
    </w:rPr>
  </w:style>
  <w:style w:type="paragraph" w:styleId="Footer">
    <w:name w:val="footer"/>
    <w:basedOn w:val="Normal"/>
    <w:link w:val="FooterChar"/>
    <w:uiPriority w:val="99"/>
    <w:unhideWhenUsed/>
    <w:rsid w:val="00991BF1"/>
    <w:pPr>
      <w:tabs>
        <w:tab w:val="center" w:pos="4680"/>
        <w:tab w:val="right" w:pos="9360"/>
      </w:tabs>
    </w:pPr>
  </w:style>
  <w:style w:type="character" w:customStyle="1" w:styleId="FooterChar">
    <w:name w:val="Footer Char"/>
    <w:basedOn w:val="DefaultParagraphFont"/>
    <w:link w:val="Footer"/>
    <w:uiPriority w:val="99"/>
    <w:rsid w:val="00991BF1"/>
    <w:rPr>
      <w:sz w:val="22"/>
      <w:szCs w:val="22"/>
    </w:rPr>
  </w:style>
  <w:style w:type="table" w:styleId="TableGrid">
    <w:name w:val="Table Grid"/>
    <w:basedOn w:val="TableNormal"/>
    <w:uiPriority w:val="59"/>
    <w:rsid w:val="00CF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208"/>
    <w:rPr>
      <w:sz w:val="16"/>
      <w:szCs w:val="16"/>
    </w:rPr>
  </w:style>
  <w:style w:type="paragraph" w:styleId="CommentText">
    <w:name w:val="annotation text"/>
    <w:basedOn w:val="Normal"/>
    <w:link w:val="CommentTextChar"/>
    <w:uiPriority w:val="99"/>
    <w:semiHidden/>
    <w:unhideWhenUsed/>
    <w:rsid w:val="00685208"/>
    <w:rPr>
      <w:sz w:val="20"/>
      <w:szCs w:val="20"/>
    </w:rPr>
  </w:style>
  <w:style w:type="character" w:customStyle="1" w:styleId="CommentTextChar">
    <w:name w:val="Comment Text Char"/>
    <w:basedOn w:val="DefaultParagraphFont"/>
    <w:link w:val="CommentText"/>
    <w:uiPriority w:val="99"/>
    <w:semiHidden/>
    <w:rsid w:val="00685208"/>
  </w:style>
  <w:style w:type="paragraph" w:styleId="CommentSubject">
    <w:name w:val="annotation subject"/>
    <w:basedOn w:val="CommentText"/>
    <w:next w:val="CommentText"/>
    <w:link w:val="CommentSubjectChar"/>
    <w:uiPriority w:val="99"/>
    <w:semiHidden/>
    <w:unhideWhenUsed/>
    <w:rsid w:val="00685208"/>
    <w:rPr>
      <w:b/>
      <w:bCs/>
    </w:rPr>
  </w:style>
  <w:style w:type="character" w:customStyle="1" w:styleId="CommentSubjectChar">
    <w:name w:val="Comment Subject Char"/>
    <w:basedOn w:val="CommentTextChar"/>
    <w:link w:val="CommentSubject"/>
    <w:uiPriority w:val="99"/>
    <w:semiHidden/>
    <w:rsid w:val="00685208"/>
    <w:rPr>
      <w:b/>
      <w:bCs/>
    </w:rPr>
  </w:style>
  <w:style w:type="paragraph" w:styleId="Revision">
    <w:name w:val="Revision"/>
    <w:hidden/>
    <w:uiPriority w:val="99"/>
    <w:semiHidden/>
    <w:rsid w:val="00685208"/>
    <w:rPr>
      <w:sz w:val="22"/>
      <w:szCs w:val="22"/>
    </w:rPr>
  </w:style>
  <w:style w:type="character" w:styleId="Hyperlink">
    <w:name w:val="Hyperlink"/>
    <w:basedOn w:val="DefaultParagraphFont"/>
    <w:uiPriority w:val="99"/>
    <w:unhideWhenUsed/>
    <w:rsid w:val="008D66F6"/>
    <w:rPr>
      <w:color w:val="0000FF" w:themeColor="hyperlink"/>
      <w:u w:val="single"/>
    </w:rPr>
  </w:style>
  <w:style w:type="character" w:styleId="PlaceholderText">
    <w:name w:val="Placeholder Text"/>
    <w:basedOn w:val="DefaultParagraphFont"/>
    <w:uiPriority w:val="99"/>
    <w:semiHidden/>
    <w:rsid w:val="00B74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53959">
      <w:bodyDiv w:val="1"/>
      <w:marLeft w:val="0"/>
      <w:marRight w:val="0"/>
      <w:marTop w:val="0"/>
      <w:marBottom w:val="0"/>
      <w:divBdr>
        <w:top w:val="none" w:sz="0" w:space="0" w:color="auto"/>
        <w:left w:val="none" w:sz="0" w:space="0" w:color="auto"/>
        <w:bottom w:val="none" w:sz="0" w:space="0" w:color="auto"/>
        <w:right w:val="none" w:sz="0" w:space="0" w:color="auto"/>
      </w:divBdr>
    </w:div>
    <w:div w:id="277176693">
      <w:bodyDiv w:val="1"/>
      <w:marLeft w:val="0"/>
      <w:marRight w:val="0"/>
      <w:marTop w:val="0"/>
      <w:marBottom w:val="0"/>
      <w:divBdr>
        <w:top w:val="none" w:sz="0" w:space="0" w:color="auto"/>
        <w:left w:val="none" w:sz="0" w:space="0" w:color="auto"/>
        <w:bottom w:val="none" w:sz="0" w:space="0" w:color="auto"/>
        <w:right w:val="none" w:sz="0" w:space="0" w:color="auto"/>
      </w:divBdr>
    </w:div>
    <w:div w:id="722680849">
      <w:bodyDiv w:val="1"/>
      <w:marLeft w:val="0"/>
      <w:marRight w:val="0"/>
      <w:marTop w:val="0"/>
      <w:marBottom w:val="0"/>
      <w:divBdr>
        <w:top w:val="none" w:sz="0" w:space="0" w:color="auto"/>
        <w:left w:val="none" w:sz="0" w:space="0" w:color="auto"/>
        <w:bottom w:val="none" w:sz="0" w:space="0" w:color="auto"/>
        <w:right w:val="none" w:sz="0" w:space="0" w:color="auto"/>
      </w:divBdr>
    </w:div>
    <w:div w:id="1053116700">
      <w:bodyDiv w:val="1"/>
      <w:marLeft w:val="0"/>
      <w:marRight w:val="0"/>
      <w:marTop w:val="0"/>
      <w:marBottom w:val="0"/>
      <w:divBdr>
        <w:top w:val="none" w:sz="0" w:space="0" w:color="auto"/>
        <w:left w:val="none" w:sz="0" w:space="0" w:color="auto"/>
        <w:bottom w:val="none" w:sz="0" w:space="0" w:color="auto"/>
        <w:right w:val="none" w:sz="0" w:space="0" w:color="auto"/>
      </w:divBdr>
    </w:div>
    <w:div w:id="1064572906">
      <w:bodyDiv w:val="1"/>
      <w:marLeft w:val="0"/>
      <w:marRight w:val="0"/>
      <w:marTop w:val="0"/>
      <w:marBottom w:val="0"/>
      <w:divBdr>
        <w:top w:val="none" w:sz="0" w:space="0" w:color="auto"/>
        <w:left w:val="none" w:sz="0" w:space="0" w:color="auto"/>
        <w:bottom w:val="none" w:sz="0" w:space="0" w:color="auto"/>
        <w:right w:val="none" w:sz="0" w:space="0" w:color="auto"/>
      </w:divBdr>
    </w:div>
    <w:div w:id="1080718001">
      <w:bodyDiv w:val="1"/>
      <w:marLeft w:val="0"/>
      <w:marRight w:val="0"/>
      <w:marTop w:val="0"/>
      <w:marBottom w:val="0"/>
      <w:divBdr>
        <w:top w:val="none" w:sz="0" w:space="0" w:color="auto"/>
        <w:left w:val="none" w:sz="0" w:space="0" w:color="auto"/>
        <w:bottom w:val="none" w:sz="0" w:space="0" w:color="auto"/>
        <w:right w:val="none" w:sz="0" w:space="0" w:color="auto"/>
      </w:divBdr>
    </w:div>
    <w:div w:id="1144080578">
      <w:bodyDiv w:val="1"/>
      <w:marLeft w:val="0"/>
      <w:marRight w:val="0"/>
      <w:marTop w:val="0"/>
      <w:marBottom w:val="0"/>
      <w:divBdr>
        <w:top w:val="none" w:sz="0" w:space="0" w:color="auto"/>
        <w:left w:val="none" w:sz="0" w:space="0" w:color="auto"/>
        <w:bottom w:val="none" w:sz="0" w:space="0" w:color="auto"/>
        <w:right w:val="none" w:sz="0" w:space="0" w:color="auto"/>
      </w:divBdr>
    </w:div>
    <w:div w:id="1412309600">
      <w:bodyDiv w:val="1"/>
      <w:marLeft w:val="0"/>
      <w:marRight w:val="0"/>
      <w:marTop w:val="0"/>
      <w:marBottom w:val="0"/>
      <w:divBdr>
        <w:top w:val="none" w:sz="0" w:space="0" w:color="auto"/>
        <w:left w:val="none" w:sz="0" w:space="0" w:color="auto"/>
        <w:bottom w:val="none" w:sz="0" w:space="0" w:color="auto"/>
        <w:right w:val="none" w:sz="0" w:space="0" w:color="auto"/>
      </w:divBdr>
    </w:div>
    <w:div w:id="1743017489">
      <w:bodyDiv w:val="1"/>
      <w:marLeft w:val="0"/>
      <w:marRight w:val="0"/>
      <w:marTop w:val="0"/>
      <w:marBottom w:val="0"/>
      <w:divBdr>
        <w:top w:val="none" w:sz="0" w:space="0" w:color="auto"/>
        <w:left w:val="none" w:sz="0" w:space="0" w:color="auto"/>
        <w:bottom w:val="none" w:sz="0" w:space="0" w:color="auto"/>
        <w:right w:val="none" w:sz="0" w:space="0" w:color="auto"/>
      </w:divBdr>
    </w:div>
    <w:div w:id="18244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ollegescorecard.ed.gov/data/" TargetMode="External"/><Relationship Id="rId1" Type="http://schemas.openxmlformats.org/officeDocument/2006/relationships/hyperlink" Target="https://collegescorecar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F7F4-F74D-4F34-95FB-19CACABC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2018-02-24T23:02:00Z</dcterms:created>
  <dcterms:modified xsi:type="dcterms:W3CDTF">2018-02-24T23:07:00Z</dcterms:modified>
</cp:coreProperties>
</file>