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EE18" w14:textId="77777777" w:rsidR="00B92FF2" w:rsidRPr="00725BA5" w:rsidRDefault="00B92FF2" w:rsidP="00725BA5">
      <w:pPr>
        <w:tabs>
          <w:tab w:val="left" w:pos="1530"/>
        </w:tabs>
        <w:spacing w:after="0" w:line="240" w:lineRule="auto"/>
        <w:jc w:val="center"/>
        <w:outlineLvl w:val="0"/>
        <w:rPr>
          <w:rFonts w:ascii="Calibri" w:eastAsia="Calibri" w:hAnsi="Calibri" w:cs="Times New Roman"/>
          <w:b/>
        </w:rPr>
      </w:pPr>
      <w:bookmarkStart w:id="0" w:name="_GoBack"/>
      <w:bookmarkEnd w:id="0"/>
      <w:r w:rsidRPr="00725BA5">
        <w:rPr>
          <w:rFonts w:ascii="Calibri" w:eastAsia="Calibri" w:hAnsi="Calibri" w:cs="Times New Roman"/>
          <w:b/>
        </w:rPr>
        <w:t>Issue Paper 1</w:t>
      </w:r>
    </w:p>
    <w:p w14:paraId="316DFCDD" w14:textId="77777777" w:rsidR="00B92FF2" w:rsidRPr="00725BA5" w:rsidRDefault="00B92FF2" w:rsidP="00725BA5">
      <w:pPr>
        <w:tabs>
          <w:tab w:val="left" w:pos="1530"/>
        </w:tabs>
        <w:spacing w:after="0" w:line="240" w:lineRule="auto"/>
        <w:jc w:val="center"/>
        <w:outlineLvl w:val="0"/>
        <w:rPr>
          <w:rFonts w:ascii="Calibri" w:eastAsia="Calibri" w:hAnsi="Calibri" w:cs="Times New Roman"/>
          <w:b/>
        </w:rPr>
      </w:pPr>
      <w:r w:rsidRPr="00725BA5">
        <w:rPr>
          <w:rFonts w:ascii="Calibri" w:eastAsia="Calibri" w:hAnsi="Calibri" w:cs="Times New Roman"/>
          <w:b/>
        </w:rPr>
        <w:t xml:space="preserve">Session 1:  November </w:t>
      </w:r>
      <w:r w:rsidR="00CF6B95" w:rsidRPr="00725BA5">
        <w:rPr>
          <w:rFonts w:ascii="Calibri" w:eastAsia="Calibri" w:hAnsi="Calibri" w:cs="Times New Roman"/>
          <w:b/>
        </w:rPr>
        <w:t>13-1</w:t>
      </w:r>
      <w:r w:rsidR="00526A4F">
        <w:rPr>
          <w:rFonts w:ascii="Calibri" w:eastAsia="Calibri" w:hAnsi="Calibri" w:cs="Times New Roman"/>
          <w:b/>
        </w:rPr>
        <w:t>5</w:t>
      </w:r>
      <w:r w:rsidRPr="00725BA5">
        <w:rPr>
          <w:rFonts w:ascii="Calibri" w:eastAsia="Calibri" w:hAnsi="Calibri" w:cs="Times New Roman"/>
          <w:b/>
        </w:rPr>
        <w:t>, 2017</w:t>
      </w:r>
    </w:p>
    <w:p w14:paraId="638A8492" w14:textId="77777777" w:rsidR="00B92FF2" w:rsidRPr="00725BA5" w:rsidRDefault="00B92FF2" w:rsidP="00725BA5">
      <w:pPr>
        <w:spacing w:after="0" w:line="240" w:lineRule="auto"/>
        <w:rPr>
          <w:rFonts w:ascii="Calibri" w:eastAsia="Calibri" w:hAnsi="Calibri" w:cs="Times New Roman"/>
          <w:b/>
        </w:rPr>
      </w:pPr>
    </w:p>
    <w:p w14:paraId="540CD085" w14:textId="77777777" w:rsidR="00B92FF2" w:rsidRPr="00725BA5" w:rsidRDefault="00B92FF2" w:rsidP="00725BA5">
      <w:pPr>
        <w:spacing w:after="0" w:line="240" w:lineRule="auto"/>
        <w:ind w:left="2160" w:hanging="2160"/>
        <w:rPr>
          <w:rFonts w:ascii="Calibri" w:eastAsia="Calibri" w:hAnsi="Calibri" w:cs="Times New Roman"/>
        </w:rPr>
      </w:pPr>
      <w:r w:rsidRPr="00725BA5">
        <w:rPr>
          <w:rFonts w:ascii="Calibri" w:eastAsia="Calibri" w:hAnsi="Calibri" w:cs="Times New Roman"/>
          <w:b/>
        </w:rPr>
        <w:t>Issue:</w:t>
      </w:r>
      <w:r w:rsidRPr="00725BA5">
        <w:rPr>
          <w:rFonts w:ascii="Calibri" w:eastAsia="Calibri" w:hAnsi="Calibri" w:cs="Times New Roman"/>
        </w:rPr>
        <w:tab/>
        <w:t xml:space="preserve">Whether to establish a Federal standard for the purpose of determining </w:t>
      </w:r>
      <w:r w:rsidRPr="00460411">
        <w:rPr>
          <w:rFonts w:ascii="Calibri" w:eastAsia="Calibri" w:hAnsi="Calibri" w:cs="Times New Roman"/>
        </w:rPr>
        <w:t>if</w:t>
      </w:r>
      <w:r w:rsidRPr="00725BA5">
        <w:rPr>
          <w:rFonts w:ascii="Calibri" w:eastAsia="Calibri" w:hAnsi="Calibri" w:cs="Times New Roman"/>
        </w:rPr>
        <w:t xml:space="preserve"> a borrower can establish a defense to the repayment of a loan based on an act or omission of an institution.</w:t>
      </w:r>
    </w:p>
    <w:p w14:paraId="0AA86559" w14:textId="77777777" w:rsidR="00B92FF2" w:rsidRPr="00725BA5" w:rsidRDefault="00B92FF2" w:rsidP="00725BA5">
      <w:pPr>
        <w:spacing w:after="0" w:line="240" w:lineRule="auto"/>
        <w:ind w:left="2160" w:hanging="2160"/>
        <w:rPr>
          <w:rFonts w:ascii="Calibri" w:eastAsia="Calibri" w:hAnsi="Calibri" w:cs="Times New Roman"/>
          <w:b/>
        </w:rPr>
      </w:pPr>
    </w:p>
    <w:p w14:paraId="7944B170" w14:textId="77777777" w:rsidR="00B92FF2" w:rsidRPr="00725BA5" w:rsidRDefault="00B92FF2" w:rsidP="00725BA5">
      <w:pPr>
        <w:spacing w:after="0" w:line="240" w:lineRule="auto"/>
        <w:ind w:left="2160" w:hanging="2160"/>
        <w:rPr>
          <w:rFonts w:ascii="Calibri" w:eastAsia="Calibri" w:hAnsi="Calibri" w:cs="Times New Roman"/>
        </w:rPr>
      </w:pPr>
      <w:r w:rsidRPr="00725BA5">
        <w:rPr>
          <w:rFonts w:ascii="Calibri" w:eastAsia="Calibri" w:hAnsi="Calibri" w:cs="Times New Roman"/>
          <w:b/>
        </w:rPr>
        <w:t>Statutory cite:</w:t>
      </w:r>
      <w:r w:rsidRPr="00725BA5">
        <w:rPr>
          <w:rFonts w:ascii="Calibri" w:eastAsia="Calibri" w:hAnsi="Calibri" w:cs="Times New Roman"/>
          <w:b/>
        </w:rPr>
        <w:tab/>
      </w:r>
      <w:r w:rsidR="00E06F8A" w:rsidRPr="00E22627">
        <w:t>§</w:t>
      </w:r>
      <w:r w:rsidRPr="00725BA5">
        <w:rPr>
          <w:rFonts w:ascii="Calibri" w:eastAsia="Calibri" w:hAnsi="Calibri" w:cs="Times New Roman"/>
        </w:rPr>
        <w:t>455(h) of the Higher Education Act of 1965, as amended</w:t>
      </w:r>
    </w:p>
    <w:p w14:paraId="5B581909" w14:textId="77777777" w:rsidR="00B92FF2" w:rsidRPr="00725BA5" w:rsidRDefault="00B92FF2" w:rsidP="00725BA5">
      <w:pPr>
        <w:spacing w:after="0" w:line="240" w:lineRule="auto"/>
        <w:rPr>
          <w:rFonts w:ascii="Calibri" w:eastAsia="Calibri" w:hAnsi="Calibri" w:cs="Times New Roman"/>
        </w:rPr>
      </w:pPr>
      <w:r w:rsidRPr="00725BA5">
        <w:rPr>
          <w:rFonts w:ascii="Calibri" w:eastAsia="Calibri" w:hAnsi="Calibri" w:cs="Times New Roman"/>
          <w:b/>
        </w:rPr>
        <w:tab/>
      </w:r>
    </w:p>
    <w:p w14:paraId="5DC55824" w14:textId="77777777" w:rsidR="00B92FF2" w:rsidRPr="00725BA5" w:rsidRDefault="00B92FF2" w:rsidP="00725BA5">
      <w:pPr>
        <w:spacing w:after="0" w:line="240" w:lineRule="auto"/>
        <w:rPr>
          <w:rFonts w:ascii="Calibri" w:eastAsia="Calibri" w:hAnsi="Calibri" w:cs="Times New Roman"/>
        </w:rPr>
      </w:pPr>
      <w:r w:rsidRPr="00725BA5">
        <w:rPr>
          <w:rFonts w:ascii="Calibri" w:eastAsia="Calibri" w:hAnsi="Calibri" w:cs="Times New Roman"/>
          <w:b/>
        </w:rPr>
        <w:t>Regulatory cite:</w:t>
      </w:r>
      <w:r w:rsidRPr="00725BA5">
        <w:rPr>
          <w:rFonts w:ascii="Calibri" w:eastAsia="Calibri" w:hAnsi="Calibri" w:cs="Times New Roman"/>
          <w:b/>
        </w:rPr>
        <w:tab/>
      </w:r>
      <w:r w:rsidRPr="00725BA5">
        <w:rPr>
          <w:rFonts w:ascii="Calibri" w:eastAsia="Calibri" w:hAnsi="Calibri" w:cs="Times New Roman"/>
        </w:rPr>
        <w:t>34 CFR</w:t>
      </w:r>
      <w:r w:rsidRPr="00725BA5">
        <w:rPr>
          <w:rFonts w:ascii="Calibri" w:eastAsia="Calibri" w:hAnsi="Calibri" w:cs="Times New Roman"/>
          <w:b/>
        </w:rPr>
        <w:t xml:space="preserve"> </w:t>
      </w:r>
      <w:r w:rsidRPr="00725BA5">
        <w:rPr>
          <w:rFonts w:ascii="Calibri" w:eastAsia="Calibri" w:hAnsi="Calibri" w:cs="Times New Roman"/>
        </w:rPr>
        <w:t>685.206(c)</w:t>
      </w:r>
    </w:p>
    <w:p w14:paraId="76D3502A" w14:textId="77777777" w:rsidR="00B92FF2" w:rsidRPr="00725BA5" w:rsidRDefault="00B92FF2" w:rsidP="00725BA5">
      <w:pPr>
        <w:spacing w:after="0" w:line="240" w:lineRule="auto"/>
        <w:rPr>
          <w:rFonts w:ascii="Calibri" w:eastAsia="Calibri" w:hAnsi="Calibri" w:cs="Times New Roman"/>
          <w:b/>
        </w:rPr>
      </w:pPr>
    </w:p>
    <w:p w14:paraId="23B75B76" w14:textId="77777777" w:rsidR="00B92FF2" w:rsidRPr="00725BA5" w:rsidRDefault="00B92FF2" w:rsidP="00725BA5">
      <w:pPr>
        <w:spacing w:after="0" w:line="240" w:lineRule="auto"/>
        <w:rPr>
          <w:rFonts w:ascii="Calibri" w:eastAsia="Calibri" w:hAnsi="Calibri" w:cs="Times New Roman"/>
          <w:b/>
        </w:rPr>
      </w:pPr>
      <w:r w:rsidRPr="00725BA5">
        <w:rPr>
          <w:rFonts w:ascii="Calibri" w:eastAsia="Calibri" w:hAnsi="Calibri" w:cs="Times New Roman"/>
          <w:b/>
        </w:rPr>
        <w:t>Summary of issue:</w:t>
      </w:r>
    </w:p>
    <w:p w14:paraId="4C3C8F9D" w14:textId="77777777" w:rsidR="00B92FF2" w:rsidRPr="00725BA5" w:rsidRDefault="00B92FF2" w:rsidP="00725BA5">
      <w:pPr>
        <w:spacing w:after="0" w:line="240" w:lineRule="auto"/>
        <w:rPr>
          <w:rFonts w:ascii="Calibri" w:eastAsia="Calibri" w:hAnsi="Calibri" w:cs="Times New Roman"/>
        </w:rPr>
      </w:pPr>
    </w:p>
    <w:p w14:paraId="4A5E5A65" w14:textId="77777777" w:rsidR="00B92FF2" w:rsidRPr="00725BA5" w:rsidRDefault="00B92FF2" w:rsidP="00725BA5">
      <w:pPr>
        <w:spacing w:after="0" w:line="240" w:lineRule="auto"/>
        <w:rPr>
          <w:rFonts w:ascii="Calibri" w:hAnsi="Calibri"/>
        </w:rPr>
      </w:pPr>
      <w:r w:rsidRPr="00725BA5">
        <w:rPr>
          <w:rFonts w:ascii="Calibri" w:hAnsi="Calibri"/>
        </w:rPr>
        <w:t xml:space="preserve">Beginning with the Direct Loan program regulations </w:t>
      </w:r>
      <w:r w:rsidR="00994DCF">
        <w:rPr>
          <w:rFonts w:ascii="Calibri" w:hAnsi="Calibri"/>
        </w:rPr>
        <w:t xml:space="preserve">issued </w:t>
      </w:r>
      <w:r w:rsidRPr="00725BA5">
        <w:rPr>
          <w:rFonts w:ascii="Calibri" w:hAnsi="Calibri"/>
        </w:rPr>
        <w:t>in 1994</w:t>
      </w:r>
      <w:r w:rsidR="00A00FA2">
        <w:rPr>
          <w:rFonts w:ascii="Calibri" w:hAnsi="Calibri"/>
        </w:rPr>
        <w:t>,</w:t>
      </w:r>
      <w:r w:rsidRPr="00725BA5">
        <w:rPr>
          <w:rFonts w:ascii="Calibri" w:hAnsi="Calibri"/>
        </w:rPr>
        <w:t xml:space="preserve"> and </w:t>
      </w:r>
      <w:r w:rsidR="00994DCF">
        <w:rPr>
          <w:rFonts w:ascii="Calibri" w:hAnsi="Calibri"/>
        </w:rPr>
        <w:t xml:space="preserve">as </w:t>
      </w:r>
      <w:r w:rsidRPr="00725BA5">
        <w:rPr>
          <w:rFonts w:ascii="Calibri" w:hAnsi="Calibri"/>
        </w:rPr>
        <w:t xml:space="preserve">clarified in a Notice of Interpretation issued in 1995, the current borrower defense </w:t>
      </w:r>
      <w:r w:rsidR="00877638">
        <w:rPr>
          <w:rFonts w:ascii="Calibri" w:hAnsi="Calibri"/>
        </w:rPr>
        <w:t xml:space="preserve">(BD) </w:t>
      </w:r>
      <w:r w:rsidRPr="00725BA5">
        <w:rPr>
          <w:rFonts w:ascii="Calibri" w:hAnsi="Calibri"/>
        </w:rPr>
        <w:t>standard requires a Direct Loan borrower to establish the exist</w:t>
      </w:r>
      <w:r w:rsidR="001932A8">
        <w:rPr>
          <w:rFonts w:ascii="Calibri" w:hAnsi="Calibri"/>
        </w:rPr>
        <w:t>ence of an “act or omission” by</w:t>
      </w:r>
      <w:r w:rsidRPr="00725BA5">
        <w:rPr>
          <w:rFonts w:ascii="Calibri" w:hAnsi="Calibri"/>
        </w:rPr>
        <w:t xml:space="preserve"> </w:t>
      </w:r>
      <w:r w:rsidR="00994DCF">
        <w:rPr>
          <w:rFonts w:ascii="Calibri" w:hAnsi="Calibri"/>
        </w:rPr>
        <w:t xml:space="preserve">the </w:t>
      </w:r>
      <w:r w:rsidRPr="00725BA5">
        <w:rPr>
          <w:rFonts w:ascii="Calibri" w:hAnsi="Calibri"/>
        </w:rPr>
        <w:t>inst</w:t>
      </w:r>
      <w:r w:rsidR="00697A84">
        <w:rPr>
          <w:rFonts w:ascii="Calibri" w:hAnsi="Calibri"/>
        </w:rPr>
        <w:t xml:space="preserve">itution attended by the student </w:t>
      </w:r>
      <w:r w:rsidRPr="00725BA5">
        <w:rPr>
          <w:rFonts w:ascii="Calibri" w:hAnsi="Calibri"/>
        </w:rPr>
        <w:t xml:space="preserve">that would give rise to a cause of action against the school under “applicable State law” to demonstrate </w:t>
      </w:r>
      <w:proofErr w:type="gramStart"/>
      <w:r w:rsidRPr="00725BA5">
        <w:rPr>
          <w:rFonts w:ascii="Calibri" w:hAnsi="Calibri"/>
        </w:rPr>
        <w:t>a</w:t>
      </w:r>
      <w:proofErr w:type="gramEnd"/>
      <w:r w:rsidRPr="00725BA5">
        <w:rPr>
          <w:rFonts w:ascii="Calibri" w:hAnsi="Calibri"/>
        </w:rPr>
        <w:t xml:space="preserve"> defense to repayment. In its 1995 Notice of Interpretation</w:t>
      </w:r>
      <w:r w:rsidR="00A00FA2">
        <w:rPr>
          <w:rFonts w:ascii="Calibri" w:hAnsi="Calibri"/>
        </w:rPr>
        <w:t>,</w:t>
      </w:r>
      <w:r w:rsidR="00CD4167">
        <w:rPr>
          <w:rStyle w:val="FootnoteReference"/>
          <w:rFonts w:ascii="Calibri" w:hAnsi="Calibri"/>
        </w:rPr>
        <w:footnoteReference w:id="2"/>
      </w:r>
      <w:r w:rsidRPr="00725BA5">
        <w:rPr>
          <w:rFonts w:ascii="Calibri" w:hAnsi="Calibri"/>
        </w:rPr>
        <w:t xml:space="preserve"> the Department clarified that a </w:t>
      </w:r>
      <w:r w:rsidR="00F51085">
        <w:rPr>
          <w:rFonts w:ascii="Calibri" w:hAnsi="Calibri"/>
        </w:rPr>
        <w:t>BD</w:t>
      </w:r>
      <w:r w:rsidRPr="00725BA5">
        <w:rPr>
          <w:rFonts w:ascii="Calibri" w:hAnsi="Calibri"/>
        </w:rPr>
        <w:t xml:space="preserve"> claim would be recognized only if it was directly related to the loan at issue or the educational services for which the loan was provided. The regulation reads, in relevant part:</w:t>
      </w:r>
    </w:p>
    <w:p w14:paraId="20BE9ECC" w14:textId="77777777" w:rsidR="00B92FF2" w:rsidRPr="00725BA5" w:rsidRDefault="00B92FF2" w:rsidP="00725BA5">
      <w:pPr>
        <w:spacing w:after="0" w:line="240" w:lineRule="auto"/>
        <w:rPr>
          <w:rFonts w:ascii="Calibri" w:eastAsia="Calibri" w:hAnsi="Calibri" w:cs="Times New Roman"/>
        </w:rPr>
      </w:pPr>
    </w:p>
    <w:p w14:paraId="4BDEC43C" w14:textId="77777777" w:rsidR="00B92FF2" w:rsidRPr="00725BA5" w:rsidRDefault="00B92FF2" w:rsidP="00697A84">
      <w:pPr>
        <w:spacing w:after="0" w:line="240" w:lineRule="auto"/>
        <w:ind w:left="720" w:right="720"/>
        <w:rPr>
          <w:rFonts w:ascii="Calibri" w:eastAsia="Calibri" w:hAnsi="Calibri" w:cs="Times New Roman"/>
          <w:i/>
        </w:rPr>
      </w:pPr>
      <w:r w:rsidRPr="00725BA5">
        <w:rPr>
          <w:rFonts w:ascii="Calibri" w:eastAsia="Calibri" w:hAnsi="Calibri" w:cs="Times New Roman"/>
          <w:i/>
        </w:rPr>
        <w:t>In any proceeding to collect on a Direct Loan, the borrower may assert as a defense against re</w:t>
      </w:r>
      <w:r w:rsidR="00C559D2" w:rsidRPr="00725BA5">
        <w:rPr>
          <w:rFonts w:ascii="Calibri" w:eastAsia="Calibri" w:hAnsi="Calibri" w:cs="Times New Roman"/>
          <w:i/>
        </w:rPr>
        <w:t xml:space="preserve">payment, </w:t>
      </w:r>
      <w:r w:rsidRPr="00725BA5">
        <w:rPr>
          <w:rFonts w:ascii="Calibri" w:eastAsia="Calibri" w:hAnsi="Calibri" w:cs="Times New Roman"/>
          <w:i/>
        </w:rPr>
        <w:t>any act or omission of the school attended by the student that would give rise to a cause of action against the sch</w:t>
      </w:r>
      <w:r w:rsidR="005B639C">
        <w:rPr>
          <w:rFonts w:ascii="Calibri" w:eastAsia="Calibri" w:hAnsi="Calibri" w:cs="Times New Roman"/>
          <w:i/>
        </w:rPr>
        <w:t xml:space="preserve">ool under applicable State law </w:t>
      </w:r>
      <w:r w:rsidR="005B639C" w:rsidRPr="005B639C">
        <w:rPr>
          <w:rFonts w:ascii="Calibri" w:eastAsia="Calibri" w:hAnsi="Calibri" w:cs="Times New Roman"/>
        </w:rPr>
        <w:t>[</w:t>
      </w:r>
      <w:r w:rsidRPr="00725BA5">
        <w:rPr>
          <w:rFonts w:ascii="Calibri" w:eastAsia="Calibri" w:hAnsi="Calibri" w:cs="Times New Roman"/>
        </w:rPr>
        <w:t>34 CFR 685.206(c)(1)</w:t>
      </w:r>
      <w:r w:rsidR="005B639C">
        <w:rPr>
          <w:rFonts w:ascii="Calibri" w:eastAsia="Calibri" w:hAnsi="Calibri" w:cs="Times New Roman"/>
        </w:rPr>
        <w:t>].</w:t>
      </w:r>
    </w:p>
    <w:p w14:paraId="3C1B209E" w14:textId="77777777" w:rsidR="007719C1" w:rsidRDefault="007719C1" w:rsidP="00725BA5">
      <w:pPr>
        <w:spacing w:after="0" w:line="240" w:lineRule="auto"/>
        <w:rPr>
          <w:rFonts w:ascii="Calibri" w:hAnsi="Calibri"/>
        </w:rPr>
      </w:pPr>
    </w:p>
    <w:p w14:paraId="77BF19AC" w14:textId="77777777" w:rsidR="00B92FF2" w:rsidRDefault="007719C1" w:rsidP="00725BA5">
      <w:pPr>
        <w:spacing w:after="0" w:line="240" w:lineRule="auto"/>
        <w:rPr>
          <w:rFonts w:ascii="Calibri" w:hAnsi="Calibri"/>
        </w:rPr>
      </w:pPr>
      <w:r w:rsidRPr="00725BA5">
        <w:rPr>
          <w:rFonts w:ascii="Calibri" w:hAnsi="Calibri"/>
        </w:rPr>
        <w:t>The Department currently evaluates claims under this State law-based standard.</w:t>
      </w:r>
    </w:p>
    <w:p w14:paraId="7948D83D" w14:textId="77777777" w:rsidR="007719C1" w:rsidRPr="005B639C" w:rsidRDefault="007719C1" w:rsidP="00725BA5">
      <w:pPr>
        <w:spacing w:after="0" w:line="240" w:lineRule="auto"/>
        <w:rPr>
          <w:rFonts w:ascii="Calibri" w:eastAsia="Calibri" w:hAnsi="Calibri" w:cs="Times New Roman"/>
        </w:rPr>
      </w:pPr>
    </w:p>
    <w:p w14:paraId="7A9C86A1" w14:textId="77777777" w:rsidR="00B92FF2" w:rsidRPr="005B639C" w:rsidRDefault="00B92FF2" w:rsidP="00725BA5">
      <w:pPr>
        <w:spacing w:after="0" w:line="240" w:lineRule="auto"/>
        <w:rPr>
          <w:rFonts w:ascii="Calibri" w:eastAsia="Calibri" w:hAnsi="Calibri" w:cs="Times New Roman"/>
        </w:rPr>
      </w:pPr>
      <w:r w:rsidRPr="005B639C">
        <w:rPr>
          <w:rFonts w:ascii="Calibri" w:eastAsia="Calibri" w:hAnsi="Calibri" w:cs="Times New Roman"/>
        </w:rPr>
        <w:t xml:space="preserve">The HEA directs the Secretary to issue regulations in this area. The </w:t>
      </w:r>
      <w:r w:rsidR="007719C1">
        <w:rPr>
          <w:rFonts w:ascii="Calibri" w:eastAsia="Calibri" w:hAnsi="Calibri" w:cs="Times New Roman"/>
        </w:rPr>
        <w:t xml:space="preserve">relevant section of the </w:t>
      </w:r>
      <w:r w:rsidRPr="005B639C">
        <w:rPr>
          <w:rFonts w:ascii="Calibri" w:eastAsia="Calibri" w:hAnsi="Calibri" w:cs="Times New Roman"/>
        </w:rPr>
        <w:t>statute reads, in full:</w:t>
      </w:r>
    </w:p>
    <w:p w14:paraId="61E5D309" w14:textId="77777777" w:rsidR="003C2F8D" w:rsidRPr="00725BA5" w:rsidRDefault="003C2F8D" w:rsidP="00725BA5">
      <w:pPr>
        <w:spacing w:after="0" w:line="240" w:lineRule="auto"/>
        <w:rPr>
          <w:rFonts w:ascii="Calibri" w:eastAsia="Calibri" w:hAnsi="Calibri" w:cs="Times New Roman"/>
        </w:rPr>
      </w:pPr>
    </w:p>
    <w:p w14:paraId="48DDE68C" w14:textId="77777777" w:rsidR="00B92FF2" w:rsidRDefault="00B92FF2" w:rsidP="00697A84">
      <w:pPr>
        <w:tabs>
          <w:tab w:val="left" w:pos="900"/>
        </w:tabs>
        <w:spacing w:after="0" w:line="240" w:lineRule="auto"/>
        <w:ind w:left="720" w:right="720"/>
        <w:rPr>
          <w:rFonts w:ascii="Calibri" w:eastAsia="Calibri" w:hAnsi="Calibri" w:cs="Times New Roman"/>
        </w:rPr>
      </w:pPr>
      <w:r w:rsidRPr="00725BA5">
        <w:rPr>
          <w:rFonts w:ascii="Calibri" w:eastAsia="Calibri" w:hAnsi="Calibri" w:cs="Times New Roman"/>
          <w:i/>
        </w:rPr>
        <w:t>Notwithstanding any other provision of State or Federal law, the Secretary shall specify in regulations which acts or omissions of an institution of higher education a borrower may assert as a defense to repayment of a loan made under this part, except that in no event may a borrower recover from the Secretary, in any action arising from or relating to a loan made under this part, an amount in excess of the amount such b</w:t>
      </w:r>
      <w:r w:rsidR="005B639C">
        <w:rPr>
          <w:rFonts w:ascii="Calibri" w:eastAsia="Calibri" w:hAnsi="Calibri" w:cs="Times New Roman"/>
          <w:i/>
        </w:rPr>
        <w:t xml:space="preserve">orrower has repaid on such loan </w:t>
      </w:r>
      <w:r w:rsidR="005B639C">
        <w:rPr>
          <w:rFonts w:ascii="Calibri" w:eastAsia="Calibri" w:hAnsi="Calibri" w:cs="Times New Roman"/>
        </w:rPr>
        <w:t>[</w:t>
      </w:r>
      <w:r w:rsidRPr="00725BA5">
        <w:rPr>
          <w:rFonts w:ascii="Calibri" w:eastAsia="Calibri" w:hAnsi="Calibri" w:cs="Times New Roman"/>
        </w:rPr>
        <w:t>HEA § 455(h), 20 U.S.C. § 1087e(h)</w:t>
      </w:r>
      <w:r w:rsidR="005B639C">
        <w:rPr>
          <w:rFonts w:ascii="Calibri" w:eastAsia="Calibri" w:hAnsi="Calibri" w:cs="Times New Roman"/>
        </w:rPr>
        <w:t>]</w:t>
      </w:r>
      <w:r w:rsidRPr="00725BA5">
        <w:rPr>
          <w:rFonts w:ascii="Calibri" w:eastAsia="Calibri" w:hAnsi="Calibri" w:cs="Times New Roman"/>
        </w:rPr>
        <w:t>.</w:t>
      </w:r>
    </w:p>
    <w:p w14:paraId="03E26061" w14:textId="77777777" w:rsidR="005B639C" w:rsidRDefault="005B639C" w:rsidP="005B639C">
      <w:pPr>
        <w:tabs>
          <w:tab w:val="left" w:pos="900"/>
        </w:tabs>
        <w:spacing w:after="0" w:line="240" w:lineRule="auto"/>
        <w:rPr>
          <w:rFonts w:ascii="Calibri" w:eastAsia="Calibri" w:hAnsi="Calibri" w:cs="Times New Roman"/>
        </w:rPr>
      </w:pPr>
    </w:p>
    <w:p w14:paraId="1E9822B6" w14:textId="77777777" w:rsidR="002A393A" w:rsidRPr="00725BA5" w:rsidRDefault="002A393A" w:rsidP="00725BA5">
      <w:pPr>
        <w:spacing w:after="0" w:line="240" w:lineRule="auto"/>
        <w:rPr>
          <w:rFonts w:ascii="Calibri" w:eastAsia="Calibri" w:hAnsi="Calibri" w:cs="Times New Roman"/>
        </w:rPr>
      </w:pPr>
      <w:r w:rsidRPr="00725BA5">
        <w:rPr>
          <w:rFonts w:ascii="Calibri" w:eastAsia="Calibri" w:hAnsi="Calibri" w:cs="Times New Roman"/>
        </w:rPr>
        <w:t>Questions for consideration by the committee include:</w:t>
      </w:r>
    </w:p>
    <w:p w14:paraId="4D785FCE" w14:textId="77777777" w:rsidR="002A393A" w:rsidRPr="00725BA5" w:rsidRDefault="002A393A" w:rsidP="00725BA5">
      <w:pPr>
        <w:spacing w:after="0" w:line="240" w:lineRule="auto"/>
        <w:rPr>
          <w:rFonts w:ascii="Calibri" w:eastAsia="Calibri" w:hAnsi="Calibri" w:cs="Times New Roman"/>
        </w:rPr>
      </w:pPr>
    </w:p>
    <w:p w14:paraId="1E004AD0" w14:textId="77777777" w:rsidR="00B019EC" w:rsidRPr="00B019EC" w:rsidRDefault="001C48C7" w:rsidP="00B019EC">
      <w:pPr>
        <w:pStyle w:val="ListParagraph"/>
        <w:numPr>
          <w:ilvl w:val="0"/>
          <w:numId w:val="41"/>
        </w:numPr>
        <w:spacing w:after="0" w:line="240" w:lineRule="auto"/>
        <w:ind w:left="360"/>
        <w:contextualSpacing w:val="0"/>
      </w:pPr>
      <w:r>
        <w:rPr>
          <w:rFonts w:ascii="Calibri" w:eastAsia="Calibri" w:hAnsi="Calibri" w:cs="Times New Roman"/>
        </w:rPr>
        <w:t>Whether and h</w:t>
      </w:r>
      <w:r w:rsidR="00AD3702">
        <w:rPr>
          <w:rFonts w:ascii="Calibri" w:eastAsia="Calibri" w:hAnsi="Calibri" w:cs="Times New Roman"/>
        </w:rPr>
        <w:t>ow s</w:t>
      </w:r>
      <w:r w:rsidR="001932A8">
        <w:rPr>
          <w:rFonts w:ascii="Calibri" w:eastAsia="Calibri" w:hAnsi="Calibri" w:cs="Times New Roman"/>
        </w:rPr>
        <w:t>hould the</w:t>
      </w:r>
      <w:r w:rsidR="00994DCF">
        <w:rPr>
          <w:rFonts w:ascii="Calibri" w:eastAsia="Calibri" w:hAnsi="Calibri" w:cs="Times New Roman"/>
        </w:rPr>
        <w:t xml:space="preserve"> Department </w:t>
      </w:r>
      <w:r w:rsidR="00FA509D" w:rsidRPr="00725BA5">
        <w:rPr>
          <w:rFonts w:ascii="Calibri" w:eastAsia="Calibri" w:hAnsi="Calibri" w:cs="Times New Roman"/>
        </w:rPr>
        <w:t xml:space="preserve">establish a </w:t>
      </w:r>
      <w:r w:rsidR="00877638">
        <w:rPr>
          <w:rFonts w:ascii="Calibri" w:eastAsia="Calibri" w:hAnsi="Calibri" w:cs="Times New Roman"/>
        </w:rPr>
        <w:t>uniform (“</w:t>
      </w:r>
      <w:r w:rsidR="00FA509D" w:rsidRPr="00725BA5">
        <w:rPr>
          <w:rFonts w:ascii="Calibri" w:eastAsia="Calibri" w:hAnsi="Calibri" w:cs="Times New Roman"/>
        </w:rPr>
        <w:t>Federal</w:t>
      </w:r>
      <w:r w:rsidR="00877638">
        <w:rPr>
          <w:rFonts w:ascii="Calibri" w:eastAsia="Calibri" w:hAnsi="Calibri" w:cs="Times New Roman"/>
        </w:rPr>
        <w:t>”)</w:t>
      </w:r>
      <w:r w:rsidR="00FA509D" w:rsidRPr="00725BA5">
        <w:rPr>
          <w:rFonts w:ascii="Calibri" w:eastAsia="Calibri" w:hAnsi="Calibri" w:cs="Times New Roman"/>
        </w:rPr>
        <w:t xml:space="preserve"> standard</w:t>
      </w:r>
      <w:r w:rsidR="00877638">
        <w:rPr>
          <w:rFonts w:ascii="Calibri" w:eastAsia="Calibri" w:hAnsi="Calibri" w:cs="Times New Roman"/>
        </w:rPr>
        <w:t>, as opposed to a standard based on applicable State law,</w:t>
      </w:r>
      <w:r w:rsidR="00FA509D" w:rsidRPr="00725BA5">
        <w:rPr>
          <w:rFonts w:ascii="Calibri" w:eastAsia="Calibri" w:hAnsi="Calibri" w:cs="Times New Roman"/>
        </w:rPr>
        <w:t xml:space="preserve"> for evaluating BD claims</w:t>
      </w:r>
      <w:r w:rsidR="002A393A" w:rsidRPr="00725BA5">
        <w:rPr>
          <w:rFonts w:ascii="Calibri" w:eastAsia="Calibri" w:hAnsi="Calibri" w:cs="Times New Roman"/>
        </w:rPr>
        <w:t>?</w:t>
      </w:r>
      <w:r w:rsidR="00B019EC">
        <w:rPr>
          <w:rFonts w:ascii="Calibri" w:eastAsia="Calibri" w:hAnsi="Calibri" w:cs="Times New Roman"/>
        </w:rPr>
        <w:t xml:space="preserve">  </w:t>
      </w:r>
    </w:p>
    <w:p w14:paraId="0C42D366" w14:textId="77777777" w:rsidR="00B019EC" w:rsidRPr="00B019EC" w:rsidRDefault="00B019EC" w:rsidP="00B019EC">
      <w:pPr>
        <w:pStyle w:val="ListParagraph"/>
        <w:spacing w:after="0" w:line="240" w:lineRule="auto"/>
        <w:ind w:left="360"/>
        <w:contextualSpacing w:val="0"/>
      </w:pPr>
    </w:p>
    <w:p w14:paraId="7AB4AE9E" w14:textId="77777777" w:rsidR="00B019EC" w:rsidRPr="00B019EC" w:rsidRDefault="00B019EC" w:rsidP="00B019EC">
      <w:pPr>
        <w:pStyle w:val="ListParagraph"/>
        <w:numPr>
          <w:ilvl w:val="0"/>
          <w:numId w:val="41"/>
        </w:numPr>
        <w:spacing w:after="0" w:line="240" w:lineRule="auto"/>
        <w:ind w:left="360"/>
        <w:contextualSpacing w:val="0"/>
      </w:pPr>
      <w:r w:rsidRPr="00B019EC">
        <w:rPr>
          <w:rFonts w:ascii="Calibri" w:hAnsi="Calibri"/>
        </w:rPr>
        <w:lastRenderedPageBreak/>
        <w:t>If we establish a Federal standard, what should serve as the basis for a BD claim?  Should the definition of misrepresentation that governs a borrower’s defense to repayment correspond to the definition that governs the Department’s own enforcement actions in 34 CFR 668.71?</w:t>
      </w:r>
    </w:p>
    <w:p w14:paraId="009BD6F1" w14:textId="77777777" w:rsidR="005B639C" w:rsidRPr="00B019EC" w:rsidRDefault="00E31707" w:rsidP="00B019EC">
      <w:pPr>
        <w:spacing w:after="0" w:line="240" w:lineRule="auto"/>
        <w:rPr>
          <w:rFonts w:ascii="Calibri" w:hAnsi="Calibri"/>
        </w:rPr>
      </w:pPr>
      <w:r w:rsidRPr="00B019EC">
        <w:rPr>
          <w:rFonts w:ascii="Calibri" w:hAnsi="Calibri"/>
        </w:rPr>
        <w:t xml:space="preserve">  </w:t>
      </w:r>
    </w:p>
    <w:p w14:paraId="7591929F" w14:textId="77777777" w:rsidR="002A393A" w:rsidRPr="00697A84" w:rsidRDefault="00CF7EEC" w:rsidP="00792698">
      <w:pPr>
        <w:pStyle w:val="ListParagraph"/>
        <w:numPr>
          <w:ilvl w:val="0"/>
          <w:numId w:val="41"/>
        </w:numPr>
        <w:spacing w:after="0" w:line="240" w:lineRule="auto"/>
        <w:ind w:left="360"/>
        <w:rPr>
          <w:rFonts w:ascii="Calibri" w:hAnsi="Calibri"/>
        </w:rPr>
      </w:pPr>
      <w:r w:rsidRPr="00322E17">
        <w:rPr>
          <w:rFonts w:ascii="Calibri" w:hAnsi="Calibri"/>
        </w:rPr>
        <w:t xml:space="preserve">Should </w:t>
      </w:r>
      <w:r w:rsidR="00626AF4">
        <w:rPr>
          <w:rFonts w:ascii="Calibri" w:hAnsi="Calibri"/>
        </w:rPr>
        <w:t>such a</w:t>
      </w:r>
      <w:r w:rsidRPr="00322E17">
        <w:rPr>
          <w:rFonts w:ascii="Calibri" w:hAnsi="Calibri"/>
        </w:rPr>
        <w:t xml:space="preserve"> Federal standard </w:t>
      </w:r>
      <w:r w:rsidR="00DC4E16" w:rsidRPr="00322E17">
        <w:rPr>
          <w:rFonts w:ascii="Calibri" w:hAnsi="Calibri"/>
        </w:rPr>
        <w:t>be based on</w:t>
      </w:r>
      <w:r w:rsidRPr="00322E17">
        <w:rPr>
          <w:rFonts w:ascii="Calibri" w:hAnsi="Calibri"/>
        </w:rPr>
        <w:t xml:space="preserve"> </w:t>
      </w:r>
      <w:r w:rsidR="000F0DF7" w:rsidRPr="00322E17">
        <w:rPr>
          <w:rFonts w:ascii="Calibri" w:hAnsi="Calibri"/>
        </w:rPr>
        <w:t xml:space="preserve">common law fraud as its definition? </w:t>
      </w:r>
      <w:r w:rsidR="00973761" w:rsidRPr="00322E17">
        <w:rPr>
          <w:rFonts w:ascii="Calibri" w:hAnsi="Calibri"/>
        </w:rPr>
        <w:t xml:space="preserve"> </w:t>
      </w:r>
      <w:r w:rsidR="00697A84">
        <w:rPr>
          <w:rFonts w:ascii="Calibri" w:hAnsi="Calibri"/>
        </w:rPr>
        <w:t xml:space="preserve">The </w:t>
      </w:r>
      <w:r w:rsidR="00973761" w:rsidRPr="00973761">
        <w:t>Restatement (Second) of Torts defines fraud</w:t>
      </w:r>
      <w:r w:rsidR="004C0CFE">
        <w:t>ulent misrepresentation</w:t>
      </w:r>
      <w:r w:rsidR="00973761" w:rsidRPr="00973761">
        <w:t xml:space="preserve"> as: “One who fraudulently makes a misrepresentation of fact, opinion, intention or law for the purpose of inducing another to act or to refrain from action in reliance upon it, is subject to liability to the other in deceit for pecuniary loss caused to him by his justifiable reliance upon the misrepresentation.</w:t>
      </w:r>
      <w:r w:rsidR="00973761">
        <w:t>”</w:t>
      </w:r>
      <w:r w:rsidR="00973761" w:rsidRPr="00973761">
        <w:t xml:space="preserve"> Restatement (Second) of Torts § 525 (1977)</w:t>
      </w:r>
      <w:r w:rsidR="00B0555B">
        <w:t xml:space="preserve">. </w:t>
      </w:r>
    </w:p>
    <w:p w14:paraId="6CB2CB02" w14:textId="77777777" w:rsidR="00792698" w:rsidRPr="00322E17" w:rsidRDefault="00792698" w:rsidP="00697A84">
      <w:pPr>
        <w:pStyle w:val="ListParagraph"/>
        <w:spacing w:after="0" w:line="240" w:lineRule="auto"/>
        <w:ind w:left="360"/>
        <w:rPr>
          <w:rFonts w:ascii="Calibri" w:hAnsi="Calibri"/>
        </w:rPr>
      </w:pPr>
    </w:p>
    <w:p w14:paraId="2222EAAA" w14:textId="77777777" w:rsidR="002A393A" w:rsidRDefault="00CF7EEC" w:rsidP="00E54480">
      <w:pPr>
        <w:pStyle w:val="ListParagraph"/>
        <w:numPr>
          <w:ilvl w:val="0"/>
          <w:numId w:val="41"/>
        </w:numPr>
        <w:spacing w:after="0" w:line="240" w:lineRule="auto"/>
        <w:ind w:left="360"/>
        <w:rPr>
          <w:rFonts w:ascii="Calibri" w:eastAsia="Calibri" w:hAnsi="Calibri" w:cs="Times New Roman"/>
        </w:rPr>
      </w:pPr>
      <w:r>
        <w:rPr>
          <w:rFonts w:ascii="Calibri" w:eastAsia="Calibri" w:hAnsi="Calibri" w:cs="Times New Roman"/>
        </w:rPr>
        <w:t xml:space="preserve">Should this Federal standard require </w:t>
      </w:r>
      <w:r w:rsidR="00FA509D" w:rsidRPr="00725BA5">
        <w:rPr>
          <w:rFonts w:ascii="Calibri" w:eastAsia="Calibri" w:hAnsi="Calibri" w:cs="Times New Roman"/>
        </w:rPr>
        <w:t xml:space="preserve">a borrower to </w:t>
      </w:r>
      <w:r>
        <w:rPr>
          <w:rFonts w:ascii="Calibri" w:eastAsia="Calibri" w:hAnsi="Calibri" w:cs="Times New Roman"/>
        </w:rPr>
        <w:t xml:space="preserve">demonstrate a reasonable </w:t>
      </w:r>
      <w:r w:rsidR="00FA509D" w:rsidRPr="00725BA5">
        <w:rPr>
          <w:rFonts w:ascii="Calibri" w:eastAsia="Calibri" w:hAnsi="Calibri" w:cs="Times New Roman"/>
        </w:rPr>
        <w:t>reliance</w:t>
      </w:r>
      <w:r w:rsidR="00725BA5" w:rsidRPr="00725BA5">
        <w:rPr>
          <w:rFonts w:ascii="Calibri" w:eastAsia="Calibri" w:hAnsi="Calibri" w:cs="Times New Roman"/>
        </w:rPr>
        <w:t xml:space="preserve"> </w:t>
      </w:r>
      <w:r>
        <w:rPr>
          <w:rFonts w:ascii="Calibri" w:eastAsia="Calibri" w:hAnsi="Calibri" w:cs="Times New Roman"/>
        </w:rPr>
        <w:t xml:space="preserve">on the act or omission </w:t>
      </w:r>
      <w:r w:rsidR="000F0DF7">
        <w:rPr>
          <w:rFonts w:ascii="Calibri" w:eastAsia="Calibri" w:hAnsi="Calibri" w:cs="Times New Roman"/>
        </w:rPr>
        <w:t xml:space="preserve">causing injury to </w:t>
      </w:r>
      <w:r>
        <w:rPr>
          <w:rFonts w:ascii="Calibri" w:eastAsia="Calibri" w:hAnsi="Calibri" w:cs="Times New Roman"/>
        </w:rPr>
        <w:t>the borrower</w:t>
      </w:r>
      <w:r w:rsidR="00FA509D" w:rsidRPr="00725BA5">
        <w:rPr>
          <w:rFonts w:ascii="Calibri" w:eastAsia="Calibri" w:hAnsi="Calibri" w:cs="Times New Roman"/>
        </w:rPr>
        <w:t>?</w:t>
      </w:r>
      <w:r w:rsidR="002A393A" w:rsidRPr="00725BA5">
        <w:rPr>
          <w:rFonts w:ascii="Calibri" w:eastAsia="Calibri" w:hAnsi="Calibri" w:cs="Times New Roman"/>
        </w:rPr>
        <w:t xml:space="preserve"> </w:t>
      </w:r>
      <w:r w:rsidR="00AD3702">
        <w:rPr>
          <w:rFonts w:ascii="Calibri" w:eastAsia="Calibri" w:hAnsi="Calibri" w:cs="Times New Roman"/>
        </w:rPr>
        <w:t xml:space="preserve">Are there other definitions </w:t>
      </w:r>
      <w:r w:rsidR="001C48C7">
        <w:rPr>
          <w:rFonts w:ascii="Calibri" w:eastAsia="Calibri" w:hAnsi="Calibri" w:cs="Times New Roman"/>
        </w:rPr>
        <w:t xml:space="preserve">or requirements </w:t>
      </w:r>
      <w:r w:rsidR="00AD3702">
        <w:rPr>
          <w:rFonts w:ascii="Calibri" w:eastAsia="Calibri" w:hAnsi="Calibri" w:cs="Times New Roman"/>
        </w:rPr>
        <w:t>that could be considered?</w:t>
      </w:r>
    </w:p>
    <w:p w14:paraId="309134A1" w14:textId="77777777" w:rsidR="00DA72D3" w:rsidRDefault="00DA72D3" w:rsidP="00B0555B">
      <w:pPr>
        <w:pStyle w:val="ListParagraph"/>
        <w:spacing w:after="0" w:line="240" w:lineRule="auto"/>
        <w:ind w:left="360"/>
        <w:rPr>
          <w:rFonts w:ascii="Calibri" w:eastAsia="Calibri" w:hAnsi="Calibri" w:cs="Times New Roman"/>
        </w:rPr>
      </w:pPr>
    </w:p>
    <w:p w14:paraId="4D9CD928" w14:textId="77777777" w:rsidR="00A803EA" w:rsidRPr="00E36351" w:rsidRDefault="00DA72D3" w:rsidP="00E36351">
      <w:pPr>
        <w:pStyle w:val="ListParagraph"/>
        <w:numPr>
          <w:ilvl w:val="0"/>
          <w:numId w:val="41"/>
        </w:numPr>
        <w:spacing w:after="0" w:line="240" w:lineRule="auto"/>
        <w:ind w:left="360"/>
        <w:rPr>
          <w:rFonts w:ascii="Calibri" w:eastAsia="Calibri" w:hAnsi="Calibri" w:cs="Times New Roman"/>
        </w:rPr>
      </w:pPr>
      <w:r w:rsidRPr="00E36351">
        <w:rPr>
          <w:rFonts w:ascii="Calibri" w:eastAsia="Calibri" w:hAnsi="Calibri" w:cs="Times New Roman"/>
        </w:rPr>
        <w:t xml:space="preserve">What should be the burden of persuasion for a borrower’s claim?  </w:t>
      </w:r>
      <w:r w:rsidR="00E36351" w:rsidRPr="00E36351">
        <w:rPr>
          <w:rFonts w:ascii="Calibri" w:eastAsia="Calibri" w:hAnsi="Calibri" w:cs="Times New Roman"/>
        </w:rPr>
        <w:t>In fraud cases, a</w:t>
      </w:r>
      <w:r w:rsidR="00E36351" w:rsidRPr="00E36351">
        <w:rPr>
          <w:rFonts w:cs="Arial"/>
          <w:color w:val="212121"/>
        </w:rPr>
        <w:t xml:space="preserve"> majority of courts apply the </w:t>
      </w:r>
      <w:r w:rsidR="00E36351" w:rsidRPr="00E36351">
        <w:rPr>
          <w:rStyle w:val="cosearchterm"/>
          <w:rFonts w:cs="Arial"/>
          <w:bCs/>
          <w:color w:val="252525"/>
        </w:rPr>
        <w:t>clear</w:t>
      </w:r>
      <w:r w:rsidR="00E36351" w:rsidRPr="00E36351">
        <w:rPr>
          <w:rFonts w:cs="Arial"/>
          <w:color w:val="212121"/>
        </w:rPr>
        <w:t>-and-</w:t>
      </w:r>
      <w:r w:rsidR="00E36351" w:rsidRPr="00E36351">
        <w:rPr>
          <w:rStyle w:val="cosearchterm"/>
          <w:rFonts w:cs="Arial"/>
          <w:bCs/>
          <w:color w:val="252525"/>
        </w:rPr>
        <w:t>convincing</w:t>
      </w:r>
      <w:r w:rsidR="00E36351" w:rsidRPr="00E36351">
        <w:rPr>
          <w:rFonts w:cs="Arial"/>
          <w:color w:val="212121"/>
        </w:rPr>
        <w:t xml:space="preserve"> standard of proof to the elements of a claim for fraud.  Restatement (Third) of Torts: </w:t>
      </w:r>
      <w:proofErr w:type="spellStart"/>
      <w:r w:rsidR="00E36351" w:rsidRPr="00E36351">
        <w:rPr>
          <w:rFonts w:cs="Arial"/>
          <w:color w:val="212121"/>
        </w:rPr>
        <w:t>Liab</w:t>
      </w:r>
      <w:proofErr w:type="spellEnd"/>
      <w:r w:rsidR="00E36351" w:rsidRPr="00E36351">
        <w:rPr>
          <w:rFonts w:cs="Arial"/>
          <w:color w:val="212121"/>
        </w:rPr>
        <w:t xml:space="preserve">. </w:t>
      </w:r>
      <w:proofErr w:type="gramStart"/>
      <w:r w:rsidR="00E36351" w:rsidRPr="00E36351">
        <w:rPr>
          <w:rFonts w:cs="Arial"/>
          <w:color w:val="212121"/>
        </w:rPr>
        <w:t>for</w:t>
      </w:r>
      <w:proofErr w:type="gramEnd"/>
      <w:r w:rsidR="00E36351" w:rsidRPr="00E36351">
        <w:rPr>
          <w:rFonts w:cs="Arial"/>
          <w:color w:val="212121"/>
        </w:rPr>
        <w:t xml:space="preserve"> Econ. Harm § 9 (tentative draft no. 2, 2014).  However, for causes of action based on consumer protection law, some states have concluded that only a preponderance of the evidence is required.  </w:t>
      </w:r>
      <w:r w:rsidR="00E36351" w:rsidRPr="00E36351">
        <w:rPr>
          <w:rFonts w:cs="Arial"/>
          <w:i/>
          <w:color w:val="212121"/>
        </w:rPr>
        <w:t>See, e.g.</w:t>
      </w:r>
      <w:r w:rsidR="00E36351" w:rsidRPr="00E36351">
        <w:rPr>
          <w:rFonts w:cs="Arial"/>
          <w:color w:val="212121"/>
        </w:rPr>
        <w:t xml:space="preserve">, </w:t>
      </w:r>
      <w:proofErr w:type="spellStart"/>
      <w:r w:rsidR="00E36351" w:rsidRPr="00E36351">
        <w:rPr>
          <w:rFonts w:cs="Arial"/>
          <w:color w:val="212121"/>
        </w:rPr>
        <w:t>Malooley</w:t>
      </w:r>
      <w:proofErr w:type="spellEnd"/>
      <w:r w:rsidR="00E36351" w:rsidRPr="00E36351">
        <w:rPr>
          <w:rFonts w:cs="Arial"/>
          <w:color w:val="212121"/>
        </w:rPr>
        <w:t xml:space="preserve"> v. Alice, 621 N.E.2d 265, 268 (Ill. App. 1993).</w:t>
      </w:r>
    </w:p>
    <w:p w14:paraId="1543B71D" w14:textId="77777777" w:rsidR="002A393A" w:rsidRPr="00725BA5" w:rsidRDefault="002A393A" w:rsidP="00E54480">
      <w:pPr>
        <w:spacing w:after="0" w:line="240" w:lineRule="auto"/>
        <w:rPr>
          <w:rFonts w:ascii="Calibri" w:eastAsia="Calibri" w:hAnsi="Calibri" w:cs="Times New Roman"/>
        </w:rPr>
      </w:pPr>
    </w:p>
    <w:p w14:paraId="61D4965F" w14:textId="77777777" w:rsidR="0084618D" w:rsidRPr="00807EEA" w:rsidRDefault="001932A8" w:rsidP="00BD4F8D">
      <w:pPr>
        <w:pStyle w:val="ListParagraph"/>
        <w:numPr>
          <w:ilvl w:val="0"/>
          <w:numId w:val="41"/>
        </w:numPr>
        <w:spacing w:after="0" w:line="240" w:lineRule="auto"/>
        <w:ind w:left="360"/>
        <w:rPr>
          <w:rFonts w:ascii="Calibri" w:eastAsia="Calibri" w:hAnsi="Calibri" w:cs="Times New Roman"/>
        </w:rPr>
      </w:pPr>
      <w:r w:rsidRPr="00BD4F8D">
        <w:rPr>
          <w:rFonts w:ascii="Calibri" w:eastAsia="Calibri" w:hAnsi="Calibri" w:cs="Times New Roman"/>
        </w:rPr>
        <w:t xml:space="preserve">What factors should the Department consider </w:t>
      </w:r>
      <w:r w:rsidR="007D46DC" w:rsidRPr="00BD4F8D">
        <w:rPr>
          <w:rFonts w:ascii="Calibri" w:eastAsia="Calibri" w:hAnsi="Calibri" w:cs="Times New Roman"/>
        </w:rPr>
        <w:t>when determining the amount of relief a borrower should receive? Should the Department consider the borrower</w:t>
      </w:r>
      <w:r w:rsidR="00626AF4">
        <w:rPr>
          <w:rFonts w:ascii="Calibri" w:eastAsia="Calibri" w:hAnsi="Calibri" w:cs="Times New Roman"/>
        </w:rPr>
        <w:t>’s</w:t>
      </w:r>
      <w:r w:rsidR="007D46DC" w:rsidRPr="00BD4F8D">
        <w:rPr>
          <w:rFonts w:ascii="Calibri" w:eastAsia="Calibri" w:hAnsi="Calibri" w:cs="Times New Roman"/>
        </w:rPr>
        <w:t xml:space="preserve"> actions or circumstances when determining the amount of relief?</w:t>
      </w:r>
      <w:r w:rsidR="00BD4F8D" w:rsidRPr="00BD4F8D">
        <w:rPr>
          <w:rFonts w:ascii="Calibri" w:eastAsia="Calibri" w:hAnsi="Calibri" w:cs="Times New Roman"/>
        </w:rPr>
        <w:t xml:space="preserve"> Should the Department consider whether the borrower </w:t>
      </w:r>
      <w:r w:rsidR="00626AF4">
        <w:rPr>
          <w:rFonts w:ascii="Calibri" w:eastAsia="Calibri" w:hAnsi="Calibri" w:cs="Times New Roman"/>
        </w:rPr>
        <w:t>could</w:t>
      </w:r>
      <w:r w:rsidR="00BD4F8D" w:rsidRPr="00BD4F8D">
        <w:rPr>
          <w:rFonts w:ascii="Calibri" w:eastAsia="Calibri" w:hAnsi="Calibri"/>
          <w:lang w:val="en"/>
        </w:rPr>
        <w:t xml:space="preserve"> have ascertained the truth without difficulty, inconvenience, or special skill</w:t>
      </w:r>
      <w:r w:rsidR="00BD4F8D" w:rsidRPr="00807EEA">
        <w:rPr>
          <w:rFonts w:ascii="Calibri" w:eastAsia="Calibri" w:hAnsi="Calibri"/>
          <w:lang w:val="en"/>
        </w:rPr>
        <w:t xml:space="preserve">? </w:t>
      </w:r>
    </w:p>
    <w:p w14:paraId="44E691A3" w14:textId="07D75301" w:rsidR="0084618D" w:rsidRPr="003C2F8D" w:rsidRDefault="0084618D" w:rsidP="007646F8">
      <w:pPr>
        <w:spacing w:after="0"/>
        <w:rPr>
          <w:rFonts w:ascii="Calibri" w:eastAsia="Calibri" w:hAnsi="Calibri" w:cs="Times New Roman"/>
        </w:rPr>
      </w:pPr>
    </w:p>
    <w:sectPr w:rsidR="0084618D" w:rsidRPr="003C2F8D" w:rsidSect="00E54480">
      <w:footerReference w:type="default" r:id="rId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1F2C9" w14:textId="77777777" w:rsidR="003414BC" w:rsidRDefault="003414BC" w:rsidP="00C419CD">
      <w:pPr>
        <w:spacing w:after="0" w:line="240" w:lineRule="auto"/>
      </w:pPr>
      <w:r>
        <w:separator/>
      </w:r>
    </w:p>
  </w:endnote>
  <w:endnote w:type="continuationSeparator" w:id="0">
    <w:p w14:paraId="28962D2A" w14:textId="77777777" w:rsidR="003414BC" w:rsidRDefault="003414BC" w:rsidP="00C419CD">
      <w:pPr>
        <w:spacing w:after="0" w:line="240" w:lineRule="auto"/>
      </w:pPr>
      <w:r>
        <w:continuationSeparator/>
      </w:r>
    </w:p>
  </w:endnote>
  <w:endnote w:type="continuationNotice" w:id="1">
    <w:p w14:paraId="18495AE5" w14:textId="77777777" w:rsidR="003414BC" w:rsidRDefault="0034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574F3399" w14:textId="77777777" w:rsidR="0031175B" w:rsidRDefault="0031175B">
        <w:pPr>
          <w:pStyle w:val="Footer"/>
          <w:jc w:val="center"/>
        </w:pPr>
        <w:r>
          <w:fldChar w:fldCharType="begin"/>
        </w:r>
        <w:r>
          <w:instrText xml:space="preserve"> PAGE   \* MERGEFORMAT </w:instrText>
        </w:r>
        <w:r>
          <w:fldChar w:fldCharType="separate"/>
        </w:r>
        <w:r w:rsidR="00A87DD9">
          <w:rPr>
            <w:noProof/>
          </w:rPr>
          <w:t>2</w:t>
        </w:r>
        <w:r>
          <w:rPr>
            <w:noProof/>
          </w:rPr>
          <w:fldChar w:fldCharType="end"/>
        </w:r>
      </w:p>
    </w:sdtContent>
  </w:sdt>
  <w:p w14:paraId="147B644E"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001E" w14:textId="77777777" w:rsidR="003414BC" w:rsidRDefault="003414BC" w:rsidP="00C419CD">
      <w:pPr>
        <w:spacing w:after="0" w:line="240" w:lineRule="auto"/>
      </w:pPr>
      <w:r>
        <w:separator/>
      </w:r>
    </w:p>
  </w:footnote>
  <w:footnote w:type="continuationSeparator" w:id="0">
    <w:p w14:paraId="4C121A43" w14:textId="77777777" w:rsidR="003414BC" w:rsidRDefault="003414BC" w:rsidP="00C419CD">
      <w:pPr>
        <w:spacing w:after="0" w:line="240" w:lineRule="auto"/>
      </w:pPr>
      <w:r>
        <w:continuationSeparator/>
      </w:r>
    </w:p>
  </w:footnote>
  <w:footnote w:type="continuationNotice" w:id="1">
    <w:p w14:paraId="5731B98A" w14:textId="77777777" w:rsidR="003414BC" w:rsidRDefault="003414BC">
      <w:pPr>
        <w:spacing w:after="0" w:line="240" w:lineRule="auto"/>
      </w:pPr>
    </w:p>
  </w:footnote>
  <w:footnote w:id="2">
    <w:p w14:paraId="07E99EEC" w14:textId="77777777" w:rsidR="0031175B" w:rsidRDefault="0031175B">
      <w:pPr>
        <w:pStyle w:val="FootnoteText"/>
      </w:pPr>
      <w:r>
        <w:rPr>
          <w:rStyle w:val="FootnoteReference"/>
        </w:rPr>
        <w:footnoteRef/>
      </w:r>
      <w:r>
        <w:t xml:space="preserve"> </w:t>
      </w:r>
      <w:hyperlink r:id="rId1" w:history="1">
        <w:r w:rsidRPr="00D671EF">
          <w:rPr>
            <w:rStyle w:val="Hyperlink"/>
          </w:rPr>
          <w:t>https://www.gpo.gov/fdsys/pkg/FR-1995-07-21/html/95-17988.htm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7"/>
  </w:num>
  <w:num w:numId="3">
    <w:abstractNumId w:val="1"/>
  </w:num>
  <w:num w:numId="4">
    <w:abstractNumId w:val="18"/>
  </w:num>
  <w:num w:numId="5">
    <w:abstractNumId w:val="39"/>
  </w:num>
  <w:num w:numId="6">
    <w:abstractNumId w:val="45"/>
  </w:num>
  <w:num w:numId="7">
    <w:abstractNumId w:val="42"/>
  </w:num>
  <w:num w:numId="8">
    <w:abstractNumId w:val="19"/>
  </w:num>
  <w:num w:numId="9">
    <w:abstractNumId w:val="23"/>
  </w:num>
  <w:num w:numId="10">
    <w:abstractNumId w:val="2"/>
  </w:num>
  <w:num w:numId="11">
    <w:abstractNumId w:val="41"/>
  </w:num>
  <w:num w:numId="12">
    <w:abstractNumId w:val="6"/>
  </w:num>
  <w:num w:numId="13">
    <w:abstractNumId w:val="14"/>
  </w:num>
  <w:num w:numId="14">
    <w:abstractNumId w:val="21"/>
  </w:num>
  <w:num w:numId="15">
    <w:abstractNumId w:val="30"/>
  </w:num>
  <w:num w:numId="16">
    <w:abstractNumId w:val="31"/>
  </w:num>
  <w:num w:numId="17">
    <w:abstractNumId w:val="34"/>
  </w:num>
  <w:num w:numId="18">
    <w:abstractNumId w:val="0"/>
  </w:num>
  <w:num w:numId="19">
    <w:abstractNumId w:val="20"/>
  </w:num>
  <w:num w:numId="20">
    <w:abstractNumId w:val="27"/>
  </w:num>
  <w:num w:numId="21">
    <w:abstractNumId w:val="38"/>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0"/>
  </w:num>
  <w:num w:numId="34">
    <w:abstractNumId w:val="12"/>
  </w:num>
  <w:num w:numId="35">
    <w:abstractNumId w:val="15"/>
  </w:num>
  <w:num w:numId="36">
    <w:abstractNumId w:val="36"/>
  </w:num>
  <w:num w:numId="37">
    <w:abstractNumId w:val="7"/>
  </w:num>
  <w:num w:numId="38">
    <w:abstractNumId w:val="16"/>
  </w:num>
  <w:num w:numId="39">
    <w:abstractNumId w:val="9"/>
  </w:num>
  <w:num w:numId="40">
    <w:abstractNumId w:val="44"/>
  </w:num>
  <w:num w:numId="41">
    <w:abstractNumId w:val="24"/>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7"/>
  </w:num>
  <w:num w:numId="46">
    <w:abstractNumId w:val="35"/>
  </w:num>
  <w:num w:numId="4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40F"/>
    <w:rsid w:val="000E621D"/>
    <w:rsid w:val="000E7809"/>
    <w:rsid w:val="000F0DF7"/>
    <w:rsid w:val="000F3267"/>
    <w:rsid w:val="000F7510"/>
    <w:rsid w:val="001058C3"/>
    <w:rsid w:val="001165B6"/>
    <w:rsid w:val="001232DD"/>
    <w:rsid w:val="00124732"/>
    <w:rsid w:val="00124D39"/>
    <w:rsid w:val="00125C27"/>
    <w:rsid w:val="00131669"/>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A21FD"/>
    <w:rsid w:val="002A393A"/>
    <w:rsid w:val="002A4AB1"/>
    <w:rsid w:val="002B0E63"/>
    <w:rsid w:val="002B3061"/>
    <w:rsid w:val="002B6968"/>
    <w:rsid w:val="002B7D22"/>
    <w:rsid w:val="002D041B"/>
    <w:rsid w:val="002D25D3"/>
    <w:rsid w:val="002D3544"/>
    <w:rsid w:val="002D4C1D"/>
    <w:rsid w:val="002E2D63"/>
    <w:rsid w:val="002E5641"/>
    <w:rsid w:val="002E7766"/>
    <w:rsid w:val="002F4560"/>
    <w:rsid w:val="002F4693"/>
    <w:rsid w:val="002F7FE0"/>
    <w:rsid w:val="0030539A"/>
    <w:rsid w:val="0031175B"/>
    <w:rsid w:val="0031249F"/>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80019"/>
    <w:rsid w:val="003A2605"/>
    <w:rsid w:val="003A721B"/>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1253"/>
    <w:rsid w:val="0042591A"/>
    <w:rsid w:val="00451D26"/>
    <w:rsid w:val="004558C8"/>
    <w:rsid w:val="00460411"/>
    <w:rsid w:val="00464650"/>
    <w:rsid w:val="004701DD"/>
    <w:rsid w:val="004862F7"/>
    <w:rsid w:val="00487A3B"/>
    <w:rsid w:val="00493709"/>
    <w:rsid w:val="00495415"/>
    <w:rsid w:val="004A46E2"/>
    <w:rsid w:val="004B2866"/>
    <w:rsid w:val="004B2BD6"/>
    <w:rsid w:val="004C0CFE"/>
    <w:rsid w:val="004C1D6B"/>
    <w:rsid w:val="004C2B67"/>
    <w:rsid w:val="004C4158"/>
    <w:rsid w:val="004C4FA5"/>
    <w:rsid w:val="004C7D04"/>
    <w:rsid w:val="004D02F6"/>
    <w:rsid w:val="004D0B4E"/>
    <w:rsid w:val="004D2385"/>
    <w:rsid w:val="004D480C"/>
    <w:rsid w:val="004E0B63"/>
    <w:rsid w:val="004E2FF7"/>
    <w:rsid w:val="004E5ED8"/>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578EA"/>
    <w:rsid w:val="00562647"/>
    <w:rsid w:val="00562D96"/>
    <w:rsid w:val="005671F4"/>
    <w:rsid w:val="00567AB1"/>
    <w:rsid w:val="00573C35"/>
    <w:rsid w:val="00581AD3"/>
    <w:rsid w:val="00587BA5"/>
    <w:rsid w:val="005939F1"/>
    <w:rsid w:val="005A2148"/>
    <w:rsid w:val="005A2459"/>
    <w:rsid w:val="005B3DA2"/>
    <w:rsid w:val="005B45D7"/>
    <w:rsid w:val="005B4759"/>
    <w:rsid w:val="005B639C"/>
    <w:rsid w:val="005C08BB"/>
    <w:rsid w:val="005C1991"/>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82AAA"/>
    <w:rsid w:val="00685518"/>
    <w:rsid w:val="00690256"/>
    <w:rsid w:val="00697A84"/>
    <w:rsid w:val="006A3EB5"/>
    <w:rsid w:val="006A7219"/>
    <w:rsid w:val="006B12B7"/>
    <w:rsid w:val="006B3A9E"/>
    <w:rsid w:val="006B751B"/>
    <w:rsid w:val="006C144D"/>
    <w:rsid w:val="006C34E9"/>
    <w:rsid w:val="006C4229"/>
    <w:rsid w:val="006E2A60"/>
    <w:rsid w:val="00705899"/>
    <w:rsid w:val="0070725D"/>
    <w:rsid w:val="00707460"/>
    <w:rsid w:val="007133F9"/>
    <w:rsid w:val="00714689"/>
    <w:rsid w:val="00720181"/>
    <w:rsid w:val="00720970"/>
    <w:rsid w:val="00721137"/>
    <w:rsid w:val="00725BA5"/>
    <w:rsid w:val="00727F41"/>
    <w:rsid w:val="007334AF"/>
    <w:rsid w:val="007366B4"/>
    <w:rsid w:val="00741E08"/>
    <w:rsid w:val="00745F2E"/>
    <w:rsid w:val="00745FB2"/>
    <w:rsid w:val="00747833"/>
    <w:rsid w:val="00751985"/>
    <w:rsid w:val="007519BB"/>
    <w:rsid w:val="0075281B"/>
    <w:rsid w:val="00753153"/>
    <w:rsid w:val="007646F8"/>
    <w:rsid w:val="007651B4"/>
    <w:rsid w:val="00766FF1"/>
    <w:rsid w:val="007719C1"/>
    <w:rsid w:val="007816E0"/>
    <w:rsid w:val="007827DB"/>
    <w:rsid w:val="007858EB"/>
    <w:rsid w:val="00792698"/>
    <w:rsid w:val="0079357B"/>
    <w:rsid w:val="0079734E"/>
    <w:rsid w:val="007A2DCA"/>
    <w:rsid w:val="007A3D04"/>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3335"/>
    <w:rsid w:val="008425A1"/>
    <w:rsid w:val="00843268"/>
    <w:rsid w:val="00845717"/>
    <w:rsid w:val="0084618D"/>
    <w:rsid w:val="008461E9"/>
    <w:rsid w:val="00851B98"/>
    <w:rsid w:val="00853E01"/>
    <w:rsid w:val="008557C1"/>
    <w:rsid w:val="008645FA"/>
    <w:rsid w:val="00866C46"/>
    <w:rsid w:val="00872260"/>
    <w:rsid w:val="00873250"/>
    <w:rsid w:val="00877638"/>
    <w:rsid w:val="00877CDE"/>
    <w:rsid w:val="00883DA7"/>
    <w:rsid w:val="008867BF"/>
    <w:rsid w:val="008936B9"/>
    <w:rsid w:val="008979B3"/>
    <w:rsid w:val="008A629A"/>
    <w:rsid w:val="008B2232"/>
    <w:rsid w:val="008B3A93"/>
    <w:rsid w:val="008C2348"/>
    <w:rsid w:val="008D0585"/>
    <w:rsid w:val="008D332A"/>
    <w:rsid w:val="008E7A42"/>
    <w:rsid w:val="008F60D9"/>
    <w:rsid w:val="00901710"/>
    <w:rsid w:val="009070EE"/>
    <w:rsid w:val="009156B0"/>
    <w:rsid w:val="00921592"/>
    <w:rsid w:val="0092344D"/>
    <w:rsid w:val="00924571"/>
    <w:rsid w:val="00925587"/>
    <w:rsid w:val="00925C98"/>
    <w:rsid w:val="0092613D"/>
    <w:rsid w:val="00930E65"/>
    <w:rsid w:val="009318EC"/>
    <w:rsid w:val="0093216E"/>
    <w:rsid w:val="00932E37"/>
    <w:rsid w:val="009350E1"/>
    <w:rsid w:val="0095150C"/>
    <w:rsid w:val="00951A8B"/>
    <w:rsid w:val="00957338"/>
    <w:rsid w:val="009636C4"/>
    <w:rsid w:val="0097181B"/>
    <w:rsid w:val="00973761"/>
    <w:rsid w:val="00977CCC"/>
    <w:rsid w:val="00983732"/>
    <w:rsid w:val="0098493D"/>
    <w:rsid w:val="00986327"/>
    <w:rsid w:val="009936B6"/>
    <w:rsid w:val="00994DCF"/>
    <w:rsid w:val="009B3F61"/>
    <w:rsid w:val="009B4B75"/>
    <w:rsid w:val="009B6109"/>
    <w:rsid w:val="009C3F2C"/>
    <w:rsid w:val="009C7DB3"/>
    <w:rsid w:val="009D2814"/>
    <w:rsid w:val="009D33FC"/>
    <w:rsid w:val="009D4DB4"/>
    <w:rsid w:val="009D5349"/>
    <w:rsid w:val="009D7EF3"/>
    <w:rsid w:val="009E0D1A"/>
    <w:rsid w:val="009E6374"/>
    <w:rsid w:val="009E7028"/>
    <w:rsid w:val="009E7955"/>
    <w:rsid w:val="009F4890"/>
    <w:rsid w:val="009F5643"/>
    <w:rsid w:val="00A00FA2"/>
    <w:rsid w:val="00A03E5A"/>
    <w:rsid w:val="00A1203D"/>
    <w:rsid w:val="00A16E73"/>
    <w:rsid w:val="00A30806"/>
    <w:rsid w:val="00A30B44"/>
    <w:rsid w:val="00A37B38"/>
    <w:rsid w:val="00A47564"/>
    <w:rsid w:val="00A51145"/>
    <w:rsid w:val="00A62328"/>
    <w:rsid w:val="00A77138"/>
    <w:rsid w:val="00A7770D"/>
    <w:rsid w:val="00A803EA"/>
    <w:rsid w:val="00A81810"/>
    <w:rsid w:val="00A87DD9"/>
    <w:rsid w:val="00A92A92"/>
    <w:rsid w:val="00A93515"/>
    <w:rsid w:val="00A942F4"/>
    <w:rsid w:val="00A95F0D"/>
    <w:rsid w:val="00A972E7"/>
    <w:rsid w:val="00AA10BE"/>
    <w:rsid w:val="00AA16AF"/>
    <w:rsid w:val="00AA32B1"/>
    <w:rsid w:val="00AB0D0D"/>
    <w:rsid w:val="00AD3702"/>
    <w:rsid w:val="00AE7123"/>
    <w:rsid w:val="00AF08D8"/>
    <w:rsid w:val="00AF0988"/>
    <w:rsid w:val="00AF61CA"/>
    <w:rsid w:val="00B019EC"/>
    <w:rsid w:val="00B03673"/>
    <w:rsid w:val="00B0374F"/>
    <w:rsid w:val="00B0555B"/>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5A75"/>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20B16"/>
    <w:rsid w:val="00C4124D"/>
    <w:rsid w:val="00C419CD"/>
    <w:rsid w:val="00C42BBE"/>
    <w:rsid w:val="00C434AB"/>
    <w:rsid w:val="00C43E5E"/>
    <w:rsid w:val="00C5068E"/>
    <w:rsid w:val="00C521AF"/>
    <w:rsid w:val="00C559D2"/>
    <w:rsid w:val="00C70C96"/>
    <w:rsid w:val="00C71AA2"/>
    <w:rsid w:val="00C72FD9"/>
    <w:rsid w:val="00C75FB6"/>
    <w:rsid w:val="00C8495A"/>
    <w:rsid w:val="00C94E0B"/>
    <w:rsid w:val="00C95A10"/>
    <w:rsid w:val="00CB0E5A"/>
    <w:rsid w:val="00CB369A"/>
    <w:rsid w:val="00CC5315"/>
    <w:rsid w:val="00CC6CC0"/>
    <w:rsid w:val="00CD19C5"/>
    <w:rsid w:val="00CD4167"/>
    <w:rsid w:val="00CD49D2"/>
    <w:rsid w:val="00CD700D"/>
    <w:rsid w:val="00CE1B67"/>
    <w:rsid w:val="00CE46B4"/>
    <w:rsid w:val="00CE5D0F"/>
    <w:rsid w:val="00CF19C2"/>
    <w:rsid w:val="00CF677C"/>
    <w:rsid w:val="00CF6B95"/>
    <w:rsid w:val="00CF6DE5"/>
    <w:rsid w:val="00CF7EEC"/>
    <w:rsid w:val="00D06035"/>
    <w:rsid w:val="00D10F6C"/>
    <w:rsid w:val="00D1172D"/>
    <w:rsid w:val="00D120EA"/>
    <w:rsid w:val="00D12D55"/>
    <w:rsid w:val="00D165A8"/>
    <w:rsid w:val="00D21FB4"/>
    <w:rsid w:val="00D2304A"/>
    <w:rsid w:val="00D25D9C"/>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45FF"/>
    <w:rsid w:val="00DE502A"/>
    <w:rsid w:val="00DF4877"/>
    <w:rsid w:val="00DF7B9F"/>
    <w:rsid w:val="00E012A8"/>
    <w:rsid w:val="00E03860"/>
    <w:rsid w:val="00E06F8A"/>
    <w:rsid w:val="00E07A9D"/>
    <w:rsid w:val="00E111E1"/>
    <w:rsid w:val="00E145D6"/>
    <w:rsid w:val="00E22BE1"/>
    <w:rsid w:val="00E26233"/>
    <w:rsid w:val="00E31707"/>
    <w:rsid w:val="00E349EB"/>
    <w:rsid w:val="00E36351"/>
    <w:rsid w:val="00E4064E"/>
    <w:rsid w:val="00E415F3"/>
    <w:rsid w:val="00E41F29"/>
    <w:rsid w:val="00E43E7B"/>
    <w:rsid w:val="00E4415E"/>
    <w:rsid w:val="00E444D5"/>
    <w:rsid w:val="00E45651"/>
    <w:rsid w:val="00E54480"/>
    <w:rsid w:val="00E552F8"/>
    <w:rsid w:val="00E60323"/>
    <w:rsid w:val="00E619FF"/>
    <w:rsid w:val="00E714D5"/>
    <w:rsid w:val="00E71B65"/>
    <w:rsid w:val="00E73843"/>
    <w:rsid w:val="00E83297"/>
    <w:rsid w:val="00E85E67"/>
    <w:rsid w:val="00E90948"/>
    <w:rsid w:val="00E92DFD"/>
    <w:rsid w:val="00E96AA5"/>
    <w:rsid w:val="00E97D52"/>
    <w:rsid w:val="00EA5D36"/>
    <w:rsid w:val="00EB75B3"/>
    <w:rsid w:val="00EC26CF"/>
    <w:rsid w:val="00EC4AA9"/>
    <w:rsid w:val="00EC698A"/>
    <w:rsid w:val="00EC7EA5"/>
    <w:rsid w:val="00ED211F"/>
    <w:rsid w:val="00ED2BB4"/>
    <w:rsid w:val="00EE27DB"/>
    <w:rsid w:val="00EE38FA"/>
    <w:rsid w:val="00EE52EA"/>
    <w:rsid w:val="00EE7851"/>
    <w:rsid w:val="00EF238E"/>
    <w:rsid w:val="00F0241F"/>
    <w:rsid w:val="00F0266A"/>
    <w:rsid w:val="00F02964"/>
    <w:rsid w:val="00F02A12"/>
    <w:rsid w:val="00F04959"/>
    <w:rsid w:val="00F073DE"/>
    <w:rsid w:val="00F11922"/>
    <w:rsid w:val="00F11BCE"/>
    <w:rsid w:val="00F253C0"/>
    <w:rsid w:val="00F312E2"/>
    <w:rsid w:val="00F33651"/>
    <w:rsid w:val="00F356F0"/>
    <w:rsid w:val="00F37CBC"/>
    <w:rsid w:val="00F42674"/>
    <w:rsid w:val="00F5002B"/>
    <w:rsid w:val="00F50393"/>
    <w:rsid w:val="00F51085"/>
    <w:rsid w:val="00F52CE2"/>
    <w:rsid w:val="00F5728B"/>
    <w:rsid w:val="00F64014"/>
    <w:rsid w:val="00F65D19"/>
    <w:rsid w:val="00F66839"/>
    <w:rsid w:val="00F714AF"/>
    <w:rsid w:val="00F72DE9"/>
    <w:rsid w:val="00F824BF"/>
    <w:rsid w:val="00F8631D"/>
    <w:rsid w:val="00F907DF"/>
    <w:rsid w:val="00FA0CF2"/>
    <w:rsid w:val="00FA4DEF"/>
    <w:rsid w:val="00FA509D"/>
    <w:rsid w:val="00FB03DD"/>
    <w:rsid w:val="00FB7B71"/>
    <w:rsid w:val="00FC2CD2"/>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FR-1995-07-21/html/95-179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EEDF-AB67-471C-8BDC-7ED0C955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2017-11-07T12:35:00Z</dcterms:created>
  <dcterms:modified xsi:type="dcterms:W3CDTF">2017-11-07T12:35:00Z</dcterms:modified>
</cp:coreProperties>
</file>