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565E" w14:textId="77777777" w:rsidR="002B6029" w:rsidRPr="007F3620" w:rsidRDefault="00B91E66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Loan Forbearance</w:t>
      </w:r>
      <w:r w:rsidR="003F1820" w:rsidRPr="007F3620">
        <w:rPr>
          <w:sz w:val="24"/>
          <w:szCs w:val="24"/>
        </w:rPr>
        <w:t xml:space="preserve"> </w:t>
      </w:r>
      <w:r w:rsidR="003F1820" w:rsidRPr="007F3620">
        <w:rPr>
          <w:sz w:val="24"/>
          <w:szCs w:val="24"/>
        </w:rPr>
        <w:tab/>
        <w:t>Office of Postsecondary Education</w:t>
      </w:r>
      <w:r w:rsidR="003F1820" w:rsidRPr="007F3620">
        <w:rPr>
          <w:sz w:val="24"/>
          <w:szCs w:val="24"/>
        </w:rPr>
        <w:tab/>
      </w:r>
    </w:p>
    <w:p w14:paraId="465A4D62" w14:textId="77777777" w:rsidR="003F1820" w:rsidRPr="007F3620" w:rsidRDefault="003F1820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>January 2018</w:t>
      </w:r>
      <w:r w:rsidRPr="007F3620">
        <w:rPr>
          <w:sz w:val="24"/>
          <w:szCs w:val="24"/>
        </w:rPr>
        <w:tab/>
        <w:t xml:space="preserve"> U.S. Department of Education</w:t>
      </w:r>
    </w:p>
    <w:p w14:paraId="11577E8C" w14:textId="77777777" w:rsidR="003F1820" w:rsidRPr="007F3620" w:rsidRDefault="003F1820" w:rsidP="003F1820">
      <w:pPr>
        <w:spacing w:after="0" w:line="240" w:lineRule="auto"/>
        <w:contextualSpacing/>
        <w:rPr>
          <w:sz w:val="24"/>
          <w:szCs w:val="24"/>
        </w:rPr>
      </w:pPr>
    </w:p>
    <w:p w14:paraId="649E8172" w14:textId="4BA4156D" w:rsidR="00D962A2" w:rsidRPr="007F3620" w:rsidRDefault="002B6029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7F3620">
        <w:rPr>
          <w:sz w:val="24"/>
          <w:szCs w:val="24"/>
        </w:rPr>
        <w:t xml:space="preserve">The data presented here </w:t>
      </w:r>
      <w:r w:rsidR="00BD5F5B">
        <w:rPr>
          <w:sz w:val="24"/>
          <w:szCs w:val="24"/>
        </w:rPr>
        <w:t xml:space="preserve">are </w:t>
      </w:r>
      <w:r w:rsidR="00B91E66">
        <w:rPr>
          <w:sz w:val="24"/>
          <w:szCs w:val="24"/>
        </w:rPr>
        <w:t xml:space="preserve">loan forbearance </w:t>
      </w:r>
      <w:r w:rsidR="00BD5F5B">
        <w:rPr>
          <w:sz w:val="24"/>
          <w:szCs w:val="24"/>
        </w:rPr>
        <w:t>data</w:t>
      </w:r>
      <w:r w:rsidR="00B91E66">
        <w:rPr>
          <w:sz w:val="24"/>
          <w:szCs w:val="24"/>
        </w:rPr>
        <w:t xml:space="preserve"> for loans</w:t>
      </w:r>
      <w:r w:rsidR="00EA0F4B">
        <w:rPr>
          <w:sz w:val="24"/>
          <w:szCs w:val="24"/>
        </w:rPr>
        <w:t xml:space="preserve"> associated with borrower defense claims</w:t>
      </w:r>
      <w:r w:rsidR="00BB20B6">
        <w:rPr>
          <w:sz w:val="24"/>
          <w:szCs w:val="24"/>
        </w:rPr>
        <w:t xml:space="preserve">.  </w:t>
      </w:r>
      <w:r w:rsidR="00D962A2" w:rsidRPr="007F3620">
        <w:rPr>
          <w:sz w:val="24"/>
          <w:szCs w:val="24"/>
        </w:rPr>
        <w:t>The data were compiled by the U</w:t>
      </w:r>
      <w:r w:rsidR="00951C1C">
        <w:rPr>
          <w:sz w:val="24"/>
          <w:szCs w:val="24"/>
        </w:rPr>
        <w:t>.</w:t>
      </w:r>
      <w:r w:rsidR="00D962A2" w:rsidRPr="007F3620">
        <w:rPr>
          <w:sz w:val="24"/>
          <w:szCs w:val="24"/>
        </w:rPr>
        <w:t>S</w:t>
      </w:r>
      <w:r w:rsidR="00951C1C">
        <w:rPr>
          <w:sz w:val="24"/>
          <w:szCs w:val="24"/>
        </w:rPr>
        <w:t>.</w:t>
      </w:r>
      <w:r w:rsidR="00D962A2" w:rsidRPr="007F3620">
        <w:rPr>
          <w:sz w:val="24"/>
          <w:szCs w:val="24"/>
        </w:rPr>
        <w:t xml:space="preserve"> Department of Education’s Federal Student Aid (FSA)</w:t>
      </w:r>
      <w:r w:rsidR="009D0DDE" w:rsidRPr="007F3620">
        <w:rPr>
          <w:sz w:val="24"/>
          <w:szCs w:val="24"/>
        </w:rPr>
        <w:t xml:space="preserve">.  </w:t>
      </w:r>
      <w:r w:rsidR="00B91E66" w:rsidRPr="007F3620">
        <w:rPr>
          <w:sz w:val="24"/>
          <w:szCs w:val="24"/>
        </w:rPr>
        <w:t xml:space="preserve">Loan data are current as of </w:t>
      </w:r>
      <w:r w:rsidR="00B91E66">
        <w:rPr>
          <w:sz w:val="24"/>
          <w:szCs w:val="24"/>
        </w:rPr>
        <w:t>November</w:t>
      </w:r>
      <w:r w:rsidR="00B91E66" w:rsidRPr="007F3620">
        <w:rPr>
          <w:sz w:val="24"/>
          <w:szCs w:val="24"/>
        </w:rPr>
        <w:t xml:space="preserve"> 201</w:t>
      </w:r>
      <w:r w:rsidR="00B91E66">
        <w:rPr>
          <w:sz w:val="24"/>
          <w:szCs w:val="24"/>
        </w:rPr>
        <w:t>7</w:t>
      </w:r>
      <w:r w:rsidR="00B91E66" w:rsidRPr="007F3620">
        <w:rPr>
          <w:sz w:val="24"/>
          <w:szCs w:val="24"/>
        </w:rPr>
        <w:t>,</w:t>
      </w:r>
      <w:r w:rsidR="00B91E66">
        <w:rPr>
          <w:sz w:val="24"/>
          <w:szCs w:val="24"/>
        </w:rPr>
        <w:t xml:space="preserve"> and</w:t>
      </w:r>
      <w:r w:rsidR="00B91E66" w:rsidRPr="007F3620">
        <w:rPr>
          <w:sz w:val="24"/>
          <w:szCs w:val="24"/>
        </w:rPr>
        <w:t xml:space="preserve"> </w:t>
      </w:r>
      <w:r w:rsidR="00B91E66">
        <w:rPr>
          <w:sz w:val="24"/>
          <w:szCs w:val="24"/>
        </w:rPr>
        <w:t>b</w:t>
      </w:r>
      <w:r w:rsidR="009D0DDE" w:rsidRPr="007F3620">
        <w:rPr>
          <w:sz w:val="24"/>
          <w:szCs w:val="24"/>
        </w:rPr>
        <w:t>orrower defense claims are current as of October 2017.</w:t>
      </w:r>
      <w:r w:rsidR="00074440">
        <w:rPr>
          <w:sz w:val="24"/>
          <w:szCs w:val="24"/>
        </w:rPr>
        <w:t xml:space="preserve">  Month zero is the month in which the claim was submitted.  Data in Table F.1 are for claims that have at least one loan in a forbearance status.</w:t>
      </w:r>
    </w:p>
    <w:p w14:paraId="2FD8E249" w14:textId="77777777" w:rsidR="00686656" w:rsidRPr="007F3620" w:rsidRDefault="00686656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2E6DC544" w14:textId="77777777" w:rsidR="00686656" w:rsidRPr="007F3620" w:rsidRDefault="00B91E66" w:rsidP="00686656">
      <w:pPr>
        <w:spacing w:after="0" w:line="240" w:lineRule="auto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Table F</w:t>
      </w:r>
      <w:r w:rsidR="00686656" w:rsidRPr="007F3620">
        <w:rPr>
          <w:rFonts w:ascii="Calibri" w:hAnsi="Calibri"/>
          <w:b/>
          <w:sz w:val="24"/>
          <w:szCs w:val="24"/>
        </w:rPr>
        <w:t xml:space="preserve">.1: </w:t>
      </w:r>
      <w:r w:rsidR="00D2504E">
        <w:rPr>
          <w:rFonts w:ascii="Calibri" w:hAnsi="Calibri"/>
          <w:b/>
          <w:sz w:val="24"/>
          <w:szCs w:val="24"/>
        </w:rPr>
        <w:t>Claim Counts</w:t>
      </w:r>
      <w:r w:rsidR="00EA0F4B">
        <w:rPr>
          <w:rFonts w:ascii="Calibri" w:hAnsi="Calibri"/>
          <w:b/>
          <w:sz w:val="24"/>
          <w:szCs w:val="24"/>
        </w:rPr>
        <w:t xml:space="preserve"> and Total Loan Balances</w:t>
      </w:r>
      <w:r w:rsidR="00074440">
        <w:rPr>
          <w:rFonts w:ascii="Calibri" w:hAnsi="Calibri"/>
          <w:b/>
          <w:sz w:val="24"/>
          <w:szCs w:val="24"/>
        </w:rPr>
        <w:t xml:space="preserve"> for Loans in Forbearance</w:t>
      </w:r>
    </w:p>
    <w:tbl>
      <w:tblPr>
        <w:tblW w:w="4902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26"/>
        <w:gridCol w:w="1304"/>
        <w:gridCol w:w="1392"/>
        <w:gridCol w:w="1304"/>
        <w:gridCol w:w="1483"/>
        <w:gridCol w:w="1244"/>
        <w:gridCol w:w="1386"/>
      </w:tblGrid>
      <w:tr w:rsidR="00F665DF" w:rsidRPr="00074440" w14:paraId="4E02F9DD" w14:textId="77777777" w:rsidTr="00F665DF">
        <w:trPr>
          <w:trHeight w:val="77"/>
        </w:trPr>
        <w:tc>
          <w:tcPr>
            <w:tcW w:w="6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84C4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Months</w:t>
            </w:r>
          </w:p>
          <w:p w14:paraId="54331C7B" w14:textId="77777777" w:rsidR="00E56E46" w:rsidRPr="00074440" w:rsidRDefault="00E56E46" w:rsidP="00C24C7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 xml:space="preserve">Since Claim </w:t>
            </w:r>
          </w:p>
          <w:p w14:paraId="47D88D40" w14:textId="77777777" w:rsidR="00E56E46" w:rsidRPr="00074440" w:rsidRDefault="00E56E46" w:rsidP="00C24C7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 xml:space="preserve">Submitted </w:t>
            </w:r>
          </w:p>
        </w:tc>
        <w:tc>
          <w:tcPr>
            <w:tcW w:w="14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9FAC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2015 Claims</w:t>
            </w:r>
          </w:p>
        </w:tc>
        <w:tc>
          <w:tcPr>
            <w:tcW w:w="14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18D7801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2016 Claims</w:t>
            </w:r>
          </w:p>
        </w:tc>
        <w:tc>
          <w:tcPr>
            <w:tcW w:w="14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B419521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2017 Claims</w:t>
            </w:r>
          </w:p>
        </w:tc>
      </w:tr>
      <w:tr w:rsidR="00F665DF" w:rsidRPr="00074440" w14:paraId="07496774" w14:textId="77777777" w:rsidTr="00F665DF">
        <w:trPr>
          <w:trHeight w:val="77"/>
        </w:trPr>
        <w:tc>
          <w:tcPr>
            <w:tcW w:w="65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7C42" w14:textId="77777777" w:rsidR="00E56E46" w:rsidRPr="00074440" w:rsidRDefault="00E56E46" w:rsidP="00C24C7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DC2D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Claim Counts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D79B"/>
            <w:vAlign w:val="center"/>
          </w:tcPr>
          <w:p w14:paraId="742268E9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Loan Balances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71FA62F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Claim Counts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533067A" w14:textId="63B4FF0D" w:rsidR="00E56E46" w:rsidRPr="00074440" w:rsidRDefault="00E56E46" w:rsidP="00F665D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Loan Balances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18C235A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Claim Counts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83513E7" w14:textId="77777777" w:rsidR="00E56E46" w:rsidRPr="00074440" w:rsidRDefault="00E56E46" w:rsidP="005E1A24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4440">
              <w:rPr>
                <w:b/>
                <w:sz w:val="20"/>
                <w:szCs w:val="20"/>
              </w:rPr>
              <w:t>Loan Balances</w:t>
            </w:r>
          </w:p>
        </w:tc>
      </w:tr>
      <w:tr w:rsidR="00F665DF" w:rsidRPr="00B23EAF" w14:paraId="6B6ED559" w14:textId="77777777" w:rsidTr="00F665DF">
        <w:trPr>
          <w:trHeight w:val="80"/>
        </w:trPr>
        <w:tc>
          <w:tcPr>
            <w:tcW w:w="657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7B26" w14:textId="0937501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2883" w14:textId="7F521C6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3,600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DFCE8" w14:textId="4D070602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$86,349,960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C4FE3" w14:textId="32828B4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15,650</w:t>
            </w:r>
          </w:p>
        </w:tc>
        <w:tc>
          <w:tcPr>
            <w:tcW w:w="793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177D3" w14:textId="0CFCAB92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297,811,130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2EDAFC" w14:textId="7C310AE1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93AD5D" w14:textId="63847B9E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201,090,200</w:t>
            </w:r>
          </w:p>
        </w:tc>
      </w:tr>
      <w:tr w:rsidR="00F665DF" w:rsidRPr="00B23EAF" w14:paraId="14050302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AE3F" w14:textId="0BA2001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648D" w14:textId="38DCCDB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5,480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661DF" w14:textId="5B6C2A1C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$130,377,900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56A2C" w14:textId="7A78C3D9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23,370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702BC" w14:textId="544EB490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442,338,320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BF0BDBC" w14:textId="6C548E2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DABD487" w14:textId="6C873C01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343,222,470</w:t>
            </w:r>
          </w:p>
        </w:tc>
      </w:tr>
      <w:tr w:rsidR="00F665DF" w:rsidRPr="00B23EAF" w14:paraId="0CD9FD98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0D8A" w14:textId="0F4F070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2840" w14:textId="2BBA72CE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5,910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1CCCF" w14:textId="692CDD0C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$140,789,300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AE576" w14:textId="5166B98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29,830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1A58D" w14:textId="6A71DED0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561,561,120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648E936" w14:textId="274AEA6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16,200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27B867" w14:textId="1B15E9E0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456,908,850</w:t>
            </w:r>
          </w:p>
        </w:tc>
      </w:tr>
      <w:tr w:rsidR="00F665DF" w:rsidRPr="00B23EAF" w14:paraId="5080172A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27036" w14:textId="09BEF5A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7FBE" w14:textId="78F8CB52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6,150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C515F" w14:textId="7928FD48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$146,646,160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A8FF1" w14:textId="0222FD3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35,400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0CFA4" w14:textId="2D7DBDFC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658,096,700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CDA9E2C" w14:textId="152520F2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17,970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9F2BE6C" w14:textId="32BA056D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511,055,730</w:t>
            </w:r>
          </w:p>
        </w:tc>
      </w:tr>
      <w:tr w:rsidR="00F665DF" w:rsidRPr="00B23EAF" w14:paraId="6D183989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8F9B" w14:textId="256AD80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15FC" w14:textId="3B853231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6,380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F34DF" w14:textId="3489B0E3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$152,285,170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C1E0F" w14:textId="72A799EE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39,300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A177E" w14:textId="4BEE4004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719,467,620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3401C7" w14:textId="5E3A02E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8353AA9" w14:textId="256EF247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533,507,810</w:t>
            </w:r>
          </w:p>
        </w:tc>
      </w:tr>
      <w:tr w:rsidR="00F665DF" w:rsidRPr="00B23EAF" w14:paraId="60F8C9BF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3C4C" w14:textId="29F76A0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0F72" w14:textId="0DDAAC5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6,580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F481A" w14:textId="2153C65D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$158,140,580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DF66B" w14:textId="7D55EBE1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40,930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35E88" w14:textId="0E1AC0A2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750,349,190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58E6465" w14:textId="6471A2C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19,350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2AE3A21" w14:textId="2C5152CE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546,551,820</w:t>
            </w:r>
          </w:p>
        </w:tc>
      </w:tr>
      <w:tr w:rsidR="00F665DF" w:rsidRPr="00B23EAF" w14:paraId="3430B15A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8259" w14:textId="1AF9258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61A1" w14:textId="07B69A7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6,740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F3A65" w14:textId="25EDA5B8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$162,082,350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03DE4" w14:textId="091CE923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42,420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2F76C" w14:textId="335CBEE6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778,503,430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DCAA86D" w14:textId="7F98F7A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19,680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2AC39C2" w14:textId="46E2677A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556,576,890</w:t>
            </w:r>
          </w:p>
        </w:tc>
      </w:tr>
      <w:tr w:rsidR="00F665DF" w:rsidRPr="00B23EAF" w14:paraId="0A8DA91B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966C" w14:textId="70CCFA6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8713" w14:textId="1DDA32A2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6,850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5B593" w14:textId="28FB45B5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$165,002,900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3A1CB" w14:textId="693C988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43,810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2B6F9" w14:textId="0814524D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802,547,140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6123A37" w14:textId="73C252E2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19,900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44FF599" w14:textId="76A88776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563,628,950</w:t>
            </w:r>
          </w:p>
        </w:tc>
      </w:tr>
      <w:tr w:rsidR="00F665DF" w:rsidRPr="00B23EAF" w14:paraId="7493FBC2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1EF6" w14:textId="37979354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BF5F" w14:textId="3CFCD4C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6,950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F9108" w14:textId="4AADFDA1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$167,686,910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B9A80" w14:textId="7CFD6F6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44,990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2FBFD" w14:textId="0EA61829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823,834,850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209EA6F" w14:textId="14D3D2C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20,030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1736FC6" w14:textId="3A61B965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567,056,770</w:t>
            </w:r>
          </w:p>
        </w:tc>
      </w:tr>
      <w:tr w:rsidR="00F665DF" w:rsidRPr="00B23EAF" w14:paraId="007AE0D1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32FE" w14:textId="26DB4901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1B4E" w14:textId="1F57D93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7,040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F61DD" w14:textId="0FE7F144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$170,120,890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A5604" w14:textId="3C60CF3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45,750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2C586" w14:textId="14F99B9D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838,410,540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A5078FF" w14:textId="06C45D7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C3ECE3E" w14:textId="52123760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570,020,270</w:t>
            </w:r>
          </w:p>
        </w:tc>
      </w:tr>
      <w:tr w:rsidR="00F665DF" w:rsidRPr="00B23EAF" w14:paraId="5F14951C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5F90" w14:textId="36B0A353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BC2E" w14:textId="2C22E06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7,160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CFDC5" w14:textId="501F8722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$173,431,620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04CF9" w14:textId="4DD3A28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46,420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5E791" w14:textId="46D38AC9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852,238,220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7169DC" w14:textId="53C5BFE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20,190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F70200" w14:textId="1FE335FE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8D777D" w:rsidRPr="00B23EAF">
              <w:rPr>
                <w:color w:val="000000"/>
                <w:sz w:val="20"/>
                <w:szCs w:val="20"/>
              </w:rPr>
              <w:t>571,633,050</w:t>
            </w:r>
          </w:p>
        </w:tc>
      </w:tr>
      <w:tr w:rsidR="00F665DF" w:rsidRPr="00B23EAF" w14:paraId="1F8BA881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4E94" w14:textId="1CD12B1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63D4" w14:textId="30387592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7,260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A6A3E" w14:textId="648FFD7D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$175,470,130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ACF81" w14:textId="72D6190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47,070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733FF" w14:textId="3C801610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865,297,740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296F3" w14:textId="08BC250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5D5E6" w14:textId="6C087DD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53A1B0A1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2F6F" w14:textId="486F2C6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959B" w14:textId="59787A3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7,310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C44CF" w14:textId="02FC91F6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$176,949,320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88973" w14:textId="23FB2821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48,270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DC8DC" w14:textId="18DB43E0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887,792,080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F6FB8" w14:textId="4FC187D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DD0D8" w14:textId="194D602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71FE00E6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F93C" w14:textId="1587E44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7073" w14:textId="73771BE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7,350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DDD26" w14:textId="2E782CE9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$178,304,590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9A776" w14:textId="346B6EC4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48,690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A3D98" w14:textId="2EC7969B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896,376,850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9E75A" w14:textId="5142211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D608E" w14:textId="0AD7D80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726D19B1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652D" w14:textId="21851DE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3F4D" w14:textId="57FC3AB4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7,390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4192E" w14:textId="535FB65F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$179,349,130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6D9FF" w14:textId="6424EBF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49,010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5CEC6" w14:textId="39E994EC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902,331,290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A522D" w14:textId="3361DA42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F76CA" w14:textId="6AD5A76E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3D64F5BA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944F" w14:textId="747FEDE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8206" w14:textId="670C9D84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7,420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E0C86" w14:textId="19E42F2F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$180,165,840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3638B" w14:textId="0D68486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49,290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EB6DE" w14:textId="5102E8B1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907,297,480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A47A6" w14:textId="2D8EFF8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BA5D0" w14:textId="0232DE1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01FB8F1A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C040" w14:textId="617936A9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55BB" w14:textId="7B6D3B3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7,460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CB1CA" w14:textId="61F2DB4A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$180,836,560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5777" w14:textId="7795BE3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49,450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15C33" w14:textId="77A5A8A9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910,754,070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B06E9" w14:textId="0D26332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5188D" w14:textId="328CDFF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616F3ECE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7C90" w14:textId="110972F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68EB" w14:textId="3769C45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7,490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5F097" w14:textId="3CD38F15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$182,020,380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B95F2" w14:textId="1E5C8513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49,540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40429" w14:textId="29445DD9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913,267,150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068EB" w14:textId="173DED8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5D8E8" w14:textId="4C270C23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24839BFD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4EDD" w14:textId="0AB490E3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2895" w14:textId="354CDB5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7,530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8D418" w14:textId="1B24F35F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$182,904,460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D48C7" w14:textId="06E87B8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49,600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DCCA4" w14:textId="3ED10A73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914,433,580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07AF5" w14:textId="692279B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9D881" w14:textId="79E614B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24D1D5DB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0B8E" w14:textId="610E3A79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2DD5" w14:textId="2A9794F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7,560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7501E" w14:textId="739935B6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$183,346,420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985F6" w14:textId="7EBFC1D4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49,650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4F9E5" w14:textId="748AB597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915,439,360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3A3A0" w14:textId="644903F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91E72" w14:textId="79B99ECE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6770E8AF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EF41" w14:textId="621C7B7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4908" w14:textId="5ED772A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7,590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6AF7D" w14:textId="57AE7BC8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$184,022,610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74AB8" w14:textId="51473F3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49,660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A356F" w14:textId="08655D91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915,768,900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0ACD5" w14:textId="258D70F4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32220" w14:textId="14858A6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3F3C1A62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138" w14:textId="4E8D0F01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548C" w14:textId="6993E3C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7,610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F6B94" w14:textId="5BCF7A73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$184,715,750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EFC2F" w14:textId="5DE1A08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49,670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D74BB" w14:textId="33C332F5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915,928,130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42C15" w14:textId="64C660D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C0F1A" w14:textId="5D277A5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67EFB3A9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F571" w14:textId="5259E15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FA11" w14:textId="1FED351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7,640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64E7E" w14:textId="419982F7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$185,535,350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E1C66" w14:textId="568A0674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49,670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7315" w14:textId="6286AC15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916,000,060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FDA8D" w14:textId="225BA70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018AE" w14:textId="6CFA1DE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293873EA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3C53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2580" w14:textId="00F4EA72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7,660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28854" w14:textId="39421ADE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$186,086,910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4B669" w14:textId="7D0531B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6C751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93AD9" w14:textId="258F563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3A187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62866755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9080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7D0D" w14:textId="42D4CA10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7,680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953FD" w14:textId="380D8805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$186,531,560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7B27B" w14:textId="56C3CA6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6DA8B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AF9BC" w14:textId="075FA80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B8913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2539CD32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0204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100" w14:textId="6E31F221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7,700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B65E8" w14:textId="7A280BB1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$186,915,750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14502" w14:textId="53B18342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11B65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4B7F9" w14:textId="538B1EF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2B3D6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0E2C68C8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B056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9D6C" w14:textId="5F31BDD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7,710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20B54" w14:textId="6D558A5F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$187,079,430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98036" w14:textId="535421D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88AA1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B3BCC" w14:textId="7869A27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1DDF3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788F7857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684B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E275" w14:textId="2A1A20B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7,720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17AD8" w14:textId="05AA4F22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$187,382,050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2903B" w14:textId="371FEC15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3E028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2543" w14:textId="3DAFF54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16729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51948AE8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A9E7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C5FA" w14:textId="156B780E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7,720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9F777" w14:textId="71AA7F20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$187,452,250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75C94" w14:textId="71B143E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79D7E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1AAD6" w14:textId="42BD776D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3B931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5C224CEF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B4BB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4A98" w14:textId="13BAB33F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7,730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D68D5" w14:textId="34DBDC2C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$187,548,860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B9564" w14:textId="7429881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C0EC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BDBEE" w14:textId="46F49A5E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0FACC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42E749D0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4B16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51CD" w14:textId="327F3E0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7,730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5F1E6" w14:textId="719A4CE3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D777D" w:rsidRPr="00B23EAF">
              <w:rPr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t>,577,050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DE8E2" w14:textId="0712980A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C0842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5A3DD" w14:textId="3B381BDC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C57F7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22FF8E1E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9B6A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FCBC" w14:textId="7E69D66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7,730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9A039" w14:textId="4784968D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$187,577,050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48214" w14:textId="3FC13A1E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EE4CC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C5468" w14:textId="7EE693A6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EF2A5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39816B8C" w14:textId="77777777" w:rsidTr="00F665DF">
        <w:trPr>
          <w:trHeight w:val="77"/>
        </w:trPr>
        <w:tc>
          <w:tcPr>
            <w:tcW w:w="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000000" w:themeColor="text1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D723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000000" w:themeColor="text1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2313" w14:textId="78A72338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sz w:val="20"/>
                <w:szCs w:val="20"/>
              </w:rPr>
              <w:t>7,730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000000" w:themeColor="text1"/>
              <w:right w:val="single" w:sz="4" w:space="0" w:color="BFBFBF" w:themeColor="background1" w:themeShade="BF"/>
            </w:tcBorders>
          </w:tcPr>
          <w:p w14:paraId="7A433CB5" w14:textId="44908341" w:rsidR="008D777D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$187,577,050</w:t>
            </w:r>
          </w:p>
        </w:tc>
        <w:tc>
          <w:tcPr>
            <w:tcW w:w="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7CDD6D" w14:textId="2A0CC28B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4740D7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8F5252" w14:textId="20AADC79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55ED67" w14:textId="77777777" w:rsidR="008D777D" w:rsidRPr="00B23EAF" w:rsidRDefault="008D777D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NA</w:t>
            </w:r>
          </w:p>
        </w:tc>
      </w:tr>
      <w:tr w:rsidR="00F665DF" w:rsidRPr="00B23EAF" w14:paraId="13CF62A6" w14:textId="77777777" w:rsidTr="00F665DF">
        <w:trPr>
          <w:trHeight w:val="77"/>
        </w:trPr>
        <w:tc>
          <w:tcPr>
            <w:tcW w:w="657" w:type="pct"/>
            <w:tcBorders>
              <w:top w:val="doub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BF9D" w14:textId="77777777" w:rsidR="00B23EAF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8" w:type="pct"/>
            <w:tcBorders>
              <w:top w:val="doub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EB724" w14:textId="78A7C618" w:rsidR="00B23EAF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745" w:type="pct"/>
            <w:tcBorders>
              <w:top w:val="doub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7D49008" w14:textId="77081AE5" w:rsidR="00B23EAF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$225,859,370</w:t>
            </w:r>
          </w:p>
        </w:tc>
        <w:tc>
          <w:tcPr>
            <w:tcW w:w="698" w:type="pct"/>
            <w:tcBorders>
              <w:top w:val="doub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0A66655" w14:textId="024B4979" w:rsidR="00B23EAF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73,200</w:t>
            </w:r>
          </w:p>
        </w:tc>
        <w:tc>
          <w:tcPr>
            <w:tcW w:w="793" w:type="pct"/>
            <w:tcBorders>
              <w:top w:val="doub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B0CC81" w14:textId="6A9B1C20" w:rsidR="00B23EAF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B23EAF">
              <w:rPr>
                <w:color w:val="000000"/>
                <w:sz w:val="20"/>
                <w:szCs w:val="20"/>
              </w:rPr>
              <w:t>1,260,551,660</w:t>
            </w:r>
          </w:p>
        </w:tc>
        <w:tc>
          <w:tcPr>
            <w:tcW w:w="666" w:type="pct"/>
            <w:tcBorders>
              <w:top w:val="doub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BA253FF" w14:textId="033CEC7A" w:rsidR="00B23EAF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B23EAF">
              <w:rPr>
                <w:color w:val="000000"/>
                <w:sz w:val="20"/>
                <w:szCs w:val="20"/>
              </w:rPr>
              <w:t>36,900</w:t>
            </w:r>
          </w:p>
        </w:tc>
        <w:tc>
          <w:tcPr>
            <w:tcW w:w="743" w:type="pct"/>
            <w:tcBorders>
              <w:top w:val="doub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D7D1D08" w14:textId="5B92E312" w:rsidR="00B23EAF" w:rsidRPr="00B23EAF" w:rsidRDefault="00B23EAF" w:rsidP="008F3BF4">
            <w:pPr>
              <w:spacing w:after="0"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Pr="00B23EAF">
              <w:rPr>
                <w:color w:val="000000"/>
                <w:sz w:val="20"/>
                <w:szCs w:val="20"/>
              </w:rPr>
              <w:t>927,115,880</w:t>
            </w:r>
          </w:p>
        </w:tc>
      </w:tr>
      <w:tr w:rsidR="001F1F77" w:rsidRPr="00074440" w14:paraId="524A0968" w14:textId="77777777" w:rsidTr="00F665DF">
        <w:trPr>
          <w:trHeight w:val="77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82A43" w14:textId="77777777" w:rsidR="001F1F77" w:rsidRPr="00074440" w:rsidRDefault="001F1F77" w:rsidP="005E1A24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74440">
              <w:rPr>
                <w:sz w:val="20"/>
                <w:szCs w:val="20"/>
              </w:rPr>
              <w:t>Counts with fewer than 10 observations were suppressed. Suppressed cells were represented by an asterisk. All remaining counts were rounded to the tens place.</w:t>
            </w:r>
          </w:p>
        </w:tc>
      </w:tr>
    </w:tbl>
    <w:p w14:paraId="28EFA6FA" w14:textId="77777777" w:rsidR="003F1820" w:rsidRPr="007F3620" w:rsidRDefault="003F1820" w:rsidP="003F1820">
      <w:pPr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lastRenderedPageBreak/>
        <w:t>Assumptions</w:t>
      </w:r>
    </w:p>
    <w:p w14:paraId="0CE59CB7" w14:textId="77777777" w:rsidR="00074440" w:rsidRDefault="00074440" w:rsidP="000F16EE">
      <w:pPr>
        <w:pStyle w:val="ListParagraph"/>
        <w:numPr>
          <w:ilvl w:val="0"/>
          <w:numId w:val="9"/>
        </w:num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Month—the number of months that have passed since the month in which the claim was submitted.</w:t>
      </w:r>
    </w:p>
    <w:p w14:paraId="5FB9CE6D" w14:textId="77777777" w:rsidR="000F16EE" w:rsidRPr="000F16EE" w:rsidRDefault="000F16EE" w:rsidP="000F16EE">
      <w:pPr>
        <w:pStyle w:val="ListParagraph"/>
        <w:numPr>
          <w:ilvl w:val="0"/>
          <w:numId w:val="9"/>
        </w:numPr>
        <w:ind w:left="360"/>
        <w:contextualSpacing/>
        <w:rPr>
          <w:rFonts w:asciiTheme="minorHAnsi" w:hAnsiTheme="minorHAnsi"/>
        </w:rPr>
      </w:pPr>
      <w:r w:rsidRPr="000F16EE">
        <w:rPr>
          <w:rFonts w:asciiTheme="minorHAnsi" w:hAnsiTheme="minorHAnsi"/>
        </w:rPr>
        <w:t>Claim counts—</w:t>
      </w:r>
      <w:r w:rsidR="00B7781E">
        <w:rPr>
          <w:rFonts w:asciiTheme="minorHAnsi" w:hAnsiTheme="minorHAnsi"/>
        </w:rPr>
        <w:t>s</w:t>
      </w:r>
      <w:r w:rsidRPr="000F16EE">
        <w:rPr>
          <w:rFonts w:asciiTheme="minorHAnsi" w:hAnsiTheme="minorHAnsi"/>
        </w:rPr>
        <w:t xml:space="preserve">ome claims </w:t>
      </w:r>
      <w:r w:rsidR="00B7781E">
        <w:rPr>
          <w:rFonts w:asciiTheme="minorHAnsi" w:hAnsiTheme="minorHAnsi"/>
        </w:rPr>
        <w:t>were</w:t>
      </w:r>
      <w:r w:rsidRPr="000F16EE">
        <w:rPr>
          <w:rFonts w:asciiTheme="minorHAnsi" w:hAnsiTheme="minorHAnsi"/>
        </w:rPr>
        <w:t xml:space="preserve"> </w:t>
      </w:r>
      <w:r w:rsidR="004F3075">
        <w:rPr>
          <w:rFonts w:asciiTheme="minorHAnsi" w:hAnsiTheme="minorHAnsi"/>
        </w:rPr>
        <w:t>not associated with schools or loans</w:t>
      </w:r>
      <w:r w:rsidRPr="000F16EE">
        <w:rPr>
          <w:rFonts w:asciiTheme="minorHAnsi" w:hAnsiTheme="minorHAnsi"/>
        </w:rPr>
        <w:t>.</w:t>
      </w:r>
      <w:r w:rsidR="00C1106F">
        <w:rPr>
          <w:rFonts w:asciiTheme="minorHAnsi" w:hAnsiTheme="minorHAnsi"/>
        </w:rPr>
        <w:t xml:space="preserve">  Therefore, sum of claim counts may be </w:t>
      </w:r>
      <w:r w:rsidR="004F3075">
        <w:rPr>
          <w:rFonts w:asciiTheme="minorHAnsi" w:hAnsiTheme="minorHAnsi"/>
        </w:rPr>
        <w:t>different</w:t>
      </w:r>
      <w:r w:rsidR="00C1106F">
        <w:rPr>
          <w:rFonts w:asciiTheme="minorHAnsi" w:hAnsiTheme="minorHAnsi"/>
        </w:rPr>
        <w:t xml:space="preserve"> than the count of distinct claim numbers.</w:t>
      </w:r>
    </w:p>
    <w:p w14:paraId="76312368" w14:textId="0091FE00" w:rsidR="00BB20B6" w:rsidRPr="00223A0A" w:rsidRDefault="00BB20B6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Loan </w:t>
      </w:r>
      <w:r w:rsidR="00074440" w:rsidRPr="00223A0A">
        <w:rPr>
          <w:rFonts w:asciiTheme="minorHAnsi" w:hAnsiTheme="minorHAnsi"/>
        </w:rPr>
        <w:t>balance</w:t>
      </w:r>
      <w:r w:rsidR="005C6354" w:rsidRPr="00223A0A">
        <w:rPr>
          <w:rFonts w:asciiTheme="minorHAnsi" w:hAnsiTheme="minorHAnsi"/>
        </w:rPr>
        <w:t>:</w:t>
      </w:r>
    </w:p>
    <w:p w14:paraId="562837A1" w14:textId="779595DE" w:rsidR="00BB20B6" w:rsidRPr="00223A0A" w:rsidRDefault="00223A0A" w:rsidP="00D2504E">
      <w:pPr>
        <w:pStyle w:val="ListParagraph"/>
        <w:numPr>
          <w:ilvl w:val="1"/>
          <w:numId w:val="9"/>
        </w:numPr>
        <w:ind w:left="720"/>
        <w:contextualSpacing/>
        <w:rPr>
          <w:rFonts w:asciiTheme="minorHAnsi" w:hAnsiTheme="minorHAnsi"/>
        </w:rPr>
      </w:pPr>
      <w:r w:rsidRPr="00223A0A">
        <w:rPr>
          <w:rFonts w:asciiTheme="minorHAnsi" w:hAnsiTheme="minorHAnsi"/>
        </w:rPr>
        <w:t>value used was from month prior to that in which the claim was submitted</w:t>
      </w:r>
    </w:p>
    <w:p w14:paraId="5FEAF63A" w14:textId="77777777" w:rsidR="00BB20B6" w:rsidRPr="00223A0A" w:rsidRDefault="00BB20B6" w:rsidP="00D2504E">
      <w:pPr>
        <w:pStyle w:val="ListParagraph"/>
        <w:numPr>
          <w:ilvl w:val="1"/>
          <w:numId w:val="9"/>
        </w:numPr>
        <w:ind w:left="720"/>
        <w:contextualSpacing/>
        <w:rPr>
          <w:rFonts w:asciiTheme="minorHAnsi" w:hAnsiTheme="minorHAnsi"/>
        </w:rPr>
      </w:pPr>
      <w:r w:rsidRPr="00223A0A">
        <w:rPr>
          <w:rFonts w:asciiTheme="minorHAnsi" w:hAnsiTheme="minorHAnsi"/>
        </w:rPr>
        <w:t>value is the sum of outstanding principle balance and outstanding interest balance</w:t>
      </w:r>
    </w:p>
    <w:p w14:paraId="53F4E7A2" w14:textId="77777777" w:rsidR="00A479E5" w:rsidRPr="00A479E5" w:rsidRDefault="00A479E5" w:rsidP="00A479E5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223A0A">
        <w:rPr>
          <w:rFonts w:asciiTheme="minorHAnsi" w:hAnsiTheme="minorHAnsi"/>
        </w:rPr>
        <w:t>Loan attribution—loans were associated to a claim if they matched on OPEID and on either the loan's borrower Social</w:t>
      </w:r>
      <w:r>
        <w:rPr>
          <w:rFonts w:asciiTheme="minorHAnsi" w:hAnsiTheme="minorHAnsi"/>
        </w:rPr>
        <w:t xml:space="preserve"> Security Number (SSN)</w:t>
      </w:r>
      <w:r w:rsidRPr="00A479E5">
        <w:rPr>
          <w:rFonts w:asciiTheme="minorHAnsi" w:hAnsiTheme="minorHAnsi"/>
        </w:rPr>
        <w:t xml:space="preserve"> or student </w:t>
      </w:r>
      <w:r>
        <w:rPr>
          <w:rFonts w:asciiTheme="minorHAnsi" w:hAnsiTheme="minorHAnsi"/>
        </w:rPr>
        <w:t>SSN</w:t>
      </w:r>
      <w:r w:rsidRPr="00A479E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A479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When two claims matched to a single</w:t>
      </w:r>
      <w:r w:rsidRPr="00A479E5">
        <w:rPr>
          <w:rFonts w:asciiTheme="minorHAnsi" w:hAnsiTheme="minorHAnsi"/>
        </w:rPr>
        <w:t xml:space="preserve"> loan, the </w:t>
      </w:r>
      <w:r>
        <w:rPr>
          <w:rFonts w:asciiTheme="minorHAnsi" w:hAnsiTheme="minorHAnsi"/>
        </w:rPr>
        <w:t>loan data was allocated on the borrower SSN.</w:t>
      </w:r>
    </w:p>
    <w:p w14:paraId="2DEDE6A6" w14:textId="160816BE" w:rsidR="003F1820" w:rsidRPr="00223A0A" w:rsidRDefault="007F3620" w:rsidP="00223A0A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A479E5">
        <w:rPr>
          <w:rFonts w:asciiTheme="minorHAnsi" w:hAnsiTheme="minorHAnsi"/>
        </w:rPr>
        <w:t>Consolidated loans</w:t>
      </w:r>
      <w:r w:rsidR="00223A0A">
        <w:rPr>
          <w:rFonts w:asciiTheme="minorHAnsi" w:hAnsiTheme="minorHAnsi"/>
        </w:rPr>
        <w:t>—</w:t>
      </w:r>
      <w:r w:rsidR="005C6354" w:rsidRPr="00223A0A">
        <w:rPr>
          <w:rFonts w:asciiTheme="minorHAnsi" w:hAnsiTheme="minorHAnsi"/>
        </w:rPr>
        <w:t>w</w:t>
      </w:r>
      <w:r w:rsidR="003300B8" w:rsidRPr="00223A0A">
        <w:rPr>
          <w:rFonts w:asciiTheme="minorHAnsi" w:hAnsiTheme="minorHAnsi"/>
        </w:rPr>
        <w:t>ere de-consolidated to link them to borrower defense claims.</w:t>
      </w:r>
      <w:r w:rsidR="00223A0A" w:rsidRPr="00223A0A">
        <w:t xml:space="preserve"> </w:t>
      </w:r>
    </w:p>
    <w:sectPr w:rsidR="003F1820" w:rsidRPr="00223A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60B18" w14:textId="77777777" w:rsidR="00A33142" w:rsidRDefault="00A33142" w:rsidP="002B6029">
      <w:pPr>
        <w:spacing w:after="0" w:line="240" w:lineRule="auto"/>
      </w:pPr>
      <w:r>
        <w:separator/>
      </w:r>
    </w:p>
  </w:endnote>
  <w:endnote w:type="continuationSeparator" w:id="0">
    <w:p w14:paraId="4D56F185" w14:textId="77777777" w:rsidR="00A33142" w:rsidRDefault="00A33142" w:rsidP="002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4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BEF35" w14:textId="4D80F287" w:rsidR="00C818BD" w:rsidRDefault="00686656" w:rsidP="00686656">
        <w:pPr>
          <w:pStyle w:val="Footer"/>
          <w:jc w:val="right"/>
          <w:rPr>
            <w:noProof/>
          </w:rPr>
        </w:pPr>
        <w:r>
          <w:rPr>
            <w:noProof/>
          </w:rPr>
          <w:t>DRT</w:t>
        </w:r>
        <w:r w:rsidR="00223A0A">
          <w:rPr>
            <w:noProof/>
          </w:rPr>
          <w:t xml:space="preserve"> 1852.3</w:t>
        </w:r>
        <w:r w:rsidR="003F1820">
          <w:rPr>
            <w:noProof/>
          </w:rPr>
          <w:tab/>
          <w:t>PUBLIC</w:t>
        </w:r>
        <w:r w:rsidR="003F1820">
          <w:rPr>
            <w:noProof/>
          </w:rPr>
          <w:tab/>
        </w:r>
        <w:r w:rsidR="003F1820">
          <w:fldChar w:fldCharType="begin"/>
        </w:r>
        <w:r w:rsidR="003F1820">
          <w:instrText xml:space="preserve"> PAGE   \* MERGEFORMAT </w:instrText>
        </w:r>
        <w:r w:rsidR="003F1820">
          <w:fldChar w:fldCharType="separate"/>
        </w:r>
        <w:r w:rsidR="00096E50">
          <w:rPr>
            <w:noProof/>
          </w:rPr>
          <w:t>1</w:t>
        </w:r>
        <w:r w:rsidR="003F18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0C40" w14:textId="77777777" w:rsidR="00A33142" w:rsidRDefault="00A33142" w:rsidP="002B6029">
      <w:pPr>
        <w:spacing w:after="0" w:line="240" w:lineRule="auto"/>
      </w:pPr>
      <w:r>
        <w:separator/>
      </w:r>
    </w:p>
  </w:footnote>
  <w:footnote w:type="continuationSeparator" w:id="0">
    <w:p w14:paraId="7C948631" w14:textId="77777777" w:rsidR="00A33142" w:rsidRDefault="00A33142" w:rsidP="002B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E8B5A" w14:textId="77777777" w:rsidR="002B6029" w:rsidRDefault="00B91E66" w:rsidP="003F1820">
    <w:pPr>
      <w:pStyle w:val="Header"/>
      <w:jc w:val="right"/>
    </w:pPr>
    <w:r>
      <w:t>BD Data Sheet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A8D"/>
    <w:multiLevelType w:val="hybridMultilevel"/>
    <w:tmpl w:val="80C6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6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4D7"/>
    <w:multiLevelType w:val="hybridMultilevel"/>
    <w:tmpl w:val="78CA7270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8301B"/>
    <w:multiLevelType w:val="hybridMultilevel"/>
    <w:tmpl w:val="611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6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001A"/>
    <w:multiLevelType w:val="hybridMultilevel"/>
    <w:tmpl w:val="3B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73D5"/>
    <w:multiLevelType w:val="hybridMultilevel"/>
    <w:tmpl w:val="E3B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807B8"/>
    <w:multiLevelType w:val="hybridMultilevel"/>
    <w:tmpl w:val="9228962E"/>
    <w:lvl w:ilvl="0" w:tplc="0409000F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C"/>
    <w:rsid w:val="0005043A"/>
    <w:rsid w:val="00074440"/>
    <w:rsid w:val="00074D32"/>
    <w:rsid w:val="000906AF"/>
    <w:rsid w:val="00096E50"/>
    <w:rsid w:val="000D11E9"/>
    <w:rsid w:val="000F16EE"/>
    <w:rsid w:val="001812A3"/>
    <w:rsid w:val="001B5B3C"/>
    <w:rsid w:val="001C3D92"/>
    <w:rsid w:val="001F1F77"/>
    <w:rsid w:val="00211AA6"/>
    <w:rsid w:val="0021372A"/>
    <w:rsid w:val="00223A0A"/>
    <w:rsid w:val="00233737"/>
    <w:rsid w:val="00283921"/>
    <w:rsid w:val="002A2E8C"/>
    <w:rsid w:val="002B6029"/>
    <w:rsid w:val="00303C5B"/>
    <w:rsid w:val="003300B8"/>
    <w:rsid w:val="003A566A"/>
    <w:rsid w:val="003C6ACF"/>
    <w:rsid w:val="003F1820"/>
    <w:rsid w:val="003F67A1"/>
    <w:rsid w:val="0040097A"/>
    <w:rsid w:val="00444B7D"/>
    <w:rsid w:val="00450771"/>
    <w:rsid w:val="00481C40"/>
    <w:rsid w:val="004A0D2C"/>
    <w:rsid w:val="004C0949"/>
    <w:rsid w:val="004F3075"/>
    <w:rsid w:val="0053754E"/>
    <w:rsid w:val="0054096F"/>
    <w:rsid w:val="005418F1"/>
    <w:rsid w:val="00543ED2"/>
    <w:rsid w:val="00547082"/>
    <w:rsid w:val="00577C50"/>
    <w:rsid w:val="005C6354"/>
    <w:rsid w:val="005E1A24"/>
    <w:rsid w:val="00652F0C"/>
    <w:rsid w:val="00666F11"/>
    <w:rsid w:val="0068225D"/>
    <w:rsid w:val="00686656"/>
    <w:rsid w:val="006A76DE"/>
    <w:rsid w:val="006B62D6"/>
    <w:rsid w:val="00705BD9"/>
    <w:rsid w:val="0072312C"/>
    <w:rsid w:val="007367B5"/>
    <w:rsid w:val="0075520A"/>
    <w:rsid w:val="007C3C92"/>
    <w:rsid w:val="007F3620"/>
    <w:rsid w:val="008240C9"/>
    <w:rsid w:val="0088058F"/>
    <w:rsid w:val="008D777D"/>
    <w:rsid w:val="008F3BF4"/>
    <w:rsid w:val="00951C1C"/>
    <w:rsid w:val="009D0DDE"/>
    <w:rsid w:val="00A31FD1"/>
    <w:rsid w:val="00A33142"/>
    <w:rsid w:val="00A479E5"/>
    <w:rsid w:val="00B23EAF"/>
    <w:rsid w:val="00B423E3"/>
    <w:rsid w:val="00B7781E"/>
    <w:rsid w:val="00B91E66"/>
    <w:rsid w:val="00BB20B6"/>
    <w:rsid w:val="00BD5F5B"/>
    <w:rsid w:val="00BD6F95"/>
    <w:rsid w:val="00C1106F"/>
    <w:rsid w:val="00C24C73"/>
    <w:rsid w:val="00C818BD"/>
    <w:rsid w:val="00D2504E"/>
    <w:rsid w:val="00D710E0"/>
    <w:rsid w:val="00D962A2"/>
    <w:rsid w:val="00DA795A"/>
    <w:rsid w:val="00E3176D"/>
    <w:rsid w:val="00E45D81"/>
    <w:rsid w:val="00E56E46"/>
    <w:rsid w:val="00E630E8"/>
    <w:rsid w:val="00E95051"/>
    <w:rsid w:val="00EA0F4B"/>
    <w:rsid w:val="00EB03A0"/>
    <w:rsid w:val="00F30300"/>
    <w:rsid w:val="00F5044F"/>
    <w:rsid w:val="00F6245D"/>
    <w:rsid w:val="00F665DF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99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95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95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Hay, Sarah</dc:creator>
  <cp:lastModifiedBy>U.S. Department of Education</cp:lastModifiedBy>
  <cp:revision>2</cp:revision>
  <dcterms:created xsi:type="dcterms:W3CDTF">2018-01-12T14:43:00Z</dcterms:created>
  <dcterms:modified xsi:type="dcterms:W3CDTF">2018-01-12T14:43:00Z</dcterms:modified>
</cp:coreProperties>
</file>