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5C5A" w14:textId="77777777" w:rsidR="002B6029" w:rsidRPr="007F3620" w:rsidRDefault="00DB3606" w:rsidP="003F1820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Estimated Interest Accrued</w:t>
      </w:r>
      <w:r w:rsidR="003F1820" w:rsidRPr="007F3620">
        <w:rPr>
          <w:sz w:val="24"/>
          <w:szCs w:val="24"/>
        </w:rPr>
        <w:t xml:space="preserve"> </w:t>
      </w:r>
      <w:r w:rsidR="003F1820" w:rsidRPr="007F3620">
        <w:rPr>
          <w:sz w:val="24"/>
          <w:szCs w:val="24"/>
        </w:rPr>
        <w:tab/>
        <w:t>Office of Postsecondary Education</w:t>
      </w:r>
      <w:r w:rsidR="003F1820" w:rsidRPr="007F3620">
        <w:rPr>
          <w:sz w:val="24"/>
          <w:szCs w:val="24"/>
        </w:rPr>
        <w:tab/>
      </w:r>
    </w:p>
    <w:p w14:paraId="7008938D" w14:textId="77777777" w:rsidR="003F1820" w:rsidRPr="007F3620" w:rsidRDefault="003F1820" w:rsidP="003F1820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r w:rsidRPr="007F3620">
        <w:rPr>
          <w:sz w:val="24"/>
          <w:szCs w:val="24"/>
        </w:rPr>
        <w:t>January 2018</w:t>
      </w:r>
      <w:r w:rsidRPr="007F3620">
        <w:rPr>
          <w:sz w:val="24"/>
          <w:szCs w:val="24"/>
        </w:rPr>
        <w:tab/>
        <w:t xml:space="preserve"> U.S. Department of Education</w:t>
      </w:r>
    </w:p>
    <w:p w14:paraId="14118488" w14:textId="77777777" w:rsidR="003F1820" w:rsidRPr="007F3620" w:rsidRDefault="003F1820" w:rsidP="003F1820">
      <w:pPr>
        <w:spacing w:after="0" w:line="240" w:lineRule="auto"/>
        <w:contextualSpacing/>
        <w:rPr>
          <w:sz w:val="24"/>
          <w:szCs w:val="24"/>
        </w:rPr>
      </w:pPr>
    </w:p>
    <w:p w14:paraId="0D598104" w14:textId="54A6292D" w:rsidR="00686656" w:rsidRDefault="002B6029" w:rsidP="003F1820">
      <w:pPr>
        <w:spacing w:after="0" w:line="240" w:lineRule="auto"/>
        <w:contextualSpacing/>
        <w:rPr>
          <w:sz w:val="24"/>
          <w:szCs w:val="24"/>
        </w:rPr>
      </w:pPr>
      <w:r w:rsidRPr="007F3620">
        <w:rPr>
          <w:sz w:val="24"/>
          <w:szCs w:val="24"/>
        </w:rPr>
        <w:t xml:space="preserve">The data presented here </w:t>
      </w:r>
      <w:r w:rsidR="008F60B6">
        <w:rPr>
          <w:sz w:val="24"/>
          <w:szCs w:val="24"/>
        </w:rPr>
        <w:t xml:space="preserve">describe </w:t>
      </w:r>
      <w:r w:rsidR="00BB20B6">
        <w:rPr>
          <w:sz w:val="24"/>
          <w:szCs w:val="24"/>
        </w:rPr>
        <w:t xml:space="preserve">the </w:t>
      </w:r>
      <w:r w:rsidR="00755432">
        <w:rPr>
          <w:sz w:val="24"/>
          <w:szCs w:val="24"/>
        </w:rPr>
        <w:t>interest accrued on loans associated with borrower defense claim</w:t>
      </w:r>
      <w:r w:rsidR="008F60B6">
        <w:rPr>
          <w:sz w:val="24"/>
          <w:szCs w:val="24"/>
        </w:rPr>
        <w:t>s</w:t>
      </w:r>
      <w:r w:rsidR="00755432">
        <w:rPr>
          <w:sz w:val="24"/>
          <w:szCs w:val="24"/>
        </w:rPr>
        <w:t xml:space="preserve">.  </w:t>
      </w:r>
      <w:r w:rsidR="00D962A2" w:rsidRPr="007F3620">
        <w:rPr>
          <w:sz w:val="24"/>
          <w:szCs w:val="24"/>
        </w:rPr>
        <w:t>The data were compiled by the U</w:t>
      </w:r>
      <w:r w:rsidR="008F60B6">
        <w:rPr>
          <w:sz w:val="24"/>
          <w:szCs w:val="24"/>
        </w:rPr>
        <w:t>.</w:t>
      </w:r>
      <w:r w:rsidR="00D962A2" w:rsidRPr="007F3620">
        <w:rPr>
          <w:sz w:val="24"/>
          <w:szCs w:val="24"/>
        </w:rPr>
        <w:t>S</w:t>
      </w:r>
      <w:r w:rsidR="008F60B6">
        <w:rPr>
          <w:sz w:val="24"/>
          <w:szCs w:val="24"/>
        </w:rPr>
        <w:t>.</w:t>
      </w:r>
      <w:r w:rsidR="00D962A2" w:rsidRPr="007F3620">
        <w:rPr>
          <w:sz w:val="24"/>
          <w:szCs w:val="24"/>
        </w:rPr>
        <w:t xml:space="preserve"> Department of Education’s Federal Student Aid (FSA)</w:t>
      </w:r>
      <w:r w:rsidR="009D0DDE" w:rsidRPr="007F3620">
        <w:rPr>
          <w:sz w:val="24"/>
          <w:szCs w:val="24"/>
        </w:rPr>
        <w:t xml:space="preserve">.  Loan data </w:t>
      </w:r>
      <w:r w:rsidR="00D962A2" w:rsidRPr="007F3620">
        <w:rPr>
          <w:sz w:val="24"/>
          <w:szCs w:val="24"/>
        </w:rPr>
        <w:t xml:space="preserve">are current as of </w:t>
      </w:r>
      <w:r w:rsidR="00543ED2">
        <w:rPr>
          <w:sz w:val="24"/>
          <w:szCs w:val="24"/>
        </w:rPr>
        <w:t>November</w:t>
      </w:r>
      <w:r w:rsidR="009D0DDE" w:rsidRPr="007F3620">
        <w:rPr>
          <w:sz w:val="24"/>
          <w:szCs w:val="24"/>
        </w:rPr>
        <w:t xml:space="preserve"> 201</w:t>
      </w:r>
      <w:r w:rsidR="00543ED2">
        <w:rPr>
          <w:sz w:val="24"/>
          <w:szCs w:val="24"/>
        </w:rPr>
        <w:t>7</w:t>
      </w:r>
      <w:r w:rsidR="009D0DDE" w:rsidRPr="007F3620">
        <w:rPr>
          <w:sz w:val="24"/>
          <w:szCs w:val="24"/>
        </w:rPr>
        <w:t>, and underlying borrower defense claims are current as of October 2017.</w:t>
      </w:r>
    </w:p>
    <w:p w14:paraId="0586837C" w14:textId="77777777" w:rsidR="007127A2" w:rsidRPr="007F3620" w:rsidRDefault="007127A2" w:rsidP="003F1820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3DB72D3A" w14:textId="77777777" w:rsidR="00686656" w:rsidRPr="007F3620" w:rsidRDefault="00755432" w:rsidP="00686656">
      <w:pPr>
        <w:spacing w:after="0" w:line="240" w:lineRule="auto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Table C</w:t>
      </w:r>
      <w:r w:rsidR="00686656" w:rsidRPr="007F3620">
        <w:rPr>
          <w:rFonts w:ascii="Calibri" w:hAnsi="Calibri"/>
          <w:b/>
          <w:sz w:val="24"/>
          <w:szCs w:val="24"/>
        </w:rPr>
        <w:t xml:space="preserve">.1: </w:t>
      </w:r>
      <w:r w:rsidR="00283921" w:rsidRPr="007F3620">
        <w:rPr>
          <w:rFonts w:ascii="Calibri" w:hAnsi="Calibri"/>
          <w:b/>
          <w:sz w:val="24"/>
          <w:szCs w:val="24"/>
        </w:rPr>
        <w:t>Estimated Interest Accrued</w:t>
      </w:r>
    </w:p>
    <w:tbl>
      <w:tblPr>
        <w:tblW w:w="62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188"/>
        <w:gridCol w:w="1149"/>
        <w:gridCol w:w="1083"/>
        <w:gridCol w:w="1277"/>
        <w:gridCol w:w="810"/>
      </w:tblGrid>
      <w:tr w:rsidR="00283921" w:rsidRPr="007F3620" w14:paraId="59DF326F" w14:textId="77777777" w:rsidTr="007F3620">
        <w:trPr>
          <w:trHeight w:val="30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EDB71" w14:textId="77777777" w:rsidR="00283921" w:rsidRPr="007F3620" w:rsidRDefault="00283921" w:rsidP="0028392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F3620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561EE" w14:textId="77777777" w:rsidR="00283921" w:rsidRPr="007F3620" w:rsidRDefault="00283921" w:rsidP="0028392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F3620">
              <w:rPr>
                <w:b/>
                <w:sz w:val="24"/>
                <w:szCs w:val="24"/>
              </w:rPr>
              <w:t>Mean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6BCAC62B" w14:textId="77777777" w:rsidR="00283921" w:rsidRPr="007F3620" w:rsidRDefault="00283921" w:rsidP="0028392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F3620">
              <w:rPr>
                <w:b/>
                <w:sz w:val="24"/>
                <w:szCs w:val="24"/>
              </w:rPr>
              <w:t>Median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5D21503D" w14:textId="77777777" w:rsidR="00283921" w:rsidRPr="007F3620" w:rsidRDefault="00283921" w:rsidP="0028392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F3620">
              <w:rPr>
                <w:b/>
                <w:sz w:val="24"/>
                <w:szCs w:val="24"/>
              </w:rPr>
              <w:t>Standard Deviation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62100E4C" w14:textId="77777777" w:rsidR="00283921" w:rsidRPr="007F3620" w:rsidRDefault="00283921" w:rsidP="0028392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F3620">
              <w:rPr>
                <w:b/>
                <w:sz w:val="24"/>
                <w:szCs w:val="24"/>
              </w:rPr>
              <w:t>Range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1D016728" w14:textId="77777777" w:rsidR="00283921" w:rsidRPr="007F3620" w:rsidRDefault="00283921" w:rsidP="0028392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F3620">
              <w:rPr>
                <w:b/>
                <w:sz w:val="24"/>
                <w:szCs w:val="24"/>
              </w:rPr>
              <w:t>Total Claims</w:t>
            </w:r>
          </w:p>
        </w:tc>
      </w:tr>
      <w:tr w:rsidR="007F3620" w:rsidRPr="007F3620" w14:paraId="4852BCB9" w14:textId="77777777" w:rsidTr="007F3620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C269" w14:textId="77777777" w:rsidR="00283921" w:rsidRPr="007F3620" w:rsidRDefault="00283921" w:rsidP="007F3620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1A2C" w14:textId="278E6B55" w:rsidR="00283921" w:rsidRPr="007F3620" w:rsidRDefault="00283921" w:rsidP="004F608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>$2,</w:t>
            </w:r>
            <w:r w:rsidR="004F608B">
              <w:rPr>
                <w:color w:val="000000"/>
                <w:sz w:val="24"/>
                <w:szCs w:val="24"/>
              </w:rPr>
              <w:t>48</w:t>
            </w:r>
            <w:r w:rsidR="008F60B6">
              <w:rPr>
                <w:color w:val="000000"/>
                <w:sz w:val="24"/>
                <w:szCs w:val="24"/>
              </w:rPr>
              <w:t>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1619F6A2" w14:textId="1DB868FC" w:rsidR="00283921" w:rsidRPr="007F3620" w:rsidRDefault="00283921" w:rsidP="004F608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 xml:space="preserve"> $1,</w:t>
            </w:r>
            <w:r w:rsidR="004F608B">
              <w:rPr>
                <w:color w:val="000000"/>
                <w:sz w:val="24"/>
                <w:szCs w:val="24"/>
              </w:rPr>
              <w:t>60</w:t>
            </w:r>
            <w:r w:rsidR="008F60B6">
              <w:rPr>
                <w:color w:val="000000"/>
                <w:sz w:val="24"/>
                <w:szCs w:val="24"/>
              </w:rPr>
              <w:t>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7D176703" w14:textId="0C1780EF" w:rsidR="00283921" w:rsidRPr="007F3620" w:rsidRDefault="00283921" w:rsidP="004F608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>$2,</w:t>
            </w:r>
            <w:r w:rsidR="004F608B">
              <w:rPr>
                <w:color w:val="000000"/>
                <w:sz w:val="24"/>
                <w:szCs w:val="24"/>
              </w:rPr>
              <w:t>74</w:t>
            </w:r>
            <w:r w:rsidR="008F60B6">
              <w:rPr>
                <w:color w:val="000000"/>
                <w:sz w:val="24"/>
                <w:szCs w:val="24"/>
              </w:rPr>
              <w:t>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05D7C6D8" w14:textId="7CBA05B8" w:rsidR="00283921" w:rsidRPr="007F3620" w:rsidRDefault="00283921" w:rsidP="007F3620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>$45,95</w:t>
            </w:r>
            <w:r w:rsidR="008F60B6">
              <w:rPr>
                <w:color w:val="000000"/>
                <w:sz w:val="24"/>
                <w:szCs w:val="24"/>
              </w:rPr>
              <w:t>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41F3FD8C" w14:textId="33EECB84" w:rsidR="00283921" w:rsidRPr="007F3620" w:rsidRDefault="004F608B" w:rsidP="00A8272F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  <w:r w:rsidR="00A827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="00283921"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20" w:rsidRPr="007F3620" w14:paraId="6287E5BD" w14:textId="77777777" w:rsidTr="0073597C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EF62" w14:textId="77777777" w:rsidR="00283921" w:rsidRPr="007F3620" w:rsidRDefault="00283921" w:rsidP="007F3620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44D7" w14:textId="20433277" w:rsidR="00283921" w:rsidRPr="007F3620" w:rsidRDefault="00283921" w:rsidP="004F608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>$1,</w:t>
            </w:r>
            <w:r w:rsidR="004F608B">
              <w:rPr>
                <w:color w:val="000000"/>
                <w:sz w:val="24"/>
                <w:szCs w:val="24"/>
              </w:rPr>
              <w:t>12</w:t>
            </w:r>
            <w:r w:rsidR="004F608B" w:rsidRPr="007F3620">
              <w:rPr>
                <w:color w:val="000000"/>
                <w:sz w:val="24"/>
                <w:szCs w:val="24"/>
              </w:rPr>
              <w:t>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77A7B575" w14:textId="3EAAFDF1" w:rsidR="00283921" w:rsidRPr="007F3620" w:rsidRDefault="00283921" w:rsidP="004F608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 xml:space="preserve"> $6</w:t>
            </w:r>
            <w:r w:rsidR="004F608B">
              <w:rPr>
                <w:color w:val="000000"/>
                <w:sz w:val="24"/>
                <w:szCs w:val="24"/>
              </w:rPr>
              <w:t>9</w:t>
            </w:r>
            <w:r w:rsidR="008F60B6">
              <w:rPr>
                <w:color w:val="000000"/>
                <w:sz w:val="24"/>
                <w:szCs w:val="24"/>
              </w:rPr>
              <w:t>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77E94309" w14:textId="71B38F5D" w:rsidR="00283921" w:rsidRPr="007F3620" w:rsidRDefault="00283921" w:rsidP="004F608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>$1,</w:t>
            </w:r>
            <w:r w:rsidR="004F608B">
              <w:rPr>
                <w:color w:val="000000"/>
                <w:sz w:val="24"/>
                <w:szCs w:val="24"/>
              </w:rPr>
              <w:t>4</w:t>
            </w:r>
            <w:r w:rsidRPr="007F3620">
              <w:rPr>
                <w:color w:val="000000"/>
                <w:sz w:val="24"/>
                <w:szCs w:val="24"/>
              </w:rPr>
              <w:t>8</w:t>
            </w:r>
            <w:r w:rsidR="008F60B6">
              <w:rPr>
                <w:color w:val="000000"/>
                <w:sz w:val="24"/>
                <w:szCs w:val="24"/>
              </w:rPr>
              <w:t>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4ABDA216" w14:textId="63598F02" w:rsidR="00283921" w:rsidRPr="007F3620" w:rsidRDefault="00283921" w:rsidP="004F608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>$</w:t>
            </w:r>
            <w:r w:rsidR="004F608B">
              <w:rPr>
                <w:color w:val="000000"/>
                <w:sz w:val="24"/>
                <w:szCs w:val="24"/>
              </w:rPr>
              <w:t>54,700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14:paraId="67FFFC88" w14:textId="7DD01D9C" w:rsidR="00283921" w:rsidRPr="007F3620" w:rsidRDefault="004F608B" w:rsidP="007F3620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70,700</w:t>
            </w:r>
            <w:r w:rsidR="00283921"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F3620" w:rsidRPr="007F3620" w14:paraId="61FBE246" w14:textId="77777777" w:rsidTr="0073597C">
        <w:trPr>
          <w:trHeight w:val="300"/>
        </w:trPr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78ED" w14:textId="77777777" w:rsidR="00283921" w:rsidRPr="007F3620" w:rsidRDefault="00283921" w:rsidP="007F3620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8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D9D7" w14:textId="6C2202D1" w:rsidR="00283921" w:rsidRPr="007F3620" w:rsidRDefault="00283921" w:rsidP="004F608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 xml:space="preserve"> $</w:t>
            </w:r>
            <w:r w:rsidR="004F608B">
              <w:rPr>
                <w:color w:val="000000"/>
                <w:sz w:val="24"/>
                <w:szCs w:val="24"/>
              </w:rPr>
              <w:t>82</w:t>
            </w:r>
            <w:r w:rsidR="004F608B" w:rsidRPr="007F3620">
              <w:rPr>
                <w:color w:val="000000"/>
                <w:sz w:val="24"/>
                <w:szCs w:val="24"/>
              </w:rPr>
              <w:t>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</w:tcPr>
          <w:p w14:paraId="41BDDA5B" w14:textId="51E1E184" w:rsidR="00283921" w:rsidRPr="007F3620" w:rsidRDefault="00283921" w:rsidP="004F608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 xml:space="preserve"> </w:t>
            </w:r>
            <w:r w:rsidR="006A3A18">
              <w:rPr>
                <w:color w:val="000000"/>
                <w:sz w:val="24"/>
                <w:szCs w:val="24"/>
              </w:rPr>
              <w:t>$</w:t>
            </w:r>
            <w:r w:rsidRPr="007F3620">
              <w:rPr>
                <w:color w:val="000000"/>
                <w:sz w:val="24"/>
                <w:szCs w:val="24"/>
              </w:rPr>
              <w:t>4</w:t>
            </w:r>
            <w:r w:rsidR="004F608B">
              <w:rPr>
                <w:color w:val="000000"/>
                <w:sz w:val="24"/>
                <w:szCs w:val="24"/>
              </w:rPr>
              <w:t>7</w:t>
            </w:r>
            <w:r w:rsidR="008F60B6">
              <w:rPr>
                <w:color w:val="000000"/>
                <w:sz w:val="24"/>
                <w:szCs w:val="24"/>
              </w:rPr>
              <w:t>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</w:tcPr>
          <w:p w14:paraId="2B6EB950" w14:textId="20EA3945" w:rsidR="00283921" w:rsidRPr="007F3620" w:rsidRDefault="00283921" w:rsidP="004F608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>$1,3</w:t>
            </w:r>
            <w:r w:rsidR="004F608B">
              <w:rPr>
                <w:color w:val="000000"/>
                <w:sz w:val="24"/>
                <w:szCs w:val="24"/>
              </w:rPr>
              <w:t>7</w:t>
            </w:r>
            <w:r w:rsidR="008F60B6">
              <w:rPr>
                <w:color w:val="000000"/>
                <w:sz w:val="24"/>
                <w:szCs w:val="24"/>
              </w:rPr>
              <w:t>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</w:tcPr>
          <w:p w14:paraId="51C80D40" w14:textId="54A3BF9E" w:rsidR="00283921" w:rsidRPr="007F3620" w:rsidRDefault="00283921" w:rsidP="007F3620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7F3620">
              <w:rPr>
                <w:color w:val="000000"/>
                <w:sz w:val="24"/>
                <w:szCs w:val="24"/>
              </w:rPr>
              <w:t>$42,3</w:t>
            </w:r>
            <w:r w:rsidR="008F60B6">
              <w:rPr>
                <w:color w:val="000000"/>
                <w:sz w:val="24"/>
                <w:szCs w:val="24"/>
              </w:rPr>
              <w:t>50</w:t>
            </w:r>
            <w:r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</w:tcPr>
          <w:p w14:paraId="02B12C44" w14:textId="3CCAF9E7" w:rsidR="00283921" w:rsidRPr="007F3620" w:rsidRDefault="004F608B" w:rsidP="007F3620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36,320</w:t>
            </w:r>
            <w:r w:rsidR="00283921" w:rsidRPr="007F362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597C" w:rsidRPr="007F3620" w14:paraId="24E365E8" w14:textId="77777777" w:rsidTr="0073597C">
        <w:trPr>
          <w:trHeight w:val="300"/>
        </w:trPr>
        <w:tc>
          <w:tcPr>
            <w:tcW w:w="62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6706B" w14:textId="2317B8AA" w:rsidR="0073597C" w:rsidRDefault="0073597C" w:rsidP="0073597C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447DB3">
              <w:rPr>
                <w:sz w:val="18"/>
                <w:szCs w:val="18"/>
              </w:rPr>
              <w:t xml:space="preserve">All counts </w:t>
            </w:r>
            <w:r>
              <w:rPr>
                <w:sz w:val="18"/>
                <w:szCs w:val="18"/>
              </w:rPr>
              <w:t xml:space="preserve">and statistics are </w:t>
            </w:r>
            <w:r w:rsidRPr="00447DB3">
              <w:rPr>
                <w:sz w:val="18"/>
                <w:szCs w:val="18"/>
              </w:rPr>
              <w:t>rounded to the tens place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172492C4" w14:textId="77777777" w:rsidR="00686656" w:rsidRPr="007F3620" w:rsidRDefault="00686656" w:rsidP="00686656">
      <w:pPr>
        <w:spacing w:after="0" w:line="240" w:lineRule="auto"/>
        <w:contextualSpacing/>
        <w:rPr>
          <w:sz w:val="24"/>
          <w:szCs w:val="24"/>
        </w:rPr>
      </w:pPr>
    </w:p>
    <w:p w14:paraId="711F32EE" w14:textId="77777777" w:rsidR="003F1820" w:rsidRPr="007F3620" w:rsidRDefault="003F1820" w:rsidP="003F1820">
      <w:pPr>
        <w:spacing w:after="0" w:line="240" w:lineRule="auto"/>
        <w:contextualSpacing/>
        <w:rPr>
          <w:sz w:val="24"/>
          <w:szCs w:val="24"/>
        </w:rPr>
      </w:pPr>
      <w:r w:rsidRPr="007F3620">
        <w:rPr>
          <w:sz w:val="24"/>
          <w:szCs w:val="24"/>
        </w:rPr>
        <w:t>Assumptions</w:t>
      </w:r>
    </w:p>
    <w:p w14:paraId="54F1CA79" w14:textId="77777777" w:rsidR="007F3620" w:rsidRDefault="007F3620" w:rsidP="003F1820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Year—this is the y</w:t>
      </w:r>
      <w:r w:rsidRPr="00A479E5">
        <w:rPr>
          <w:rFonts w:asciiTheme="minorHAnsi" w:hAnsiTheme="minorHAnsi"/>
        </w:rPr>
        <w:t>ear in which the borrower defense claim was submitted.</w:t>
      </w:r>
    </w:p>
    <w:p w14:paraId="5AF16117" w14:textId="77777777" w:rsidR="00A479E5" w:rsidRPr="00A479E5" w:rsidRDefault="00A479E5" w:rsidP="00A479E5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 w:rsidRPr="00A479E5">
        <w:rPr>
          <w:rFonts w:asciiTheme="minorHAnsi" w:hAnsiTheme="minorHAnsi"/>
        </w:rPr>
        <w:t>Loan attribution—</w:t>
      </w:r>
      <w:r>
        <w:rPr>
          <w:rFonts w:asciiTheme="minorHAnsi" w:hAnsiTheme="minorHAnsi"/>
        </w:rPr>
        <w:t xml:space="preserve">loans were associated </w:t>
      </w:r>
      <w:r w:rsidRPr="00A479E5">
        <w:rPr>
          <w:rFonts w:asciiTheme="minorHAnsi" w:hAnsiTheme="minorHAnsi"/>
        </w:rPr>
        <w:t xml:space="preserve">to a claim if they matched on OPEID and on either the loan's borrower </w:t>
      </w:r>
      <w:r>
        <w:rPr>
          <w:rFonts w:asciiTheme="minorHAnsi" w:hAnsiTheme="minorHAnsi"/>
        </w:rPr>
        <w:t>Social Security Number (SSN)</w:t>
      </w:r>
      <w:r w:rsidRPr="00A479E5">
        <w:rPr>
          <w:rFonts w:asciiTheme="minorHAnsi" w:hAnsiTheme="minorHAnsi"/>
        </w:rPr>
        <w:t xml:space="preserve"> or student </w:t>
      </w:r>
      <w:r>
        <w:rPr>
          <w:rFonts w:asciiTheme="minorHAnsi" w:hAnsiTheme="minorHAnsi"/>
        </w:rPr>
        <w:t>SSN</w:t>
      </w:r>
      <w:r w:rsidRPr="00A479E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A479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When two claims matched to a single</w:t>
      </w:r>
      <w:r w:rsidRPr="00A479E5">
        <w:rPr>
          <w:rFonts w:asciiTheme="minorHAnsi" w:hAnsiTheme="minorHAnsi"/>
        </w:rPr>
        <w:t xml:space="preserve"> loan, the </w:t>
      </w:r>
      <w:r>
        <w:rPr>
          <w:rFonts w:asciiTheme="minorHAnsi" w:hAnsiTheme="minorHAnsi"/>
        </w:rPr>
        <w:t>loan data was allocated on the borrower SSN.</w:t>
      </w:r>
    </w:p>
    <w:p w14:paraId="5AE5013C" w14:textId="022A1E52" w:rsidR="003F1820" w:rsidRPr="00F37E7A" w:rsidRDefault="007F3620" w:rsidP="00F37E7A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 w:rsidRPr="00A479E5">
        <w:rPr>
          <w:rFonts w:asciiTheme="minorHAnsi" w:hAnsiTheme="minorHAnsi"/>
        </w:rPr>
        <w:t>Consolidated loans</w:t>
      </w:r>
      <w:r w:rsidR="00F37E7A">
        <w:rPr>
          <w:rFonts w:asciiTheme="minorHAnsi" w:hAnsiTheme="minorHAnsi"/>
        </w:rPr>
        <w:t>—w</w:t>
      </w:r>
      <w:r w:rsidR="003300B8" w:rsidRPr="00F37E7A">
        <w:rPr>
          <w:rFonts w:asciiTheme="minorHAnsi" w:hAnsiTheme="minorHAnsi"/>
        </w:rPr>
        <w:t>ere de-consolidated to link them to borrower defense claims.</w:t>
      </w:r>
    </w:p>
    <w:p w14:paraId="5F46DA59" w14:textId="6195738C" w:rsidR="000020B4" w:rsidRPr="00A479E5" w:rsidRDefault="000020B4" w:rsidP="000020B4">
      <w:pPr>
        <w:pStyle w:val="ListParagraph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Interest accrued—estimated interest was computed as (current outstanding princip</w:t>
      </w:r>
      <w:r w:rsidR="008F60B6">
        <w:rPr>
          <w:rFonts w:asciiTheme="minorHAnsi" w:hAnsiTheme="minorHAnsi"/>
        </w:rPr>
        <w:t>a</w:t>
      </w:r>
      <w:r>
        <w:rPr>
          <w:rFonts w:asciiTheme="minorHAnsi" w:hAnsiTheme="minorHAnsi"/>
        </w:rPr>
        <w:t>l balance) x (actual daily interest rate) x (number of days between the submission of the claim and the earlier of the date the loan closed or the current date)</w:t>
      </w:r>
    </w:p>
    <w:p w14:paraId="3C3384A3" w14:textId="77777777" w:rsidR="003F1820" w:rsidRPr="00A479E5" w:rsidRDefault="003F1820" w:rsidP="003F1820">
      <w:pPr>
        <w:spacing w:after="0" w:line="240" w:lineRule="auto"/>
        <w:contextualSpacing/>
        <w:rPr>
          <w:sz w:val="24"/>
          <w:szCs w:val="24"/>
        </w:rPr>
      </w:pPr>
    </w:p>
    <w:sectPr w:rsidR="003F1820" w:rsidRPr="00A479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FFF3" w14:textId="77777777" w:rsidR="00A64441" w:rsidRDefault="00A64441" w:rsidP="002B6029">
      <w:pPr>
        <w:spacing w:after="0" w:line="240" w:lineRule="auto"/>
      </w:pPr>
      <w:r>
        <w:separator/>
      </w:r>
    </w:p>
  </w:endnote>
  <w:endnote w:type="continuationSeparator" w:id="0">
    <w:p w14:paraId="3F7E2F36" w14:textId="77777777" w:rsidR="00A64441" w:rsidRDefault="00A64441" w:rsidP="002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41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7A5A7" w14:textId="18A69208" w:rsidR="00C818BD" w:rsidRDefault="00686656" w:rsidP="00686656">
        <w:pPr>
          <w:pStyle w:val="Footer"/>
          <w:jc w:val="right"/>
          <w:rPr>
            <w:noProof/>
          </w:rPr>
        </w:pPr>
        <w:r>
          <w:rPr>
            <w:noProof/>
          </w:rPr>
          <w:t>DRT</w:t>
        </w:r>
        <w:r w:rsidR="004C5EC6">
          <w:rPr>
            <w:noProof/>
          </w:rPr>
          <w:t xml:space="preserve"> 1852.1</w:t>
        </w:r>
        <w:r w:rsidR="003F1820">
          <w:rPr>
            <w:noProof/>
          </w:rPr>
          <w:tab/>
          <w:t>PUBLIC</w:t>
        </w:r>
        <w:r w:rsidR="003F1820">
          <w:rPr>
            <w:noProof/>
          </w:rPr>
          <w:tab/>
        </w:r>
        <w:r w:rsidR="003F1820">
          <w:fldChar w:fldCharType="begin"/>
        </w:r>
        <w:r w:rsidR="003F1820">
          <w:instrText xml:space="preserve"> PAGE   \* MERGEFORMAT </w:instrText>
        </w:r>
        <w:r w:rsidR="003F1820">
          <w:fldChar w:fldCharType="separate"/>
        </w:r>
        <w:r w:rsidR="007127A2">
          <w:rPr>
            <w:noProof/>
          </w:rPr>
          <w:t>1</w:t>
        </w:r>
        <w:r w:rsidR="003F182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898FB" w14:textId="77777777" w:rsidR="00A64441" w:rsidRDefault="00A64441" w:rsidP="002B6029">
      <w:pPr>
        <w:spacing w:after="0" w:line="240" w:lineRule="auto"/>
      </w:pPr>
      <w:r>
        <w:separator/>
      </w:r>
    </w:p>
  </w:footnote>
  <w:footnote w:type="continuationSeparator" w:id="0">
    <w:p w14:paraId="351917FD" w14:textId="77777777" w:rsidR="00A64441" w:rsidRDefault="00A64441" w:rsidP="002B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CEDA" w14:textId="77777777" w:rsidR="002B6029" w:rsidRDefault="00755432" w:rsidP="003F1820">
    <w:pPr>
      <w:pStyle w:val="Header"/>
      <w:jc w:val="right"/>
    </w:pPr>
    <w:r>
      <w:t>BD Data Sheet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4D7"/>
    <w:multiLevelType w:val="hybridMultilevel"/>
    <w:tmpl w:val="78CA7270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1F497D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8301B"/>
    <w:multiLevelType w:val="hybridMultilevel"/>
    <w:tmpl w:val="611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A6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001A"/>
    <w:multiLevelType w:val="hybridMultilevel"/>
    <w:tmpl w:val="3B1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B73D5"/>
    <w:multiLevelType w:val="hybridMultilevel"/>
    <w:tmpl w:val="E3B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807B8"/>
    <w:multiLevelType w:val="hybridMultilevel"/>
    <w:tmpl w:val="9228962E"/>
    <w:lvl w:ilvl="0" w:tplc="0409000F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color w:val="1F497D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2C"/>
    <w:rsid w:val="000020B4"/>
    <w:rsid w:val="001812A3"/>
    <w:rsid w:val="00283921"/>
    <w:rsid w:val="002B6029"/>
    <w:rsid w:val="003300B8"/>
    <w:rsid w:val="003C6ACF"/>
    <w:rsid w:val="003F1820"/>
    <w:rsid w:val="0040097A"/>
    <w:rsid w:val="00450771"/>
    <w:rsid w:val="004935E0"/>
    <w:rsid w:val="004A0D2C"/>
    <w:rsid w:val="004B18EF"/>
    <w:rsid w:val="004C5EC6"/>
    <w:rsid w:val="004F608B"/>
    <w:rsid w:val="0053754E"/>
    <w:rsid w:val="00543ED2"/>
    <w:rsid w:val="00547082"/>
    <w:rsid w:val="00652F0C"/>
    <w:rsid w:val="00666F11"/>
    <w:rsid w:val="00686656"/>
    <w:rsid w:val="006A3A18"/>
    <w:rsid w:val="006B62D6"/>
    <w:rsid w:val="007127A2"/>
    <w:rsid w:val="0072312C"/>
    <w:rsid w:val="0073597C"/>
    <w:rsid w:val="0075520A"/>
    <w:rsid w:val="00755432"/>
    <w:rsid w:val="007C3C92"/>
    <w:rsid w:val="007F3620"/>
    <w:rsid w:val="008240C9"/>
    <w:rsid w:val="0088058F"/>
    <w:rsid w:val="008F60B6"/>
    <w:rsid w:val="009D0DDE"/>
    <w:rsid w:val="00A31FD1"/>
    <w:rsid w:val="00A479E5"/>
    <w:rsid w:val="00A64441"/>
    <w:rsid w:val="00A8272F"/>
    <w:rsid w:val="00BB20B6"/>
    <w:rsid w:val="00C41D4A"/>
    <w:rsid w:val="00C818BD"/>
    <w:rsid w:val="00D36939"/>
    <w:rsid w:val="00D710E0"/>
    <w:rsid w:val="00D962A2"/>
    <w:rsid w:val="00DB3606"/>
    <w:rsid w:val="00E3176D"/>
    <w:rsid w:val="00F37E7A"/>
    <w:rsid w:val="00F5718F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977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9"/>
  </w:style>
  <w:style w:type="paragraph" w:styleId="Footer">
    <w:name w:val="footer"/>
    <w:basedOn w:val="Normal"/>
    <w:link w:val="Foot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9"/>
  </w:style>
  <w:style w:type="paragraph" w:styleId="BalloonText">
    <w:name w:val="Balloon Text"/>
    <w:basedOn w:val="Normal"/>
    <w:link w:val="BalloonTextChar"/>
    <w:uiPriority w:val="99"/>
    <w:semiHidden/>
    <w:unhideWhenUsed/>
    <w:rsid w:val="008F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9"/>
  </w:style>
  <w:style w:type="paragraph" w:styleId="Footer">
    <w:name w:val="footer"/>
    <w:basedOn w:val="Normal"/>
    <w:link w:val="Foot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9"/>
  </w:style>
  <w:style w:type="paragraph" w:styleId="BalloonText">
    <w:name w:val="Balloon Text"/>
    <w:basedOn w:val="Normal"/>
    <w:link w:val="BalloonTextChar"/>
    <w:uiPriority w:val="99"/>
    <w:semiHidden/>
    <w:unhideWhenUsed/>
    <w:rsid w:val="008F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Hay, Sarah</dc:creator>
  <cp:lastModifiedBy>Douglas, Terri L.</cp:lastModifiedBy>
  <cp:revision>2</cp:revision>
  <dcterms:created xsi:type="dcterms:W3CDTF">2018-01-12T18:54:00Z</dcterms:created>
  <dcterms:modified xsi:type="dcterms:W3CDTF">2018-01-12T18:54:00Z</dcterms:modified>
</cp:coreProperties>
</file>