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BDB23" w14:textId="77777777" w:rsidR="002B6029" w:rsidRPr="003F1820" w:rsidRDefault="004E3A2C" w:rsidP="003F1820">
      <w:pPr>
        <w:pBdr>
          <w:bottom w:val="single" w:sz="12" w:space="1" w:color="auto"/>
        </w:pBdr>
        <w:tabs>
          <w:tab w:val="right" w:pos="9360"/>
        </w:tabs>
        <w:spacing w:after="0" w:line="240" w:lineRule="auto"/>
        <w:contextualSpacing/>
        <w:rPr>
          <w:sz w:val="24"/>
          <w:szCs w:val="24"/>
        </w:rPr>
      </w:pPr>
      <w:r>
        <w:rPr>
          <w:sz w:val="24"/>
          <w:szCs w:val="24"/>
        </w:rPr>
        <w:t>Consolidated Loans linked to BD Claims</w:t>
      </w:r>
      <w:r w:rsidR="003F1820" w:rsidRPr="003F1820">
        <w:rPr>
          <w:sz w:val="24"/>
          <w:szCs w:val="24"/>
        </w:rPr>
        <w:t xml:space="preserve"> </w:t>
      </w:r>
      <w:r w:rsidR="003F1820" w:rsidRPr="003F1820">
        <w:rPr>
          <w:sz w:val="24"/>
          <w:szCs w:val="24"/>
        </w:rPr>
        <w:tab/>
        <w:t>Office of Postsecondary Education</w:t>
      </w:r>
      <w:r w:rsidR="003F1820" w:rsidRPr="003F1820">
        <w:rPr>
          <w:sz w:val="24"/>
          <w:szCs w:val="24"/>
        </w:rPr>
        <w:tab/>
      </w:r>
    </w:p>
    <w:p w14:paraId="66E29CFD" w14:textId="77777777" w:rsidR="003F1820" w:rsidRPr="003F1820" w:rsidRDefault="003F1820" w:rsidP="003F1820">
      <w:pPr>
        <w:pBdr>
          <w:bottom w:val="single" w:sz="12" w:space="1" w:color="auto"/>
        </w:pBdr>
        <w:tabs>
          <w:tab w:val="right" w:pos="9360"/>
        </w:tabs>
        <w:spacing w:after="0" w:line="240" w:lineRule="auto"/>
        <w:contextualSpacing/>
        <w:rPr>
          <w:sz w:val="24"/>
          <w:szCs w:val="24"/>
        </w:rPr>
      </w:pPr>
      <w:r w:rsidRPr="003F1820">
        <w:rPr>
          <w:sz w:val="24"/>
          <w:szCs w:val="24"/>
        </w:rPr>
        <w:t>January 2018</w:t>
      </w:r>
      <w:r w:rsidRPr="003F1820">
        <w:rPr>
          <w:sz w:val="24"/>
          <w:szCs w:val="24"/>
        </w:rPr>
        <w:tab/>
        <w:t xml:space="preserve"> U.S. Department of Education</w:t>
      </w:r>
    </w:p>
    <w:p w14:paraId="1EAD767F" w14:textId="77777777" w:rsidR="003F1820" w:rsidRPr="003F1820" w:rsidRDefault="003F1820" w:rsidP="003F1820">
      <w:pPr>
        <w:spacing w:after="0" w:line="240" w:lineRule="auto"/>
        <w:contextualSpacing/>
        <w:rPr>
          <w:sz w:val="24"/>
          <w:szCs w:val="24"/>
        </w:rPr>
      </w:pPr>
    </w:p>
    <w:p w14:paraId="5C8344C8" w14:textId="0CA7AE3E" w:rsidR="00686656" w:rsidRDefault="002B6029" w:rsidP="003F1820">
      <w:pPr>
        <w:spacing w:after="0" w:line="240" w:lineRule="auto"/>
        <w:contextualSpacing/>
        <w:rPr>
          <w:sz w:val="24"/>
          <w:szCs w:val="24"/>
        </w:rPr>
      </w:pPr>
      <w:r w:rsidRPr="003F1820">
        <w:rPr>
          <w:sz w:val="24"/>
          <w:szCs w:val="24"/>
        </w:rPr>
        <w:t xml:space="preserve">The data presented here are </w:t>
      </w:r>
      <w:r w:rsidR="004E3A2C">
        <w:rPr>
          <w:sz w:val="24"/>
          <w:szCs w:val="24"/>
        </w:rPr>
        <w:t>consolidated loans associated with borrower defense claims</w:t>
      </w:r>
      <w:r w:rsidR="00E437B0">
        <w:rPr>
          <w:sz w:val="24"/>
          <w:szCs w:val="24"/>
        </w:rPr>
        <w:t>, s</w:t>
      </w:r>
      <w:r w:rsidR="004E3A2C">
        <w:rPr>
          <w:sz w:val="24"/>
          <w:szCs w:val="24"/>
        </w:rPr>
        <w:t>pecifically, the proportion of these loans that is attributable to the claim itself</w:t>
      </w:r>
      <w:r w:rsidRPr="003F1820">
        <w:rPr>
          <w:sz w:val="24"/>
          <w:szCs w:val="24"/>
        </w:rPr>
        <w:t xml:space="preserve">.  </w:t>
      </w:r>
      <w:r w:rsidR="00D962A2" w:rsidRPr="003F1820">
        <w:rPr>
          <w:sz w:val="24"/>
          <w:szCs w:val="24"/>
        </w:rPr>
        <w:t>The data were compiled by the U</w:t>
      </w:r>
      <w:r w:rsidR="00E437B0">
        <w:rPr>
          <w:sz w:val="24"/>
          <w:szCs w:val="24"/>
        </w:rPr>
        <w:t>.</w:t>
      </w:r>
      <w:r w:rsidR="00D962A2" w:rsidRPr="003F1820">
        <w:rPr>
          <w:sz w:val="24"/>
          <w:szCs w:val="24"/>
        </w:rPr>
        <w:t>S</w:t>
      </w:r>
      <w:r w:rsidR="00E437B0">
        <w:rPr>
          <w:sz w:val="24"/>
          <w:szCs w:val="24"/>
        </w:rPr>
        <w:t>.</w:t>
      </w:r>
      <w:r w:rsidR="00D962A2" w:rsidRPr="003F1820">
        <w:rPr>
          <w:sz w:val="24"/>
          <w:szCs w:val="24"/>
        </w:rPr>
        <w:t xml:space="preserve"> Department of Education’s Federal Student Aid (FSA)</w:t>
      </w:r>
      <w:r w:rsidR="0088058F" w:rsidRPr="003F1820">
        <w:rPr>
          <w:sz w:val="24"/>
          <w:szCs w:val="24"/>
        </w:rPr>
        <w:t xml:space="preserve">.  Data </w:t>
      </w:r>
      <w:r w:rsidR="00D962A2" w:rsidRPr="003F1820">
        <w:rPr>
          <w:sz w:val="24"/>
          <w:szCs w:val="24"/>
        </w:rPr>
        <w:t xml:space="preserve">are current as of </w:t>
      </w:r>
      <w:r w:rsidR="00686656">
        <w:rPr>
          <w:sz w:val="24"/>
          <w:szCs w:val="24"/>
        </w:rPr>
        <w:t>December 1</w:t>
      </w:r>
      <w:r w:rsidR="004E3A2C">
        <w:rPr>
          <w:sz w:val="24"/>
          <w:szCs w:val="24"/>
        </w:rPr>
        <w:t>5</w:t>
      </w:r>
      <w:r w:rsidR="00686656">
        <w:rPr>
          <w:sz w:val="24"/>
          <w:szCs w:val="24"/>
        </w:rPr>
        <w:t>, 2017</w:t>
      </w:r>
      <w:r w:rsidR="007821D7">
        <w:rPr>
          <w:sz w:val="24"/>
          <w:szCs w:val="24"/>
        </w:rPr>
        <w:t>.</w:t>
      </w:r>
    </w:p>
    <w:p w14:paraId="17D449CE" w14:textId="77777777" w:rsidR="007821D7" w:rsidRPr="003F1820" w:rsidRDefault="007821D7" w:rsidP="003F1820">
      <w:pPr>
        <w:spacing w:after="0" w:line="240" w:lineRule="auto"/>
        <w:contextualSpacing/>
        <w:rPr>
          <w:rFonts w:ascii="Calibri" w:hAnsi="Calibri"/>
          <w:sz w:val="24"/>
          <w:szCs w:val="24"/>
        </w:rPr>
      </w:pPr>
      <w:bookmarkStart w:id="0" w:name="_GoBack"/>
      <w:bookmarkEnd w:id="0"/>
    </w:p>
    <w:p w14:paraId="32F29CAD" w14:textId="77777777" w:rsidR="00686656" w:rsidRPr="003F1820" w:rsidRDefault="004E3A2C" w:rsidP="00686656">
      <w:pPr>
        <w:spacing w:after="0" w:line="240" w:lineRule="auto"/>
        <w:contextualSpacing/>
        <w:rPr>
          <w:rFonts w:ascii="Calibri" w:hAnsi="Calibri"/>
          <w:b/>
          <w:sz w:val="24"/>
          <w:szCs w:val="24"/>
        </w:rPr>
      </w:pPr>
      <w:r>
        <w:rPr>
          <w:rFonts w:ascii="Calibri" w:hAnsi="Calibri"/>
          <w:b/>
          <w:sz w:val="24"/>
          <w:szCs w:val="24"/>
        </w:rPr>
        <w:t>Table B</w:t>
      </w:r>
      <w:r w:rsidR="00686656" w:rsidRPr="003F1820">
        <w:rPr>
          <w:rFonts w:ascii="Calibri" w:hAnsi="Calibri"/>
          <w:b/>
          <w:sz w:val="24"/>
          <w:szCs w:val="24"/>
        </w:rPr>
        <w:t xml:space="preserve">.1: </w:t>
      </w:r>
      <w:r>
        <w:rPr>
          <w:rFonts w:ascii="Calibri" w:hAnsi="Calibri"/>
          <w:b/>
          <w:sz w:val="24"/>
          <w:szCs w:val="24"/>
        </w:rPr>
        <w:t>Consolidated Loans</w:t>
      </w:r>
      <w:r w:rsidR="007B6E2A">
        <w:rPr>
          <w:rFonts w:ascii="Calibri" w:hAnsi="Calibri"/>
          <w:b/>
          <w:sz w:val="24"/>
          <w:szCs w:val="24"/>
        </w:rPr>
        <w:t xml:space="preserve"> associated with BD Claims</w:t>
      </w:r>
    </w:p>
    <w:tbl>
      <w:tblPr>
        <w:tblW w:w="7277" w:type="dxa"/>
        <w:tblInd w:w="18" w:type="dxa"/>
        <w:tblLayout w:type="fixed"/>
        <w:tblCellMar>
          <w:top w:w="58" w:type="dxa"/>
          <w:left w:w="58" w:type="dxa"/>
          <w:bottom w:w="58" w:type="dxa"/>
          <w:right w:w="58" w:type="dxa"/>
        </w:tblCellMar>
        <w:tblLook w:val="04A0" w:firstRow="1" w:lastRow="0" w:firstColumn="1" w:lastColumn="0" w:noHBand="0" w:noVBand="1"/>
      </w:tblPr>
      <w:tblGrid>
        <w:gridCol w:w="1980"/>
        <w:gridCol w:w="2430"/>
        <w:gridCol w:w="1980"/>
        <w:gridCol w:w="887"/>
      </w:tblGrid>
      <w:tr w:rsidR="007B6E2A" w:rsidRPr="007B6E2A" w14:paraId="16C56851" w14:textId="77777777" w:rsidTr="007B6E2A">
        <w:trPr>
          <w:trHeight w:val="300"/>
        </w:trPr>
        <w:tc>
          <w:tcPr>
            <w:tcW w:w="1980" w:type="dxa"/>
            <w:tcBorders>
              <w:top w:val="single" w:sz="8" w:space="0" w:color="000000"/>
              <w:left w:val="single" w:sz="8" w:space="0" w:color="000000"/>
              <w:bottom w:val="single" w:sz="8" w:space="0" w:color="000000"/>
              <w:right w:val="single" w:sz="8" w:space="0" w:color="000000"/>
            </w:tcBorders>
            <w:shd w:val="clear" w:color="auto" w:fill="C4D79B"/>
            <w:noWrap/>
            <w:tcMar>
              <w:top w:w="0" w:type="dxa"/>
              <w:left w:w="108" w:type="dxa"/>
              <w:bottom w:w="0" w:type="dxa"/>
              <w:right w:w="108" w:type="dxa"/>
            </w:tcMar>
            <w:vAlign w:val="center"/>
          </w:tcPr>
          <w:p w14:paraId="20716188" w14:textId="77777777" w:rsidR="007B6E2A" w:rsidRPr="007B6E2A" w:rsidRDefault="007B6E2A" w:rsidP="007B6E2A">
            <w:pPr>
              <w:spacing w:after="0" w:line="240" w:lineRule="auto"/>
              <w:contextualSpacing/>
              <w:jc w:val="center"/>
              <w:rPr>
                <w:rFonts w:ascii="Calibri" w:hAnsi="Calibri"/>
                <w:b/>
                <w:sz w:val="24"/>
                <w:szCs w:val="24"/>
              </w:rPr>
            </w:pPr>
            <w:r w:rsidRPr="007B6E2A">
              <w:rPr>
                <w:rFonts w:ascii="Calibri" w:hAnsi="Calibri"/>
                <w:b/>
                <w:sz w:val="24"/>
                <w:szCs w:val="24"/>
              </w:rPr>
              <w:t>BD Claims</w:t>
            </w:r>
          </w:p>
        </w:tc>
        <w:tc>
          <w:tcPr>
            <w:tcW w:w="2430" w:type="dxa"/>
            <w:tcBorders>
              <w:top w:val="single" w:sz="8" w:space="0" w:color="000000"/>
              <w:left w:val="nil"/>
              <w:bottom w:val="single" w:sz="8" w:space="0" w:color="000000"/>
              <w:right w:val="single" w:sz="8" w:space="0" w:color="000000"/>
            </w:tcBorders>
            <w:shd w:val="clear" w:color="auto" w:fill="C4D79B"/>
            <w:noWrap/>
            <w:tcMar>
              <w:top w:w="0" w:type="dxa"/>
              <w:left w:w="108" w:type="dxa"/>
              <w:bottom w:w="0" w:type="dxa"/>
              <w:right w:w="108" w:type="dxa"/>
            </w:tcMar>
            <w:vAlign w:val="center"/>
          </w:tcPr>
          <w:p w14:paraId="38B7593A" w14:textId="77777777" w:rsidR="007B6E2A" w:rsidRDefault="007B6E2A" w:rsidP="007B6E2A">
            <w:pPr>
              <w:spacing w:after="0" w:line="240" w:lineRule="auto"/>
              <w:contextualSpacing/>
              <w:jc w:val="center"/>
              <w:rPr>
                <w:rFonts w:ascii="Calibri" w:hAnsi="Calibri"/>
                <w:b/>
                <w:sz w:val="24"/>
                <w:szCs w:val="24"/>
              </w:rPr>
            </w:pPr>
            <w:r>
              <w:rPr>
                <w:rFonts w:ascii="Calibri" w:hAnsi="Calibri"/>
                <w:b/>
                <w:sz w:val="24"/>
                <w:szCs w:val="24"/>
              </w:rPr>
              <w:t>Sum of loan value</w:t>
            </w:r>
          </w:p>
          <w:p w14:paraId="6CE6D019" w14:textId="77777777" w:rsidR="007B6E2A" w:rsidRPr="007B6E2A" w:rsidRDefault="007B6E2A" w:rsidP="007B6E2A">
            <w:pPr>
              <w:spacing w:after="0" w:line="240" w:lineRule="auto"/>
              <w:contextualSpacing/>
              <w:jc w:val="center"/>
              <w:rPr>
                <w:rFonts w:ascii="Calibri" w:hAnsi="Calibri"/>
                <w:b/>
                <w:sz w:val="24"/>
                <w:szCs w:val="24"/>
              </w:rPr>
            </w:pPr>
            <w:r w:rsidRPr="007B6E2A">
              <w:rPr>
                <w:rFonts w:ascii="Calibri" w:hAnsi="Calibri"/>
                <w:b/>
                <w:sz w:val="24"/>
                <w:szCs w:val="24"/>
              </w:rPr>
              <w:t>attributable to claim</w:t>
            </w:r>
          </w:p>
        </w:tc>
        <w:tc>
          <w:tcPr>
            <w:tcW w:w="1980" w:type="dxa"/>
            <w:tcBorders>
              <w:top w:val="single" w:sz="8" w:space="0" w:color="000000"/>
              <w:left w:val="nil"/>
              <w:bottom w:val="single" w:sz="8" w:space="0" w:color="000000"/>
              <w:right w:val="single" w:sz="8" w:space="0" w:color="000000"/>
            </w:tcBorders>
            <w:shd w:val="clear" w:color="auto" w:fill="C4D79B"/>
            <w:vAlign w:val="center"/>
          </w:tcPr>
          <w:p w14:paraId="6DCA3A9A" w14:textId="77777777" w:rsidR="007B6E2A" w:rsidRPr="007B6E2A" w:rsidRDefault="007B6E2A" w:rsidP="007B6E2A">
            <w:pPr>
              <w:spacing w:after="0" w:line="240" w:lineRule="auto"/>
              <w:contextualSpacing/>
              <w:jc w:val="center"/>
              <w:rPr>
                <w:rFonts w:ascii="Calibri" w:hAnsi="Calibri"/>
                <w:b/>
                <w:sz w:val="24"/>
                <w:szCs w:val="24"/>
              </w:rPr>
            </w:pPr>
            <w:r>
              <w:rPr>
                <w:rFonts w:ascii="Calibri" w:hAnsi="Calibri"/>
                <w:b/>
                <w:sz w:val="24"/>
                <w:szCs w:val="24"/>
              </w:rPr>
              <w:t>Sum of loan value</w:t>
            </w:r>
          </w:p>
        </w:tc>
        <w:tc>
          <w:tcPr>
            <w:tcW w:w="887" w:type="dxa"/>
            <w:tcBorders>
              <w:top w:val="single" w:sz="8" w:space="0" w:color="000000"/>
              <w:left w:val="nil"/>
              <w:bottom w:val="single" w:sz="8" w:space="0" w:color="000000"/>
              <w:right w:val="single" w:sz="8" w:space="0" w:color="000000"/>
            </w:tcBorders>
            <w:shd w:val="clear" w:color="auto" w:fill="C4D79B"/>
            <w:vAlign w:val="center"/>
          </w:tcPr>
          <w:p w14:paraId="023718F7" w14:textId="77777777" w:rsidR="007B6E2A" w:rsidRPr="007B6E2A" w:rsidRDefault="007B6E2A" w:rsidP="007B6E2A">
            <w:pPr>
              <w:spacing w:after="0" w:line="240" w:lineRule="auto"/>
              <w:contextualSpacing/>
              <w:jc w:val="center"/>
              <w:rPr>
                <w:rFonts w:ascii="Calibri" w:hAnsi="Calibri"/>
                <w:b/>
                <w:sz w:val="24"/>
                <w:szCs w:val="24"/>
              </w:rPr>
            </w:pPr>
            <w:r>
              <w:rPr>
                <w:rFonts w:ascii="Calibri" w:hAnsi="Calibri"/>
                <w:b/>
                <w:sz w:val="24"/>
                <w:szCs w:val="24"/>
              </w:rPr>
              <w:t>Percent</w:t>
            </w:r>
          </w:p>
        </w:tc>
      </w:tr>
      <w:tr w:rsidR="007B6E2A" w:rsidRPr="007B6E2A" w14:paraId="6A98F813" w14:textId="77777777" w:rsidTr="007B6E2A">
        <w:trPr>
          <w:trHeight w:val="300"/>
        </w:trPr>
        <w:tc>
          <w:tcPr>
            <w:tcW w:w="198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bottom"/>
          </w:tcPr>
          <w:p w14:paraId="2E3FA1D4" w14:textId="77777777" w:rsidR="007B6E2A" w:rsidRPr="007B6E2A" w:rsidRDefault="007B6E2A" w:rsidP="007B6E2A">
            <w:pPr>
              <w:spacing w:after="0" w:line="240" w:lineRule="auto"/>
              <w:contextualSpacing/>
              <w:rPr>
                <w:rFonts w:ascii="Calibri" w:hAnsi="Calibri"/>
                <w:sz w:val="24"/>
                <w:szCs w:val="24"/>
              </w:rPr>
            </w:pPr>
            <w:r w:rsidRPr="007B6E2A">
              <w:rPr>
                <w:rFonts w:ascii="Calibri" w:hAnsi="Calibri"/>
                <w:sz w:val="24"/>
                <w:szCs w:val="24"/>
              </w:rPr>
              <w:t>Approved Claims</w:t>
            </w:r>
          </w:p>
        </w:tc>
        <w:tc>
          <w:tcPr>
            <w:tcW w:w="2430" w:type="dxa"/>
            <w:tcBorders>
              <w:top w:val="nil"/>
              <w:left w:val="nil"/>
              <w:bottom w:val="single" w:sz="8" w:space="0" w:color="C0C0C0"/>
              <w:right w:val="single" w:sz="8" w:space="0" w:color="C0C0C0"/>
            </w:tcBorders>
            <w:tcMar>
              <w:top w:w="0" w:type="dxa"/>
              <w:left w:w="108" w:type="dxa"/>
              <w:bottom w:w="0" w:type="dxa"/>
              <w:right w:w="108" w:type="dxa"/>
            </w:tcMar>
            <w:vAlign w:val="center"/>
          </w:tcPr>
          <w:p w14:paraId="5A30078C" w14:textId="77777777" w:rsidR="007B6E2A" w:rsidRPr="007B6E2A" w:rsidRDefault="007B6E2A" w:rsidP="00E437B0">
            <w:pPr>
              <w:spacing w:after="0" w:line="240" w:lineRule="auto"/>
              <w:contextualSpacing/>
              <w:jc w:val="right"/>
              <w:rPr>
                <w:rFonts w:ascii="Calibri" w:hAnsi="Calibri"/>
                <w:color w:val="000000"/>
                <w:sz w:val="24"/>
                <w:szCs w:val="24"/>
              </w:rPr>
            </w:pPr>
            <w:r w:rsidRPr="007B6E2A">
              <w:rPr>
                <w:rFonts w:ascii="Calibri" w:hAnsi="Calibri"/>
                <w:color w:val="000000"/>
                <w:sz w:val="24"/>
                <w:szCs w:val="24"/>
              </w:rPr>
              <w:t>$7,555,</w:t>
            </w:r>
            <w:r w:rsidR="00E437B0">
              <w:rPr>
                <w:rFonts w:ascii="Calibri" w:hAnsi="Calibri"/>
                <w:color w:val="000000"/>
                <w:sz w:val="24"/>
                <w:szCs w:val="24"/>
              </w:rPr>
              <w:t>940</w:t>
            </w:r>
          </w:p>
        </w:tc>
        <w:tc>
          <w:tcPr>
            <w:tcW w:w="1980" w:type="dxa"/>
            <w:tcBorders>
              <w:top w:val="nil"/>
              <w:left w:val="nil"/>
              <w:bottom w:val="single" w:sz="8" w:space="0" w:color="C0C0C0"/>
              <w:right w:val="single" w:sz="8" w:space="0" w:color="C0C0C0"/>
            </w:tcBorders>
            <w:vAlign w:val="center"/>
          </w:tcPr>
          <w:p w14:paraId="7F9E7546" w14:textId="77777777" w:rsidR="007B6E2A" w:rsidRPr="007B6E2A" w:rsidRDefault="007B6E2A" w:rsidP="00E437B0">
            <w:pPr>
              <w:spacing w:after="0" w:line="240" w:lineRule="auto"/>
              <w:contextualSpacing/>
              <w:jc w:val="right"/>
              <w:rPr>
                <w:rFonts w:ascii="Calibri" w:hAnsi="Calibri"/>
                <w:color w:val="000000"/>
                <w:sz w:val="24"/>
                <w:szCs w:val="24"/>
              </w:rPr>
            </w:pPr>
            <w:r w:rsidRPr="007B6E2A">
              <w:rPr>
                <w:rFonts w:ascii="Calibri" w:hAnsi="Calibri"/>
                <w:color w:val="000000"/>
                <w:sz w:val="24"/>
                <w:szCs w:val="24"/>
              </w:rPr>
              <w:t>$11,122,</w:t>
            </w:r>
            <w:r w:rsidR="00E437B0">
              <w:rPr>
                <w:rFonts w:ascii="Calibri" w:hAnsi="Calibri"/>
                <w:color w:val="000000"/>
                <w:sz w:val="24"/>
                <w:szCs w:val="24"/>
              </w:rPr>
              <w:t>040</w:t>
            </w:r>
          </w:p>
        </w:tc>
        <w:tc>
          <w:tcPr>
            <w:tcW w:w="887" w:type="dxa"/>
            <w:tcBorders>
              <w:top w:val="nil"/>
              <w:left w:val="nil"/>
              <w:bottom w:val="single" w:sz="8" w:space="0" w:color="C0C0C0"/>
              <w:right w:val="single" w:sz="8" w:space="0" w:color="C0C0C0"/>
            </w:tcBorders>
            <w:vAlign w:val="center"/>
          </w:tcPr>
          <w:p w14:paraId="7D060273" w14:textId="77777777" w:rsidR="007B6E2A" w:rsidRPr="007B6E2A" w:rsidRDefault="007B6E2A" w:rsidP="007B6E2A">
            <w:pPr>
              <w:spacing w:after="0" w:line="240" w:lineRule="auto"/>
              <w:contextualSpacing/>
              <w:jc w:val="right"/>
              <w:rPr>
                <w:rFonts w:ascii="Calibri" w:hAnsi="Calibri"/>
                <w:sz w:val="24"/>
                <w:szCs w:val="24"/>
              </w:rPr>
            </w:pPr>
            <w:r w:rsidRPr="007B6E2A">
              <w:rPr>
                <w:rFonts w:ascii="Calibri" w:hAnsi="Calibri"/>
                <w:sz w:val="24"/>
                <w:szCs w:val="24"/>
              </w:rPr>
              <w:t>68%</w:t>
            </w:r>
          </w:p>
        </w:tc>
      </w:tr>
      <w:tr w:rsidR="007B6E2A" w:rsidRPr="007B6E2A" w14:paraId="3F090AFF" w14:textId="77777777" w:rsidTr="007B6E2A">
        <w:trPr>
          <w:trHeight w:val="300"/>
        </w:trPr>
        <w:tc>
          <w:tcPr>
            <w:tcW w:w="1980"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bottom"/>
          </w:tcPr>
          <w:p w14:paraId="0971EC50" w14:textId="77777777" w:rsidR="007B6E2A" w:rsidRPr="007B6E2A" w:rsidRDefault="007B6E2A" w:rsidP="007B6E2A">
            <w:pPr>
              <w:spacing w:after="0" w:line="240" w:lineRule="auto"/>
              <w:contextualSpacing/>
              <w:rPr>
                <w:rFonts w:ascii="Calibri" w:hAnsi="Calibri"/>
                <w:sz w:val="24"/>
                <w:szCs w:val="24"/>
              </w:rPr>
            </w:pPr>
            <w:r w:rsidRPr="007B6E2A">
              <w:rPr>
                <w:rFonts w:ascii="Calibri" w:hAnsi="Calibri"/>
                <w:sz w:val="24"/>
                <w:szCs w:val="24"/>
              </w:rPr>
              <w:t>All Claims</w:t>
            </w:r>
          </w:p>
        </w:tc>
        <w:tc>
          <w:tcPr>
            <w:tcW w:w="2430" w:type="dxa"/>
            <w:tcBorders>
              <w:top w:val="nil"/>
              <w:left w:val="nil"/>
              <w:bottom w:val="single" w:sz="8" w:space="0" w:color="C0C0C0"/>
              <w:right w:val="single" w:sz="8" w:space="0" w:color="C0C0C0"/>
            </w:tcBorders>
            <w:tcMar>
              <w:top w:w="0" w:type="dxa"/>
              <w:left w:w="108" w:type="dxa"/>
              <w:bottom w:w="0" w:type="dxa"/>
              <w:right w:w="108" w:type="dxa"/>
            </w:tcMar>
            <w:vAlign w:val="center"/>
          </w:tcPr>
          <w:p w14:paraId="728372C1" w14:textId="77777777" w:rsidR="007B6E2A" w:rsidRPr="007B6E2A" w:rsidRDefault="007B6E2A" w:rsidP="00E437B0">
            <w:pPr>
              <w:spacing w:after="0" w:line="240" w:lineRule="auto"/>
              <w:contextualSpacing/>
              <w:jc w:val="right"/>
              <w:rPr>
                <w:rFonts w:ascii="Calibri" w:hAnsi="Calibri"/>
                <w:color w:val="000000"/>
                <w:sz w:val="24"/>
                <w:szCs w:val="24"/>
              </w:rPr>
            </w:pPr>
            <w:r w:rsidRPr="007B6E2A">
              <w:rPr>
                <w:rFonts w:ascii="Calibri" w:hAnsi="Calibri"/>
                <w:color w:val="000000"/>
                <w:sz w:val="24"/>
                <w:szCs w:val="24"/>
              </w:rPr>
              <w:t>$812,176,800</w:t>
            </w:r>
          </w:p>
        </w:tc>
        <w:tc>
          <w:tcPr>
            <w:tcW w:w="1980" w:type="dxa"/>
            <w:tcBorders>
              <w:top w:val="nil"/>
              <w:left w:val="nil"/>
              <w:bottom w:val="single" w:sz="8" w:space="0" w:color="C0C0C0"/>
              <w:right w:val="single" w:sz="8" w:space="0" w:color="C0C0C0"/>
            </w:tcBorders>
            <w:vAlign w:val="center"/>
          </w:tcPr>
          <w:p w14:paraId="37D65112" w14:textId="77777777" w:rsidR="007B6E2A" w:rsidRPr="007B6E2A" w:rsidRDefault="007B6E2A" w:rsidP="00E437B0">
            <w:pPr>
              <w:spacing w:after="0" w:line="240" w:lineRule="auto"/>
              <w:contextualSpacing/>
              <w:jc w:val="right"/>
              <w:rPr>
                <w:rFonts w:ascii="Calibri" w:hAnsi="Calibri"/>
                <w:color w:val="000000"/>
                <w:sz w:val="24"/>
                <w:szCs w:val="24"/>
              </w:rPr>
            </w:pPr>
            <w:r w:rsidRPr="007B6E2A">
              <w:rPr>
                <w:rFonts w:ascii="Calibri" w:hAnsi="Calibri"/>
                <w:color w:val="000000"/>
                <w:sz w:val="24"/>
                <w:szCs w:val="24"/>
              </w:rPr>
              <w:t xml:space="preserve">$1,235,199,710 </w:t>
            </w:r>
          </w:p>
        </w:tc>
        <w:tc>
          <w:tcPr>
            <w:tcW w:w="887" w:type="dxa"/>
            <w:tcBorders>
              <w:top w:val="nil"/>
              <w:left w:val="nil"/>
              <w:bottom w:val="single" w:sz="8" w:space="0" w:color="C0C0C0"/>
              <w:right w:val="single" w:sz="8" w:space="0" w:color="C0C0C0"/>
            </w:tcBorders>
            <w:vAlign w:val="center"/>
          </w:tcPr>
          <w:p w14:paraId="33F0FC3A" w14:textId="77777777" w:rsidR="007B6E2A" w:rsidRPr="007B6E2A" w:rsidRDefault="007B6E2A" w:rsidP="007B6E2A">
            <w:pPr>
              <w:spacing w:after="0" w:line="240" w:lineRule="auto"/>
              <w:contextualSpacing/>
              <w:jc w:val="right"/>
              <w:rPr>
                <w:rFonts w:ascii="Calibri" w:hAnsi="Calibri"/>
                <w:sz w:val="24"/>
                <w:szCs w:val="24"/>
              </w:rPr>
            </w:pPr>
            <w:r w:rsidRPr="007B6E2A">
              <w:rPr>
                <w:rFonts w:ascii="Calibri" w:hAnsi="Calibri"/>
                <w:sz w:val="24"/>
                <w:szCs w:val="24"/>
              </w:rPr>
              <w:t>66%</w:t>
            </w:r>
          </w:p>
        </w:tc>
      </w:tr>
    </w:tbl>
    <w:p w14:paraId="58F7AEE1" w14:textId="77777777" w:rsidR="00686656" w:rsidRPr="007B6E2A" w:rsidRDefault="00686656" w:rsidP="00686656">
      <w:pPr>
        <w:spacing w:after="0" w:line="240" w:lineRule="auto"/>
        <w:contextualSpacing/>
        <w:rPr>
          <w:sz w:val="24"/>
          <w:szCs w:val="24"/>
        </w:rPr>
      </w:pPr>
    </w:p>
    <w:p w14:paraId="30FCCA33" w14:textId="77777777" w:rsidR="003F1820" w:rsidRPr="003F1820" w:rsidRDefault="003F1820" w:rsidP="003F1820">
      <w:pPr>
        <w:spacing w:after="0" w:line="240" w:lineRule="auto"/>
        <w:contextualSpacing/>
        <w:rPr>
          <w:rFonts w:ascii="Calibri" w:hAnsi="Calibri"/>
          <w:sz w:val="24"/>
          <w:szCs w:val="24"/>
        </w:rPr>
      </w:pPr>
      <w:r w:rsidRPr="003F1820">
        <w:rPr>
          <w:rFonts w:ascii="Calibri" w:hAnsi="Calibri"/>
          <w:sz w:val="24"/>
          <w:szCs w:val="24"/>
        </w:rPr>
        <w:t>Assumptions</w:t>
      </w:r>
    </w:p>
    <w:p w14:paraId="6CE5E5E9" w14:textId="77777777" w:rsidR="003F1820" w:rsidRPr="007B6E2A" w:rsidRDefault="007B6E2A" w:rsidP="007B6E2A">
      <w:pPr>
        <w:pStyle w:val="ListParagraph"/>
        <w:numPr>
          <w:ilvl w:val="0"/>
          <w:numId w:val="7"/>
        </w:numPr>
        <w:ind w:left="360"/>
        <w:contextualSpacing/>
        <w:rPr>
          <w:rFonts w:ascii="Calibri" w:hAnsi="Calibri"/>
        </w:rPr>
      </w:pPr>
      <w:r>
        <w:rPr>
          <w:rFonts w:ascii="Calibri" w:hAnsi="Calibri"/>
        </w:rPr>
        <w:t>For approved claims, the value attributed to the claim is for the implicated program and school.</w:t>
      </w:r>
    </w:p>
    <w:p w14:paraId="4AB1FE40" w14:textId="77777777" w:rsidR="003F1820" w:rsidRPr="003410CD" w:rsidRDefault="007B6E2A" w:rsidP="003F1820">
      <w:pPr>
        <w:pStyle w:val="ListParagraph"/>
        <w:numPr>
          <w:ilvl w:val="0"/>
          <w:numId w:val="7"/>
        </w:numPr>
        <w:ind w:left="360"/>
        <w:contextualSpacing/>
      </w:pPr>
      <w:r>
        <w:rPr>
          <w:rFonts w:ascii="Calibri" w:hAnsi="Calibri"/>
        </w:rPr>
        <w:t xml:space="preserve">For all claims, the value attributed to the claim is for the implicated school.  </w:t>
      </w:r>
    </w:p>
    <w:p w14:paraId="2973B897" w14:textId="77777777" w:rsidR="003410CD" w:rsidRPr="00994FD7" w:rsidRDefault="003410CD" w:rsidP="003F1820">
      <w:pPr>
        <w:pStyle w:val="ListParagraph"/>
        <w:numPr>
          <w:ilvl w:val="0"/>
          <w:numId w:val="7"/>
        </w:numPr>
        <w:ind w:left="360"/>
        <w:contextualSpacing/>
      </w:pPr>
      <w:r>
        <w:rPr>
          <w:rFonts w:ascii="Calibri" w:hAnsi="Calibri"/>
        </w:rPr>
        <w:t xml:space="preserve">Consolidated loans were only considered if the SSN of the borrower was in the Borrower Defense Database and one of the loans in the consolidation was for the school implicated in the </w:t>
      </w:r>
      <w:r w:rsidR="00496D76">
        <w:rPr>
          <w:rFonts w:ascii="Calibri" w:hAnsi="Calibri"/>
        </w:rPr>
        <w:t>claim</w:t>
      </w:r>
      <w:r>
        <w:rPr>
          <w:rFonts w:ascii="Calibri" w:hAnsi="Calibri"/>
        </w:rPr>
        <w:t>.</w:t>
      </w:r>
    </w:p>
    <w:p w14:paraId="3F5FC80A" w14:textId="588A0645" w:rsidR="00994FD7" w:rsidRPr="00686656" w:rsidRDefault="00994FD7" w:rsidP="003F1820">
      <w:pPr>
        <w:pStyle w:val="ListParagraph"/>
        <w:numPr>
          <w:ilvl w:val="0"/>
          <w:numId w:val="7"/>
        </w:numPr>
        <w:ind w:left="360"/>
        <w:contextualSpacing/>
      </w:pPr>
      <w:r>
        <w:rPr>
          <w:rFonts w:ascii="Calibri" w:hAnsi="Calibri"/>
        </w:rPr>
        <w:t>Sums were rounded to the nearest tens digit.</w:t>
      </w:r>
    </w:p>
    <w:p w14:paraId="577D3C71" w14:textId="77777777" w:rsidR="003F1820" w:rsidRPr="003F1820" w:rsidRDefault="003F1820" w:rsidP="003F1820">
      <w:pPr>
        <w:spacing w:after="0" w:line="240" w:lineRule="auto"/>
        <w:contextualSpacing/>
        <w:rPr>
          <w:sz w:val="24"/>
          <w:szCs w:val="24"/>
        </w:rPr>
      </w:pPr>
    </w:p>
    <w:sectPr w:rsidR="003F1820" w:rsidRPr="003F18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B8607" w14:textId="77777777" w:rsidR="00E43A2E" w:rsidRDefault="00E43A2E" w:rsidP="002B6029">
      <w:pPr>
        <w:spacing w:after="0" w:line="240" w:lineRule="auto"/>
      </w:pPr>
      <w:r>
        <w:separator/>
      </w:r>
    </w:p>
  </w:endnote>
  <w:endnote w:type="continuationSeparator" w:id="0">
    <w:p w14:paraId="0321BE9C" w14:textId="77777777" w:rsidR="00E43A2E" w:rsidRDefault="00E43A2E" w:rsidP="002B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41450"/>
      <w:docPartObj>
        <w:docPartGallery w:val="Page Numbers (Bottom of Page)"/>
        <w:docPartUnique/>
      </w:docPartObj>
    </w:sdtPr>
    <w:sdtEndPr>
      <w:rPr>
        <w:noProof/>
      </w:rPr>
    </w:sdtEndPr>
    <w:sdtContent>
      <w:p w14:paraId="27D319A2" w14:textId="77777777" w:rsidR="00C818BD" w:rsidRDefault="00686656" w:rsidP="00686656">
        <w:pPr>
          <w:pStyle w:val="Footer"/>
          <w:jc w:val="right"/>
          <w:rPr>
            <w:noProof/>
          </w:rPr>
        </w:pPr>
        <w:r>
          <w:rPr>
            <w:noProof/>
          </w:rPr>
          <w:t>DRT 1813</w:t>
        </w:r>
        <w:r w:rsidR="004E3A2C">
          <w:rPr>
            <w:noProof/>
          </w:rPr>
          <w:t>.4</w:t>
        </w:r>
        <w:r w:rsidR="003F1820">
          <w:rPr>
            <w:noProof/>
          </w:rPr>
          <w:tab/>
          <w:t>PUBLIC</w:t>
        </w:r>
        <w:r w:rsidR="003F1820">
          <w:rPr>
            <w:noProof/>
          </w:rPr>
          <w:tab/>
        </w:r>
        <w:r w:rsidR="003F1820">
          <w:fldChar w:fldCharType="begin"/>
        </w:r>
        <w:r w:rsidR="003F1820">
          <w:instrText xml:space="preserve"> PAGE   \* MERGEFORMAT </w:instrText>
        </w:r>
        <w:r w:rsidR="003F1820">
          <w:fldChar w:fldCharType="separate"/>
        </w:r>
        <w:r w:rsidR="007821D7">
          <w:rPr>
            <w:noProof/>
          </w:rPr>
          <w:t>1</w:t>
        </w:r>
        <w:r w:rsidR="003F182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44DD4" w14:textId="77777777" w:rsidR="00E43A2E" w:rsidRDefault="00E43A2E" w:rsidP="002B6029">
      <w:pPr>
        <w:spacing w:after="0" w:line="240" w:lineRule="auto"/>
      </w:pPr>
      <w:r>
        <w:separator/>
      </w:r>
    </w:p>
  </w:footnote>
  <w:footnote w:type="continuationSeparator" w:id="0">
    <w:p w14:paraId="24AE971F" w14:textId="77777777" w:rsidR="00E43A2E" w:rsidRDefault="00E43A2E" w:rsidP="002B6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2C8A" w14:textId="77777777" w:rsidR="002B6029" w:rsidRPr="004E3A2C" w:rsidRDefault="004E3A2C" w:rsidP="003F1820">
    <w:pPr>
      <w:pStyle w:val="Header"/>
      <w:jc w:val="right"/>
    </w:pPr>
    <w:r>
      <w:t>BD Data Sheet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4D7"/>
    <w:multiLevelType w:val="hybridMultilevel"/>
    <w:tmpl w:val="78CA7270"/>
    <w:lvl w:ilvl="0" w:tplc="0409000F">
      <w:start w:val="1"/>
      <w:numFmt w:val="decimal"/>
      <w:lvlText w:val="%1."/>
      <w:lvlJc w:val="left"/>
      <w:pPr>
        <w:ind w:left="360" w:hanging="360"/>
      </w:pPr>
      <w:rPr>
        <w:strike w:val="0"/>
        <w:dstrike w:val="0"/>
        <w:color w:val="1F497D"/>
        <w:u w:val="none"/>
        <w:effect w:val="none"/>
      </w:rPr>
    </w:lvl>
    <w:lvl w:ilvl="1" w:tplc="04090001">
      <w:start w:val="1"/>
      <w:numFmt w:val="bullet"/>
      <w:lvlText w:val=""/>
      <w:lvlJc w:val="left"/>
      <w:pPr>
        <w:ind w:left="1080" w:hanging="360"/>
      </w:pPr>
      <w:rPr>
        <w:rFonts w:ascii="Symbol" w:hAnsi="Symbol" w:hint="default"/>
        <w:strike w:val="0"/>
        <w:dstrike w:val="0"/>
        <w:u w:val="none"/>
        <w:effect w:val="none"/>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128301B"/>
    <w:multiLevelType w:val="hybridMultilevel"/>
    <w:tmpl w:val="611E2606"/>
    <w:lvl w:ilvl="0" w:tplc="04090001">
      <w:start w:val="1"/>
      <w:numFmt w:val="bullet"/>
      <w:lvlText w:val=""/>
      <w:lvlJc w:val="left"/>
      <w:pPr>
        <w:ind w:left="720" w:hanging="360"/>
      </w:pPr>
      <w:rPr>
        <w:rFonts w:ascii="Symbol" w:hAnsi="Symbol" w:hint="default"/>
      </w:rPr>
    </w:lvl>
    <w:lvl w:ilvl="1" w:tplc="FB3A6A7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3001A"/>
    <w:multiLevelType w:val="hybridMultilevel"/>
    <w:tmpl w:val="3B1A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3D5"/>
    <w:multiLevelType w:val="hybridMultilevel"/>
    <w:tmpl w:val="E3B8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A807B8"/>
    <w:multiLevelType w:val="hybridMultilevel"/>
    <w:tmpl w:val="9228962E"/>
    <w:lvl w:ilvl="0" w:tplc="0409000F">
      <w:start w:val="1"/>
      <w:numFmt w:val="decimal"/>
      <w:lvlText w:val="%1."/>
      <w:lvlJc w:val="left"/>
      <w:pPr>
        <w:ind w:left="1080" w:hanging="360"/>
      </w:pPr>
      <w:rPr>
        <w:strike w:val="0"/>
        <w:dstrike w:val="0"/>
        <w:color w:val="1F497D"/>
        <w:u w:val="none"/>
        <w:effect w:val="none"/>
      </w:rPr>
    </w:lvl>
    <w:lvl w:ilvl="1" w:tplc="04090001">
      <w:start w:val="1"/>
      <w:numFmt w:val="bullet"/>
      <w:lvlText w:val=""/>
      <w:lvlJc w:val="left"/>
      <w:pPr>
        <w:ind w:left="1800" w:hanging="360"/>
      </w:pPr>
      <w:rPr>
        <w:rFonts w:ascii="Symbol" w:hAnsi="Symbol" w:hint="default"/>
        <w:strike w:val="0"/>
        <w:dstrike w:val="0"/>
        <w:u w:val="none"/>
        <w:effect w:val="no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0"/>
  </w:num>
  <w:num w:numId="4">
    <w:abstractNumId w:val="4"/>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C"/>
    <w:rsid w:val="00136C48"/>
    <w:rsid w:val="001812A3"/>
    <w:rsid w:val="00293623"/>
    <w:rsid w:val="002B6029"/>
    <w:rsid w:val="003410CD"/>
    <w:rsid w:val="003F1820"/>
    <w:rsid w:val="00496D76"/>
    <w:rsid w:val="004A0D2C"/>
    <w:rsid w:val="004E3A2C"/>
    <w:rsid w:val="0053754E"/>
    <w:rsid w:val="00547082"/>
    <w:rsid w:val="00686656"/>
    <w:rsid w:val="006B62D6"/>
    <w:rsid w:val="0075520A"/>
    <w:rsid w:val="007821D7"/>
    <w:rsid w:val="007B6E2A"/>
    <w:rsid w:val="007C3C92"/>
    <w:rsid w:val="008240C9"/>
    <w:rsid w:val="0088058F"/>
    <w:rsid w:val="00994FD7"/>
    <w:rsid w:val="009A1471"/>
    <w:rsid w:val="00A50E01"/>
    <w:rsid w:val="00C818BD"/>
    <w:rsid w:val="00D962A2"/>
    <w:rsid w:val="00E437B0"/>
    <w:rsid w:val="00E43A2E"/>
    <w:rsid w:val="00F9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D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2C"/>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B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29"/>
  </w:style>
  <w:style w:type="paragraph" w:styleId="Footer">
    <w:name w:val="footer"/>
    <w:basedOn w:val="Normal"/>
    <w:link w:val="FooterChar"/>
    <w:uiPriority w:val="99"/>
    <w:unhideWhenUsed/>
    <w:rsid w:val="002B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2C"/>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B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29"/>
  </w:style>
  <w:style w:type="paragraph" w:styleId="Footer">
    <w:name w:val="footer"/>
    <w:basedOn w:val="Normal"/>
    <w:link w:val="FooterChar"/>
    <w:uiPriority w:val="99"/>
    <w:unhideWhenUsed/>
    <w:rsid w:val="002B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8703">
      <w:bodyDiv w:val="1"/>
      <w:marLeft w:val="0"/>
      <w:marRight w:val="0"/>
      <w:marTop w:val="0"/>
      <w:marBottom w:val="0"/>
      <w:divBdr>
        <w:top w:val="none" w:sz="0" w:space="0" w:color="auto"/>
        <w:left w:val="none" w:sz="0" w:space="0" w:color="auto"/>
        <w:bottom w:val="none" w:sz="0" w:space="0" w:color="auto"/>
        <w:right w:val="none" w:sz="0" w:space="0" w:color="auto"/>
      </w:divBdr>
    </w:div>
    <w:div w:id="521357057">
      <w:bodyDiv w:val="1"/>
      <w:marLeft w:val="0"/>
      <w:marRight w:val="0"/>
      <w:marTop w:val="0"/>
      <w:marBottom w:val="0"/>
      <w:divBdr>
        <w:top w:val="none" w:sz="0" w:space="0" w:color="auto"/>
        <w:left w:val="none" w:sz="0" w:space="0" w:color="auto"/>
        <w:bottom w:val="none" w:sz="0" w:space="0" w:color="auto"/>
        <w:right w:val="none" w:sz="0" w:space="0" w:color="auto"/>
      </w:divBdr>
    </w:div>
    <w:div w:id="716004191">
      <w:bodyDiv w:val="1"/>
      <w:marLeft w:val="0"/>
      <w:marRight w:val="0"/>
      <w:marTop w:val="0"/>
      <w:marBottom w:val="0"/>
      <w:divBdr>
        <w:top w:val="none" w:sz="0" w:space="0" w:color="auto"/>
        <w:left w:val="none" w:sz="0" w:space="0" w:color="auto"/>
        <w:bottom w:val="none" w:sz="0" w:space="0" w:color="auto"/>
        <w:right w:val="none" w:sz="0" w:space="0" w:color="auto"/>
      </w:divBdr>
    </w:div>
    <w:div w:id="814837022">
      <w:bodyDiv w:val="1"/>
      <w:marLeft w:val="0"/>
      <w:marRight w:val="0"/>
      <w:marTop w:val="0"/>
      <w:marBottom w:val="0"/>
      <w:divBdr>
        <w:top w:val="none" w:sz="0" w:space="0" w:color="auto"/>
        <w:left w:val="none" w:sz="0" w:space="0" w:color="auto"/>
        <w:bottom w:val="none" w:sz="0" w:space="0" w:color="auto"/>
        <w:right w:val="none" w:sz="0" w:space="0" w:color="auto"/>
      </w:divBdr>
    </w:div>
    <w:div w:id="918565501">
      <w:bodyDiv w:val="1"/>
      <w:marLeft w:val="0"/>
      <w:marRight w:val="0"/>
      <w:marTop w:val="0"/>
      <w:marBottom w:val="0"/>
      <w:divBdr>
        <w:top w:val="none" w:sz="0" w:space="0" w:color="auto"/>
        <w:left w:val="none" w:sz="0" w:space="0" w:color="auto"/>
        <w:bottom w:val="none" w:sz="0" w:space="0" w:color="auto"/>
        <w:right w:val="none" w:sz="0" w:space="0" w:color="auto"/>
      </w:divBdr>
    </w:div>
    <w:div w:id="1117331464">
      <w:bodyDiv w:val="1"/>
      <w:marLeft w:val="0"/>
      <w:marRight w:val="0"/>
      <w:marTop w:val="0"/>
      <w:marBottom w:val="0"/>
      <w:divBdr>
        <w:top w:val="none" w:sz="0" w:space="0" w:color="auto"/>
        <w:left w:val="none" w:sz="0" w:space="0" w:color="auto"/>
        <w:bottom w:val="none" w:sz="0" w:space="0" w:color="auto"/>
        <w:right w:val="none" w:sz="0" w:space="0" w:color="auto"/>
      </w:divBdr>
    </w:div>
    <w:div w:id="1370835543">
      <w:bodyDiv w:val="1"/>
      <w:marLeft w:val="0"/>
      <w:marRight w:val="0"/>
      <w:marTop w:val="0"/>
      <w:marBottom w:val="0"/>
      <w:divBdr>
        <w:top w:val="none" w:sz="0" w:space="0" w:color="auto"/>
        <w:left w:val="none" w:sz="0" w:space="0" w:color="auto"/>
        <w:bottom w:val="none" w:sz="0" w:space="0" w:color="auto"/>
        <w:right w:val="none" w:sz="0" w:space="0" w:color="auto"/>
      </w:divBdr>
    </w:div>
    <w:div w:id="1394697409">
      <w:bodyDiv w:val="1"/>
      <w:marLeft w:val="0"/>
      <w:marRight w:val="0"/>
      <w:marTop w:val="0"/>
      <w:marBottom w:val="0"/>
      <w:divBdr>
        <w:top w:val="none" w:sz="0" w:space="0" w:color="auto"/>
        <w:left w:val="none" w:sz="0" w:space="0" w:color="auto"/>
        <w:bottom w:val="none" w:sz="0" w:space="0" w:color="auto"/>
        <w:right w:val="none" w:sz="0" w:space="0" w:color="auto"/>
      </w:divBdr>
    </w:div>
    <w:div w:id="1395733218">
      <w:bodyDiv w:val="1"/>
      <w:marLeft w:val="0"/>
      <w:marRight w:val="0"/>
      <w:marTop w:val="0"/>
      <w:marBottom w:val="0"/>
      <w:divBdr>
        <w:top w:val="none" w:sz="0" w:space="0" w:color="auto"/>
        <w:left w:val="none" w:sz="0" w:space="0" w:color="auto"/>
        <w:bottom w:val="none" w:sz="0" w:space="0" w:color="auto"/>
        <w:right w:val="none" w:sz="0" w:space="0" w:color="auto"/>
      </w:divBdr>
    </w:div>
    <w:div w:id="1810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Sarah</dc:creator>
  <cp:lastModifiedBy>Douglas, Terri L.</cp:lastModifiedBy>
  <cp:revision>2</cp:revision>
  <cp:lastPrinted>2018-01-05T18:39:00Z</cp:lastPrinted>
  <dcterms:created xsi:type="dcterms:W3CDTF">2018-01-12T18:55:00Z</dcterms:created>
  <dcterms:modified xsi:type="dcterms:W3CDTF">2018-01-12T18:55:00Z</dcterms:modified>
</cp:coreProperties>
</file>