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CF28A" w14:textId="77777777" w:rsidR="005446BC" w:rsidRPr="005446BC" w:rsidRDefault="005446BC" w:rsidP="005446BC">
      <w:pPr>
        <w:pStyle w:val="Normal1"/>
        <w:jc w:val="center"/>
        <w:rPr>
          <w:rFonts w:ascii="Times New Roman" w:hAnsi="Times New Roman"/>
          <w:b/>
        </w:rPr>
      </w:pPr>
      <w:bookmarkStart w:id="0" w:name="_GoBack"/>
      <w:bookmarkEnd w:id="0"/>
      <w:r w:rsidRPr="005446BC">
        <w:rPr>
          <w:rFonts w:ascii="Times New Roman" w:hAnsi="Times New Roman"/>
          <w:b/>
        </w:rPr>
        <w:t>Written Comment: Distance Education Accrediting Commission</w:t>
      </w:r>
    </w:p>
    <w:p w14:paraId="48A14F48" w14:textId="77777777" w:rsidR="005446BC" w:rsidRDefault="005446BC" w:rsidP="005446BC">
      <w:pPr>
        <w:pStyle w:val="Normal1"/>
        <w:rPr>
          <w:rFonts w:ascii="Times New Roman" w:hAnsi="Times New Roman"/>
        </w:rPr>
      </w:pPr>
    </w:p>
    <w:p w14:paraId="6F6B4B01" w14:textId="77777777" w:rsidR="005446BC" w:rsidRDefault="005446BC" w:rsidP="005446BC">
      <w:pPr>
        <w:pStyle w:val="Normal1"/>
        <w:jc w:val="center"/>
        <w:rPr>
          <w:rFonts w:ascii="Times New Roman" w:hAnsi="Times New Roman"/>
        </w:rPr>
      </w:pPr>
      <w:r>
        <w:rPr>
          <w:rFonts w:ascii="Times New Roman" w:hAnsi="Times New Roman"/>
        </w:rPr>
        <w:t>Submitted by: Walter Ochinko, Policy Director, Veterans Education Success and William Hubbard, VP for Government Affairs, Student Veterans of America</w:t>
      </w:r>
    </w:p>
    <w:p w14:paraId="02295B01" w14:textId="77777777" w:rsidR="005446BC" w:rsidRDefault="005446BC" w:rsidP="005446BC">
      <w:pPr>
        <w:pStyle w:val="Normal1"/>
        <w:rPr>
          <w:rFonts w:ascii="Times New Roman" w:hAnsi="Times New Roman"/>
        </w:rPr>
      </w:pPr>
    </w:p>
    <w:p w14:paraId="0794EF96" w14:textId="77777777" w:rsidR="005446BC" w:rsidRDefault="005446BC" w:rsidP="001F7F82">
      <w:pPr>
        <w:pStyle w:val="Normal1"/>
        <w:ind w:firstLine="720"/>
        <w:rPr>
          <w:rFonts w:ascii="Times New Roman" w:hAnsi="Times New Roman"/>
        </w:rPr>
      </w:pPr>
    </w:p>
    <w:p w14:paraId="77B80623" w14:textId="77777777" w:rsidR="001F7F82" w:rsidRDefault="00ED54F7" w:rsidP="001F7F82">
      <w:pPr>
        <w:pStyle w:val="Normal1"/>
        <w:ind w:firstLine="720"/>
        <w:rPr>
          <w:rFonts w:ascii="Times New Roman" w:hAnsi="Times New Roman"/>
        </w:rPr>
      </w:pPr>
      <w:r>
        <w:rPr>
          <w:rFonts w:ascii="Times New Roman" w:hAnsi="Times New Roman"/>
        </w:rPr>
        <w:t xml:space="preserve">Accreditation is an important quality control that students nationwide rely on.  We appreciate your careful stewardship of the nation’s accreditation system and urge you to always be vigilant on behalf of students. Accreditation matters especially to veterans and service members. Officials at both the Departments of Defense and Veterans Affairs </w:t>
      </w:r>
      <w:r w:rsidRPr="00AA67F1">
        <w:rPr>
          <w:rFonts w:ascii="Times New Roman" w:hAnsi="Times New Roman"/>
        </w:rPr>
        <w:t xml:space="preserve">have </w:t>
      </w:r>
      <w:r>
        <w:rPr>
          <w:rFonts w:ascii="Times New Roman" w:hAnsi="Times New Roman"/>
        </w:rPr>
        <w:t>said on numerous occasions that</w:t>
      </w:r>
      <w:r w:rsidRPr="00AA67F1">
        <w:rPr>
          <w:rFonts w:ascii="Times New Roman" w:hAnsi="Times New Roman"/>
        </w:rPr>
        <w:t xml:space="preserve"> they rely on accreditation as an indication that schools meet appropriate quality standards. However, accreditation is meaningless if the standards or enforcement of those standards is weak.</w:t>
      </w:r>
    </w:p>
    <w:p w14:paraId="69D069D5" w14:textId="77777777" w:rsidR="001F7F82" w:rsidRDefault="00864337" w:rsidP="001F7F82">
      <w:pPr>
        <w:pStyle w:val="Normal1"/>
        <w:ind w:firstLine="720"/>
        <w:rPr>
          <w:rFonts w:ascii="Times New Roman" w:hAnsi="Times New Roman"/>
        </w:rPr>
      </w:pPr>
    </w:p>
    <w:p w14:paraId="7B790E54" w14:textId="77777777" w:rsidR="001F7F82" w:rsidRDefault="00ED54F7" w:rsidP="001F7F82">
      <w:pPr>
        <w:pStyle w:val="Normal1"/>
        <w:ind w:firstLine="720"/>
        <w:rPr>
          <w:rFonts w:ascii="Times New Roman" w:hAnsi="Times New Roman"/>
        </w:rPr>
      </w:pPr>
      <w:r w:rsidRPr="00D34195">
        <w:rPr>
          <w:rFonts w:ascii="Times New Roman" w:hAnsi="Times New Roman"/>
        </w:rPr>
        <w:t xml:space="preserve">As you know, the recognition of the Distance Education Accrediting Commission (DEAC) is up for review and renewal this summer. As NACIQI evaluates DEAC’s track record, we </w:t>
      </w:r>
      <w:r>
        <w:rPr>
          <w:rFonts w:ascii="Times New Roman" w:hAnsi="Times New Roman"/>
        </w:rPr>
        <w:t>urge you to take into</w:t>
      </w:r>
      <w:r w:rsidRPr="00D34195">
        <w:rPr>
          <w:rFonts w:ascii="Times New Roman" w:hAnsi="Times New Roman"/>
        </w:rPr>
        <w:t xml:space="preserve"> consideration</w:t>
      </w:r>
      <w:r>
        <w:rPr>
          <w:rFonts w:ascii="Times New Roman" w:hAnsi="Times New Roman"/>
        </w:rPr>
        <w:t xml:space="preserve"> </w:t>
      </w:r>
      <w:r w:rsidRPr="00D34195">
        <w:rPr>
          <w:rFonts w:ascii="Times New Roman" w:hAnsi="Times New Roman"/>
        </w:rPr>
        <w:t>evidence of weaknesses in DEAC</w:t>
      </w:r>
      <w:r>
        <w:rPr>
          <w:rFonts w:ascii="Times New Roman" w:hAnsi="Times New Roman"/>
        </w:rPr>
        <w:t>’s</w:t>
      </w:r>
      <w:r w:rsidRPr="00D34195">
        <w:rPr>
          <w:rFonts w:ascii="Times New Roman" w:hAnsi="Times New Roman"/>
        </w:rPr>
        <w:t xml:space="preserve"> standards and its enforcement of those standards at </w:t>
      </w:r>
      <w:r>
        <w:rPr>
          <w:rFonts w:ascii="Times New Roman" w:hAnsi="Times New Roman"/>
        </w:rPr>
        <w:t xml:space="preserve">both Title IV and </w:t>
      </w:r>
      <w:r w:rsidRPr="00D34195">
        <w:rPr>
          <w:rFonts w:ascii="Times New Roman" w:hAnsi="Times New Roman"/>
        </w:rPr>
        <w:t>non-Title IV eligible schools</w:t>
      </w:r>
      <w:r>
        <w:rPr>
          <w:rFonts w:ascii="Times New Roman" w:hAnsi="Times New Roman"/>
        </w:rPr>
        <w:t xml:space="preserve"> that participate in the GI Bill</w:t>
      </w:r>
      <w:r w:rsidRPr="00D34195">
        <w:rPr>
          <w:rFonts w:ascii="Times New Roman" w:hAnsi="Times New Roman"/>
        </w:rPr>
        <w:t xml:space="preserve">. </w:t>
      </w:r>
      <w:r>
        <w:rPr>
          <w:rFonts w:ascii="Times New Roman" w:hAnsi="Times New Roman"/>
        </w:rPr>
        <w:t xml:space="preserve"> In particular, we urge you to consider legal actions and s</w:t>
      </w:r>
      <w:r w:rsidRPr="00D34195">
        <w:rPr>
          <w:rFonts w:ascii="Times New Roman" w:hAnsi="Times New Roman"/>
        </w:rPr>
        <w:t xml:space="preserve">ettlements </w:t>
      </w:r>
      <w:r>
        <w:rPr>
          <w:rFonts w:ascii="Times New Roman" w:hAnsi="Times New Roman"/>
        </w:rPr>
        <w:t xml:space="preserve">with DEAC accredited for-profit schools </w:t>
      </w:r>
      <w:r w:rsidRPr="00D34195">
        <w:rPr>
          <w:rFonts w:ascii="Times New Roman" w:hAnsi="Times New Roman"/>
        </w:rPr>
        <w:t xml:space="preserve">and </w:t>
      </w:r>
      <w:r>
        <w:rPr>
          <w:rFonts w:ascii="Times New Roman" w:hAnsi="Times New Roman"/>
        </w:rPr>
        <w:t xml:space="preserve">student veteran </w:t>
      </w:r>
      <w:r w:rsidRPr="00D34195">
        <w:rPr>
          <w:rFonts w:ascii="Times New Roman" w:hAnsi="Times New Roman"/>
        </w:rPr>
        <w:t>complaints received by both the Department of Veterans Affairs and Veterans Education Success</w:t>
      </w:r>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These legal actions and student veteran complaints</w:t>
      </w:r>
      <w:r w:rsidRPr="00D34195">
        <w:rPr>
          <w:rFonts w:ascii="Times New Roman" w:hAnsi="Times New Roman"/>
        </w:rPr>
        <w:t xml:space="preserve"> raise questions about the rigor and enforcement of </w:t>
      </w:r>
      <w:r>
        <w:rPr>
          <w:rFonts w:ascii="Times New Roman" w:hAnsi="Times New Roman"/>
        </w:rPr>
        <w:t>DEAC’s s</w:t>
      </w:r>
      <w:r w:rsidRPr="00D34195">
        <w:rPr>
          <w:rFonts w:ascii="Times New Roman" w:hAnsi="Times New Roman"/>
        </w:rPr>
        <w:t>tandards.</w:t>
      </w:r>
    </w:p>
    <w:p w14:paraId="6E27B9AE" w14:textId="77777777" w:rsidR="00BC5BC5" w:rsidRDefault="00864337" w:rsidP="00815FCD">
      <w:pPr>
        <w:pStyle w:val="Normal1"/>
        <w:ind w:firstLine="720"/>
        <w:rPr>
          <w:rFonts w:ascii="Times New Roman" w:hAnsi="Times New Roman"/>
        </w:rPr>
      </w:pPr>
    </w:p>
    <w:p w14:paraId="050B2A25" w14:textId="77777777" w:rsidR="00815FCD" w:rsidRPr="00D34195" w:rsidRDefault="00ED54F7" w:rsidP="001A5315">
      <w:pPr>
        <w:pStyle w:val="Normal1"/>
        <w:ind w:firstLine="720"/>
        <w:rPr>
          <w:rFonts w:ascii="Times New Roman" w:hAnsi="Times New Roman"/>
        </w:rPr>
      </w:pPr>
      <w:r>
        <w:rPr>
          <w:rFonts w:ascii="Times New Roman" w:hAnsi="Times New Roman"/>
        </w:rPr>
        <w:t xml:space="preserve">Your oversight of DEAC is particularly important to America’s veterans because </w:t>
      </w:r>
      <w:r w:rsidRPr="00D34195">
        <w:rPr>
          <w:rFonts w:ascii="Times New Roman" w:hAnsi="Times New Roman"/>
        </w:rPr>
        <w:t xml:space="preserve">the vast majority of schools accredited by DEAC do not participate in Title IV but are </w:t>
      </w:r>
      <w:r>
        <w:rPr>
          <w:rFonts w:ascii="Times New Roman" w:hAnsi="Times New Roman"/>
        </w:rPr>
        <w:t xml:space="preserve">nevertheless eligible for the </w:t>
      </w:r>
      <w:r w:rsidRPr="00D34195">
        <w:rPr>
          <w:rFonts w:ascii="Times New Roman" w:hAnsi="Times New Roman"/>
        </w:rPr>
        <w:t xml:space="preserve">GI Bill. </w:t>
      </w:r>
      <w:r>
        <w:rPr>
          <w:rFonts w:ascii="Times New Roman" w:hAnsi="Times New Roman"/>
        </w:rPr>
        <w:t>It would be unfortunate if NACIQI focused on DEAC accreditation of Title IV eligible schools and did not scrutinize signs of potential weaknesses in DEAC’s accreditation of the many non-Title IV schools that nonetheless serve veterans.</w:t>
      </w:r>
    </w:p>
    <w:p w14:paraId="185C9081" w14:textId="77777777" w:rsidR="00815FCD" w:rsidRPr="00D34195" w:rsidRDefault="00864337" w:rsidP="003969B3">
      <w:pPr>
        <w:pStyle w:val="Normal1"/>
        <w:rPr>
          <w:rFonts w:ascii="Times New Roman" w:hAnsi="Times New Roman"/>
        </w:rPr>
      </w:pPr>
    </w:p>
    <w:p w14:paraId="32206E25" w14:textId="77777777" w:rsidR="00815FCD" w:rsidRDefault="00ED54F7" w:rsidP="00815FCD">
      <w:pPr>
        <w:pStyle w:val="Normal1"/>
        <w:ind w:firstLine="720"/>
        <w:rPr>
          <w:rFonts w:ascii="Times New Roman" w:hAnsi="Times New Roman"/>
        </w:rPr>
      </w:pPr>
      <w:r w:rsidRPr="00D34195">
        <w:rPr>
          <w:rFonts w:ascii="Times New Roman" w:hAnsi="Times New Roman"/>
        </w:rPr>
        <w:t xml:space="preserve">A factor that contributed to the de-recognition of the Accrediting Council for Independent Colleges and School’s (ACICS) last year was its failure to ferret out problems at schools that ultimately were investigated by and reached settlements with federal and state authorities. </w:t>
      </w:r>
      <w:r>
        <w:rPr>
          <w:rFonts w:ascii="Times New Roman" w:hAnsi="Times New Roman"/>
        </w:rPr>
        <w:t>Therefore, we encourage your careful attention to both the legal actions and the student veteran complaints against DEAC accredited schools.</w:t>
      </w:r>
    </w:p>
    <w:p w14:paraId="212E4DA5" w14:textId="77777777" w:rsidR="00815FCD" w:rsidRDefault="00864337" w:rsidP="00815FCD">
      <w:pPr>
        <w:pStyle w:val="Normal1"/>
        <w:rPr>
          <w:rFonts w:ascii="Times New Roman" w:hAnsi="Times New Roman"/>
        </w:rPr>
      </w:pPr>
    </w:p>
    <w:p w14:paraId="0865825E" w14:textId="77777777" w:rsidR="00815FCD" w:rsidRDefault="00ED54F7" w:rsidP="00815FCD">
      <w:pPr>
        <w:pStyle w:val="Normal1"/>
        <w:rPr>
          <w:rFonts w:ascii="Times New Roman" w:hAnsi="Times New Roman"/>
          <w:u w:val="single"/>
        </w:rPr>
      </w:pPr>
      <w:r>
        <w:rPr>
          <w:rFonts w:ascii="Times New Roman" w:hAnsi="Times New Roman"/>
          <w:u w:val="single"/>
        </w:rPr>
        <w:t>For-Profit Schools Have an Incentive to Target Veterans and Often Mislead Them</w:t>
      </w:r>
    </w:p>
    <w:p w14:paraId="3947184E" w14:textId="77777777" w:rsidR="00815FCD" w:rsidRDefault="00864337" w:rsidP="00815FCD">
      <w:pPr>
        <w:pStyle w:val="Normal1"/>
        <w:rPr>
          <w:rFonts w:ascii="Times New Roman" w:hAnsi="Times New Roman"/>
          <w:u w:val="single"/>
        </w:rPr>
      </w:pPr>
    </w:p>
    <w:p w14:paraId="777C3F1A" w14:textId="77777777" w:rsidR="00815FCD" w:rsidRDefault="00ED54F7" w:rsidP="00815FCD">
      <w:pPr>
        <w:pStyle w:val="NormalWeb"/>
        <w:shd w:val="clear" w:color="auto" w:fill="FFFFFF"/>
        <w:spacing w:before="2" w:after="2"/>
        <w:ind w:firstLine="720"/>
        <w:rPr>
          <w:rFonts w:ascii="Times New Roman" w:hAnsi="Times New Roman"/>
          <w:sz w:val="24"/>
        </w:rPr>
      </w:pPr>
      <w:r>
        <w:rPr>
          <w:rFonts w:ascii="Times New Roman" w:hAnsi="Times New Roman"/>
          <w:sz w:val="24"/>
        </w:rPr>
        <w:t xml:space="preserve">As you are well aware, a loophole in federal law gives for-profit institutions an incentive to target veterans and servicemembers. By statute, for-profits may not receive more than 90 percent of their revenue from Title IV, but educational benefits received by veterans and servicemembers, even though they are also federal dollars, are nevertheless </w:t>
      </w:r>
      <w:r>
        <w:rPr>
          <w:rFonts w:ascii="Times New Roman" w:hAnsi="Times New Roman"/>
          <w:sz w:val="24"/>
        </w:rPr>
        <w:lastRenderedPageBreak/>
        <w:t>counted among the 10 percent of revenue from non-federal sources. As a result, for every veteran and servicemember they recruit, for-profit schools can enroll 9 individuals who are dependent on Title IV funds to pay their tuition.  This leads some for-profit colleges to view veterans and service members “as nothing more than dollar signs in uniform, and to use aggressive marketing to draw them in,” as Holly Petreaus, the recent head of service member affairs at the US Consumer Financial Protection Bureau, explained.  A recent Department of Education analysis found that about 200 for-profit colleges are almost entirely dependent on federal revenue—Title IV and GI Bill and Defense Department educational benefits.</w:t>
      </w:r>
      <w:r>
        <w:rPr>
          <w:rStyle w:val="FootnoteReference"/>
          <w:rFonts w:ascii="Times New Roman" w:hAnsi="Times New Roman"/>
          <w:sz w:val="24"/>
        </w:rPr>
        <w:footnoteReference w:id="2"/>
      </w:r>
      <w:r>
        <w:rPr>
          <w:rFonts w:ascii="Times New Roman" w:hAnsi="Times New Roman"/>
          <w:sz w:val="24"/>
        </w:rPr>
        <w:t xml:space="preserve">  </w:t>
      </w:r>
    </w:p>
    <w:p w14:paraId="748DAF52" w14:textId="77777777" w:rsidR="00815FCD" w:rsidRDefault="00864337" w:rsidP="00815FCD">
      <w:pPr>
        <w:pStyle w:val="NormalWeb"/>
        <w:shd w:val="clear" w:color="auto" w:fill="FFFFFF"/>
        <w:spacing w:before="2" w:after="2"/>
        <w:rPr>
          <w:rFonts w:ascii="Times New Roman" w:hAnsi="Times New Roman"/>
          <w:sz w:val="24"/>
        </w:rPr>
      </w:pPr>
    </w:p>
    <w:p w14:paraId="7A8BC5C3" w14:textId="77777777" w:rsidR="00815FCD" w:rsidRDefault="00ED54F7" w:rsidP="00815FCD">
      <w:pPr>
        <w:pStyle w:val="NormalWeb"/>
        <w:shd w:val="clear" w:color="auto" w:fill="FFFFFF"/>
        <w:spacing w:before="2" w:after="2"/>
        <w:ind w:firstLine="720"/>
        <w:rPr>
          <w:rFonts w:ascii="Times New Roman" w:hAnsi="Times New Roman"/>
          <w:sz w:val="24"/>
        </w:rPr>
      </w:pPr>
      <w:r w:rsidRPr="0061531B">
        <w:rPr>
          <w:rFonts w:ascii="Times New Roman" w:hAnsi="Times New Roman"/>
          <w:sz w:val="24"/>
        </w:rPr>
        <w:t xml:space="preserve">The 2012 Senate Health, Education, Labor, and Pension </w:t>
      </w:r>
      <w:r>
        <w:rPr>
          <w:rFonts w:ascii="Times New Roman" w:hAnsi="Times New Roman"/>
          <w:sz w:val="24"/>
        </w:rPr>
        <w:t xml:space="preserve">(HELP) </w:t>
      </w:r>
      <w:r w:rsidRPr="0061531B">
        <w:rPr>
          <w:rFonts w:ascii="Times New Roman" w:hAnsi="Times New Roman"/>
          <w:sz w:val="24"/>
        </w:rPr>
        <w:t xml:space="preserve">Committee report on for-profit </w:t>
      </w:r>
      <w:r>
        <w:rPr>
          <w:rFonts w:ascii="Times New Roman" w:hAnsi="Times New Roman"/>
          <w:sz w:val="24"/>
        </w:rPr>
        <w:t>colleges</w:t>
      </w:r>
      <w:r w:rsidRPr="0061531B">
        <w:rPr>
          <w:rFonts w:ascii="Times New Roman" w:hAnsi="Times New Roman"/>
          <w:sz w:val="24"/>
        </w:rPr>
        <w:t xml:space="preserve"> documented </w:t>
      </w:r>
      <w:r>
        <w:rPr>
          <w:rFonts w:ascii="Times New Roman" w:hAnsi="Times New Roman"/>
          <w:sz w:val="24"/>
        </w:rPr>
        <w:t xml:space="preserve">misleading advertising and recruiting by for-profit colleges that routinely provide inaccurate information </w:t>
      </w:r>
      <w:r w:rsidRPr="0061531B">
        <w:rPr>
          <w:rFonts w:ascii="Times New Roman" w:hAnsi="Times New Roman"/>
          <w:sz w:val="24"/>
        </w:rPr>
        <w:t xml:space="preserve">on costs, the transfer of credits, accreditation, </w:t>
      </w:r>
      <w:r>
        <w:rPr>
          <w:rFonts w:ascii="Times New Roman" w:hAnsi="Times New Roman"/>
          <w:sz w:val="24"/>
        </w:rPr>
        <w:t xml:space="preserve">quality, job placement rates, </w:t>
      </w:r>
      <w:r w:rsidRPr="0061531B">
        <w:rPr>
          <w:rFonts w:ascii="Times New Roman" w:hAnsi="Times New Roman"/>
          <w:sz w:val="24"/>
        </w:rPr>
        <w:t>and other issues where accurate information is critical for veterans to make an informed choice.</w:t>
      </w:r>
      <w:r>
        <w:rPr>
          <w:rStyle w:val="FootnoteReference"/>
          <w:rFonts w:ascii="Times New Roman" w:hAnsi="Times New Roman"/>
          <w:sz w:val="24"/>
        </w:rPr>
        <w:footnoteReference w:id="3"/>
      </w:r>
      <w:r w:rsidRPr="0061531B">
        <w:rPr>
          <w:rFonts w:ascii="Times New Roman" w:hAnsi="Times New Roman"/>
          <w:sz w:val="24"/>
        </w:rPr>
        <w:t xml:space="preserve"> </w:t>
      </w:r>
    </w:p>
    <w:p w14:paraId="5F2EB61C" w14:textId="77777777" w:rsidR="00815FCD" w:rsidRDefault="00864337" w:rsidP="00815FCD">
      <w:pPr>
        <w:pStyle w:val="NormalWeb"/>
        <w:shd w:val="clear" w:color="auto" w:fill="FFFFFF"/>
        <w:spacing w:before="2" w:after="2"/>
        <w:rPr>
          <w:rFonts w:ascii="Times New Roman" w:hAnsi="Times New Roman"/>
          <w:sz w:val="24"/>
        </w:rPr>
      </w:pPr>
    </w:p>
    <w:p w14:paraId="1E0D3C25" w14:textId="77777777" w:rsidR="00815FCD" w:rsidRPr="00D76547" w:rsidRDefault="00ED54F7" w:rsidP="00815FCD">
      <w:pPr>
        <w:pStyle w:val="Normal1"/>
        <w:rPr>
          <w:rFonts w:ascii="Times New Roman" w:hAnsi="Times New Roman"/>
          <w:u w:val="single"/>
        </w:rPr>
      </w:pPr>
      <w:r w:rsidRPr="00D76547">
        <w:rPr>
          <w:rFonts w:ascii="Times New Roman" w:hAnsi="Times New Roman"/>
          <w:u w:val="single"/>
        </w:rPr>
        <w:t>Federal Trade Commission (FTC) Settlement with As</w:t>
      </w:r>
      <w:r>
        <w:rPr>
          <w:rFonts w:ascii="Times New Roman" w:hAnsi="Times New Roman"/>
          <w:u w:val="single"/>
        </w:rPr>
        <w:t>hworth</w:t>
      </w:r>
      <w:r w:rsidRPr="00D76547">
        <w:rPr>
          <w:rFonts w:ascii="Times New Roman" w:hAnsi="Times New Roman"/>
          <w:u w:val="single"/>
        </w:rPr>
        <w:t xml:space="preserve"> College</w:t>
      </w:r>
    </w:p>
    <w:p w14:paraId="7CC92776" w14:textId="77777777" w:rsidR="00815FCD" w:rsidRDefault="00864337" w:rsidP="00815FCD">
      <w:pPr>
        <w:pStyle w:val="Normal1"/>
        <w:ind w:firstLine="720"/>
        <w:rPr>
          <w:rFonts w:ascii="Times New Roman" w:hAnsi="Times New Roman"/>
        </w:rPr>
      </w:pPr>
    </w:p>
    <w:p w14:paraId="4BFBD9C5" w14:textId="77777777" w:rsidR="00815FCD" w:rsidRDefault="00ED54F7" w:rsidP="00815FCD">
      <w:pPr>
        <w:pStyle w:val="NormalWeb"/>
        <w:shd w:val="clear" w:color="auto" w:fill="FFFFFF"/>
        <w:spacing w:before="2" w:after="2"/>
        <w:ind w:firstLine="720"/>
        <w:rPr>
          <w:rFonts w:ascii="Times New Roman" w:hAnsi="Times New Roman"/>
          <w:sz w:val="24"/>
        </w:rPr>
      </w:pPr>
      <w:r w:rsidRPr="003868DD">
        <w:rPr>
          <w:rFonts w:ascii="Times New Roman" w:hAnsi="Times New Roman"/>
          <w:sz w:val="24"/>
        </w:rPr>
        <w:t xml:space="preserve">A case in point is Ashworth College, </w:t>
      </w:r>
      <w:r>
        <w:rPr>
          <w:rFonts w:ascii="Times New Roman" w:hAnsi="Times New Roman"/>
          <w:sz w:val="24"/>
        </w:rPr>
        <w:t>a school that is no</w:t>
      </w:r>
      <w:r w:rsidRPr="003868DD">
        <w:rPr>
          <w:rFonts w:ascii="Times New Roman" w:hAnsi="Times New Roman"/>
          <w:sz w:val="24"/>
        </w:rPr>
        <w:t xml:space="preserve">t Title IV eligible but </w:t>
      </w:r>
      <w:r>
        <w:rPr>
          <w:rFonts w:ascii="Times New Roman" w:hAnsi="Times New Roman"/>
          <w:sz w:val="24"/>
        </w:rPr>
        <w:t xml:space="preserve">which </w:t>
      </w:r>
      <w:r w:rsidRPr="003868DD">
        <w:rPr>
          <w:rFonts w:ascii="Times New Roman" w:hAnsi="Times New Roman"/>
          <w:sz w:val="24"/>
        </w:rPr>
        <w:t xml:space="preserve">enrolled 499 veterans </w:t>
      </w:r>
      <w:r>
        <w:rPr>
          <w:rFonts w:ascii="Times New Roman" w:hAnsi="Times New Roman"/>
          <w:sz w:val="24"/>
        </w:rPr>
        <w:t xml:space="preserve">during 2015 </w:t>
      </w:r>
      <w:r w:rsidRPr="003868DD">
        <w:rPr>
          <w:rFonts w:ascii="Times New Roman" w:hAnsi="Times New Roman"/>
          <w:sz w:val="24"/>
        </w:rPr>
        <w:t>and received $329 million in GI Bill payments</w:t>
      </w:r>
      <w:r>
        <w:rPr>
          <w:rFonts w:ascii="Times New Roman" w:hAnsi="Times New Roman"/>
          <w:sz w:val="24"/>
        </w:rPr>
        <w:t xml:space="preserve"> in FY 2014</w:t>
      </w:r>
      <w:r w:rsidRPr="003868DD">
        <w:rPr>
          <w:rFonts w:ascii="Times New Roman" w:hAnsi="Times New Roman"/>
          <w:sz w:val="24"/>
        </w:rPr>
        <w:t xml:space="preserve">. On May 26, 2015, the Federal Trade Commission (FTC) announced a settlement with Ashworth College </w:t>
      </w:r>
      <w:r>
        <w:rPr>
          <w:rFonts w:ascii="Times New Roman" w:hAnsi="Times New Roman"/>
          <w:sz w:val="24"/>
        </w:rPr>
        <w:t xml:space="preserve">for </w:t>
      </w:r>
      <w:r w:rsidRPr="003868DD">
        <w:rPr>
          <w:rFonts w:ascii="Times New Roman" w:hAnsi="Times New Roman"/>
          <w:sz w:val="24"/>
        </w:rPr>
        <w:t>misle</w:t>
      </w:r>
      <w:r>
        <w:rPr>
          <w:rFonts w:ascii="Times New Roman" w:hAnsi="Times New Roman"/>
          <w:sz w:val="24"/>
        </w:rPr>
        <w:t>a</w:t>
      </w:r>
      <w:r w:rsidRPr="003868DD">
        <w:rPr>
          <w:rFonts w:ascii="Times New Roman" w:hAnsi="Times New Roman"/>
          <w:sz w:val="24"/>
        </w:rPr>
        <w:t>d</w:t>
      </w:r>
      <w:r>
        <w:rPr>
          <w:rFonts w:ascii="Times New Roman" w:hAnsi="Times New Roman"/>
          <w:sz w:val="24"/>
        </w:rPr>
        <w:t>ing</w:t>
      </w:r>
      <w:r w:rsidRPr="003868DD">
        <w:rPr>
          <w:rFonts w:ascii="Times New Roman" w:hAnsi="Times New Roman"/>
          <w:sz w:val="24"/>
        </w:rPr>
        <w:t xml:space="preserve"> students about the training they received and their ability to transfer credits to another school.</w:t>
      </w:r>
      <w:r w:rsidRPr="003868DD">
        <w:rPr>
          <w:rFonts w:ascii="Times New Roman" w:hAnsi="Times New Roman"/>
          <w:sz w:val="24"/>
          <w:vertAlign w:val="superscript"/>
        </w:rPr>
        <w:footnoteReference w:id="4"/>
      </w:r>
      <w:r w:rsidRPr="003868DD">
        <w:rPr>
          <w:rFonts w:ascii="Times New Roman" w:hAnsi="Times New Roman"/>
          <w:sz w:val="24"/>
        </w:rPr>
        <w:t xml:space="preserve"> </w:t>
      </w:r>
      <w:r>
        <w:rPr>
          <w:rFonts w:ascii="Times New Roman" w:hAnsi="Times New Roman"/>
          <w:sz w:val="24"/>
        </w:rPr>
        <w:t xml:space="preserve">The FTC complaint alleged that consumers who complete Ashworth’s programs leave, having spent hundreds or thousands of dollars (1) without the credentials needed to apply for necessary licenses, or (2) with credits that many other institutions will not recognize. </w:t>
      </w:r>
    </w:p>
    <w:p w14:paraId="17DE36CE" w14:textId="77777777" w:rsidR="00815FCD" w:rsidRDefault="00864337" w:rsidP="00815FCD">
      <w:pPr>
        <w:pStyle w:val="NormalWeb"/>
        <w:shd w:val="clear" w:color="auto" w:fill="FFFFFF"/>
        <w:spacing w:before="2" w:after="2"/>
        <w:ind w:firstLine="720"/>
        <w:rPr>
          <w:rFonts w:ascii="Times New Roman" w:hAnsi="Times New Roman"/>
          <w:sz w:val="24"/>
        </w:rPr>
      </w:pPr>
    </w:p>
    <w:p w14:paraId="42E94751" w14:textId="77777777" w:rsidR="00815FCD" w:rsidRDefault="00ED54F7" w:rsidP="00815FCD">
      <w:pPr>
        <w:pStyle w:val="NormalWeb"/>
        <w:shd w:val="clear" w:color="auto" w:fill="FFFFFF"/>
        <w:spacing w:before="2" w:after="2"/>
        <w:ind w:firstLine="720"/>
        <w:rPr>
          <w:rFonts w:ascii="Times New Roman" w:hAnsi="Times New Roman"/>
          <w:sz w:val="24"/>
        </w:rPr>
      </w:pPr>
      <w:r w:rsidRPr="003868DD">
        <w:rPr>
          <w:rFonts w:ascii="Times New Roman" w:hAnsi="Times New Roman"/>
          <w:sz w:val="24"/>
        </w:rPr>
        <w:t xml:space="preserve">The FTC found that many programs offered by this for-profit institution did not meet state </w:t>
      </w:r>
      <w:r>
        <w:rPr>
          <w:rFonts w:ascii="Times New Roman" w:hAnsi="Times New Roman"/>
          <w:sz w:val="24"/>
        </w:rPr>
        <w:t>requirements for those careers, including two programs that are approved for the GI Bill—home inspection certificates and Early Childhood Education degrees.</w:t>
      </w:r>
      <w:r>
        <w:rPr>
          <w:rStyle w:val="FootnoteReference"/>
          <w:rFonts w:ascii="Times New Roman" w:hAnsi="Times New Roman"/>
          <w:sz w:val="24"/>
        </w:rPr>
        <w:footnoteReference w:id="5"/>
      </w:r>
      <w:r>
        <w:rPr>
          <w:rFonts w:ascii="Times New Roman" w:hAnsi="Times New Roman"/>
          <w:sz w:val="24"/>
        </w:rPr>
        <w:t xml:space="preserve">  Ashworth claimed that its Bachelor’s degree program in Early Childhood Education would help graduates become elementary school teachers. Yet, in many states, an elementary school teaching license requires a degree from a regionally-accredited school; because Ashworth is nationally accredited, its graduates would fail to qualify for a state teaching license. The FTC also found that Ashworth recruiters, referred to as “admission advisors” by the school, lied to students about accreditation. One student, who was interested in becoming a home inspector in Indiana, was told by an Ashworth admissions advisor that the program satisfied Indiana’s licensing requirements. After graduation, </w:t>
      </w:r>
      <w:r>
        <w:rPr>
          <w:rFonts w:ascii="Times New Roman" w:hAnsi="Times New Roman"/>
          <w:sz w:val="24"/>
        </w:rPr>
        <w:lastRenderedPageBreak/>
        <w:t xml:space="preserve">however, the state licensing board told this student that his degree was not recognized in Indiana for purposes of state licensing. The consumer went back to the school’s admission advisor and was again falsely told that it was recognized. </w:t>
      </w:r>
    </w:p>
    <w:p w14:paraId="0A61B709" w14:textId="77777777" w:rsidR="00815FCD" w:rsidRDefault="00864337" w:rsidP="00815FCD">
      <w:pPr>
        <w:pStyle w:val="NormalWeb"/>
        <w:shd w:val="clear" w:color="auto" w:fill="FFFFFF"/>
        <w:spacing w:before="2" w:after="2"/>
        <w:ind w:firstLine="720"/>
        <w:rPr>
          <w:rFonts w:ascii="Times New Roman" w:hAnsi="Times New Roman"/>
          <w:sz w:val="24"/>
        </w:rPr>
      </w:pPr>
    </w:p>
    <w:p w14:paraId="61B7881E" w14:textId="77777777" w:rsidR="00815FCD" w:rsidRDefault="00ED54F7" w:rsidP="00815FCD">
      <w:pPr>
        <w:pStyle w:val="NormalWeb"/>
        <w:shd w:val="clear" w:color="auto" w:fill="FFFFFF"/>
        <w:spacing w:before="2" w:after="2"/>
        <w:ind w:firstLine="720"/>
        <w:rPr>
          <w:rFonts w:ascii="Times New Roman" w:hAnsi="Times New Roman"/>
          <w:sz w:val="24"/>
        </w:rPr>
      </w:pPr>
      <w:r>
        <w:rPr>
          <w:rFonts w:ascii="Times New Roman" w:hAnsi="Times New Roman"/>
          <w:sz w:val="24"/>
        </w:rPr>
        <w:t xml:space="preserve">In addition, </w:t>
      </w:r>
      <w:r w:rsidRPr="003868DD">
        <w:rPr>
          <w:rFonts w:ascii="Times New Roman" w:hAnsi="Times New Roman"/>
          <w:sz w:val="24"/>
        </w:rPr>
        <w:t xml:space="preserve">the claims </w:t>
      </w:r>
      <w:r>
        <w:rPr>
          <w:rFonts w:ascii="Times New Roman" w:hAnsi="Times New Roman"/>
          <w:sz w:val="24"/>
        </w:rPr>
        <w:t xml:space="preserve">Ashworth </w:t>
      </w:r>
      <w:r w:rsidRPr="003868DD">
        <w:rPr>
          <w:rFonts w:ascii="Times New Roman" w:hAnsi="Times New Roman"/>
          <w:sz w:val="24"/>
        </w:rPr>
        <w:t>made about credit transfers were often not true.</w:t>
      </w:r>
      <w:r>
        <w:rPr>
          <w:rFonts w:ascii="Times New Roman" w:hAnsi="Times New Roman"/>
          <w:sz w:val="24"/>
        </w:rPr>
        <w:t xml:space="preserve"> For example, the school’s web and print marketing materials claim: “Why Choose Online Classes at Ashworth College? …Credit Transferability;” and “Undergraduate Certificates: Learn specialized career skills in a few short weeks. Transfer to a degree program to continue your education.” Indeed many students complained to DEAC about their inability to transfer credits earned at Ashworth to other schools. A 2012 report sent to Ashworth by DEAC acknowledged this fact, stating, “Students frequently voiced concerns about transfer credit into and out of Ashworth.” While it is helpful that DEAC brought these issues to Ashworth’s attention in 2012, it appears that DEAC failed to follow up on its own report to determine if the school had addressed the concerns raised. </w:t>
      </w:r>
    </w:p>
    <w:p w14:paraId="58EDDB69" w14:textId="77777777" w:rsidR="00815FCD" w:rsidRDefault="00864337" w:rsidP="00815FCD">
      <w:pPr>
        <w:pStyle w:val="NormalWeb"/>
        <w:shd w:val="clear" w:color="auto" w:fill="FFFFFF"/>
        <w:spacing w:before="2" w:after="2"/>
        <w:ind w:firstLine="720"/>
        <w:rPr>
          <w:rFonts w:ascii="Times New Roman" w:hAnsi="Times New Roman"/>
          <w:sz w:val="24"/>
        </w:rPr>
      </w:pPr>
    </w:p>
    <w:p w14:paraId="3807364B" w14:textId="77777777" w:rsidR="00815FCD" w:rsidRPr="00412A44" w:rsidRDefault="00ED54F7" w:rsidP="00815FCD">
      <w:pPr>
        <w:pStyle w:val="NormalWeb"/>
        <w:shd w:val="clear" w:color="auto" w:fill="FFFFFF"/>
        <w:spacing w:before="2" w:after="2"/>
        <w:ind w:firstLine="720"/>
        <w:rPr>
          <w:rFonts w:ascii="Times New Roman" w:hAnsi="Times New Roman"/>
          <w:sz w:val="24"/>
        </w:rPr>
      </w:pPr>
      <w:r w:rsidRPr="00412A44">
        <w:rPr>
          <w:rFonts w:ascii="Times New Roman" w:hAnsi="Times New Roman"/>
          <w:sz w:val="24"/>
        </w:rPr>
        <w:t xml:space="preserve">Finally, </w:t>
      </w:r>
      <w:r>
        <w:rPr>
          <w:rFonts w:ascii="Times New Roman" w:hAnsi="Times New Roman"/>
          <w:sz w:val="24"/>
        </w:rPr>
        <w:t>t</w:t>
      </w:r>
      <w:r w:rsidRPr="00412A44">
        <w:rPr>
          <w:rFonts w:ascii="Times New Roman" w:hAnsi="Times New Roman"/>
          <w:sz w:val="24"/>
        </w:rPr>
        <w:t xml:space="preserve">he FTC complaint notes that Ashworth’s marketing efforts have targeted military service members and their families, and that Ashworth advertises that it employs “Military Advisors” to speak with potential applicants who are eligible for military payment benefits. The complaint also points out that Ashworth trains its Admissions Advisors to be aggressive during sales calls. Admissions Advisors who are seen as being insufficiently aggressive at “rebuttaling” (the term used in Ashworth’s internal training documents for overcoming consumers’ concerns) face disciplinary action that can include loss of commission or even termination. As part of their “rebuttaling” training, </w:t>
      </w:r>
      <w:r>
        <w:rPr>
          <w:rFonts w:ascii="Times New Roman" w:hAnsi="Times New Roman"/>
          <w:sz w:val="24"/>
        </w:rPr>
        <w:t>A</w:t>
      </w:r>
      <w:r w:rsidRPr="00412A44">
        <w:rPr>
          <w:rFonts w:ascii="Times New Roman" w:hAnsi="Times New Roman"/>
          <w:sz w:val="24"/>
        </w:rPr>
        <w:t xml:space="preserve">shworth’s salespeople are taught to ask background questions at the beginning of a call about the consumer’s family, employment situation, educational background, and other personal information. Ashworth then instructs the salespeople to use whatever information they learn as pressure points later in the call to get a commitment from the consumer. For example, a salesperson was instructed by his supervisor to “[r]emember what [the consumer] told you in the discovery section. Needs a job, has a kid, etc. Use those against her.” These aggressive recruiting tactics are reminiscent of the </w:t>
      </w:r>
      <w:r>
        <w:rPr>
          <w:rFonts w:ascii="Times New Roman" w:hAnsi="Times New Roman"/>
          <w:sz w:val="24"/>
        </w:rPr>
        <w:t>“</w:t>
      </w:r>
      <w:r w:rsidRPr="00412A44">
        <w:rPr>
          <w:rFonts w:ascii="Times New Roman" w:hAnsi="Times New Roman"/>
          <w:sz w:val="24"/>
        </w:rPr>
        <w:t xml:space="preserve">pain funnel” </w:t>
      </w:r>
      <w:r>
        <w:rPr>
          <w:rFonts w:ascii="Times New Roman" w:hAnsi="Times New Roman"/>
          <w:sz w:val="24"/>
        </w:rPr>
        <w:t xml:space="preserve">recruiting playbook </w:t>
      </w:r>
      <w:r w:rsidRPr="00412A44">
        <w:rPr>
          <w:rFonts w:ascii="Times New Roman" w:hAnsi="Times New Roman"/>
          <w:sz w:val="24"/>
        </w:rPr>
        <w:t>uncovered during the 2012 Senate HELP Committee investigation.</w:t>
      </w:r>
      <w:r>
        <w:rPr>
          <w:rStyle w:val="FootnoteReference"/>
          <w:rFonts w:ascii="Times New Roman" w:hAnsi="Times New Roman"/>
          <w:sz w:val="24"/>
        </w:rPr>
        <w:footnoteReference w:id="6"/>
      </w:r>
    </w:p>
    <w:p w14:paraId="07BAAB59" w14:textId="77777777" w:rsidR="00815FCD" w:rsidRDefault="00864337" w:rsidP="00815FCD">
      <w:pPr>
        <w:pStyle w:val="NormalWeb"/>
        <w:shd w:val="clear" w:color="auto" w:fill="FFFFFF"/>
        <w:spacing w:before="2" w:after="2"/>
        <w:ind w:firstLine="720"/>
        <w:rPr>
          <w:rFonts w:ascii="Times New Roman" w:hAnsi="Times New Roman"/>
          <w:sz w:val="24"/>
        </w:rPr>
      </w:pPr>
    </w:p>
    <w:p w14:paraId="1F4C2F7B" w14:textId="77777777" w:rsidR="00815FCD" w:rsidRPr="003868DD" w:rsidRDefault="00ED54F7" w:rsidP="00815FCD">
      <w:pPr>
        <w:pStyle w:val="NormalWeb"/>
        <w:shd w:val="clear" w:color="auto" w:fill="FFFFFF"/>
        <w:spacing w:before="2" w:after="2"/>
        <w:ind w:firstLine="720"/>
        <w:rPr>
          <w:rFonts w:ascii="Times New Roman" w:hAnsi="Times New Roman"/>
          <w:sz w:val="24"/>
        </w:rPr>
      </w:pPr>
      <w:r w:rsidRPr="003868DD">
        <w:rPr>
          <w:rFonts w:ascii="Times New Roman" w:hAnsi="Times New Roman"/>
          <w:sz w:val="24"/>
        </w:rPr>
        <w:t xml:space="preserve"> In reaching the settlement, Ashworth College admitted no wrongdoing. </w:t>
      </w:r>
      <w:r>
        <w:rPr>
          <w:rFonts w:ascii="Times New Roman" w:hAnsi="Times New Roman"/>
          <w:sz w:val="24"/>
        </w:rPr>
        <w:t>According to the FTC press release, t</w:t>
      </w:r>
      <w:r w:rsidRPr="003868DD">
        <w:rPr>
          <w:rFonts w:ascii="Times New Roman" w:hAnsi="Times New Roman"/>
          <w:sz w:val="24"/>
        </w:rPr>
        <w:t xml:space="preserve">he court order prohibits Ashworth College from </w:t>
      </w:r>
      <w:r>
        <w:rPr>
          <w:rFonts w:ascii="Times New Roman" w:hAnsi="Times New Roman"/>
          <w:sz w:val="24"/>
        </w:rPr>
        <w:t>repeating the following misrepresentations</w:t>
      </w:r>
      <w:r w:rsidRPr="003868DD">
        <w:rPr>
          <w:rFonts w:ascii="Times New Roman" w:hAnsi="Times New Roman"/>
          <w:sz w:val="24"/>
        </w:rPr>
        <w:t xml:space="preserve">: </w:t>
      </w:r>
    </w:p>
    <w:p w14:paraId="48C6335C" w14:textId="77777777" w:rsidR="00815FCD" w:rsidRDefault="00864337" w:rsidP="00815FCD">
      <w:pPr>
        <w:ind w:firstLine="720"/>
        <w:rPr>
          <w:rFonts w:ascii="Times New Roman" w:hAnsi="Times New Roman"/>
        </w:rPr>
      </w:pPr>
    </w:p>
    <w:p w14:paraId="76AD3AAB" w14:textId="77777777" w:rsidR="00815FCD" w:rsidRDefault="00ED54F7" w:rsidP="00815FCD">
      <w:pPr>
        <w:pStyle w:val="NormalWeb"/>
        <w:numPr>
          <w:ilvl w:val="0"/>
          <w:numId w:val="2"/>
        </w:numPr>
        <w:shd w:val="clear" w:color="auto" w:fill="FFFFFF"/>
        <w:spacing w:before="2" w:after="2"/>
        <w:rPr>
          <w:rFonts w:ascii="Times New Roman" w:eastAsia="Cambria" w:hAnsi="Times New Roman" w:cs="Cambria"/>
          <w:color w:val="000000"/>
          <w:sz w:val="24"/>
          <w:szCs w:val="24"/>
        </w:rPr>
      </w:pPr>
      <w:r w:rsidRPr="00700E06">
        <w:rPr>
          <w:rFonts w:ascii="Times New Roman" w:eastAsia="Cambria" w:hAnsi="Times New Roman" w:cs="Cambria"/>
          <w:color w:val="000000"/>
          <w:sz w:val="24"/>
          <w:szCs w:val="24"/>
        </w:rPr>
        <w:t xml:space="preserve">completing Ashworth’s program will qualify students to obtain vocational licenses without any additional training or experience; </w:t>
      </w:r>
    </w:p>
    <w:p w14:paraId="6EB0A1B0" w14:textId="77777777" w:rsidR="00815FCD" w:rsidRDefault="00ED54F7" w:rsidP="00815FCD">
      <w:pPr>
        <w:pStyle w:val="NormalWeb"/>
        <w:numPr>
          <w:ilvl w:val="0"/>
          <w:numId w:val="2"/>
        </w:numPr>
        <w:shd w:val="clear" w:color="auto" w:fill="FFFFFF"/>
        <w:spacing w:before="2" w:after="2"/>
        <w:rPr>
          <w:rFonts w:ascii="Times New Roman" w:eastAsia="Cambria" w:hAnsi="Times New Roman" w:cs="Cambria"/>
          <w:color w:val="000000"/>
          <w:sz w:val="24"/>
          <w:szCs w:val="24"/>
        </w:rPr>
      </w:pPr>
      <w:r w:rsidRPr="00700E06">
        <w:rPr>
          <w:rFonts w:ascii="Times New Roman" w:eastAsia="Cambria" w:hAnsi="Times New Roman" w:cs="Cambria"/>
          <w:color w:val="000000"/>
          <w:sz w:val="24"/>
          <w:szCs w:val="24"/>
        </w:rPr>
        <w:t>Ashworth’s programs provide all the training and credentials required to switch careers or obtain a job in a new field;</w:t>
      </w:r>
    </w:p>
    <w:p w14:paraId="0937C89D" w14:textId="77777777" w:rsidR="00815FCD" w:rsidRDefault="00ED54F7" w:rsidP="00815FCD">
      <w:pPr>
        <w:pStyle w:val="NormalWeb"/>
        <w:numPr>
          <w:ilvl w:val="0"/>
          <w:numId w:val="2"/>
        </w:numPr>
        <w:shd w:val="clear" w:color="auto" w:fill="FFFFFF"/>
        <w:spacing w:before="2" w:after="2"/>
        <w:rPr>
          <w:rFonts w:ascii="Times New Roman" w:eastAsia="Cambria" w:hAnsi="Times New Roman" w:cs="Cambria"/>
          <w:color w:val="000000"/>
          <w:sz w:val="24"/>
          <w:szCs w:val="24"/>
        </w:rPr>
      </w:pPr>
      <w:r w:rsidRPr="00700E06">
        <w:rPr>
          <w:rFonts w:ascii="Times New Roman" w:eastAsia="Cambria" w:hAnsi="Times New Roman" w:cs="Cambria"/>
          <w:color w:val="000000"/>
          <w:sz w:val="24"/>
          <w:szCs w:val="24"/>
        </w:rPr>
        <w:t xml:space="preserve">there will be job security or steady employment for consumers completing its programs; and </w:t>
      </w:r>
    </w:p>
    <w:p w14:paraId="3C17E343" w14:textId="77777777" w:rsidR="00815FCD" w:rsidRDefault="00ED54F7" w:rsidP="00815FCD">
      <w:pPr>
        <w:pStyle w:val="NormalWeb"/>
        <w:numPr>
          <w:ilvl w:val="0"/>
          <w:numId w:val="2"/>
        </w:numPr>
        <w:shd w:val="clear" w:color="auto" w:fill="FFFFFF"/>
        <w:spacing w:before="2" w:after="2"/>
        <w:rPr>
          <w:rFonts w:ascii="Times New Roman" w:eastAsia="Cambria" w:hAnsi="Times New Roman" w:cs="Cambria"/>
          <w:color w:val="000000"/>
          <w:sz w:val="24"/>
          <w:szCs w:val="24"/>
        </w:rPr>
      </w:pPr>
      <w:r w:rsidRPr="00700E06">
        <w:rPr>
          <w:rFonts w:ascii="Times New Roman" w:eastAsia="Cambria" w:hAnsi="Times New Roman" w:cs="Cambria"/>
          <w:color w:val="000000"/>
          <w:sz w:val="24"/>
          <w:szCs w:val="24"/>
        </w:rPr>
        <w:lastRenderedPageBreak/>
        <w:t xml:space="preserve">course credits are generally recognized by, and accepted, by other postsecondary institutions. </w:t>
      </w:r>
    </w:p>
    <w:p w14:paraId="7B764BF7" w14:textId="77777777" w:rsidR="00815FCD" w:rsidRPr="00700E06" w:rsidRDefault="00864337" w:rsidP="00815FCD">
      <w:pPr>
        <w:pStyle w:val="NormalWeb"/>
        <w:shd w:val="clear" w:color="auto" w:fill="FFFFFF"/>
        <w:spacing w:before="2" w:after="2"/>
        <w:ind w:left="1080"/>
        <w:rPr>
          <w:rFonts w:ascii="Times New Roman" w:eastAsia="Cambria" w:hAnsi="Times New Roman" w:cs="Cambria"/>
          <w:color w:val="000000"/>
          <w:sz w:val="24"/>
          <w:szCs w:val="24"/>
        </w:rPr>
      </w:pPr>
    </w:p>
    <w:p w14:paraId="044D3FA4" w14:textId="77777777" w:rsidR="00815FCD" w:rsidRDefault="00ED54F7" w:rsidP="00815FCD">
      <w:pPr>
        <w:pStyle w:val="NormalWeb"/>
        <w:shd w:val="clear" w:color="auto" w:fill="FFFFFF"/>
        <w:spacing w:before="2" w:after="2"/>
        <w:rPr>
          <w:rFonts w:ascii="Times New Roman" w:hAnsi="Times New Roman"/>
          <w:sz w:val="24"/>
        </w:rPr>
      </w:pPr>
      <w:r w:rsidRPr="00687F72">
        <w:rPr>
          <w:rFonts w:ascii="Times New Roman" w:hAnsi="Times New Roman"/>
          <w:sz w:val="24"/>
        </w:rPr>
        <w:t xml:space="preserve">The order also includes an $11 million judgment, which is suspended based on the institution’s inability to pay. </w:t>
      </w:r>
    </w:p>
    <w:p w14:paraId="228F2243" w14:textId="77777777" w:rsidR="00815FCD" w:rsidRDefault="00864337" w:rsidP="00815FCD">
      <w:pPr>
        <w:pStyle w:val="NormalWeb"/>
        <w:shd w:val="clear" w:color="auto" w:fill="FFFFFF"/>
        <w:spacing w:before="2" w:after="2"/>
        <w:rPr>
          <w:rFonts w:ascii="Times New Roman" w:hAnsi="Times New Roman"/>
          <w:sz w:val="24"/>
        </w:rPr>
      </w:pPr>
    </w:p>
    <w:p w14:paraId="68223A35" w14:textId="77777777" w:rsidR="00815FCD" w:rsidRDefault="00ED54F7" w:rsidP="00815FCD">
      <w:pPr>
        <w:pStyle w:val="NormalWeb"/>
        <w:shd w:val="clear" w:color="auto" w:fill="FFFFFF"/>
        <w:spacing w:before="2" w:after="2"/>
        <w:rPr>
          <w:rFonts w:ascii="Times New Roman" w:hAnsi="Times New Roman"/>
          <w:sz w:val="24"/>
        </w:rPr>
      </w:pPr>
      <w:r>
        <w:rPr>
          <w:rFonts w:ascii="Times New Roman" w:hAnsi="Times New Roman"/>
          <w:sz w:val="24"/>
        </w:rPr>
        <w:tab/>
        <w:t>We urge NACIQI to follow-up with DEAC during your June hearing to determine what follow-up occurred after it notified Ashworth about student complaints concerning transfer of credits. We also urge you to determine whether DEAC has taken steps to ensure that the school is abiding by the terms of its FTC settlement.</w:t>
      </w:r>
    </w:p>
    <w:p w14:paraId="041FE33E" w14:textId="77777777" w:rsidR="00815FCD" w:rsidRDefault="00864337" w:rsidP="00815FCD">
      <w:pPr>
        <w:pStyle w:val="NormalWeb"/>
        <w:shd w:val="clear" w:color="auto" w:fill="FFFFFF"/>
        <w:spacing w:before="2" w:after="2"/>
        <w:rPr>
          <w:rFonts w:ascii="Times New Roman" w:hAnsi="Times New Roman"/>
          <w:sz w:val="24"/>
          <w:u w:val="single"/>
        </w:rPr>
      </w:pPr>
    </w:p>
    <w:p w14:paraId="565D68C9" w14:textId="77777777" w:rsidR="00815FCD" w:rsidRDefault="00ED54F7" w:rsidP="00815FCD">
      <w:pPr>
        <w:pStyle w:val="NormalWeb"/>
        <w:shd w:val="clear" w:color="auto" w:fill="FFFFFF"/>
        <w:spacing w:before="2" w:after="2"/>
        <w:rPr>
          <w:rFonts w:ascii="Times New Roman" w:hAnsi="Times New Roman"/>
          <w:sz w:val="24"/>
        </w:rPr>
      </w:pPr>
      <w:r>
        <w:rPr>
          <w:rFonts w:ascii="Times New Roman" w:hAnsi="Times New Roman"/>
          <w:sz w:val="24"/>
          <w:u w:val="single"/>
        </w:rPr>
        <w:t>Complaints from Veteran at DEAC Accredited Title IV Schools</w:t>
      </w:r>
    </w:p>
    <w:p w14:paraId="5889C7C0" w14:textId="77777777" w:rsidR="00815FCD" w:rsidRDefault="00864337" w:rsidP="00815FCD">
      <w:pPr>
        <w:pStyle w:val="NormalWeb"/>
        <w:shd w:val="clear" w:color="auto" w:fill="FFFFFF"/>
        <w:spacing w:before="2" w:after="2"/>
        <w:rPr>
          <w:rFonts w:ascii="Times New Roman" w:hAnsi="Times New Roman"/>
          <w:sz w:val="24"/>
        </w:rPr>
      </w:pPr>
    </w:p>
    <w:p w14:paraId="38C0FDB2" w14:textId="77777777" w:rsidR="00815FCD" w:rsidRDefault="00ED54F7" w:rsidP="00815FCD">
      <w:pPr>
        <w:pStyle w:val="NormalWeb"/>
        <w:shd w:val="clear" w:color="auto" w:fill="FFFFFF"/>
        <w:spacing w:before="2" w:after="2"/>
        <w:ind w:firstLine="720"/>
        <w:rPr>
          <w:rFonts w:ascii="Times New Roman" w:hAnsi="Times New Roman"/>
          <w:sz w:val="24"/>
        </w:rPr>
      </w:pPr>
      <w:r>
        <w:rPr>
          <w:rFonts w:ascii="Times New Roman" w:hAnsi="Times New Roman"/>
          <w:sz w:val="24"/>
        </w:rPr>
        <w:t>Four</w:t>
      </w:r>
      <w:r w:rsidRPr="00BF6B19">
        <w:rPr>
          <w:rFonts w:ascii="Times New Roman" w:hAnsi="Times New Roman"/>
          <w:sz w:val="24"/>
        </w:rPr>
        <w:t xml:space="preserve"> DEAC accredited </w:t>
      </w:r>
      <w:r>
        <w:rPr>
          <w:rFonts w:ascii="Times New Roman" w:hAnsi="Times New Roman"/>
          <w:sz w:val="24"/>
        </w:rPr>
        <w:t>colleges</w:t>
      </w:r>
      <w:r w:rsidRPr="00BF6B19">
        <w:rPr>
          <w:rFonts w:ascii="Times New Roman" w:hAnsi="Times New Roman"/>
          <w:sz w:val="24"/>
        </w:rPr>
        <w:t xml:space="preserve"> </w:t>
      </w:r>
      <w:r>
        <w:rPr>
          <w:rFonts w:ascii="Times New Roman" w:hAnsi="Times New Roman"/>
          <w:sz w:val="24"/>
        </w:rPr>
        <w:t xml:space="preserve">that </w:t>
      </w:r>
      <w:r w:rsidRPr="00BF6B19">
        <w:rPr>
          <w:rFonts w:ascii="Times New Roman" w:hAnsi="Times New Roman"/>
          <w:sz w:val="24"/>
        </w:rPr>
        <w:t xml:space="preserve">are </w:t>
      </w:r>
      <w:r>
        <w:rPr>
          <w:rFonts w:ascii="Times New Roman" w:hAnsi="Times New Roman"/>
          <w:sz w:val="24"/>
        </w:rPr>
        <w:t xml:space="preserve">Title IV eligible were </w:t>
      </w:r>
      <w:r w:rsidRPr="00BF6B19">
        <w:rPr>
          <w:rFonts w:ascii="Times New Roman" w:hAnsi="Times New Roman"/>
          <w:sz w:val="24"/>
        </w:rPr>
        <w:t xml:space="preserve">the subject of </w:t>
      </w:r>
      <w:r>
        <w:rPr>
          <w:rFonts w:ascii="Times New Roman" w:hAnsi="Times New Roman"/>
          <w:sz w:val="24"/>
        </w:rPr>
        <w:t xml:space="preserve">veterans’ </w:t>
      </w:r>
      <w:r w:rsidRPr="00BF6B19">
        <w:rPr>
          <w:rFonts w:ascii="Times New Roman" w:hAnsi="Times New Roman"/>
          <w:sz w:val="24"/>
        </w:rPr>
        <w:t xml:space="preserve">complaints submitted </w:t>
      </w:r>
      <w:r>
        <w:rPr>
          <w:rFonts w:ascii="Times New Roman" w:hAnsi="Times New Roman"/>
          <w:sz w:val="24"/>
        </w:rPr>
        <w:t xml:space="preserve">to the Department of Veterans Affairs or Veterans Education Success.  </w:t>
      </w:r>
    </w:p>
    <w:p w14:paraId="5ED1738C" w14:textId="77777777" w:rsidR="00815FCD" w:rsidRDefault="00864337" w:rsidP="00815FCD">
      <w:pPr>
        <w:pStyle w:val="NormalWeb"/>
        <w:shd w:val="clear" w:color="auto" w:fill="FFFFFF"/>
        <w:spacing w:before="2" w:after="2"/>
        <w:rPr>
          <w:rFonts w:ascii="Times New Roman" w:hAnsi="Times New Roman"/>
          <w:sz w:val="24"/>
        </w:rPr>
      </w:pPr>
    </w:p>
    <w:p w14:paraId="244AB28E" w14:textId="77777777" w:rsidR="00815FCD" w:rsidRDefault="00ED54F7" w:rsidP="00815FCD">
      <w:pPr>
        <w:pStyle w:val="NormalWeb"/>
        <w:shd w:val="clear" w:color="auto" w:fill="FFFFFF"/>
        <w:spacing w:before="2" w:after="2"/>
        <w:rPr>
          <w:rFonts w:ascii="Times New Roman" w:hAnsi="Times New Roman"/>
          <w:sz w:val="24"/>
        </w:rPr>
      </w:pPr>
      <w:r>
        <w:rPr>
          <w:rFonts w:ascii="Times New Roman" w:hAnsi="Times New Roman"/>
          <w:sz w:val="24"/>
        </w:rPr>
        <w:tab/>
        <w:t>Veterans filed 22 complaints against 3 DEAC accredited schools using the Department of Veterans Affairs GI Bill Feedback System (see table 1).</w:t>
      </w:r>
      <w:r>
        <w:rPr>
          <w:rStyle w:val="FootnoteReference"/>
          <w:rFonts w:ascii="Times New Roman" w:hAnsi="Times New Roman"/>
          <w:sz w:val="24"/>
        </w:rPr>
        <w:footnoteReference w:id="7"/>
      </w:r>
      <w:r>
        <w:rPr>
          <w:rFonts w:ascii="Times New Roman" w:hAnsi="Times New Roman"/>
          <w:sz w:val="24"/>
        </w:rPr>
        <w:t xml:space="preserve">  The consistency in the nature of the complaints across these three DEAC accredited schools is notable and involve issues that that led to the FTC settlement with Ashworth—accreditation and transfer of credits.</w:t>
      </w:r>
    </w:p>
    <w:p w14:paraId="60B0AC41" w14:textId="77777777" w:rsidR="00815FCD" w:rsidRDefault="00864337" w:rsidP="00815FCD">
      <w:pPr>
        <w:pStyle w:val="NormalWeb"/>
        <w:shd w:val="clear" w:color="auto" w:fill="FFFFFF"/>
        <w:spacing w:before="2" w:after="2"/>
        <w:rPr>
          <w:rFonts w:ascii="Times New Roman" w:hAnsi="Times New Roman"/>
          <w:sz w:val="24"/>
        </w:rPr>
      </w:pPr>
    </w:p>
    <w:p w14:paraId="74CD1C11" w14:textId="77777777" w:rsidR="00815FCD" w:rsidRPr="0088414D" w:rsidRDefault="00ED54F7" w:rsidP="00815FCD">
      <w:pPr>
        <w:pStyle w:val="NormalWeb"/>
        <w:shd w:val="clear" w:color="auto" w:fill="FFFFFF"/>
        <w:spacing w:before="2" w:after="2"/>
        <w:rPr>
          <w:rFonts w:ascii="Times New Roman" w:hAnsi="Times New Roman"/>
          <w:b/>
        </w:rPr>
      </w:pPr>
      <w:r>
        <w:rPr>
          <w:rFonts w:ascii="Times New Roman" w:hAnsi="Times New Roman"/>
          <w:b/>
        </w:rPr>
        <w:t xml:space="preserve">Table 1: </w:t>
      </w:r>
      <w:r w:rsidRPr="0088414D">
        <w:rPr>
          <w:rFonts w:ascii="Times New Roman" w:hAnsi="Times New Roman"/>
          <w:b/>
        </w:rPr>
        <w:t xml:space="preserve">DEAC Accredited Title IV Eligible Schools with </w:t>
      </w:r>
      <w:r>
        <w:rPr>
          <w:rFonts w:ascii="Times New Roman" w:hAnsi="Times New Roman"/>
          <w:b/>
        </w:rPr>
        <w:t xml:space="preserve">Four or More </w:t>
      </w:r>
      <w:r w:rsidRPr="0088414D">
        <w:rPr>
          <w:rFonts w:ascii="Times New Roman" w:hAnsi="Times New Roman"/>
          <w:b/>
        </w:rPr>
        <w:t>Veteran Complaints</w:t>
      </w:r>
    </w:p>
    <w:tbl>
      <w:tblPr>
        <w:tblStyle w:val="TableGrid"/>
        <w:tblW w:w="0" w:type="auto"/>
        <w:tblLook w:val="00A0" w:firstRow="1" w:lastRow="0" w:firstColumn="1" w:lastColumn="0" w:noHBand="0" w:noVBand="0"/>
      </w:tblPr>
      <w:tblGrid>
        <w:gridCol w:w="3491"/>
        <w:gridCol w:w="1387"/>
        <w:gridCol w:w="3510"/>
      </w:tblGrid>
      <w:tr w:rsidR="00815FCD" w:rsidRPr="004B03B6" w14:paraId="6F9EE598" w14:textId="77777777">
        <w:tc>
          <w:tcPr>
            <w:tcW w:w="3491" w:type="dxa"/>
          </w:tcPr>
          <w:p w14:paraId="7BBAABF0" w14:textId="77777777" w:rsidR="00815FCD" w:rsidRPr="004B03B6" w:rsidRDefault="00ED54F7" w:rsidP="00815FCD">
            <w:pPr>
              <w:pStyle w:val="NormalWeb"/>
              <w:spacing w:before="2" w:after="2"/>
              <w:rPr>
                <w:rFonts w:ascii="Times New Roman" w:hAnsi="Times New Roman"/>
                <w:b/>
              </w:rPr>
            </w:pPr>
            <w:r w:rsidRPr="004B03B6">
              <w:rPr>
                <w:rFonts w:ascii="Times New Roman" w:hAnsi="Times New Roman"/>
                <w:b/>
              </w:rPr>
              <w:t>School</w:t>
            </w:r>
          </w:p>
        </w:tc>
        <w:tc>
          <w:tcPr>
            <w:tcW w:w="1387" w:type="dxa"/>
          </w:tcPr>
          <w:p w14:paraId="43630874" w14:textId="77777777" w:rsidR="00815FCD" w:rsidRPr="004B03B6" w:rsidRDefault="00ED54F7" w:rsidP="00815FCD">
            <w:pPr>
              <w:pStyle w:val="NormalWeb"/>
              <w:spacing w:before="2" w:after="2"/>
              <w:rPr>
                <w:rFonts w:ascii="Times New Roman" w:hAnsi="Times New Roman"/>
                <w:b/>
              </w:rPr>
            </w:pPr>
            <w:r w:rsidRPr="004B03B6">
              <w:rPr>
                <w:rFonts w:ascii="Times New Roman" w:hAnsi="Times New Roman"/>
                <w:b/>
              </w:rPr>
              <w:t>Number of Complaints</w:t>
            </w:r>
          </w:p>
        </w:tc>
        <w:tc>
          <w:tcPr>
            <w:tcW w:w="3510" w:type="dxa"/>
          </w:tcPr>
          <w:p w14:paraId="49482421" w14:textId="77777777" w:rsidR="00815FCD" w:rsidRPr="004B03B6" w:rsidRDefault="00ED54F7" w:rsidP="00815FCD">
            <w:pPr>
              <w:pStyle w:val="NormalWeb"/>
              <w:spacing w:before="2" w:after="2"/>
              <w:rPr>
                <w:rFonts w:ascii="Times New Roman" w:hAnsi="Times New Roman"/>
                <w:b/>
              </w:rPr>
            </w:pPr>
            <w:r w:rsidRPr="004B03B6">
              <w:rPr>
                <w:rFonts w:ascii="Times New Roman" w:hAnsi="Times New Roman"/>
                <w:b/>
              </w:rPr>
              <w:t>Nature of complaint</w:t>
            </w:r>
          </w:p>
        </w:tc>
      </w:tr>
      <w:tr w:rsidR="00815FCD" w:rsidRPr="004B03B6" w14:paraId="5E3E8814" w14:textId="77777777">
        <w:tc>
          <w:tcPr>
            <w:tcW w:w="3491" w:type="dxa"/>
          </w:tcPr>
          <w:p w14:paraId="3DDAEFBB" w14:textId="77777777" w:rsidR="00815FCD" w:rsidRPr="00EC320A" w:rsidRDefault="00ED54F7" w:rsidP="00815FCD">
            <w:pPr>
              <w:pStyle w:val="NormalWeb"/>
              <w:spacing w:before="2" w:after="2"/>
              <w:rPr>
                <w:rFonts w:ascii="a" w:hAnsi="a"/>
                <w:vertAlign w:val="superscript"/>
              </w:rPr>
            </w:pPr>
            <w:r>
              <w:rPr>
                <w:rFonts w:ascii="Times New Roman" w:hAnsi="Times New Roman"/>
              </w:rPr>
              <w:t>American Business and Technology University</w:t>
            </w:r>
            <w:r>
              <w:rPr>
                <w:rFonts w:ascii="Times New Roman" w:hAnsi="Times New Roman"/>
                <w:vertAlign w:val="superscript"/>
              </w:rPr>
              <w:t>a</w:t>
            </w:r>
          </w:p>
        </w:tc>
        <w:tc>
          <w:tcPr>
            <w:tcW w:w="1387" w:type="dxa"/>
          </w:tcPr>
          <w:p w14:paraId="132BA7FC" w14:textId="77777777" w:rsidR="00815FCD" w:rsidRPr="004B03B6" w:rsidRDefault="00ED54F7" w:rsidP="00815FCD">
            <w:pPr>
              <w:pStyle w:val="NormalWeb"/>
              <w:spacing w:before="2" w:after="2"/>
              <w:jc w:val="right"/>
              <w:rPr>
                <w:rFonts w:ascii="Times New Roman" w:hAnsi="Times New Roman"/>
              </w:rPr>
            </w:pPr>
            <w:r>
              <w:rPr>
                <w:rFonts w:ascii="Times New Roman" w:hAnsi="Times New Roman"/>
              </w:rPr>
              <w:t>10</w:t>
            </w:r>
          </w:p>
        </w:tc>
        <w:tc>
          <w:tcPr>
            <w:tcW w:w="3510" w:type="dxa"/>
          </w:tcPr>
          <w:p w14:paraId="0CD83A3A" w14:textId="77777777" w:rsidR="00815FCD" w:rsidRPr="004B03B6" w:rsidRDefault="00ED54F7" w:rsidP="00815FCD">
            <w:pPr>
              <w:pStyle w:val="NormalWeb"/>
              <w:spacing w:before="2" w:after="2"/>
              <w:rPr>
                <w:rFonts w:ascii="Times New Roman" w:hAnsi="Times New Roman"/>
              </w:rPr>
            </w:pPr>
            <w:r>
              <w:rPr>
                <w:rFonts w:ascii="Times New Roman" w:hAnsi="Times New Roman"/>
              </w:rPr>
              <w:t>tuition/fee charges, quality of education, refund issues recruiting/marketing practices, accreditation, change in degree/plan requirements, student loans, grade policy, transfer or credits, and release of transcripts</w:t>
            </w:r>
          </w:p>
        </w:tc>
      </w:tr>
      <w:tr w:rsidR="00815FCD" w:rsidRPr="004B03B6" w14:paraId="798A4756" w14:textId="77777777">
        <w:tc>
          <w:tcPr>
            <w:tcW w:w="3491" w:type="dxa"/>
          </w:tcPr>
          <w:p w14:paraId="1FF74C45" w14:textId="77777777" w:rsidR="00815FCD" w:rsidRPr="004B03B6" w:rsidRDefault="00ED54F7" w:rsidP="00815FCD">
            <w:pPr>
              <w:pStyle w:val="NormalWeb"/>
              <w:spacing w:before="2" w:after="2"/>
              <w:rPr>
                <w:rFonts w:ascii="Times New Roman" w:hAnsi="Times New Roman"/>
              </w:rPr>
            </w:pPr>
            <w:r>
              <w:rPr>
                <w:rFonts w:ascii="Times New Roman" w:hAnsi="Times New Roman"/>
              </w:rPr>
              <w:t>Sonoran Desert Institute</w:t>
            </w:r>
          </w:p>
        </w:tc>
        <w:tc>
          <w:tcPr>
            <w:tcW w:w="1387" w:type="dxa"/>
          </w:tcPr>
          <w:p w14:paraId="6D35C735" w14:textId="77777777" w:rsidR="00815FCD" w:rsidRPr="004B03B6" w:rsidRDefault="00ED54F7" w:rsidP="00815FCD">
            <w:pPr>
              <w:pStyle w:val="NormalWeb"/>
              <w:spacing w:before="2" w:after="2"/>
              <w:jc w:val="right"/>
              <w:rPr>
                <w:rFonts w:ascii="Times New Roman" w:hAnsi="Times New Roman"/>
              </w:rPr>
            </w:pPr>
            <w:r>
              <w:rPr>
                <w:rFonts w:ascii="Times New Roman" w:hAnsi="Times New Roman"/>
              </w:rPr>
              <w:t>8</w:t>
            </w:r>
          </w:p>
        </w:tc>
        <w:tc>
          <w:tcPr>
            <w:tcW w:w="3510" w:type="dxa"/>
          </w:tcPr>
          <w:p w14:paraId="43283BC8" w14:textId="77777777" w:rsidR="00815FCD" w:rsidRPr="004B03B6" w:rsidRDefault="00ED54F7" w:rsidP="00815FCD">
            <w:pPr>
              <w:pStyle w:val="NormalWeb"/>
              <w:spacing w:before="2" w:after="2"/>
              <w:rPr>
                <w:rFonts w:ascii="Times New Roman" w:hAnsi="Times New Roman"/>
              </w:rPr>
            </w:pPr>
            <w:r>
              <w:rPr>
                <w:rFonts w:ascii="Times New Roman" w:hAnsi="Times New Roman"/>
              </w:rPr>
              <w:t>tuition/fee charges, quality of education, recruiting/marketing practices, accreditation, change in degree plan/requirements</w:t>
            </w:r>
          </w:p>
        </w:tc>
      </w:tr>
      <w:tr w:rsidR="00815FCD" w:rsidRPr="004B03B6" w14:paraId="56EF7F29" w14:textId="77777777">
        <w:tc>
          <w:tcPr>
            <w:tcW w:w="3491" w:type="dxa"/>
          </w:tcPr>
          <w:p w14:paraId="48DFACB9" w14:textId="77777777" w:rsidR="00815FCD" w:rsidRPr="004B03B6" w:rsidRDefault="00ED54F7" w:rsidP="00815FCD">
            <w:pPr>
              <w:pStyle w:val="NormalWeb"/>
              <w:spacing w:before="2" w:after="2"/>
              <w:rPr>
                <w:rFonts w:ascii="Times New Roman" w:hAnsi="Times New Roman"/>
              </w:rPr>
            </w:pPr>
            <w:r>
              <w:rPr>
                <w:rFonts w:ascii="Times New Roman" w:hAnsi="Times New Roman"/>
              </w:rPr>
              <w:t>Columbia Southern University</w:t>
            </w:r>
          </w:p>
        </w:tc>
        <w:tc>
          <w:tcPr>
            <w:tcW w:w="1387" w:type="dxa"/>
          </w:tcPr>
          <w:p w14:paraId="47F2000F" w14:textId="77777777" w:rsidR="00815FCD" w:rsidRPr="004B03B6" w:rsidRDefault="00ED54F7" w:rsidP="00815FCD">
            <w:pPr>
              <w:pStyle w:val="NormalWeb"/>
              <w:spacing w:before="2" w:after="2"/>
              <w:jc w:val="right"/>
              <w:rPr>
                <w:rFonts w:ascii="Times New Roman" w:hAnsi="Times New Roman"/>
              </w:rPr>
            </w:pPr>
            <w:r>
              <w:rPr>
                <w:rFonts w:ascii="Times New Roman" w:hAnsi="Times New Roman"/>
              </w:rPr>
              <w:t>4</w:t>
            </w:r>
          </w:p>
        </w:tc>
        <w:tc>
          <w:tcPr>
            <w:tcW w:w="3510" w:type="dxa"/>
          </w:tcPr>
          <w:p w14:paraId="29F92AE6" w14:textId="77777777" w:rsidR="00815FCD" w:rsidRPr="004B03B6" w:rsidRDefault="00ED54F7" w:rsidP="00815FCD">
            <w:pPr>
              <w:pStyle w:val="NormalWeb"/>
              <w:spacing w:before="2" w:after="2"/>
              <w:rPr>
                <w:rFonts w:ascii="Times New Roman" w:hAnsi="Times New Roman"/>
              </w:rPr>
            </w:pPr>
            <w:r>
              <w:rPr>
                <w:rFonts w:ascii="Times New Roman" w:hAnsi="Times New Roman"/>
              </w:rPr>
              <w:t>tuition/fee charges, recruiting/marketing practices, accreditation, student loans, transfer of credit</w:t>
            </w:r>
          </w:p>
        </w:tc>
      </w:tr>
    </w:tbl>
    <w:p w14:paraId="3CEE3E48" w14:textId="77777777" w:rsidR="00815FCD" w:rsidRDefault="00ED54F7" w:rsidP="00815FCD">
      <w:pPr>
        <w:pStyle w:val="NormalWeb"/>
        <w:shd w:val="clear" w:color="auto" w:fill="FFFFFF"/>
        <w:spacing w:before="2" w:after="2"/>
        <w:rPr>
          <w:rFonts w:ascii="Times New Roman" w:hAnsi="Times New Roman"/>
        </w:rPr>
      </w:pPr>
      <w:r>
        <w:rPr>
          <w:rFonts w:ascii="Times New Roman" w:hAnsi="Times New Roman"/>
        </w:rPr>
        <w:t xml:space="preserve">Source: GI Bill College Comparison Tool @ </w:t>
      </w:r>
      <w:hyperlink r:id="rId8" w:history="1">
        <w:r w:rsidRPr="004D6354">
          <w:rPr>
            <w:rStyle w:val="Hyperlink"/>
            <w:rFonts w:ascii="Times New Roman" w:hAnsi="Times New Roman"/>
          </w:rPr>
          <w:t>https://www.vets.gov/gi-bill-comparison-tool</w:t>
        </w:r>
      </w:hyperlink>
      <w:r>
        <w:rPr>
          <w:rFonts w:ascii="Times New Roman" w:hAnsi="Times New Roman"/>
        </w:rPr>
        <w:t xml:space="preserve"> </w:t>
      </w:r>
    </w:p>
    <w:p w14:paraId="1AD829B3" w14:textId="77777777" w:rsidR="00815FCD" w:rsidRPr="009515CB" w:rsidRDefault="00864337" w:rsidP="00815FCD">
      <w:pPr>
        <w:pStyle w:val="NormalWeb"/>
        <w:shd w:val="clear" w:color="auto" w:fill="FFFFFF"/>
        <w:spacing w:before="2" w:after="2"/>
        <w:rPr>
          <w:rFonts w:ascii="Times New Roman" w:hAnsi="Times New Roman"/>
        </w:rPr>
      </w:pPr>
    </w:p>
    <w:p w14:paraId="71C46DD3" w14:textId="77777777" w:rsidR="00815FCD" w:rsidRPr="00E5251C" w:rsidRDefault="00ED54F7" w:rsidP="00815FCD">
      <w:pPr>
        <w:rPr>
          <w:rFonts w:ascii="Times New Roman" w:hAnsi="Times New Roman"/>
          <w:sz w:val="20"/>
        </w:rPr>
      </w:pPr>
      <w:r w:rsidRPr="00E5251C">
        <w:rPr>
          <w:rFonts w:ascii="Times New Roman" w:hAnsi="Times New Roman"/>
          <w:sz w:val="20"/>
          <w:vertAlign w:val="superscript"/>
        </w:rPr>
        <w:t>a</w:t>
      </w:r>
      <w:r>
        <w:rPr>
          <w:rFonts w:ascii="Times New Roman" w:hAnsi="Times New Roman"/>
          <w:sz w:val="20"/>
        </w:rPr>
        <w:t>In January 2016, D</w:t>
      </w:r>
      <w:r w:rsidRPr="00E5251C">
        <w:rPr>
          <w:rFonts w:ascii="Times New Roman" w:hAnsi="Times New Roman"/>
          <w:sz w:val="20"/>
        </w:rPr>
        <w:t xml:space="preserve">EAC </w:t>
      </w:r>
      <w:r>
        <w:rPr>
          <w:rFonts w:ascii="Times New Roman" w:hAnsi="Times New Roman"/>
          <w:sz w:val="20"/>
        </w:rPr>
        <w:t xml:space="preserve">voted to </w:t>
      </w:r>
      <w:r w:rsidRPr="00E5251C">
        <w:rPr>
          <w:rFonts w:ascii="Times New Roman" w:hAnsi="Times New Roman"/>
          <w:sz w:val="20"/>
        </w:rPr>
        <w:t>place ABT</w:t>
      </w:r>
      <w:r>
        <w:rPr>
          <w:rFonts w:ascii="Times New Roman" w:hAnsi="Times New Roman"/>
          <w:sz w:val="20"/>
        </w:rPr>
        <w:t xml:space="preserve">U </w:t>
      </w:r>
      <w:r w:rsidRPr="00E5251C">
        <w:rPr>
          <w:rFonts w:ascii="Times New Roman" w:hAnsi="Times New Roman"/>
          <w:sz w:val="20"/>
        </w:rPr>
        <w:t xml:space="preserve">on “show cause” </w:t>
      </w:r>
      <w:r>
        <w:rPr>
          <w:rFonts w:ascii="Times New Roman" w:hAnsi="Times New Roman"/>
          <w:sz w:val="20"/>
        </w:rPr>
        <w:t xml:space="preserve">as to why accreditation should not be withdrawn. DEAC said that it </w:t>
      </w:r>
      <w:r w:rsidRPr="00E5251C">
        <w:rPr>
          <w:rFonts w:ascii="Times New Roman" w:hAnsi="Times New Roman"/>
          <w:sz w:val="20"/>
        </w:rPr>
        <w:t xml:space="preserve">planed to conduct a total reevaluation of </w:t>
      </w:r>
      <w:r>
        <w:rPr>
          <w:rFonts w:ascii="Times New Roman" w:hAnsi="Times New Roman"/>
          <w:sz w:val="20"/>
        </w:rPr>
        <w:t>the school</w:t>
      </w:r>
      <w:r w:rsidRPr="00E5251C">
        <w:rPr>
          <w:rFonts w:ascii="Times New Roman" w:hAnsi="Times New Roman"/>
          <w:sz w:val="20"/>
        </w:rPr>
        <w:t xml:space="preserve">’s compliance with accreditation standards </w:t>
      </w:r>
      <w:r>
        <w:rPr>
          <w:rFonts w:ascii="Times New Roman" w:hAnsi="Times New Roman"/>
          <w:sz w:val="20"/>
        </w:rPr>
        <w:t xml:space="preserve">in January 2017 </w:t>
      </w:r>
      <w:r w:rsidRPr="00E5251C">
        <w:rPr>
          <w:rFonts w:ascii="Times New Roman" w:hAnsi="Times New Roman"/>
          <w:sz w:val="20"/>
        </w:rPr>
        <w:t xml:space="preserve">using the procedures and format set forth in </w:t>
      </w:r>
      <w:r>
        <w:rPr>
          <w:rFonts w:ascii="Times New Roman" w:hAnsi="Times New Roman"/>
          <w:sz w:val="20"/>
        </w:rPr>
        <w:t>its</w:t>
      </w:r>
      <w:r w:rsidRPr="00E5251C">
        <w:rPr>
          <w:rFonts w:ascii="Times New Roman" w:hAnsi="Times New Roman"/>
          <w:sz w:val="20"/>
        </w:rPr>
        <w:t xml:space="preserve"> 2016 Accreditation Handbook.</w:t>
      </w:r>
      <w:r>
        <w:rPr>
          <w:rFonts w:ascii="Times New Roman" w:hAnsi="Times New Roman"/>
          <w:sz w:val="20"/>
        </w:rPr>
        <w:t xml:space="preserve"> The DEAC show cause notice did not identify the accreditation standards with which ABTU </w:t>
      </w:r>
      <w:r>
        <w:rPr>
          <w:rFonts w:ascii="Times New Roman" w:hAnsi="Times New Roman"/>
          <w:sz w:val="20"/>
        </w:rPr>
        <w:lastRenderedPageBreak/>
        <w:t>was not in compliance.</w:t>
      </w:r>
      <w:r w:rsidRPr="00E5251C">
        <w:rPr>
          <w:rFonts w:ascii="Times New Roman" w:hAnsi="Times New Roman"/>
          <w:sz w:val="20"/>
        </w:rPr>
        <w:t xml:space="preserve"> </w:t>
      </w:r>
      <w:hyperlink r:id="rId9" w:history="1">
        <w:r w:rsidRPr="00E5251C">
          <w:rPr>
            <w:rStyle w:val="Hyperlink"/>
            <w:rFonts w:ascii="Times New Roman" w:eastAsiaTheme="minorHAnsi" w:hAnsi="Times New Roman" w:cstheme="minorBidi"/>
            <w:sz w:val="20"/>
            <w:szCs w:val="20"/>
          </w:rPr>
          <w:t>http://www.deac.org/UploadedDocuments/Public-Notices/030116_abtu_sco_summary.pdf</w:t>
        </w:r>
      </w:hyperlink>
      <w:r w:rsidRPr="00E5251C">
        <w:rPr>
          <w:rFonts w:ascii="Times New Roman" w:hAnsi="Times New Roman"/>
          <w:sz w:val="20"/>
        </w:rPr>
        <w:t xml:space="preserve"> </w:t>
      </w:r>
    </w:p>
    <w:p w14:paraId="17B62187" w14:textId="77777777" w:rsidR="00815FCD" w:rsidRDefault="00864337" w:rsidP="00815FCD">
      <w:pPr>
        <w:pStyle w:val="NormalWeb"/>
        <w:shd w:val="clear" w:color="auto" w:fill="FFFFFF"/>
        <w:spacing w:before="2" w:after="2"/>
        <w:rPr>
          <w:rFonts w:ascii="Times New Roman" w:hAnsi="Times New Roman"/>
          <w:sz w:val="24"/>
        </w:rPr>
      </w:pPr>
    </w:p>
    <w:p w14:paraId="413104D8" w14:textId="77777777" w:rsidR="00815FCD" w:rsidRDefault="00ED54F7" w:rsidP="00815FCD">
      <w:pPr>
        <w:pStyle w:val="NormalWeb"/>
        <w:shd w:val="clear" w:color="auto" w:fill="FFFFFF"/>
        <w:spacing w:before="2" w:after="2"/>
        <w:ind w:firstLine="720"/>
        <w:rPr>
          <w:rFonts w:ascii="Times New Roman" w:hAnsi="Times New Roman"/>
          <w:sz w:val="24"/>
        </w:rPr>
      </w:pPr>
      <w:r>
        <w:rPr>
          <w:rFonts w:ascii="Times New Roman" w:hAnsi="Times New Roman"/>
          <w:sz w:val="24"/>
        </w:rPr>
        <w:t>Veterans Education Success also received a complaint from a veteran who attended Allied American University, which closed in December 2016.</w:t>
      </w:r>
      <w:r>
        <w:rPr>
          <w:rStyle w:val="FootnoteReference"/>
          <w:rFonts w:ascii="Times New Roman" w:hAnsi="Times New Roman"/>
          <w:sz w:val="24"/>
        </w:rPr>
        <w:footnoteReference w:id="8"/>
      </w:r>
      <w:r>
        <w:rPr>
          <w:rFonts w:ascii="Times New Roman" w:hAnsi="Times New Roman"/>
          <w:sz w:val="24"/>
        </w:rPr>
        <w:t xml:space="preserve"> This veteran was told that her remaining GI Bill benefits would not cover tuition and fees and she was encouraged to take out a federal student loan, which she did. Months later she received a large refund check from the school and realized that the loans were never applied to her tuition charges. Rather, Allied American University used her GI Bill benefits, which she was saving to attend a different school.</w:t>
      </w:r>
    </w:p>
    <w:p w14:paraId="1093B348" w14:textId="77777777" w:rsidR="00815FCD" w:rsidRDefault="00864337" w:rsidP="00815FCD">
      <w:pPr>
        <w:pStyle w:val="NormalWeb"/>
        <w:shd w:val="clear" w:color="auto" w:fill="FFFFFF"/>
        <w:spacing w:before="2" w:after="2"/>
        <w:ind w:firstLine="720"/>
        <w:rPr>
          <w:rFonts w:ascii="Times New Roman" w:hAnsi="Times New Roman"/>
          <w:sz w:val="24"/>
        </w:rPr>
      </w:pPr>
    </w:p>
    <w:p w14:paraId="0D517859" w14:textId="77777777" w:rsidR="00815FCD" w:rsidRDefault="00ED54F7" w:rsidP="00815FCD">
      <w:pPr>
        <w:pStyle w:val="NormalWeb"/>
        <w:shd w:val="clear" w:color="auto" w:fill="FFFFFF"/>
        <w:spacing w:before="2" w:after="2"/>
        <w:rPr>
          <w:rFonts w:ascii="Times New Roman" w:hAnsi="Times New Roman"/>
          <w:sz w:val="24"/>
        </w:rPr>
      </w:pPr>
      <w:r>
        <w:rPr>
          <w:rFonts w:ascii="Times New Roman" w:hAnsi="Times New Roman"/>
          <w:sz w:val="24"/>
        </w:rPr>
        <w:tab/>
        <w:t xml:space="preserve">We urge NACIQI to determine whether DEAC has received other similar complaints against these schools and what action DEAC took based on those complaints. Because the new Post-9/11 GI Bill has significantly increased the number of veterans pursing certificates or degrees, we believe that Department of Education recognized accrediting organizations should be reaching out to the Department of Veterans Affairs and the Department of Defense to learn about veteran and servicemember complaints against the schools whose standards they oversee. </w:t>
      </w:r>
    </w:p>
    <w:p w14:paraId="0982A1BD" w14:textId="77777777" w:rsidR="00815FCD" w:rsidRDefault="00864337" w:rsidP="00815FCD">
      <w:pPr>
        <w:pStyle w:val="NormalWeb"/>
        <w:shd w:val="clear" w:color="auto" w:fill="FFFFFF"/>
        <w:spacing w:before="2" w:after="2"/>
        <w:rPr>
          <w:rFonts w:ascii="Times New Roman" w:hAnsi="Times New Roman"/>
          <w:sz w:val="24"/>
        </w:rPr>
      </w:pPr>
    </w:p>
    <w:p w14:paraId="738373FF" w14:textId="77777777" w:rsidR="00815FCD" w:rsidRDefault="00ED54F7" w:rsidP="00815FCD">
      <w:pPr>
        <w:pStyle w:val="NormalWeb"/>
        <w:shd w:val="clear" w:color="auto" w:fill="FFFFFF"/>
        <w:spacing w:before="2" w:after="2"/>
        <w:rPr>
          <w:rFonts w:ascii="Times New Roman" w:hAnsi="Times New Roman"/>
          <w:sz w:val="24"/>
        </w:rPr>
      </w:pPr>
      <w:r>
        <w:rPr>
          <w:rFonts w:ascii="Times New Roman" w:hAnsi="Times New Roman"/>
          <w:sz w:val="24"/>
          <w:u w:val="single"/>
        </w:rPr>
        <w:t>Conclusion</w:t>
      </w:r>
    </w:p>
    <w:p w14:paraId="15060183" w14:textId="77777777" w:rsidR="00815FCD" w:rsidRDefault="00864337" w:rsidP="00815FCD">
      <w:pPr>
        <w:pStyle w:val="NormalWeb"/>
        <w:shd w:val="clear" w:color="auto" w:fill="FFFFFF"/>
        <w:spacing w:before="2" w:after="2"/>
        <w:rPr>
          <w:rFonts w:ascii="Times New Roman" w:hAnsi="Times New Roman"/>
          <w:sz w:val="24"/>
        </w:rPr>
      </w:pPr>
    </w:p>
    <w:p w14:paraId="2274CC71" w14:textId="77777777" w:rsidR="00815FCD" w:rsidRPr="00AA67F1" w:rsidRDefault="00ED54F7" w:rsidP="00815FCD">
      <w:pPr>
        <w:pStyle w:val="NormalWeb"/>
        <w:shd w:val="clear" w:color="auto" w:fill="FFFFFF"/>
        <w:spacing w:before="2" w:after="2"/>
        <w:ind w:firstLine="720"/>
        <w:rPr>
          <w:rFonts w:ascii="Times New Roman" w:hAnsi="Times New Roman"/>
          <w:sz w:val="24"/>
        </w:rPr>
      </w:pPr>
      <w:r w:rsidRPr="00AA67F1">
        <w:rPr>
          <w:rFonts w:ascii="Times New Roman" w:hAnsi="Times New Roman"/>
          <w:sz w:val="24"/>
        </w:rPr>
        <w:t xml:space="preserve">The Education Department has developed standards and criteria for student loan forgiveness that will help individuals who were deceived by schools like Ashworth. GI Bill benefits, however, cannot be reinstated and if they are wasted at a school that misrepresented itself, they are gone forever. Accreditation that ensures only quality institutions can participate in Title IV </w:t>
      </w:r>
      <w:r>
        <w:rPr>
          <w:rFonts w:ascii="Times New Roman" w:hAnsi="Times New Roman"/>
          <w:sz w:val="24"/>
        </w:rPr>
        <w:t xml:space="preserve">and/or receive GI Bill dollars </w:t>
      </w:r>
      <w:r w:rsidRPr="00AA67F1">
        <w:rPr>
          <w:rFonts w:ascii="Times New Roman" w:hAnsi="Times New Roman"/>
          <w:sz w:val="24"/>
        </w:rPr>
        <w:t xml:space="preserve">is critically important to veterans. </w:t>
      </w:r>
    </w:p>
    <w:p w14:paraId="75D3DA52" w14:textId="77777777" w:rsidR="00815FCD" w:rsidRPr="00AA67F1" w:rsidRDefault="00864337" w:rsidP="00815FCD">
      <w:pPr>
        <w:pStyle w:val="NormalWeb"/>
        <w:shd w:val="clear" w:color="auto" w:fill="FFFFFF"/>
        <w:spacing w:before="2" w:after="2"/>
        <w:rPr>
          <w:rFonts w:ascii="Times New Roman" w:hAnsi="Times New Roman"/>
          <w:sz w:val="24"/>
        </w:rPr>
      </w:pPr>
    </w:p>
    <w:p w14:paraId="5B6B82BC" w14:textId="77777777" w:rsidR="00815FCD" w:rsidRDefault="00ED54F7" w:rsidP="00815FCD">
      <w:pPr>
        <w:pStyle w:val="Normal2"/>
        <w:ind w:firstLine="720"/>
        <w:rPr>
          <w:rFonts w:ascii="Times New Roman" w:eastAsiaTheme="minorHAnsi" w:hAnsi="Times New Roman" w:cs="Times New Roman"/>
          <w:color w:val="auto"/>
          <w:szCs w:val="20"/>
        </w:rPr>
      </w:pPr>
      <w:r w:rsidRPr="001E15D3">
        <w:rPr>
          <w:rFonts w:ascii="Times New Roman" w:eastAsiaTheme="minorHAnsi" w:hAnsi="Times New Roman" w:cs="Times New Roman"/>
          <w:color w:val="auto"/>
          <w:szCs w:val="20"/>
        </w:rPr>
        <w:t xml:space="preserve">On behalf of servicemembers and veterans, we ask that you hold DEAC accountable </w:t>
      </w:r>
      <w:r>
        <w:rPr>
          <w:rFonts w:ascii="Times New Roman" w:eastAsiaTheme="minorHAnsi" w:hAnsi="Times New Roman" w:cs="Times New Roman"/>
          <w:color w:val="auto"/>
          <w:szCs w:val="20"/>
        </w:rPr>
        <w:t>for ensuring that ensuring that</w:t>
      </w:r>
      <w:r w:rsidRPr="001E15D3">
        <w:rPr>
          <w:rFonts w:ascii="Times New Roman" w:eastAsiaTheme="minorHAnsi" w:hAnsi="Times New Roman" w:cs="Times New Roman"/>
          <w:color w:val="auto"/>
          <w:szCs w:val="20"/>
        </w:rPr>
        <w:t xml:space="preserve"> only quality institutions </w:t>
      </w:r>
      <w:r>
        <w:rPr>
          <w:rFonts w:ascii="Times New Roman" w:eastAsiaTheme="minorHAnsi" w:hAnsi="Times New Roman" w:cs="Times New Roman"/>
          <w:color w:val="auto"/>
          <w:szCs w:val="20"/>
        </w:rPr>
        <w:t>are serving veterans, regardless of their Title IV status.</w:t>
      </w:r>
    </w:p>
    <w:p w14:paraId="46834561" w14:textId="77777777" w:rsidR="001F7F82" w:rsidRDefault="00864337" w:rsidP="00815FCD">
      <w:pPr>
        <w:pStyle w:val="Normal2"/>
        <w:ind w:firstLine="720"/>
        <w:rPr>
          <w:rFonts w:ascii="Times New Roman" w:eastAsiaTheme="minorHAnsi" w:hAnsi="Times New Roman" w:cs="Times New Roman"/>
          <w:color w:val="auto"/>
          <w:szCs w:val="20"/>
        </w:rPr>
      </w:pPr>
    </w:p>
    <w:p w14:paraId="35098756" w14:textId="77777777" w:rsidR="00815FCD" w:rsidRPr="00D76547" w:rsidRDefault="00864337">
      <w:pPr>
        <w:rPr>
          <w:rFonts w:ascii="Times New Roman" w:hAnsi="Times New Roman"/>
        </w:rPr>
      </w:pPr>
    </w:p>
    <w:sectPr w:rsidR="00815FCD" w:rsidRPr="00D76547" w:rsidSect="00815FCD">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C467B" w14:textId="77777777" w:rsidR="00EF19FF" w:rsidRDefault="00EF19FF">
      <w:r>
        <w:separator/>
      </w:r>
    </w:p>
  </w:endnote>
  <w:endnote w:type="continuationSeparator" w:id="0">
    <w:p w14:paraId="37457849" w14:textId="77777777" w:rsidR="00EF19FF" w:rsidRDefault="00EF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28A0" w14:textId="77777777" w:rsidR="001A5315" w:rsidRDefault="00D95C9C" w:rsidP="00815FCD">
    <w:pPr>
      <w:pStyle w:val="Footer"/>
      <w:framePr w:wrap="around" w:vAnchor="text" w:hAnchor="margin" w:xAlign="right" w:y="1"/>
      <w:rPr>
        <w:rStyle w:val="PageNumber"/>
      </w:rPr>
    </w:pPr>
    <w:r>
      <w:rPr>
        <w:rStyle w:val="PageNumber"/>
      </w:rPr>
      <w:fldChar w:fldCharType="begin"/>
    </w:r>
    <w:r w:rsidR="00ED54F7">
      <w:rPr>
        <w:rStyle w:val="PageNumber"/>
      </w:rPr>
      <w:instrText xml:space="preserve">PAGE  </w:instrText>
    </w:r>
    <w:r>
      <w:rPr>
        <w:rStyle w:val="PageNumber"/>
      </w:rPr>
      <w:fldChar w:fldCharType="end"/>
    </w:r>
  </w:p>
  <w:p w14:paraId="291F3DB2" w14:textId="77777777" w:rsidR="001A5315" w:rsidRDefault="00864337" w:rsidP="00815F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00FB" w14:textId="77777777" w:rsidR="001A5315" w:rsidRDefault="00D95C9C" w:rsidP="00815FCD">
    <w:pPr>
      <w:pStyle w:val="Footer"/>
      <w:framePr w:wrap="around" w:vAnchor="text" w:hAnchor="margin" w:xAlign="right" w:y="1"/>
      <w:rPr>
        <w:rStyle w:val="PageNumber"/>
      </w:rPr>
    </w:pPr>
    <w:r>
      <w:rPr>
        <w:rStyle w:val="PageNumber"/>
      </w:rPr>
      <w:fldChar w:fldCharType="begin"/>
    </w:r>
    <w:r w:rsidR="00ED54F7">
      <w:rPr>
        <w:rStyle w:val="PageNumber"/>
      </w:rPr>
      <w:instrText xml:space="preserve">PAGE  </w:instrText>
    </w:r>
    <w:r>
      <w:rPr>
        <w:rStyle w:val="PageNumber"/>
      </w:rPr>
      <w:fldChar w:fldCharType="separate"/>
    </w:r>
    <w:r w:rsidR="00864337">
      <w:rPr>
        <w:rStyle w:val="PageNumber"/>
        <w:noProof/>
      </w:rPr>
      <w:t>1</w:t>
    </w:r>
    <w:r>
      <w:rPr>
        <w:rStyle w:val="PageNumber"/>
      </w:rPr>
      <w:fldChar w:fldCharType="end"/>
    </w:r>
  </w:p>
  <w:p w14:paraId="4FC96D82" w14:textId="77777777" w:rsidR="001A5315" w:rsidRDefault="00864337" w:rsidP="00815F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B3B3" w14:textId="77777777" w:rsidR="00EF19FF" w:rsidRDefault="00EF19FF">
      <w:r>
        <w:separator/>
      </w:r>
    </w:p>
  </w:footnote>
  <w:footnote w:type="continuationSeparator" w:id="0">
    <w:p w14:paraId="2E24A41A" w14:textId="77777777" w:rsidR="00EF19FF" w:rsidRDefault="00EF19FF">
      <w:r>
        <w:continuationSeparator/>
      </w:r>
    </w:p>
  </w:footnote>
  <w:footnote w:id="1">
    <w:p w14:paraId="092F74F8" w14:textId="77777777" w:rsidR="001A5315" w:rsidRDefault="00ED54F7" w:rsidP="001F7F82">
      <w:pPr>
        <w:pStyle w:val="FootnoteText"/>
        <w:rPr>
          <w:rFonts w:ascii="Times New Roman" w:hAnsi="Times New Roman"/>
          <w:sz w:val="20"/>
        </w:rPr>
      </w:pPr>
      <w:r w:rsidRPr="00D76547">
        <w:rPr>
          <w:rStyle w:val="FootnoteReference"/>
          <w:rFonts w:ascii="Times New Roman" w:hAnsi="Times New Roman"/>
          <w:sz w:val="20"/>
        </w:rPr>
        <w:footnoteRef/>
      </w:r>
      <w:r w:rsidRPr="00D76547">
        <w:rPr>
          <w:rFonts w:ascii="Times New Roman" w:hAnsi="Times New Roman"/>
          <w:sz w:val="20"/>
        </w:rPr>
        <w:t xml:space="preserve">Veteran Education Success is a non-profit devoted to preserving the promise and integrity of the GI Bill. See </w:t>
      </w:r>
      <w:hyperlink r:id="rId1" w:history="1">
        <w:r w:rsidRPr="00D76547">
          <w:rPr>
            <w:rStyle w:val="Hyperlink"/>
            <w:rFonts w:ascii="Times New Roman" w:hAnsi="Times New Roman"/>
            <w:sz w:val="20"/>
          </w:rPr>
          <w:t>http://veteranseducationsuccess.org/</w:t>
        </w:r>
      </w:hyperlink>
      <w:r w:rsidRPr="00D76547">
        <w:rPr>
          <w:rFonts w:ascii="Times New Roman" w:hAnsi="Times New Roman"/>
          <w:sz w:val="20"/>
        </w:rPr>
        <w:t xml:space="preserve">  </w:t>
      </w:r>
    </w:p>
    <w:p w14:paraId="7CA70CCE" w14:textId="77777777" w:rsidR="001A5315" w:rsidRPr="00D76547" w:rsidRDefault="00864337" w:rsidP="001F7F82">
      <w:pPr>
        <w:pStyle w:val="FootnoteText"/>
        <w:rPr>
          <w:rFonts w:ascii="Times New Roman" w:hAnsi="Times New Roman"/>
          <w:sz w:val="20"/>
        </w:rPr>
      </w:pPr>
    </w:p>
  </w:footnote>
  <w:footnote w:id="2">
    <w:p w14:paraId="2FA33C50" w14:textId="77777777" w:rsidR="001A5315" w:rsidRDefault="00ED54F7" w:rsidP="00815FCD">
      <w:pPr>
        <w:pStyle w:val="FootnoteText"/>
        <w:rPr>
          <w:rFonts w:ascii="Times New Roman" w:hAnsi="Times New Roman"/>
          <w:sz w:val="20"/>
        </w:rPr>
      </w:pPr>
      <w:r w:rsidRPr="00252844">
        <w:rPr>
          <w:rStyle w:val="FootnoteReference"/>
          <w:rFonts w:ascii="Times New Roman" w:hAnsi="Times New Roman"/>
          <w:sz w:val="20"/>
        </w:rPr>
        <w:footnoteRef/>
      </w:r>
      <w:r w:rsidRPr="00252844">
        <w:rPr>
          <w:rFonts w:ascii="Times New Roman" w:hAnsi="Times New Roman"/>
          <w:sz w:val="20"/>
        </w:rPr>
        <w:t xml:space="preserve">https://www.revealnews.org/blog/for-more-than-200-for-profit-colleges-taxpayers-pay-the-bills/ </w:t>
      </w:r>
    </w:p>
    <w:p w14:paraId="244D9E1C" w14:textId="77777777" w:rsidR="001A5315" w:rsidRPr="00252844" w:rsidRDefault="00864337" w:rsidP="00815FCD">
      <w:pPr>
        <w:pStyle w:val="FootnoteText"/>
        <w:rPr>
          <w:rFonts w:ascii="Times New Roman" w:hAnsi="Times New Roman"/>
          <w:sz w:val="20"/>
        </w:rPr>
      </w:pPr>
    </w:p>
  </w:footnote>
  <w:footnote w:id="3">
    <w:p w14:paraId="50B751DE" w14:textId="77777777" w:rsidR="001A5315" w:rsidRDefault="00ED54F7">
      <w:pPr>
        <w:pStyle w:val="FootnoteText"/>
        <w:rPr>
          <w:rFonts w:ascii="Times New Roman" w:hAnsi="Times New Roman"/>
          <w:sz w:val="20"/>
        </w:rPr>
      </w:pPr>
      <w:r w:rsidRPr="00A7538E">
        <w:rPr>
          <w:rStyle w:val="FootnoteReference"/>
          <w:rFonts w:ascii="Times New Roman" w:hAnsi="Times New Roman"/>
          <w:sz w:val="20"/>
        </w:rPr>
        <w:footnoteRef/>
      </w:r>
      <w:hyperlink r:id="rId2" w:history="1">
        <w:r w:rsidRPr="004D6354">
          <w:rPr>
            <w:rStyle w:val="Hyperlink"/>
            <w:rFonts w:ascii="Times New Roman" w:hAnsi="Times New Roman"/>
            <w:sz w:val="20"/>
          </w:rPr>
          <w:t>https://static1.squarespace.com/static/556718b2e4b02e470eb1b186/t/56112384e4b0521c793b0c4d/1443963780937/harkins-full-report.pdf</w:t>
        </w:r>
      </w:hyperlink>
      <w:r>
        <w:rPr>
          <w:rFonts w:ascii="Times New Roman" w:hAnsi="Times New Roman"/>
          <w:sz w:val="20"/>
        </w:rPr>
        <w:t xml:space="preserve"> </w:t>
      </w:r>
    </w:p>
    <w:p w14:paraId="23CC863F" w14:textId="77777777" w:rsidR="001A5315" w:rsidRPr="00A7538E" w:rsidRDefault="00ED54F7">
      <w:pPr>
        <w:pStyle w:val="FootnoteText"/>
        <w:rPr>
          <w:rFonts w:ascii="Times New Roman" w:hAnsi="Times New Roman"/>
          <w:sz w:val="20"/>
        </w:rPr>
      </w:pPr>
      <w:r w:rsidRPr="00A7538E">
        <w:rPr>
          <w:rFonts w:ascii="Times New Roman" w:hAnsi="Times New Roman"/>
          <w:sz w:val="20"/>
        </w:rPr>
        <w:t xml:space="preserve"> </w:t>
      </w:r>
    </w:p>
  </w:footnote>
  <w:footnote w:id="4">
    <w:p w14:paraId="7846D522" w14:textId="77777777" w:rsidR="001A5315" w:rsidRPr="009345F2" w:rsidRDefault="00ED54F7" w:rsidP="00815FCD">
      <w:pPr>
        <w:pStyle w:val="FootnoteText"/>
        <w:rPr>
          <w:rFonts w:ascii="Times New Roman" w:hAnsi="Times New Roman"/>
          <w:sz w:val="20"/>
        </w:rPr>
      </w:pPr>
      <w:r w:rsidRPr="009345F2">
        <w:rPr>
          <w:rStyle w:val="FootnoteReference"/>
          <w:rFonts w:ascii="Times New Roman" w:hAnsi="Times New Roman"/>
          <w:sz w:val="20"/>
        </w:rPr>
        <w:footnoteRef/>
      </w:r>
      <w:hyperlink r:id="rId3" w:history="1">
        <w:r w:rsidRPr="009345F2">
          <w:rPr>
            <w:rStyle w:val="Hyperlink"/>
            <w:rFonts w:ascii="Times New Roman" w:hAnsi="Times New Roman"/>
            <w:sz w:val="20"/>
          </w:rPr>
          <w:t>https://www.ftc.gov/news-events/press-releases/2015/05/ashworth-college-settles-ftc-charges-it-misled-students-about</w:t>
        </w:r>
      </w:hyperlink>
      <w:r w:rsidRPr="009345F2">
        <w:rPr>
          <w:rFonts w:ascii="Times New Roman" w:hAnsi="Times New Roman"/>
          <w:sz w:val="20"/>
        </w:rPr>
        <w:t xml:space="preserve"> </w:t>
      </w:r>
    </w:p>
    <w:p w14:paraId="506B66AC" w14:textId="77777777" w:rsidR="001A5315" w:rsidRPr="00C60C1B" w:rsidRDefault="00864337" w:rsidP="00815FCD">
      <w:pPr>
        <w:pStyle w:val="FootnoteText"/>
        <w:rPr>
          <w:rFonts w:ascii="Times New Roman" w:hAnsi="Times New Roman"/>
          <w:sz w:val="20"/>
        </w:rPr>
      </w:pPr>
    </w:p>
  </w:footnote>
  <w:footnote w:id="5">
    <w:p w14:paraId="434EAEEC" w14:textId="77777777" w:rsidR="001A5315" w:rsidRPr="006C67B6" w:rsidRDefault="00ED54F7">
      <w:pPr>
        <w:pStyle w:val="FootnoteText"/>
        <w:rPr>
          <w:rFonts w:ascii="Times New Roman" w:hAnsi="Times New Roman"/>
          <w:sz w:val="20"/>
        </w:rPr>
      </w:pPr>
      <w:r w:rsidRPr="006C67B6">
        <w:rPr>
          <w:rStyle w:val="FootnoteReference"/>
          <w:rFonts w:ascii="Times New Roman" w:hAnsi="Times New Roman"/>
          <w:sz w:val="20"/>
        </w:rPr>
        <w:footnoteRef/>
      </w:r>
      <w:hyperlink r:id="rId4" w:history="1">
        <w:r w:rsidRPr="004D6354">
          <w:rPr>
            <w:rStyle w:val="Hyperlink"/>
            <w:rFonts w:ascii="Times New Roman" w:hAnsi="Times New Roman"/>
            <w:sz w:val="20"/>
          </w:rPr>
          <w:t>https://www.ftc.gov/system/files/documents/cases/150526ashworthcollegecmpt.pdf</w:t>
        </w:r>
      </w:hyperlink>
      <w:r>
        <w:rPr>
          <w:rFonts w:ascii="Times New Roman" w:hAnsi="Times New Roman"/>
          <w:sz w:val="20"/>
        </w:rPr>
        <w:t xml:space="preserve"> </w:t>
      </w:r>
      <w:r w:rsidRPr="006C67B6">
        <w:rPr>
          <w:rFonts w:ascii="Times New Roman" w:hAnsi="Times New Roman"/>
          <w:sz w:val="20"/>
        </w:rPr>
        <w:t xml:space="preserve"> </w:t>
      </w:r>
    </w:p>
  </w:footnote>
  <w:footnote w:id="6">
    <w:p w14:paraId="3C9976CA" w14:textId="77777777" w:rsidR="001A5315" w:rsidRPr="00A7538E" w:rsidRDefault="00ED54F7">
      <w:pPr>
        <w:pStyle w:val="FootnoteText"/>
        <w:rPr>
          <w:rFonts w:ascii="Times New Roman" w:hAnsi="Times New Roman"/>
          <w:sz w:val="20"/>
        </w:rPr>
      </w:pPr>
      <w:r w:rsidRPr="00A7538E">
        <w:rPr>
          <w:rStyle w:val="FootnoteReference"/>
          <w:rFonts w:ascii="Times New Roman" w:hAnsi="Times New Roman"/>
          <w:sz w:val="20"/>
        </w:rPr>
        <w:footnoteRef/>
      </w:r>
      <w:r w:rsidRPr="00A7538E">
        <w:rPr>
          <w:rFonts w:ascii="Times New Roman" w:hAnsi="Times New Roman"/>
          <w:sz w:val="20"/>
        </w:rPr>
        <w:t xml:space="preserve">Use this link to see the recruiting training manuals used by for-profit schools. </w:t>
      </w:r>
      <w:hyperlink r:id="rId5" w:history="1">
        <w:r w:rsidRPr="004D6354">
          <w:rPr>
            <w:rStyle w:val="Hyperlink"/>
            <w:rFonts w:ascii="Times New Roman" w:hAnsi="Times New Roman"/>
            <w:sz w:val="20"/>
          </w:rPr>
          <w:t>https://static1.squarespace.com/static/556718b2e4b02e470eb1b186/t/56100a9be4b00e2783b34ecf/1443891867795/Top-Recruiting.pdf</w:t>
        </w:r>
      </w:hyperlink>
      <w:r>
        <w:rPr>
          <w:rFonts w:ascii="Times New Roman" w:hAnsi="Times New Roman"/>
          <w:sz w:val="20"/>
        </w:rPr>
        <w:t xml:space="preserve"> </w:t>
      </w:r>
    </w:p>
  </w:footnote>
  <w:footnote w:id="7">
    <w:p w14:paraId="666F022A" w14:textId="77777777" w:rsidR="001A5315" w:rsidRDefault="00ED54F7">
      <w:pPr>
        <w:pStyle w:val="FootnoteText"/>
        <w:rPr>
          <w:rFonts w:ascii="Times New Roman" w:hAnsi="Times New Roman"/>
          <w:sz w:val="20"/>
        </w:rPr>
      </w:pPr>
      <w:r w:rsidRPr="00566A2E">
        <w:rPr>
          <w:rStyle w:val="FootnoteReference"/>
          <w:rFonts w:ascii="Times New Roman" w:hAnsi="Times New Roman"/>
          <w:sz w:val="20"/>
        </w:rPr>
        <w:footnoteRef/>
      </w:r>
      <w:r w:rsidRPr="00566A2E">
        <w:rPr>
          <w:rFonts w:ascii="Times New Roman" w:hAnsi="Times New Roman"/>
          <w:sz w:val="20"/>
        </w:rPr>
        <w:t>The feedb</w:t>
      </w:r>
      <w:r>
        <w:rPr>
          <w:rFonts w:ascii="Times New Roman" w:hAnsi="Times New Roman"/>
          <w:sz w:val="20"/>
        </w:rPr>
        <w:t>ack system was launched in 2014. The GI Bill College Comparison Tool summarizes the complaints against each school by</w:t>
      </w:r>
      <w:r w:rsidRPr="00566A2E">
        <w:rPr>
          <w:rFonts w:ascii="Times New Roman" w:hAnsi="Times New Roman"/>
          <w:sz w:val="20"/>
        </w:rPr>
        <w:t xml:space="preserve"> topic</w:t>
      </w:r>
      <w:r>
        <w:rPr>
          <w:rFonts w:ascii="Times New Roman" w:hAnsi="Times New Roman"/>
          <w:sz w:val="20"/>
        </w:rPr>
        <w:t xml:space="preserve">, such as accreditation or credit transfer. </w:t>
      </w:r>
      <w:hyperlink r:id="rId6" w:history="1">
        <w:r w:rsidRPr="004D6354">
          <w:rPr>
            <w:rStyle w:val="Hyperlink"/>
            <w:rFonts w:ascii="Times New Roman" w:hAnsi="Times New Roman"/>
            <w:sz w:val="20"/>
          </w:rPr>
          <w:t>https://www.vets.gov/gi-bill-comparison-tool</w:t>
        </w:r>
      </w:hyperlink>
      <w:r>
        <w:rPr>
          <w:rFonts w:ascii="Times New Roman" w:hAnsi="Times New Roman"/>
          <w:sz w:val="20"/>
        </w:rPr>
        <w:t xml:space="preserve">  </w:t>
      </w:r>
      <w:r w:rsidRPr="00566A2E">
        <w:rPr>
          <w:rFonts w:ascii="Times New Roman" w:hAnsi="Times New Roman"/>
          <w:sz w:val="20"/>
        </w:rPr>
        <w:t xml:space="preserve">  </w:t>
      </w:r>
    </w:p>
    <w:p w14:paraId="4BB2FCD8" w14:textId="77777777" w:rsidR="001A5315" w:rsidRPr="00566A2E" w:rsidRDefault="00864337">
      <w:pPr>
        <w:pStyle w:val="FootnoteText"/>
        <w:rPr>
          <w:rFonts w:ascii="Times New Roman" w:hAnsi="Times New Roman"/>
          <w:sz w:val="20"/>
        </w:rPr>
      </w:pPr>
    </w:p>
  </w:footnote>
  <w:footnote w:id="8">
    <w:p w14:paraId="2C9AC06A" w14:textId="77777777" w:rsidR="001A5315" w:rsidRPr="00C806DE" w:rsidRDefault="00ED54F7" w:rsidP="00815FCD">
      <w:pPr>
        <w:rPr>
          <w:rFonts w:ascii="Times New Roman" w:eastAsiaTheme="minorHAnsi" w:hAnsi="Times New Roman" w:cstheme="minorBidi"/>
          <w:color w:val="auto"/>
          <w:sz w:val="20"/>
          <w:szCs w:val="20"/>
        </w:rPr>
      </w:pPr>
      <w:r w:rsidRPr="00C806DE">
        <w:rPr>
          <w:rStyle w:val="FootnoteReference"/>
          <w:rFonts w:ascii="Times New Roman" w:hAnsi="Times New Roman"/>
          <w:sz w:val="20"/>
        </w:rPr>
        <w:footnoteRef/>
      </w:r>
      <w:r w:rsidRPr="00C806DE">
        <w:rPr>
          <w:rFonts w:ascii="Times New Roman" w:hAnsi="Times New Roman"/>
          <w:sz w:val="20"/>
        </w:rPr>
        <w:t xml:space="preserve">On March 1, 2016, DEAC announced that it had </w:t>
      </w:r>
      <w:r w:rsidRPr="00C806DE">
        <w:rPr>
          <w:rFonts w:ascii="Times New Roman" w:eastAsiaTheme="minorHAnsi" w:hAnsi="Times New Roman" w:cstheme="minorBidi"/>
          <w:color w:val="auto"/>
          <w:sz w:val="20"/>
          <w:szCs w:val="20"/>
        </w:rPr>
        <w:t>extended the accreditation for Allied American University through December 2016 while the institutions implement</w:t>
      </w:r>
      <w:r>
        <w:rPr>
          <w:rFonts w:ascii="Times New Roman" w:eastAsiaTheme="minorHAnsi" w:hAnsi="Times New Roman" w:cstheme="minorBidi"/>
          <w:color w:val="auto"/>
          <w:sz w:val="20"/>
          <w:szCs w:val="20"/>
        </w:rPr>
        <w:t>ed</w:t>
      </w:r>
      <w:r w:rsidRPr="00C806DE">
        <w:rPr>
          <w:rFonts w:ascii="Times New Roman" w:eastAsiaTheme="minorHAnsi" w:hAnsi="Times New Roman" w:cstheme="minorBidi"/>
          <w:color w:val="auto"/>
          <w:sz w:val="20"/>
          <w:szCs w:val="20"/>
        </w:rPr>
        <w:t xml:space="preserve"> an approved teach-out plan.</w:t>
      </w:r>
    </w:p>
    <w:p w14:paraId="47D46319" w14:textId="77777777" w:rsidR="001A5315" w:rsidRDefault="0086433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15CBA"/>
    <w:multiLevelType w:val="hybridMultilevel"/>
    <w:tmpl w:val="25A4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E5A5377"/>
    <w:multiLevelType w:val="multilevel"/>
    <w:tmpl w:val="8BA23B9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B3"/>
    <w:rsid w:val="00167508"/>
    <w:rsid w:val="003969B3"/>
    <w:rsid w:val="0047493D"/>
    <w:rsid w:val="005446BC"/>
    <w:rsid w:val="006A3111"/>
    <w:rsid w:val="00864337"/>
    <w:rsid w:val="00B67AFC"/>
    <w:rsid w:val="00D95C9C"/>
    <w:rsid w:val="00ED54F7"/>
    <w:rsid w:val="00EF19F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3969B3"/>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69B3"/>
    <w:rPr>
      <w:rFonts w:ascii="Lucida Grande" w:hAnsi="Lucida Grande"/>
      <w:sz w:val="18"/>
      <w:szCs w:val="18"/>
    </w:rPr>
  </w:style>
  <w:style w:type="character" w:customStyle="1" w:styleId="BalloonTextChar">
    <w:name w:val="Balloon Text Char"/>
    <w:basedOn w:val="DefaultParagraphFont"/>
    <w:uiPriority w:val="99"/>
    <w:semiHidden/>
    <w:rsid w:val="00A46F53"/>
    <w:rPr>
      <w:rFonts w:ascii="Lucida Grande" w:hAnsi="Lucida Grande"/>
      <w:sz w:val="18"/>
      <w:szCs w:val="18"/>
    </w:rPr>
  </w:style>
  <w:style w:type="character" w:customStyle="1" w:styleId="BalloonTextChar0">
    <w:name w:val="Balloon Text Char"/>
    <w:basedOn w:val="DefaultParagraphFont"/>
    <w:uiPriority w:val="99"/>
    <w:semiHidden/>
    <w:rsid w:val="00A46F53"/>
    <w:rPr>
      <w:rFonts w:ascii="Lucida Grande" w:hAnsi="Lucida Grande"/>
      <w:sz w:val="18"/>
      <w:szCs w:val="18"/>
    </w:rPr>
  </w:style>
  <w:style w:type="paragraph" w:customStyle="1" w:styleId="Normal1">
    <w:name w:val="Normal1"/>
    <w:rsid w:val="003969B3"/>
    <w:rPr>
      <w:rFonts w:ascii="Cambria" w:eastAsia="Cambria" w:hAnsi="Cambria" w:cs="Cambria"/>
      <w:color w:val="000000"/>
    </w:rPr>
  </w:style>
  <w:style w:type="paragraph" w:styleId="Footer">
    <w:name w:val="footer"/>
    <w:basedOn w:val="Normal"/>
    <w:link w:val="FooterChar"/>
    <w:uiPriority w:val="99"/>
    <w:unhideWhenUsed/>
    <w:rsid w:val="003969B3"/>
    <w:pPr>
      <w:tabs>
        <w:tab w:val="center" w:pos="4320"/>
        <w:tab w:val="right" w:pos="8640"/>
      </w:tabs>
    </w:pPr>
  </w:style>
  <w:style w:type="character" w:customStyle="1" w:styleId="FooterChar">
    <w:name w:val="Footer Char"/>
    <w:basedOn w:val="DefaultParagraphFont"/>
    <w:link w:val="Footer"/>
    <w:uiPriority w:val="99"/>
    <w:rsid w:val="003969B3"/>
    <w:rPr>
      <w:rFonts w:ascii="Cambria" w:eastAsia="Cambria" w:hAnsi="Cambria" w:cs="Cambria"/>
      <w:color w:val="000000"/>
    </w:rPr>
  </w:style>
  <w:style w:type="character" w:styleId="PageNumber">
    <w:name w:val="page number"/>
    <w:basedOn w:val="DefaultParagraphFont"/>
    <w:uiPriority w:val="99"/>
    <w:semiHidden/>
    <w:unhideWhenUsed/>
    <w:rsid w:val="003969B3"/>
  </w:style>
  <w:style w:type="character" w:customStyle="1" w:styleId="BalloonTextChar1">
    <w:name w:val="Balloon Text Char1"/>
    <w:basedOn w:val="DefaultParagraphFont"/>
    <w:link w:val="BalloonText"/>
    <w:uiPriority w:val="99"/>
    <w:semiHidden/>
    <w:rsid w:val="003969B3"/>
    <w:rPr>
      <w:rFonts w:ascii="Lucida Grande" w:eastAsia="Cambria" w:hAnsi="Lucida Grande" w:cs="Cambria"/>
      <w:color w:val="000000"/>
      <w:sz w:val="18"/>
      <w:szCs w:val="18"/>
    </w:rPr>
  </w:style>
  <w:style w:type="paragraph" w:styleId="FootnoteText">
    <w:name w:val="footnote text"/>
    <w:basedOn w:val="Normal"/>
    <w:link w:val="FootnoteTextChar"/>
    <w:uiPriority w:val="99"/>
    <w:unhideWhenUsed/>
    <w:rsid w:val="00D34195"/>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D34195"/>
    <w:rPr>
      <w:rFonts w:eastAsiaTheme="minorEastAsia"/>
    </w:rPr>
  </w:style>
  <w:style w:type="character" w:styleId="FootnoteReference">
    <w:name w:val="footnote reference"/>
    <w:basedOn w:val="DefaultParagraphFont"/>
    <w:uiPriority w:val="99"/>
    <w:semiHidden/>
    <w:unhideWhenUsed/>
    <w:rsid w:val="00D34195"/>
    <w:rPr>
      <w:vertAlign w:val="superscript"/>
    </w:rPr>
  </w:style>
  <w:style w:type="character" w:styleId="Hyperlink">
    <w:name w:val="Hyperlink"/>
    <w:basedOn w:val="DefaultParagraphFont"/>
    <w:uiPriority w:val="99"/>
    <w:semiHidden/>
    <w:unhideWhenUsed/>
    <w:rsid w:val="00D34195"/>
    <w:rPr>
      <w:color w:val="0000FF" w:themeColor="hyperlink"/>
      <w:u w:val="single"/>
    </w:rPr>
  </w:style>
  <w:style w:type="paragraph" w:styleId="NormalWeb">
    <w:name w:val="Normal (Web)"/>
    <w:basedOn w:val="Normal"/>
    <w:uiPriority w:val="99"/>
    <w:rsid w:val="00700E06"/>
    <w:pPr>
      <w:spacing w:beforeLines="1" w:afterLines="1"/>
    </w:pPr>
    <w:rPr>
      <w:rFonts w:ascii="Times" w:eastAsiaTheme="minorHAnsi" w:hAnsi="Times" w:cs="Times New Roman"/>
      <w:color w:val="auto"/>
      <w:sz w:val="20"/>
      <w:szCs w:val="20"/>
    </w:rPr>
  </w:style>
  <w:style w:type="table" w:styleId="TableGrid">
    <w:name w:val="Table Grid"/>
    <w:basedOn w:val="TableNormal"/>
    <w:rsid w:val="004B0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27B5E"/>
    <w:rPr>
      <w:color w:val="800080" w:themeColor="followedHyperlink"/>
      <w:u w:val="single"/>
    </w:rPr>
  </w:style>
  <w:style w:type="paragraph" w:customStyle="1" w:styleId="Normal2">
    <w:name w:val="Normal2"/>
    <w:rsid w:val="0061531B"/>
    <w:rPr>
      <w:rFonts w:ascii="Cambria" w:eastAsia="Cambria" w:hAnsi="Cambria" w:cs="Cambria"/>
      <w:color w:val="000000"/>
    </w:rPr>
  </w:style>
  <w:style w:type="character" w:styleId="CommentReference">
    <w:name w:val="annotation reference"/>
    <w:basedOn w:val="DefaultParagraphFont"/>
    <w:semiHidden/>
    <w:unhideWhenUsed/>
    <w:rsid w:val="001F7F82"/>
    <w:rPr>
      <w:sz w:val="18"/>
      <w:szCs w:val="18"/>
    </w:rPr>
  </w:style>
  <w:style w:type="paragraph" w:styleId="CommentText">
    <w:name w:val="annotation text"/>
    <w:basedOn w:val="Normal"/>
    <w:link w:val="CommentTextChar"/>
    <w:semiHidden/>
    <w:unhideWhenUsed/>
    <w:rsid w:val="001F7F82"/>
  </w:style>
  <w:style w:type="character" w:customStyle="1" w:styleId="CommentTextChar">
    <w:name w:val="Comment Text Char"/>
    <w:basedOn w:val="DefaultParagraphFont"/>
    <w:link w:val="CommentText"/>
    <w:semiHidden/>
    <w:rsid w:val="001F7F82"/>
    <w:rPr>
      <w:rFonts w:ascii="Cambria" w:eastAsia="Cambria" w:hAnsi="Cambria" w:cs="Cambria"/>
      <w:color w:val="000000"/>
    </w:rPr>
  </w:style>
  <w:style w:type="paragraph" w:styleId="CommentSubject">
    <w:name w:val="annotation subject"/>
    <w:basedOn w:val="CommentText"/>
    <w:next w:val="CommentText"/>
    <w:link w:val="CommentSubjectChar"/>
    <w:semiHidden/>
    <w:unhideWhenUsed/>
    <w:rsid w:val="001F7F82"/>
    <w:rPr>
      <w:b/>
      <w:bCs/>
      <w:sz w:val="20"/>
      <w:szCs w:val="20"/>
    </w:rPr>
  </w:style>
  <w:style w:type="character" w:customStyle="1" w:styleId="CommentSubjectChar">
    <w:name w:val="Comment Subject Char"/>
    <w:basedOn w:val="CommentTextChar"/>
    <w:link w:val="CommentSubject"/>
    <w:semiHidden/>
    <w:rsid w:val="001F7F82"/>
    <w:rPr>
      <w:rFonts w:ascii="Cambria" w:eastAsia="Cambria" w:hAnsi="Cambria" w:cs="Cambria"/>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3969B3"/>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69B3"/>
    <w:rPr>
      <w:rFonts w:ascii="Lucida Grande" w:hAnsi="Lucida Grande"/>
      <w:sz w:val="18"/>
      <w:szCs w:val="18"/>
    </w:rPr>
  </w:style>
  <w:style w:type="character" w:customStyle="1" w:styleId="BalloonTextChar">
    <w:name w:val="Balloon Text Char"/>
    <w:basedOn w:val="DefaultParagraphFont"/>
    <w:uiPriority w:val="99"/>
    <w:semiHidden/>
    <w:rsid w:val="00A46F53"/>
    <w:rPr>
      <w:rFonts w:ascii="Lucida Grande" w:hAnsi="Lucida Grande"/>
      <w:sz w:val="18"/>
      <w:szCs w:val="18"/>
    </w:rPr>
  </w:style>
  <w:style w:type="character" w:customStyle="1" w:styleId="BalloonTextChar0">
    <w:name w:val="Balloon Text Char"/>
    <w:basedOn w:val="DefaultParagraphFont"/>
    <w:uiPriority w:val="99"/>
    <w:semiHidden/>
    <w:rsid w:val="00A46F53"/>
    <w:rPr>
      <w:rFonts w:ascii="Lucida Grande" w:hAnsi="Lucida Grande"/>
      <w:sz w:val="18"/>
      <w:szCs w:val="18"/>
    </w:rPr>
  </w:style>
  <w:style w:type="paragraph" w:customStyle="1" w:styleId="Normal1">
    <w:name w:val="Normal1"/>
    <w:rsid w:val="003969B3"/>
    <w:rPr>
      <w:rFonts w:ascii="Cambria" w:eastAsia="Cambria" w:hAnsi="Cambria" w:cs="Cambria"/>
      <w:color w:val="000000"/>
    </w:rPr>
  </w:style>
  <w:style w:type="paragraph" w:styleId="Footer">
    <w:name w:val="footer"/>
    <w:basedOn w:val="Normal"/>
    <w:link w:val="FooterChar"/>
    <w:uiPriority w:val="99"/>
    <w:unhideWhenUsed/>
    <w:rsid w:val="003969B3"/>
    <w:pPr>
      <w:tabs>
        <w:tab w:val="center" w:pos="4320"/>
        <w:tab w:val="right" w:pos="8640"/>
      </w:tabs>
    </w:pPr>
  </w:style>
  <w:style w:type="character" w:customStyle="1" w:styleId="FooterChar">
    <w:name w:val="Footer Char"/>
    <w:basedOn w:val="DefaultParagraphFont"/>
    <w:link w:val="Footer"/>
    <w:uiPriority w:val="99"/>
    <w:rsid w:val="003969B3"/>
    <w:rPr>
      <w:rFonts w:ascii="Cambria" w:eastAsia="Cambria" w:hAnsi="Cambria" w:cs="Cambria"/>
      <w:color w:val="000000"/>
    </w:rPr>
  </w:style>
  <w:style w:type="character" w:styleId="PageNumber">
    <w:name w:val="page number"/>
    <w:basedOn w:val="DefaultParagraphFont"/>
    <w:uiPriority w:val="99"/>
    <w:semiHidden/>
    <w:unhideWhenUsed/>
    <w:rsid w:val="003969B3"/>
  </w:style>
  <w:style w:type="character" w:customStyle="1" w:styleId="BalloonTextChar1">
    <w:name w:val="Balloon Text Char1"/>
    <w:basedOn w:val="DefaultParagraphFont"/>
    <w:link w:val="BalloonText"/>
    <w:uiPriority w:val="99"/>
    <w:semiHidden/>
    <w:rsid w:val="003969B3"/>
    <w:rPr>
      <w:rFonts w:ascii="Lucida Grande" w:eastAsia="Cambria" w:hAnsi="Lucida Grande" w:cs="Cambria"/>
      <w:color w:val="000000"/>
      <w:sz w:val="18"/>
      <w:szCs w:val="18"/>
    </w:rPr>
  </w:style>
  <w:style w:type="paragraph" w:styleId="FootnoteText">
    <w:name w:val="footnote text"/>
    <w:basedOn w:val="Normal"/>
    <w:link w:val="FootnoteTextChar"/>
    <w:uiPriority w:val="99"/>
    <w:unhideWhenUsed/>
    <w:rsid w:val="00D34195"/>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D34195"/>
    <w:rPr>
      <w:rFonts w:eastAsiaTheme="minorEastAsia"/>
    </w:rPr>
  </w:style>
  <w:style w:type="character" w:styleId="FootnoteReference">
    <w:name w:val="footnote reference"/>
    <w:basedOn w:val="DefaultParagraphFont"/>
    <w:uiPriority w:val="99"/>
    <w:semiHidden/>
    <w:unhideWhenUsed/>
    <w:rsid w:val="00D34195"/>
    <w:rPr>
      <w:vertAlign w:val="superscript"/>
    </w:rPr>
  </w:style>
  <w:style w:type="character" w:styleId="Hyperlink">
    <w:name w:val="Hyperlink"/>
    <w:basedOn w:val="DefaultParagraphFont"/>
    <w:uiPriority w:val="99"/>
    <w:semiHidden/>
    <w:unhideWhenUsed/>
    <w:rsid w:val="00D34195"/>
    <w:rPr>
      <w:color w:val="0000FF" w:themeColor="hyperlink"/>
      <w:u w:val="single"/>
    </w:rPr>
  </w:style>
  <w:style w:type="paragraph" w:styleId="NormalWeb">
    <w:name w:val="Normal (Web)"/>
    <w:basedOn w:val="Normal"/>
    <w:uiPriority w:val="99"/>
    <w:rsid w:val="00700E06"/>
    <w:pPr>
      <w:spacing w:beforeLines="1" w:afterLines="1"/>
    </w:pPr>
    <w:rPr>
      <w:rFonts w:ascii="Times" w:eastAsiaTheme="minorHAnsi" w:hAnsi="Times" w:cs="Times New Roman"/>
      <w:color w:val="auto"/>
      <w:sz w:val="20"/>
      <w:szCs w:val="20"/>
    </w:rPr>
  </w:style>
  <w:style w:type="table" w:styleId="TableGrid">
    <w:name w:val="Table Grid"/>
    <w:basedOn w:val="TableNormal"/>
    <w:rsid w:val="004B0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27B5E"/>
    <w:rPr>
      <w:color w:val="800080" w:themeColor="followedHyperlink"/>
      <w:u w:val="single"/>
    </w:rPr>
  </w:style>
  <w:style w:type="paragraph" w:customStyle="1" w:styleId="Normal2">
    <w:name w:val="Normal2"/>
    <w:rsid w:val="0061531B"/>
    <w:rPr>
      <w:rFonts w:ascii="Cambria" w:eastAsia="Cambria" w:hAnsi="Cambria" w:cs="Cambria"/>
      <w:color w:val="000000"/>
    </w:rPr>
  </w:style>
  <w:style w:type="character" w:styleId="CommentReference">
    <w:name w:val="annotation reference"/>
    <w:basedOn w:val="DefaultParagraphFont"/>
    <w:semiHidden/>
    <w:unhideWhenUsed/>
    <w:rsid w:val="001F7F82"/>
    <w:rPr>
      <w:sz w:val="18"/>
      <w:szCs w:val="18"/>
    </w:rPr>
  </w:style>
  <w:style w:type="paragraph" w:styleId="CommentText">
    <w:name w:val="annotation text"/>
    <w:basedOn w:val="Normal"/>
    <w:link w:val="CommentTextChar"/>
    <w:semiHidden/>
    <w:unhideWhenUsed/>
    <w:rsid w:val="001F7F82"/>
  </w:style>
  <w:style w:type="character" w:customStyle="1" w:styleId="CommentTextChar">
    <w:name w:val="Comment Text Char"/>
    <w:basedOn w:val="DefaultParagraphFont"/>
    <w:link w:val="CommentText"/>
    <w:semiHidden/>
    <w:rsid w:val="001F7F82"/>
    <w:rPr>
      <w:rFonts w:ascii="Cambria" w:eastAsia="Cambria" w:hAnsi="Cambria" w:cs="Cambria"/>
      <w:color w:val="000000"/>
    </w:rPr>
  </w:style>
  <w:style w:type="paragraph" w:styleId="CommentSubject">
    <w:name w:val="annotation subject"/>
    <w:basedOn w:val="CommentText"/>
    <w:next w:val="CommentText"/>
    <w:link w:val="CommentSubjectChar"/>
    <w:semiHidden/>
    <w:unhideWhenUsed/>
    <w:rsid w:val="001F7F82"/>
    <w:rPr>
      <w:b/>
      <w:bCs/>
      <w:sz w:val="20"/>
      <w:szCs w:val="20"/>
    </w:rPr>
  </w:style>
  <w:style w:type="character" w:customStyle="1" w:styleId="CommentSubjectChar">
    <w:name w:val="Comment Subject Char"/>
    <w:basedOn w:val="CommentTextChar"/>
    <w:link w:val="CommentSubject"/>
    <w:semiHidden/>
    <w:rsid w:val="001F7F82"/>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5394">
      <w:bodyDiv w:val="1"/>
      <w:marLeft w:val="0"/>
      <w:marRight w:val="0"/>
      <w:marTop w:val="0"/>
      <w:marBottom w:val="0"/>
      <w:divBdr>
        <w:top w:val="none" w:sz="0" w:space="0" w:color="auto"/>
        <w:left w:val="none" w:sz="0" w:space="0" w:color="auto"/>
        <w:bottom w:val="none" w:sz="0" w:space="0" w:color="auto"/>
        <w:right w:val="none" w:sz="0" w:space="0" w:color="auto"/>
      </w:divBdr>
    </w:div>
    <w:div w:id="817188535">
      <w:bodyDiv w:val="1"/>
      <w:marLeft w:val="0"/>
      <w:marRight w:val="0"/>
      <w:marTop w:val="0"/>
      <w:marBottom w:val="0"/>
      <w:divBdr>
        <w:top w:val="none" w:sz="0" w:space="0" w:color="auto"/>
        <w:left w:val="none" w:sz="0" w:space="0" w:color="auto"/>
        <w:bottom w:val="none" w:sz="0" w:space="0" w:color="auto"/>
        <w:right w:val="none" w:sz="0" w:space="0" w:color="auto"/>
      </w:divBdr>
      <w:divsChild>
        <w:div w:id="1519004960">
          <w:marLeft w:val="0"/>
          <w:marRight w:val="0"/>
          <w:marTop w:val="0"/>
          <w:marBottom w:val="0"/>
          <w:divBdr>
            <w:top w:val="none" w:sz="0" w:space="0" w:color="auto"/>
            <w:left w:val="none" w:sz="0" w:space="0" w:color="auto"/>
            <w:bottom w:val="none" w:sz="0" w:space="0" w:color="auto"/>
            <w:right w:val="none" w:sz="0" w:space="0" w:color="auto"/>
          </w:divBdr>
          <w:divsChild>
            <w:div w:id="1166287420">
              <w:marLeft w:val="0"/>
              <w:marRight w:val="0"/>
              <w:marTop w:val="0"/>
              <w:marBottom w:val="0"/>
              <w:divBdr>
                <w:top w:val="none" w:sz="0" w:space="0" w:color="auto"/>
                <w:left w:val="none" w:sz="0" w:space="0" w:color="auto"/>
                <w:bottom w:val="none" w:sz="0" w:space="0" w:color="auto"/>
                <w:right w:val="none" w:sz="0" w:space="0" w:color="auto"/>
              </w:divBdr>
              <w:divsChild>
                <w:div w:id="468204603">
                  <w:marLeft w:val="0"/>
                  <w:marRight w:val="0"/>
                  <w:marTop w:val="0"/>
                  <w:marBottom w:val="0"/>
                  <w:divBdr>
                    <w:top w:val="none" w:sz="0" w:space="0" w:color="auto"/>
                    <w:left w:val="none" w:sz="0" w:space="0" w:color="auto"/>
                    <w:bottom w:val="none" w:sz="0" w:space="0" w:color="auto"/>
                    <w:right w:val="none" w:sz="0" w:space="0" w:color="auto"/>
                  </w:divBdr>
                  <w:divsChild>
                    <w:div w:id="15363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3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s.gov/gi-bill-comparison-t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ac.org/UploadedDocuments/Public-Notices/030116_abtu_sco_summar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tc.gov/news-events/press-releases/2015/05/ashworth-college-settles-ftc-charges-it-misled-students-about" TargetMode="External"/><Relationship Id="rId2" Type="http://schemas.openxmlformats.org/officeDocument/2006/relationships/hyperlink" Target="https://static1.squarespace.com/static/556718b2e4b02e470eb1b186/t/56112384e4b0521c793b0c4d/1443963780937/harkins-full-report.pdf" TargetMode="External"/><Relationship Id="rId1" Type="http://schemas.openxmlformats.org/officeDocument/2006/relationships/hyperlink" Target="http://veteranseducationsuccess.org/" TargetMode="External"/><Relationship Id="rId6" Type="http://schemas.openxmlformats.org/officeDocument/2006/relationships/hyperlink" Target="https://www.vets.gov/gi-bill-comparison-tool" TargetMode="External"/><Relationship Id="rId5" Type="http://schemas.openxmlformats.org/officeDocument/2006/relationships/hyperlink" Target="https://static1.squarespace.com/static/556718b2e4b02e470eb1b186/t/56100a9be4b00e2783b34ecf/1443891867795/Top-Recruiting.pdf" TargetMode="External"/><Relationship Id="rId4" Type="http://schemas.openxmlformats.org/officeDocument/2006/relationships/hyperlink" Target="https://www.ftc.gov/system/files/documents/cases/150526ashworthcollegecm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Government Accountability Offce</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Ochinko</dc:creator>
  <cp:lastModifiedBy>U.S. Department of Education</cp:lastModifiedBy>
  <cp:revision>2</cp:revision>
  <cp:lastPrinted>2017-03-03T20:34:00Z</cp:lastPrinted>
  <dcterms:created xsi:type="dcterms:W3CDTF">2017-11-28T14:57:00Z</dcterms:created>
  <dcterms:modified xsi:type="dcterms:W3CDTF">2017-11-28T14:57:00Z</dcterms:modified>
</cp:coreProperties>
</file>