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74E72" w14:textId="77777777" w:rsidR="00BF1C76" w:rsidRPr="00BF22A3" w:rsidRDefault="00BF1C76" w:rsidP="00BF22A3">
      <w:pPr>
        <w:jc w:val="center"/>
        <w:rPr>
          <w:sz w:val="24"/>
          <w:szCs w:val="24"/>
        </w:rPr>
      </w:pPr>
    </w:p>
    <w:p w14:paraId="14096C12" w14:textId="77777777" w:rsidR="00BF22A3" w:rsidRDefault="00BF22A3" w:rsidP="00BF22A3">
      <w:pPr>
        <w:jc w:val="center"/>
        <w:rPr>
          <w:sz w:val="24"/>
          <w:szCs w:val="24"/>
        </w:rPr>
      </w:pPr>
    </w:p>
    <w:p w14:paraId="48839D5E" w14:textId="77777777" w:rsidR="00BF22A3" w:rsidRDefault="00BF22A3" w:rsidP="00BF22A3">
      <w:pPr>
        <w:jc w:val="center"/>
        <w:rPr>
          <w:sz w:val="24"/>
          <w:szCs w:val="24"/>
        </w:rPr>
      </w:pPr>
    </w:p>
    <w:p w14:paraId="7C390D24" w14:textId="77777777" w:rsidR="00BF22A3" w:rsidRDefault="00BF22A3" w:rsidP="00BF22A3">
      <w:pPr>
        <w:jc w:val="center"/>
        <w:rPr>
          <w:sz w:val="24"/>
          <w:szCs w:val="24"/>
        </w:rPr>
      </w:pPr>
    </w:p>
    <w:p w14:paraId="33BA10CB" w14:textId="77777777" w:rsidR="00BF22A3" w:rsidRPr="00BF22A3" w:rsidRDefault="00BF22A3" w:rsidP="00BF22A3">
      <w:pPr>
        <w:jc w:val="center"/>
        <w:rPr>
          <w:sz w:val="24"/>
          <w:szCs w:val="24"/>
        </w:rPr>
      </w:pPr>
    </w:p>
    <w:p w14:paraId="04231930" w14:textId="30FF0DA1" w:rsidR="00BF22A3" w:rsidRPr="00BF22A3" w:rsidRDefault="00BF22A3" w:rsidP="00BF22A3">
      <w:pPr>
        <w:jc w:val="center"/>
        <w:rPr>
          <w:sz w:val="24"/>
          <w:szCs w:val="24"/>
        </w:rPr>
      </w:pPr>
      <w:r w:rsidRPr="00BF22A3">
        <w:rPr>
          <w:sz w:val="24"/>
          <w:szCs w:val="24"/>
        </w:rPr>
        <w:t xml:space="preserve">Borrower Defense </w:t>
      </w:r>
      <w:r w:rsidR="00013795">
        <w:rPr>
          <w:sz w:val="24"/>
          <w:szCs w:val="24"/>
        </w:rPr>
        <w:t>Claims:</w:t>
      </w:r>
    </w:p>
    <w:p w14:paraId="5189E6F5" w14:textId="11DFFAC6" w:rsidR="00BF22A3" w:rsidRDefault="00354ED3" w:rsidP="00BF22A3">
      <w:pPr>
        <w:jc w:val="center"/>
        <w:rPr>
          <w:sz w:val="24"/>
          <w:szCs w:val="24"/>
        </w:rPr>
      </w:pPr>
      <w:r>
        <w:rPr>
          <w:sz w:val="24"/>
          <w:szCs w:val="24"/>
        </w:rPr>
        <w:t>Data Analysis</w:t>
      </w:r>
    </w:p>
    <w:p w14:paraId="326E1866" w14:textId="77777777" w:rsidR="00BF22A3" w:rsidRDefault="00BF22A3" w:rsidP="00BF22A3">
      <w:pPr>
        <w:jc w:val="center"/>
        <w:rPr>
          <w:sz w:val="24"/>
          <w:szCs w:val="24"/>
        </w:rPr>
      </w:pPr>
    </w:p>
    <w:p w14:paraId="44AAE143" w14:textId="77777777" w:rsidR="00BF22A3" w:rsidRDefault="00BF22A3" w:rsidP="00BF22A3">
      <w:pPr>
        <w:jc w:val="center"/>
        <w:rPr>
          <w:sz w:val="24"/>
          <w:szCs w:val="24"/>
        </w:rPr>
      </w:pPr>
    </w:p>
    <w:p w14:paraId="6A90A9DE" w14:textId="77777777" w:rsidR="00BF22A3" w:rsidRDefault="00BF22A3" w:rsidP="00BF22A3">
      <w:pPr>
        <w:jc w:val="center"/>
        <w:rPr>
          <w:sz w:val="24"/>
          <w:szCs w:val="24"/>
        </w:rPr>
      </w:pPr>
    </w:p>
    <w:p w14:paraId="4AD1A461" w14:textId="77777777" w:rsidR="00BF22A3" w:rsidRDefault="00BF22A3" w:rsidP="00BF22A3">
      <w:pPr>
        <w:jc w:val="center"/>
        <w:rPr>
          <w:sz w:val="24"/>
          <w:szCs w:val="24"/>
        </w:rPr>
      </w:pPr>
    </w:p>
    <w:p w14:paraId="679C0B4E" w14:textId="77777777" w:rsidR="00BF22A3" w:rsidRDefault="00BF22A3" w:rsidP="00BF22A3">
      <w:pPr>
        <w:jc w:val="center"/>
        <w:rPr>
          <w:sz w:val="24"/>
          <w:szCs w:val="24"/>
        </w:rPr>
      </w:pPr>
    </w:p>
    <w:p w14:paraId="686AA904" w14:textId="77777777" w:rsidR="00BF22A3" w:rsidRDefault="00BF22A3" w:rsidP="00BF22A3">
      <w:pPr>
        <w:jc w:val="center"/>
        <w:rPr>
          <w:sz w:val="24"/>
          <w:szCs w:val="24"/>
        </w:rPr>
      </w:pPr>
    </w:p>
    <w:p w14:paraId="5EE2FE0E" w14:textId="77777777" w:rsidR="00BF22A3" w:rsidRDefault="00BF22A3" w:rsidP="00BF22A3">
      <w:pPr>
        <w:jc w:val="center"/>
        <w:rPr>
          <w:sz w:val="24"/>
          <w:szCs w:val="24"/>
        </w:rPr>
      </w:pPr>
    </w:p>
    <w:p w14:paraId="413537A8" w14:textId="77777777" w:rsidR="00BF22A3" w:rsidRDefault="00BF22A3" w:rsidP="00BF22A3">
      <w:pPr>
        <w:jc w:val="center"/>
        <w:rPr>
          <w:sz w:val="24"/>
          <w:szCs w:val="24"/>
        </w:rPr>
      </w:pPr>
      <w:r>
        <w:rPr>
          <w:sz w:val="24"/>
          <w:szCs w:val="24"/>
        </w:rPr>
        <w:t>Office of Postsecondary Education</w:t>
      </w:r>
    </w:p>
    <w:p w14:paraId="31A4F343" w14:textId="77777777" w:rsidR="00BF22A3" w:rsidRDefault="00BF22A3" w:rsidP="00BF22A3">
      <w:pPr>
        <w:jc w:val="center"/>
        <w:rPr>
          <w:sz w:val="24"/>
          <w:szCs w:val="24"/>
        </w:rPr>
      </w:pPr>
      <w:r>
        <w:rPr>
          <w:sz w:val="24"/>
          <w:szCs w:val="24"/>
        </w:rPr>
        <w:t>U. S. Department of Education</w:t>
      </w:r>
    </w:p>
    <w:p w14:paraId="201512E8" w14:textId="77777777" w:rsidR="00BF22A3" w:rsidRDefault="00BF22A3" w:rsidP="00BF22A3">
      <w:pPr>
        <w:jc w:val="center"/>
        <w:rPr>
          <w:sz w:val="24"/>
          <w:szCs w:val="24"/>
        </w:rPr>
      </w:pPr>
      <w:r>
        <w:rPr>
          <w:sz w:val="24"/>
          <w:szCs w:val="24"/>
        </w:rPr>
        <w:t>November 2017</w:t>
      </w:r>
    </w:p>
    <w:p w14:paraId="6382FF48" w14:textId="77777777" w:rsidR="00BF22A3" w:rsidRDefault="00BF22A3" w:rsidP="00BF22A3">
      <w:pPr>
        <w:jc w:val="center"/>
        <w:rPr>
          <w:sz w:val="24"/>
          <w:szCs w:val="24"/>
        </w:rPr>
      </w:pPr>
    </w:p>
    <w:p w14:paraId="3388656B" w14:textId="77777777" w:rsidR="00BF22A3" w:rsidRDefault="00BF22A3">
      <w:pPr>
        <w:rPr>
          <w:sz w:val="24"/>
          <w:szCs w:val="24"/>
        </w:rPr>
      </w:pPr>
      <w:r>
        <w:rPr>
          <w:sz w:val="24"/>
          <w:szCs w:val="24"/>
        </w:rPr>
        <w:br w:type="page"/>
      </w:r>
    </w:p>
    <w:p w14:paraId="12A781CE" w14:textId="77777777" w:rsidR="00BF22A3" w:rsidRPr="00BB273C" w:rsidRDefault="00BF22A3" w:rsidP="00CB76C1">
      <w:pPr>
        <w:pStyle w:val="Heading1"/>
        <w:numPr>
          <w:ilvl w:val="0"/>
          <w:numId w:val="2"/>
        </w:numPr>
        <w:spacing w:line="360" w:lineRule="auto"/>
        <w:ind w:left="360"/>
        <w:contextualSpacing/>
        <w:rPr>
          <w:rFonts w:asciiTheme="minorHAnsi" w:hAnsiTheme="minorHAnsi"/>
          <w:color w:val="000000" w:themeColor="text1"/>
        </w:rPr>
      </w:pPr>
      <w:r w:rsidRPr="00BB273C">
        <w:rPr>
          <w:rFonts w:asciiTheme="minorHAnsi" w:hAnsiTheme="minorHAnsi"/>
          <w:color w:val="000000" w:themeColor="text1"/>
        </w:rPr>
        <w:lastRenderedPageBreak/>
        <w:t>Introduction</w:t>
      </w:r>
    </w:p>
    <w:p w14:paraId="3F2B7DB3" w14:textId="608954B7" w:rsidR="00F1731B" w:rsidRDefault="00BE2B7E" w:rsidP="00CB76C1">
      <w:pPr>
        <w:spacing w:line="360" w:lineRule="auto"/>
        <w:ind w:left="90" w:firstLine="630"/>
        <w:contextualSpacing/>
        <w:rPr>
          <w:sz w:val="24"/>
          <w:szCs w:val="24"/>
        </w:rPr>
      </w:pPr>
      <w:r w:rsidRPr="00290F1E">
        <w:rPr>
          <w:sz w:val="24"/>
          <w:szCs w:val="24"/>
        </w:rPr>
        <w:t xml:space="preserve">Under </w:t>
      </w:r>
      <w:r w:rsidR="00B17897">
        <w:rPr>
          <w:sz w:val="24"/>
          <w:szCs w:val="24"/>
        </w:rPr>
        <w:t>F</w:t>
      </w:r>
      <w:r w:rsidR="00B17897" w:rsidRPr="00290F1E">
        <w:rPr>
          <w:sz w:val="24"/>
          <w:szCs w:val="24"/>
        </w:rPr>
        <w:t xml:space="preserve">ederal </w:t>
      </w:r>
      <w:r w:rsidRPr="00290F1E">
        <w:rPr>
          <w:sz w:val="24"/>
          <w:szCs w:val="24"/>
        </w:rPr>
        <w:t xml:space="preserve">law, borrowers in the William D. Ford Federal Direct Loan (Direct Loan) Program may raise actions or omissions by their school as a defense to repayment of their loans. In particular, for the Direct Loan Program, under Section 455(h) of the Higher Education Act of 1965, as amended (HEA) and </w:t>
      </w:r>
      <w:r w:rsidR="00B17897">
        <w:rPr>
          <w:sz w:val="24"/>
          <w:szCs w:val="24"/>
        </w:rPr>
        <w:t>the Department of Education’s (</w:t>
      </w:r>
      <w:r w:rsidRPr="00290F1E">
        <w:rPr>
          <w:sz w:val="24"/>
          <w:szCs w:val="24"/>
        </w:rPr>
        <w:t>the Department’s</w:t>
      </w:r>
      <w:r w:rsidR="00B17897">
        <w:rPr>
          <w:sz w:val="24"/>
          <w:szCs w:val="24"/>
        </w:rPr>
        <w:t>)</w:t>
      </w:r>
      <w:r w:rsidRPr="00290F1E">
        <w:rPr>
          <w:sz w:val="24"/>
          <w:szCs w:val="24"/>
        </w:rPr>
        <w:t xml:space="preserve"> regulations at 34 C.F.R. § 685.206(c), a borrower may assert as a defense against repayment of a loan (also known as “borrower defense”) any act or omission of the school attended by the student that would give rise to a cause of action against the school under applicable </w:t>
      </w:r>
      <w:r w:rsidR="00B17897">
        <w:rPr>
          <w:sz w:val="24"/>
          <w:szCs w:val="24"/>
        </w:rPr>
        <w:t>S</w:t>
      </w:r>
      <w:r w:rsidR="00B17897" w:rsidRPr="00290F1E">
        <w:rPr>
          <w:sz w:val="24"/>
          <w:szCs w:val="24"/>
        </w:rPr>
        <w:t xml:space="preserve">tate </w:t>
      </w:r>
      <w:r w:rsidRPr="00290F1E">
        <w:rPr>
          <w:sz w:val="24"/>
          <w:szCs w:val="24"/>
        </w:rPr>
        <w:t xml:space="preserve">law (the State law standard). </w:t>
      </w:r>
    </w:p>
    <w:p w14:paraId="028208E8" w14:textId="022F6346" w:rsidR="00BE2B7E" w:rsidRPr="00290F1E" w:rsidRDefault="00BE2B7E" w:rsidP="00CB76C1">
      <w:pPr>
        <w:spacing w:line="360" w:lineRule="auto"/>
        <w:ind w:left="90" w:firstLine="630"/>
        <w:contextualSpacing/>
        <w:rPr>
          <w:sz w:val="24"/>
          <w:szCs w:val="24"/>
        </w:rPr>
      </w:pPr>
      <w:r w:rsidRPr="00290F1E">
        <w:rPr>
          <w:sz w:val="24"/>
          <w:szCs w:val="24"/>
        </w:rPr>
        <w:t xml:space="preserve">Though the regulation has existed since 1995, it was rarely used prior to 2015, when Corinthian Colleges, Inc. (Corinthian), a publicly traded company operating numerous postsecondary schools </w:t>
      </w:r>
      <w:r w:rsidR="00B17897">
        <w:rPr>
          <w:sz w:val="24"/>
          <w:szCs w:val="24"/>
        </w:rPr>
        <w:t>enrolling</w:t>
      </w:r>
      <w:r w:rsidR="00B17897" w:rsidRPr="00290F1E">
        <w:rPr>
          <w:sz w:val="24"/>
          <w:szCs w:val="24"/>
        </w:rPr>
        <w:t xml:space="preserve"> </w:t>
      </w:r>
      <w:r w:rsidRPr="00290F1E">
        <w:rPr>
          <w:sz w:val="24"/>
          <w:szCs w:val="24"/>
        </w:rPr>
        <w:t xml:space="preserve">over 70,000 students at more than 100 campuses nationwide, filed for bankruptcy and closed. Corinthian was the subject of multiple </w:t>
      </w:r>
      <w:r w:rsidR="00B17897">
        <w:rPr>
          <w:sz w:val="24"/>
          <w:szCs w:val="24"/>
        </w:rPr>
        <w:t>F</w:t>
      </w:r>
      <w:r w:rsidR="00B17897" w:rsidRPr="00290F1E">
        <w:rPr>
          <w:sz w:val="24"/>
          <w:szCs w:val="24"/>
        </w:rPr>
        <w:t xml:space="preserve">ederal </w:t>
      </w:r>
      <w:r w:rsidRPr="00290F1E">
        <w:rPr>
          <w:sz w:val="24"/>
          <w:szCs w:val="24"/>
        </w:rPr>
        <w:t xml:space="preserve">and </w:t>
      </w:r>
      <w:r w:rsidR="00B17897">
        <w:rPr>
          <w:sz w:val="24"/>
          <w:szCs w:val="24"/>
        </w:rPr>
        <w:t>S</w:t>
      </w:r>
      <w:r w:rsidR="00B17897" w:rsidRPr="00290F1E">
        <w:rPr>
          <w:sz w:val="24"/>
          <w:szCs w:val="24"/>
        </w:rPr>
        <w:t xml:space="preserve">tate </w:t>
      </w:r>
      <w:r w:rsidRPr="00290F1E">
        <w:rPr>
          <w:sz w:val="24"/>
          <w:szCs w:val="24"/>
        </w:rPr>
        <w:t xml:space="preserve">investigations, including one by the Department that found that Corinthian had widely misrepresented its job placement rates. Since Corinthian’s closure, the Department has received thousands of claims for student loan debt relief from former Corinthian students, as well as from students of other schools, pursuant to the borrower defense authority. In processing these claims, the Department determined that significant changes were needed to handle </w:t>
      </w:r>
      <w:r w:rsidR="00B17897">
        <w:rPr>
          <w:sz w:val="24"/>
          <w:szCs w:val="24"/>
        </w:rPr>
        <w:t>a</w:t>
      </w:r>
      <w:r w:rsidRPr="00290F1E">
        <w:rPr>
          <w:sz w:val="24"/>
          <w:szCs w:val="24"/>
        </w:rPr>
        <w:t xml:space="preserve"> large volume of claims, as well as to better protect students and taxpayers.</w:t>
      </w:r>
    </w:p>
    <w:p w14:paraId="519C6DB1" w14:textId="6F001565" w:rsidR="00BE2B7E" w:rsidRPr="00290F1E" w:rsidRDefault="00290F1E" w:rsidP="00CB76C1">
      <w:pPr>
        <w:spacing w:line="360" w:lineRule="auto"/>
        <w:ind w:left="90" w:firstLine="630"/>
        <w:contextualSpacing/>
        <w:rPr>
          <w:sz w:val="24"/>
          <w:szCs w:val="24"/>
        </w:rPr>
      </w:pPr>
      <w:r>
        <w:rPr>
          <w:sz w:val="24"/>
          <w:szCs w:val="24"/>
        </w:rPr>
        <w:t>T</w:t>
      </w:r>
      <w:r w:rsidR="00BE2B7E" w:rsidRPr="00290F1E">
        <w:rPr>
          <w:sz w:val="24"/>
          <w:szCs w:val="24"/>
        </w:rPr>
        <w:t xml:space="preserve">he Department is in the process of reviewing and considering possible changes to the regulations and their economic impact.  On June 16, 2017, the Department published a notice of “Intent to establish negotiated rulemaking committees” (the negotiated rulemaking notice) in the Federal Register, at 82 Fed. </w:t>
      </w:r>
      <w:proofErr w:type="gramStart"/>
      <w:r w:rsidR="00BE2B7E" w:rsidRPr="00290F1E">
        <w:rPr>
          <w:sz w:val="24"/>
          <w:szCs w:val="24"/>
        </w:rPr>
        <w:t>Reg. 27640.</w:t>
      </w:r>
      <w:proofErr w:type="gramEnd"/>
      <w:r>
        <w:rPr>
          <w:sz w:val="24"/>
          <w:szCs w:val="24"/>
        </w:rPr>
        <w:t xml:space="preserve">  </w:t>
      </w:r>
      <w:r w:rsidR="0008381F">
        <w:rPr>
          <w:sz w:val="24"/>
          <w:szCs w:val="24"/>
        </w:rPr>
        <w:t xml:space="preserve">One of the two </w:t>
      </w:r>
      <w:r>
        <w:rPr>
          <w:sz w:val="24"/>
          <w:szCs w:val="24"/>
        </w:rPr>
        <w:t>committee</w:t>
      </w:r>
      <w:r w:rsidR="0008381F">
        <w:rPr>
          <w:sz w:val="24"/>
          <w:szCs w:val="24"/>
        </w:rPr>
        <w:t>’s</w:t>
      </w:r>
      <w:r>
        <w:rPr>
          <w:sz w:val="24"/>
          <w:szCs w:val="24"/>
        </w:rPr>
        <w:t xml:space="preserve"> task is to</w:t>
      </w:r>
      <w:r w:rsidR="00BE2B7E" w:rsidRPr="00290F1E">
        <w:rPr>
          <w:sz w:val="24"/>
          <w:szCs w:val="24"/>
        </w:rPr>
        <w:t xml:space="preserve"> develop proposed regulations to revise the borrower defense regulations.  </w:t>
      </w:r>
      <w:r w:rsidR="001071A6">
        <w:rPr>
          <w:sz w:val="24"/>
          <w:szCs w:val="24"/>
        </w:rPr>
        <w:t>The Department</w:t>
      </w:r>
      <w:r w:rsidR="001071A6" w:rsidRPr="00290F1E">
        <w:rPr>
          <w:sz w:val="24"/>
          <w:szCs w:val="24"/>
        </w:rPr>
        <w:t xml:space="preserve"> </w:t>
      </w:r>
      <w:r w:rsidR="00BE2B7E" w:rsidRPr="00290F1E">
        <w:rPr>
          <w:sz w:val="24"/>
          <w:szCs w:val="24"/>
        </w:rPr>
        <w:t>look</w:t>
      </w:r>
      <w:r w:rsidR="001071A6">
        <w:rPr>
          <w:sz w:val="24"/>
          <w:szCs w:val="24"/>
        </w:rPr>
        <w:t>s</w:t>
      </w:r>
      <w:r w:rsidR="00BE2B7E" w:rsidRPr="00290F1E">
        <w:rPr>
          <w:sz w:val="24"/>
          <w:szCs w:val="24"/>
        </w:rPr>
        <w:t xml:space="preserve"> forward to working with the negotiated rulemaking committee on borrower defense and financial responsibility issues to determine how best to protect borrowers and taxpayers – and fulfill </w:t>
      </w:r>
      <w:r w:rsidR="001071A6">
        <w:rPr>
          <w:sz w:val="24"/>
          <w:szCs w:val="24"/>
        </w:rPr>
        <w:t>its</w:t>
      </w:r>
      <w:r w:rsidR="001071A6" w:rsidRPr="00290F1E">
        <w:rPr>
          <w:sz w:val="24"/>
          <w:szCs w:val="24"/>
        </w:rPr>
        <w:t xml:space="preserve"> </w:t>
      </w:r>
      <w:r w:rsidR="00BE2B7E" w:rsidRPr="00290F1E">
        <w:rPr>
          <w:sz w:val="24"/>
          <w:szCs w:val="24"/>
        </w:rPr>
        <w:t xml:space="preserve">responsibility to ensure that the student financial aid regulations provide protection for students, are fair for schools, and are fiscally responsible.  </w:t>
      </w:r>
    </w:p>
    <w:p w14:paraId="79290F18" w14:textId="4E316D0A" w:rsidR="00BF22A3" w:rsidRPr="00BF22A3" w:rsidRDefault="00F1731B" w:rsidP="00CB76C1">
      <w:pPr>
        <w:spacing w:line="360" w:lineRule="auto"/>
        <w:contextualSpacing/>
        <w:rPr>
          <w:sz w:val="24"/>
          <w:szCs w:val="24"/>
        </w:rPr>
      </w:pPr>
      <w:r>
        <w:rPr>
          <w:sz w:val="24"/>
          <w:szCs w:val="24"/>
        </w:rPr>
        <w:lastRenderedPageBreak/>
        <w:tab/>
        <w:t>This report presents the current state of borrower defense claims received by the Department’s Federal Student Aid (FSA)</w:t>
      </w:r>
      <w:r w:rsidR="0008381F">
        <w:rPr>
          <w:sz w:val="24"/>
          <w:szCs w:val="24"/>
        </w:rPr>
        <w:t xml:space="preserve"> office</w:t>
      </w:r>
      <w:r>
        <w:rPr>
          <w:sz w:val="24"/>
          <w:szCs w:val="24"/>
        </w:rPr>
        <w:t xml:space="preserve">.  These analyses are presented to support policy development and </w:t>
      </w:r>
      <w:r w:rsidR="00AC1330">
        <w:rPr>
          <w:sz w:val="24"/>
          <w:szCs w:val="24"/>
        </w:rPr>
        <w:t xml:space="preserve">to </w:t>
      </w:r>
      <w:r>
        <w:rPr>
          <w:sz w:val="24"/>
          <w:szCs w:val="24"/>
        </w:rPr>
        <w:t>inform data-driven decision</w:t>
      </w:r>
      <w:r w:rsidR="0008381F">
        <w:rPr>
          <w:sz w:val="24"/>
          <w:szCs w:val="24"/>
        </w:rPr>
        <w:t xml:space="preserve"> </w:t>
      </w:r>
      <w:r>
        <w:rPr>
          <w:sz w:val="24"/>
          <w:szCs w:val="24"/>
        </w:rPr>
        <w:t xml:space="preserve">making.  Results presented here include </w:t>
      </w:r>
      <w:r w:rsidR="001071A6">
        <w:rPr>
          <w:sz w:val="24"/>
          <w:szCs w:val="24"/>
        </w:rPr>
        <w:t xml:space="preserve">frequency of </w:t>
      </w:r>
      <w:r>
        <w:rPr>
          <w:sz w:val="24"/>
          <w:szCs w:val="24"/>
        </w:rPr>
        <w:t xml:space="preserve">claims over time, by state, and by claim status.  </w:t>
      </w:r>
    </w:p>
    <w:p w14:paraId="3734FCDD" w14:textId="77777777" w:rsidR="00BF22A3" w:rsidRPr="00BB273C" w:rsidRDefault="00BF22A3" w:rsidP="00CB76C1">
      <w:pPr>
        <w:pStyle w:val="Heading1"/>
        <w:numPr>
          <w:ilvl w:val="0"/>
          <w:numId w:val="2"/>
        </w:numPr>
        <w:spacing w:line="360" w:lineRule="auto"/>
        <w:ind w:left="360"/>
        <w:contextualSpacing/>
        <w:rPr>
          <w:rFonts w:asciiTheme="minorHAnsi" w:hAnsiTheme="minorHAnsi"/>
          <w:color w:val="000000" w:themeColor="text1"/>
        </w:rPr>
      </w:pPr>
      <w:r w:rsidRPr="00BB273C">
        <w:rPr>
          <w:rFonts w:asciiTheme="minorHAnsi" w:hAnsiTheme="minorHAnsi"/>
          <w:color w:val="000000" w:themeColor="text1"/>
        </w:rPr>
        <w:t>Methods</w:t>
      </w:r>
    </w:p>
    <w:p w14:paraId="44130126" w14:textId="789A8741" w:rsidR="00BF22A3" w:rsidRDefault="00BF22A3" w:rsidP="00844D9F">
      <w:pPr>
        <w:spacing w:line="360" w:lineRule="auto"/>
        <w:ind w:firstLine="720"/>
        <w:contextualSpacing/>
        <w:rPr>
          <w:sz w:val="24"/>
          <w:szCs w:val="24"/>
        </w:rPr>
      </w:pPr>
      <w:r>
        <w:rPr>
          <w:sz w:val="24"/>
          <w:szCs w:val="24"/>
        </w:rPr>
        <w:t>FSA maintains a</w:t>
      </w:r>
      <w:r w:rsidR="00D81F5F">
        <w:rPr>
          <w:sz w:val="24"/>
          <w:szCs w:val="24"/>
        </w:rPr>
        <w:t>n</w:t>
      </w:r>
      <w:r>
        <w:rPr>
          <w:sz w:val="24"/>
          <w:szCs w:val="24"/>
        </w:rPr>
        <w:t xml:space="preserve"> </w:t>
      </w:r>
      <w:r w:rsidR="00D81F5F">
        <w:rPr>
          <w:sz w:val="24"/>
          <w:szCs w:val="24"/>
        </w:rPr>
        <w:t xml:space="preserve">IT </w:t>
      </w:r>
      <w:r>
        <w:rPr>
          <w:sz w:val="24"/>
          <w:szCs w:val="24"/>
        </w:rPr>
        <w:t xml:space="preserve">database of Borrower Defense Claims (BD database).  Data were extracted from the BD database on </w:t>
      </w:r>
      <w:r w:rsidR="00BE2B7E">
        <w:rPr>
          <w:sz w:val="24"/>
          <w:szCs w:val="24"/>
        </w:rPr>
        <w:t xml:space="preserve">October </w:t>
      </w:r>
      <w:r w:rsidR="00FB42A2">
        <w:rPr>
          <w:sz w:val="24"/>
          <w:szCs w:val="24"/>
        </w:rPr>
        <w:t>30</w:t>
      </w:r>
      <w:r w:rsidR="00BE2B7E">
        <w:rPr>
          <w:sz w:val="24"/>
          <w:szCs w:val="24"/>
        </w:rPr>
        <w:t>, 2017</w:t>
      </w:r>
      <w:r w:rsidR="00844D9F">
        <w:rPr>
          <w:sz w:val="24"/>
          <w:szCs w:val="24"/>
        </w:rPr>
        <w:t xml:space="preserve"> and used to produce this report</w:t>
      </w:r>
      <w:r w:rsidR="001071A6">
        <w:rPr>
          <w:sz w:val="24"/>
          <w:szCs w:val="24"/>
        </w:rPr>
        <w:t>.</w:t>
      </w:r>
      <w:r w:rsidR="00844D9F">
        <w:rPr>
          <w:sz w:val="24"/>
          <w:szCs w:val="24"/>
        </w:rPr>
        <w:t xml:space="preserve">  </w:t>
      </w:r>
      <w:r w:rsidR="00706A31">
        <w:rPr>
          <w:sz w:val="24"/>
          <w:szCs w:val="24"/>
        </w:rPr>
        <w:t xml:space="preserve">The results were produced using SAS Software 9.3 </w:t>
      </w:r>
      <w:r w:rsidR="003531AA">
        <w:rPr>
          <w:sz w:val="24"/>
          <w:szCs w:val="24"/>
        </w:rPr>
        <w:t>(TS1M2)</w:t>
      </w:r>
      <w:r w:rsidR="00706A31">
        <w:rPr>
          <w:sz w:val="24"/>
          <w:szCs w:val="24"/>
        </w:rPr>
        <w:t xml:space="preserve">.  </w:t>
      </w:r>
      <w:r w:rsidR="0011305D">
        <w:rPr>
          <w:sz w:val="24"/>
          <w:szCs w:val="24"/>
        </w:rPr>
        <w:t>D</w:t>
      </w:r>
      <w:r w:rsidR="00706A31">
        <w:rPr>
          <w:sz w:val="24"/>
          <w:szCs w:val="24"/>
        </w:rPr>
        <w:t xml:space="preserve">escriptive statistics were produced for the BD claims, borrowers, states, schools, and </w:t>
      </w:r>
      <w:r w:rsidR="00BB2B45">
        <w:rPr>
          <w:sz w:val="24"/>
          <w:szCs w:val="24"/>
        </w:rPr>
        <w:t>claim status</w:t>
      </w:r>
      <w:r w:rsidR="00706A31">
        <w:rPr>
          <w:sz w:val="24"/>
          <w:szCs w:val="24"/>
        </w:rPr>
        <w:t xml:space="preserve">.  </w:t>
      </w:r>
      <w:r w:rsidR="00AE3014">
        <w:rPr>
          <w:sz w:val="24"/>
          <w:szCs w:val="24"/>
        </w:rPr>
        <w:t>R</w:t>
      </w:r>
      <w:r w:rsidR="007B6C7A">
        <w:rPr>
          <w:sz w:val="24"/>
          <w:szCs w:val="24"/>
        </w:rPr>
        <w:t>esults were reported over time and by school, and state.  Charts, tables, graphs, and maps were included to illustrate interesting findings.</w:t>
      </w:r>
      <w:r w:rsidR="00AE3014">
        <w:rPr>
          <w:sz w:val="24"/>
          <w:szCs w:val="24"/>
        </w:rPr>
        <w:t xml:space="preserve"> Data were examined for inconsistencies and quality.</w:t>
      </w:r>
    </w:p>
    <w:p w14:paraId="2DCF31AE" w14:textId="17620ADA" w:rsidR="00AE3014" w:rsidRDefault="00C1626D" w:rsidP="00CB76C1">
      <w:pPr>
        <w:spacing w:line="360" w:lineRule="auto"/>
        <w:contextualSpacing/>
        <w:rPr>
          <w:sz w:val="24"/>
          <w:szCs w:val="24"/>
        </w:rPr>
      </w:pPr>
      <w:r>
        <w:rPr>
          <w:sz w:val="24"/>
          <w:szCs w:val="24"/>
        </w:rPr>
        <w:tab/>
      </w:r>
      <w:r w:rsidR="00AE2498">
        <w:rPr>
          <w:sz w:val="24"/>
          <w:szCs w:val="24"/>
        </w:rPr>
        <w:t xml:space="preserve"> </w:t>
      </w:r>
      <w:r w:rsidR="0011305D">
        <w:rPr>
          <w:sz w:val="24"/>
          <w:szCs w:val="24"/>
        </w:rPr>
        <w:t xml:space="preserve"> </w:t>
      </w:r>
      <w:r w:rsidR="00AE3014">
        <w:rPr>
          <w:sz w:val="24"/>
          <w:szCs w:val="24"/>
        </w:rPr>
        <w:t>S</w:t>
      </w:r>
      <w:r w:rsidR="00156A9A">
        <w:rPr>
          <w:sz w:val="24"/>
          <w:szCs w:val="24"/>
        </w:rPr>
        <w:t>ome claims cover more than one school, claimant, or loan.  Therefore, when counts of claims are grouped by school, claimant, or loan</w:t>
      </w:r>
      <w:r w:rsidR="009B60D6">
        <w:rPr>
          <w:sz w:val="24"/>
          <w:szCs w:val="24"/>
        </w:rPr>
        <w:t>,</w:t>
      </w:r>
      <w:r w:rsidR="00156A9A">
        <w:rPr>
          <w:sz w:val="24"/>
          <w:szCs w:val="24"/>
        </w:rPr>
        <w:t xml:space="preserve"> the sum of these claims may be </w:t>
      </w:r>
      <w:r w:rsidR="0077298C">
        <w:rPr>
          <w:sz w:val="24"/>
          <w:szCs w:val="24"/>
        </w:rPr>
        <w:t xml:space="preserve">different </w:t>
      </w:r>
      <w:r w:rsidR="00156A9A">
        <w:rPr>
          <w:sz w:val="24"/>
          <w:szCs w:val="24"/>
        </w:rPr>
        <w:t xml:space="preserve">than the count of distinct claims.  </w:t>
      </w:r>
    </w:p>
    <w:p w14:paraId="1C56C64C" w14:textId="3F9CCC82" w:rsidR="00156A9A" w:rsidRDefault="00AE3014" w:rsidP="007D3EDC">
      <w:pPr>
        <w:spacing w:line="360" w:lineRule="auto"/>
        <w:ind w:firstLine="720"/>
        <w:contextualSpacing/>
        <w:rPr>
          <w:sz w:val="24"/>
          <w:szCs w:val="24"/>
        </w:rPr>
      </w:pPr>
      <w:r>
        <w:rPr>
          <w:sz w:val="24"/>
          <w:szCs w:val="24"/>
        </w:rPr>
        <w:t>S</w:t>
      </w:r>
      <w:r w:rsidR="00951933">
        <w:rPr>
          <w:sz w:val="24"/>
          <w:szCs w:val="24"/>
        </w:rPr>
        <w:t>mall cell sizes were suppressed in order to prevent inadvertent disclo</w:t>
      </w:r>
      <w:r w:rsidR="00AE2498">
        <w:rPr>
          <w:sz w:val="24"/>
          <w:szCs w:val="24"/>
        </w:rPr>
        <w:t>sure of personally identifiable</w:t>
      </w:r>
      <w:r w:rsidR="00951933">
        <w:rPr>
          <w:sz w:val="24"/>
          <w:szCs w:val="24"/>
        </w:rPr>
        <w:t xml:space="preserve"> information</w:t>
      </w:r>
      <w:r w:rsidR="00572762">
        <w:rPr>
          <w:sz w:val="24"/>
          <w:szCs w:val="24"/>
        </w:rPr>
        <w:t>.</w:t>
      </w:r>
    </w:p>
    <w:p w14:paraId="4802133F" w14:textId="77777777" w:rsidR="00BF22A3" w:rsidRPr="001E2282" w:rsidRDefault="00BF22A3" w:rsidP="00CB76C1">
      <w:pPr>
        <w:pStyle w:val="Heading1"/>
        <w:numPr>
          <w:ilvl w:val="0"/>
          <w:numId w:val="2"/>
        </w:numPr>
        <w:spacing w:line="360" w:lineRule="auto"/>
        <w:ind w:left="360"/>
        <w:contextualSpacing/>
        <w:rPr>
          <w:rFonts w:asciiTheme="minorHAnsi" w:hAnsiTheme="minorHAnsi"/>
          <w:color w:val="000000" w:themeColor="text1"/>
        </w:rPr>
      </w:pPr>
      <w:r w:rsidRPr="001E2282">
        <w:rPr>
          <w:rFonts w:asciiTheme="minorHAnsi" w:hAnsiTheme="minorHAnsi"/>
          <w:color w:val="000000" w:themeColor="text1"/>
        </w:rPr>
        <w:t>Results</w:t>
      </w:r>
    </w:p>
    <w:p w14:paraId="12A93639" w14:textId="6767BE1F" w:rsidR="00D54A33" w:rsidRPr="001E2282" w:rsidRDefault="00D54A33" w:rsidP="00CB76C1">
      <w:pPr>
        <w:pStyle w:val="Heading2"/>
        <w:spacing w:line="360" w:lineRule="auto"/>
        <w:ind w:left="360" w:hanging="360"/>
        <w:contextualSpacing/>
        <w:rPr>
          <w:rFonts w:asciiTheme="minorHAnsi" w:hAnsiTheme="minorHAnsi"/>
          <w:b w:val="0"/>
          <w:i/>
          <w:color w:val="000000" w:themeColor="text1"/>
        </w:rPr>
      </w:pPr>
      <w:r w:rsidRPr="001E2282">
        <w:rPr>
          <w:rFonts w:asciiTheme="minorHAnsi" w:hAnsiTheme="minorHAnsi"/>
          <w:b w:val="0"/>
          <w:i/>
          <w:color w:val="000000" w:themeColor="text1"/>
        </w:rPr>
        <w:t xml:space="preserve">3.1 </w:t>
      </w:r>
      <w:r w:rsidR="001E2282">
        <w:rPr>
          <w:rFonts w:asciiTheme="minorHAnsi" w:hAnsiTheme="minorHAnsi"/>
          <w:b w:val="0"/>
          <w:i/>
          <w:color w:val="000000" w:themeColor="text1"/>
        </w:rPr>
        <w:tab/>
      </w:r>
      <w:r w:rsidRPr="001E2282">
        <w:rPr>
          <w:rFonts w:asciiTheme="minorHAnsi" w:hAnsiTheme="minorHAnsi"/>
          <w:b w:val="0"/>
          <w:i/>
          <w:color w:val="000000" w:themeColor="text1"/>
        </w:rPr>
        <w:t>Demographics</w:t>
      </w:r>
    </w:p>
    <w:p w14:paraId="06B72DD9" w14:textId="2AE24DD3" w:rsidR="00CF5769" w:rsidRDefault="00E633DA" w:rsidP="00500E4E">
      <w:pPr>
        <w:spacing w:after="0" w:line="360" w:lineRule="auto"/>
        <w:ind w:firstLine="720"/>
        <w:contextualSpacing/>
        <w:rPr>
          <w:sz w:val="24"/>
          <w:szCs w:val="24"/>
        </w:rPr>
      </w:pPr>
      <w:r>
        <w:rPr>
          <w:sz w:val="24"/>
          <w:szCs w:val="24"/>
        </w:rPr>
        <w:t xml:space="preserve">The Department first published borrower defense regulations in 1995, and has been accepting claims since then.  </w:t>
      </w:r>
      <w:r w:rsidR="009826F5">
        <w:rPr>
          <w:sz w:val="24"/>
          <w:szCs w:val="24"/>
        </w:rPr>
        <w:t xml:space="preserve">By </w:t>
      </w:r>
      <w:r w:rsidR="00BE2B7E">
        <w:rPr>
          <w:sz w:val="24"/>
          <w:szCs w:val="24"/>
        </w:rPr>
        <w:t xml:space="preserve">October </w:t>
      </w:r>
      <w:r w:rsidR="0046637A">
        <w:rPr>
          <w:sz w:val="24"/>
          <w:szCs w:val="24"/>
        </w:rPr>
        <w:t>30</w:t>
      </w:r>
      <w:r w:rsidR="00BE2B7E">
        <w:rPr>
          <w:sz w:val="24"/>
          <w:szCs w:val="24"/>
        </w:rPr>
        <w:t>, 2017</w:t>
      </w:r>
      <w:r w:rsidR="009C79F5">
        <w:rPr>
          <w:sz w:val="24"/>
          <w:szCs w:val="24"/>
        </w:rPr>
        <w:t>, t</w:t>
      </w:r>
      <w:r>
        <w:rPr>
          <w:sz w:val="24"/>
          <w:szCs w:val="24"/>
        </w:rPr>
        <w:t xml:space="preserve">he Department had received </w:t>
      </w:r>
      <w:r w:rsidRPr="00C1626D">
        <w:rPr>
          <w:sz w:val="24"/>
          <w:szCs w:val="24"/>
        </w:rPr>
        <w:t>135</w:t>
      </w:r>
      <w:r>
        <w:rPr>
          <w:sz w:val="24"/>
          <w:szCs w:val="24"/>
        </w:rPr>
        <w:t>,</w:t>
      </w:r>
      <w:r w:rsidR="00CC003E" w:rsidRPr="00C1626D">
        <w:rPr>
          <w:sz w:val="24"/>
          <w:szCs w:val="24"/>
        </w:rPr>
        <w:t>4</w:t>
      </w:r>
      <w:r w:rsidR="00CC003E">
        <w:rPr>
          <w:sz w:val="24"/>
          <w:szCs w:val="24"/>
        </w:rPr>
        <w:t xml:space="preserve">70 </w:t>
      </w:r>
      <w:r>
        <w:rPr>
          <w:sz w:val="24"/>
          <w:szCs w:val="24"/>
        </w:rPr>
        <w:t>borrower defense claims from 135,</w:t>
      </w:r>
      <w:r w:rsidR="00CC003E">
        <w:rPr>
          <w:sz w:val="24"/>
          <w:szCs w:val="24"/>
        </w:rPr>
        <w:t xml:space="preserve">080 </w:t>
      </w:r>
      <w:r>
        <w:rPr>
          <w:sz w:val="24"/>
          <w:szCs w:val="24"/>
        </w:rPr>
        <w:t xml:space="preserve">borrowers.  </w:t>
      </w:r>
      <w:r w:rsidR="009826F5">
        <w:rPr>
          <w:sz w:val="24"/>
          <w:szCs w:val="24"/>
        </w:rPr>
        <w:t xml:space="preserve">The bulk of the claims were received starting in 2015; </w:t>
      </w:r>
      <w:r w:rsidR="001071A6">
        <w:rPr>
          <w:sz w:val="24"/>
          <w:szCs w:val="24"/>
        </w:rPr>
        <w:t>the database contains</w:t>
      </w:r>
      <w:r w:rsidR="00EA1C91">
        <w:rPr>
          <w:sz w:val="24"/>
          <w:szCs w:val="24"/>
        </w:rPr>
        <w:t xml:space="preserve"> less than 10</w:t>
      </w:r>
      <w:r w:rsidR="009826F5">
        <w:rPr>
          <w:sz w:val="24"/>
          <w:szCs w:val="24"/>
        </w:rPr>
        <w:t xml:space="preserve"> claims </w:t>
      </w:r>
      <w:r w:rsidR="001071A6">
        <w:rPr>
          <w:sz w:val="24"/>
          <w:szCs w:val="24"/>
        </w:rPr>
        <w:t>prior to that</w:t>
      </w:r>
      <w:r w:rsidR="009826F5">
        <w:rPr>
          <w:sz w:val="24"/>
          <w:szCs w:val="24"/>
        </w:rPr>
        <w:t xml:space="preserve">.  </w:t>
      </w:r>
      <w:r w:rsidR="00633E56">
        <w:rPr>
          <w:sz w:val="24"/>
          <w:szCs w:val="24"/>
        </w:rPr>
        <w:t xml:space="preserve">Borrower defense claims are currently decided based on </w:t>
      </w:r>
      <w:r w:rsidR="00C83215">
        <w:rPr>
          <w:sz w:val="24"/>
          <w:szCs w:val="24"/>
        </w:rPr>
        <w:t xml:space="preserve">an </w:t>
      </w:r>
      <w:r w:rsidR="00C83215" w:rsidRPr="00C83215">
        <w:rPr>
          <w:sz w:val="24"/>
          <w:szCs w:val="24"/>
        </w:rPr>
        <w:t>“act or omission of the school</w:t>
      </w:r>
      <w:r w:rsidR="00C83215">
        <w:rPr>
          <w:sz w:val="24"/>
          <w:szCs w:val="24"/>
        </w:rPr>
        <w:t xml:space="preserve"> </w:t>
      </w:r>
      <w:r w:rsidR="00C83215" w:rsidRPr="00C83215">
        <w:rPr>
          <w:sz w:val="24"/>
          <w:szCs w:val="24"/>
        </w:rPr>
        <w:t>attended by the student that would give rise to a cause of</w:t>
      </w:r>
      <w:r w:rsidR="00C83215">
        <w:rPr>
          <w:sz w:val="24"/>
          <w:szCs w:val="24"/>
        </w:rPr>
        <w:t xml:space="preserve"> </w:t>
      </w:r>
      <w:r w:rsidR="00C83215" w:rsidRPr="00C83215">
        <w:rPr>
          <w:sz w:val="24"/>
          <w:szCs w:val="24"/>
        </w:rPr>
        <w:t xml:space="preserve">action against the school under applicable State law” </w:t>
      </w:r>
      <w:r w:rsidR="00C83215">
        <w:rPr>
          <w:sz w:val="24"/>
          <w:szCs w:val="24"/>
        </w:rPr>
        <w:t>(</w:t>
      </w:r>
      <w:r w:rsidR="00633E56">
        <w:rPr>
          <w:sz w:val="24"/>
          <w:szCs w:val="24"/>
        </w:rPr>
        <w:t>the state standard</w:t>
      </w:r>
      <w:r w:rsidR="00C83215">
        <w:rPr>
          <w:sz w:val="24"/>
          <w:szCs w:val="24"/>
        </w:rPr>
        <w:t>)</w:t>
      </w:r>
      <w:r w:rsidR="00633E56">
        <w:rPr>
          <w:sz w:val="24"/>
          <w:szCs w:val="24"/>
        </w:rPr>
        <w:t xml:space="preserve">.  Therefore, </w:t>
      </w:r>
      <w:r w:rsidR="00AE2498">
        <w:rPr>
          <w:sz w:val="24"/>
          <w:szCs w:val="24"/>
        </w:rPr>
        <w:t xml:space="preserve">determining </w:t>
      </w:r>
      <w:r w:rsidR="00633E56">
        <w:rPr>
          <w:sz w:val="24"/>
          <w:szCs w:val="24"/>
        </w:rPr>
        <w:t xml:space="preserve">the state </w:t>
      </w:r>
      <w:r w:rsidR="00AE2498">
        <w:rPr>
          <w:sz w:val="24"/>
          <w:szCs w:val="24"/>
        </w:rPr>
        <w:t xml:space="preserve">of jurisdiction is important.  This can be a complex issue when the </w:t>
      </w:r>
      <w:r w:rsidR="00AB4887">
        <w:rPr>
          <w:sz w:val="24"/>
          <w:szCs w:val="24"/>
        </w:rPr>
        <w:t xml:space="preserve">school (or </w:t>
      </w:r>
      <w:r w:rsidR="00AE2498">
        <w:rPr>
          <w:sz w:val="24"/>
          <w:szCs w:val="24"/>
        </w:rPr>
        <w:t>campus</w:t>
      </w:r>
      <w:r w:rsidR="00AB4887">
        <w:rPr>
          <w:sz w:val="24"/>
          <w:szCs w:val="24"/>
        </w:rPr>
        <w:t>)</w:t>
      </w:r>
      <w:r w:rsidR="00AE2498">
        <w:rPr>
          <w:sz w:val="24"/>
          <w:szCs w:val="24"/>
        </w:rPr>
        <w:t xml:space="preserve"> the student attended was in one state, the </w:t>
      </w:r>
      <w:r w:rsidR="00AE2498">
        <w:rPr>
          <w:sz w:val="24"/>
          <w:szCs w:val="24"/>
        </w:rPr>
        <w:lastRenderedPageBreak/>
        <w:t>student resided in another state, and the corporate ownership (if applicable) was in a third state.  Because each state’</w:t>
      </w:r>
      <w:r w:rsidR="00AB4887">
        <w:rPr>
          <w:sz w:val="24"/>
          <w:szCs w:val="24"/>
        </w:rPr>
        <w:t>s</w:t>
      </w:r>
      <w:r w:rsidR="00AE2498">
        <w:rPr>
          <w:sz w:val="24"/>
          <w:szCs w:val="24"/>
        </w:rPr>
        <w:t xml:space="preserve"> laws are distinct, the state of jurisdiction </w:t>
      </w:r>
      <w:r w:rsidR="00633E56">
        <w:rPr>
          <w:sz w:val="24"/>
          <w:szCs w:val="24"/>
        </w:rPr>
        <w:t xml:space="preserve">may impact whether the claim is accepted or denied.  </w:t>
      </w:r>
    </w:p>
    <w:p w14:paraId="48A21E32" w14:textId="125F84FC" w:rsidR="00B06A78" w:rsidRDefault="00A75583" w:rsidP="006D7718">
      <w:pPr>
        <w:spacing w:after="0" w:line="360" w:lineRule="auto"/>
        <w:ind w:firstLine="720"/>
        <w:rPr>
          <w:sz w:val="24"/>
          <w:szCs w:val="24"/>
        </w:rPr>
      </w:pPr>
      <w:r>
        <w:rPr>
          <w:sz w:val="24"/>
          <w:szCs w:val="24"/>
        </w:rPr>
        <w:t xml:space="preserve">Claims were submitted against schools in all </w:t>
      </w:r>
      <w:r w:rsidR="00C83215">
        <w:rPr>
          <w:sz w:val="24"/>
          <w:szCs w:val="24"/>
        </w:rPr>
        <w:t>50</w:t>
      </w:r>
      <w:r>
        <w:rPr>
          <w:sz w:val="24"/>
          <w:szCs w:val="24"/>
        </w:rPr>
        <w:t xml:space="preserve"> states</w:t>
      </w:r>
      <w:r w:rsidR="00AB119B">
        <w:rPr>
          <w:sz w:val="24"/>
          <w:szCs w:val="24"/>
        </w:rPr>
        <w:t>, DC, and Puerto Rico</w:t>
      </w:r>
      <w:r>
        <w:rPr>
          <w:sz w:val="24"/>
          <w:szCs w:val="24"/>
        </w:rPr>
        <w:t xml:space="preserve"> (see</w:t>
      </w:r>
      <w:r w:rsidR="001B4234">
        <w:rPr>
          <w:sz w:val="24"/>
          <w:szCs w:val="24"/>
        </w:rPr>
        <w:t xml:space="preserve"> Figure 1</w:t>
      </w:r>
      <w:r>
        <w:rPr>
          <w:sz w:val="24"/>
          <w:szCs w:val="24"/>
        </w:rPr>
        <w:t xml:space="preserve">).  The mean number of claims per state </w:t>
      </w:r>
      <w:r w:rsidR="00BF40DB">
        <w:rPr>
          <w:sz w:val="24"/>
          <w:szCs w:val="24"/>
        </w:rPr>
        <w:t xml:space="preserve">was </w:t>
      </w:r>
      <w:r>
        <w:rPr>
          <w:sz w:val="24"/>
          <w:szCs w:val="24"/>
        </w:rPr>
        <w:t>2</w:t>
      </w:r>
      <w:r w:rsidR="00C83215">
        <w:rPr>
          <w:sz w:val="24"/>
          <w:szCs w:val="24"/>
        </w:rPr>
        <w:t>,</w:t>
      </w:r>
      <w:r>
        <w:rPr>
          <w:sz w:val="24"/>
          <w:szCs w:val="24"/>
        </w:rPr>
        <w:t>6</w:t>
      </w:r>
      <w:r w:rsidR="00AB119B">
        <w:rPr>
          <w:sz w:val="24"/>
          <w:szCs w:val="24"/>
        </w:rPr>
        <w:t>07</w:t>
      </w:r>
      <w:r>
        <w:rPr>
          <w:sz w:val="24"/>
          <w:szCs w:val="24"/>
        </w:rPr>
        <w:t xml:space="preserve"> with a standard deviation of 5</w:t>
      </w:r>
      <w:r w:rsidR="00C83215">
        <w:rPr>
          <w:sz w:val="24"/>
          <w:szCs w:val="24"/>
        </w:rPr>
        <w:t>,</w:t>
      </w:r>
      <w:r w:rsidR="00AB119B">
        <w:rPr>
          <w:sz w:val="24"/>
          <w:szCs w:val="24"/>
        </w:rPr>
        <w:t>89</w:t>
      </w:r>
      <w:r w:rsidR="00D33551">
        <w:rPr>
          <w:sz w:val="24"/>
          <w:szCs w:val="24"/>
        </w:rPr>
        <w:t>6</w:t>
      </w:r>
      <w:r w:rsidR="00AB119B">
        <w:rPr>
          <w:sz w:val="24"/>
          <w:szCs w:val="24"/>
        </w:rPr>
        <w:t xml:space="preserve"> </w:t>
      </w:r>
      <w:r>
        <w:rPr>
          <w:sz w:val="24"/>
          <w:szCs w:val="24"/>
        </w:rPr>
        <w:t xml:space="preserve">and a median of </w:t>
      </w:r>
      <w:r w:rsidR="00AB119B">
        <w:rPr>
          <w:sz w:val="24"/>
          <w:szCs w:val="24"/>
        </w:rPr>
        <w:t>479</w:t>
      </w:r>
      <w:r>
        <w:rPr>
          <w:sz w:val="24"/>
          <w:szCs w:val="24"/>
        </w:rPr>
        <w:t xml:space="preserve">.  </w:t>
      </w:r>
      <w:r w:rsidR="006337B4">
        <w:rPr>
          <w:sz w:val="24"/>
          <w:szCs w:val="24"/>
        </w:rPr>
        <w:t>Logically, the states with the most claims had high proportions of claims from schools most commonly associated with a claim. However, b</w:t>
      </w:r>
      <w:r w:rsidR="001B4234">
        <w:rPr>
          <w:sz w:val="24"/>
          <w:szCs w:val="24"/>
        </w:rPr>
        <w:t xml:space="preserve">ecause over half the states have more than 450 claims, the Department may process large quantities of claims under every state’s legal standard.  </w:t>
      </w:r>
    </w:p>
    <w:p w14:paraId="339ABFD7" w14:textId="17503583" w:rsidR="00A75583" w:rsidRPr="00D453B8" w:rsidRDefault="00A75583" w:rsidP="00A75583">
      <w:pPr>
        <w:pStyle w:val="Caption"/>
        <w:keepNext/>
        <w:spacing w:after="0"/>
        <w:contextualSpacing/>
        <w:rPr>
          <w:color w:val="000000" w:themeColor="text1"/>
          <w:sz w:val="24"/>
          <w:szCs w:val="24"/>
        </w:rPr>
      </w:pPr>
      <w:bookmarkStart w:id="0" w:name="_Ref496096328"/>
      <w:bookmarkStart w:id="1" w:name="_Ref497403774"/>
      <w:r w:rsidRPr="00D453B8">
        <w:rPr>
          <w:color w:val="000000" w:themeColor="text1"/>
          <w:sz w:val="24"/>
          <w:szCs w:val="24"/>
        </w:rPr>
        <w:t>Figure</w:t>
      </w:r>
      <w:bookmarkEnd w:id="0"/>
      <w:r w:rsidR="001B4234">
        <w:rPr>
          <w:color w:val="000000" w:themeColor="text1"/>
          <w:sz w:val="24"/>
          <w:szCs w:val="24"/>
        </w:rPr>
        <w:t xml:space="preserve"> 1</w:t>
      </w:r>
      <w:r w:rsidRPr="00D453B8">
        <w:rPr>
          <w:color w:val="000000" w:themeColor="text1"/>
          <w:sz w:val="24"/>
          <w:szCs w:val="24"/>
        </w:rPr>
        <w:t>:  Number of Borrower Defense claims by state</w:t>
      </w:r>
      <w:bookmarkEnd w:id="1"/>
      <w:r w:rsidR="00AE3014">
        <w:rPr>
          <w:color w:val="000000" w:themeColor="text1"/>
          <w:sz w:val="24"/>
          <w:szCs w:val="24"/>
        </w:rPr>
        <w:t xml:space="preserve"> of school</w:t>
      </w:r>
    </w:p>
    <w:p w14:paraId="52BE79BD" w14:textId="69A5407C" w:rsidR="00A75583" w:rsidRDefault="00E246C7" w:rsidP="00500E4E">
      <w:pPr>
        <w:spacing w:after="0" w:line="240" w:lineRule="auto"/>
        <w:contextualSpacing/>
        <w:rPr>
          <w:sz w:val="24"/>
          <w:szCs w:val="24"/>
        </w:rPr>
      </w:pPr>
      <w:r>
        <w:rPr>
          <w:noProof/>
          <w:sz w:val="24"/>
          <w:szCs w:val="24"/>
        </w:rPr>
        <w:drawing>
          <wp:inline distT="0" distB="0" distL="0" distR="0" wp14:anchorId="03AAD676" wp14:editId="7959ECDF">
            <wp:extent cx="5443870" cy="4140976"/>
            <wp:effectExtent l="19050" t="19050" r="23495" b="12065"/>
            <wp:docPr id="2" name="Picture 2" descr="Map of United States in shades of purple that represent borrower defense claims.  ranging from light purple equaling 2-16 claims and dark purple equaling 3,559 - 32,558" title="Map of Borrower Defense Clai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h.Hay\Desktop\BD_Analysis_N1_v6_Figure1.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443870" cy="4140976"/>
                    </a:xfrm>
                    <a:prstGeom prst="rect">
                      <a:avLst/>
                    </a:prstGeom>
                    <a:noFill/>
                    <a:ln w="952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inline>
        </w:drawing>
      </w:r>
    </w:p>
    <w:p w14:paraId="5EDEABF6" w14:textId="77777777" w:rsidR="00500E4E" w:rsidRDefault="00500E4E" w:rsidP="005A7155">
      <w:pPr>
        <w:spacing w:after="0" w:line="360" w:lineRule="auto"/>
        <w:ind w:firstLine="720"/>
        <w:contextualSpacing/>
        <w:rPr>
          <w:sz w:val="24"/>
          <w:szCs w:val="24"/>
        </w:rPr>
      </w:pPr>
    </w:p>
    <w:p w14:paraId="7051314E" w14:textId="4C640A13" w:rsidR="00BF22A3" w:rsidRDefault="00E652FC" w:rsidP="00500E4E">
      <w:pPr>
        <w:spacing w:after="240" w:line="360" w:lineRule="auto"/>
        <w:ind w:firstLine="720"/>
        <w:rPr>
          <w:sz w:val="24"/>
          <w:szCs w:val="24"/>
        </w:rPr>
      </w:pPr>
      <w:r>
        <w:rPr>
          <w:sz w:val="24"/>
          <w:szCs w:val="24"/>
        </w:rPr>
        <w:t xml:space="preserve">When listing at the </w:t>
      </w:r>
      <w:r w:rsidR="001071A6">
        <w:rPr>
          <w:sz w:val="24"/>
          <w:szCs w:val="24"/>
        </w:rPr>
        <w:t xml:space="preserve">publicly traded corporation </w:t>
      </w:r>
      <w:r w:rsidR="00844D9F">
        <w:rPr>
          <w:sz w:val="24"/>
          <w:szCs w:val="24"/>
        </w:rPr>
        <w:t>or</w:t>
      </w:r>
      <w:r>
        <w:rPr>
          <w:sz w:val="24"/>
          <w:szCs w:val="24"/>
        </w:rPr>
        <w:t xml:space="preserve"> institutional level, the</w:t>
      </w:r>
      <w:r w:rsidR="005178EF">
        <w:rPr>
          <w:sz w:val="24"/>
          <w:szCs w:val="24"/>
        </w:rPr>
        <w:t xml:space="preserve">re </w:t>
      </w:r>
      <w:r w:rsidR="00BF40DB">
        <w:rPr>
          <w:sz w:val="24"/>
          <w:szCs w:val="24"/>
        </w:rPr>
        <w:t>were</w:t>
      </w:r>
      <w:r w:rsidR="005178EF">
        <w:rPr>
          <w:sz w:val="24"/>
          <w:szCs w:val="24"/>
        </w:rPr>
        <w:t xml:space="preserve"> over 15</w:t>
      </w:r>
      <w:r>
        <w:rPr>
          <w:sz w:val="24"/>
          <w:szCs w:val="24"/>
        </w:rPr>
        <w:t xml:space="preserve">00 schools associated with claims.  </w:t>
      </w:r>
      <w:r w:rsidR="00457531">
        <w:rPr>
          <w:sz w:val="24"/>
          <w:szCs w:val="24"/>
        </w:rPr>
        <w:t>Of these</w:t>
      </w:r>
      <w:r w:rsidR="00C33333">
        <w:rPr>
          <w:sz w:val="24"/>
          <w:szCs w:val="24"/>
        </w:rPr>
        <w:t>,</w:t>
      </w:r>
      <w:r w:rsidR="00502DE1">
        <w:rPr>
          <w:sz w:val="24"/>
          <w:szCs w:val="24"/>
        </w:rPr>
        <w:t xml:space="preserve"> 95%</w:t>
      </w:r>
      <w:r w:rsidR="00C33333">
        <w:rPr>
          <w:sz w:val="24"/>
          <w:szCs w:val="24"/>
        </w:rPr>
        <w:t xml:space="preserve"> of </w:t>
      </w:r>
      <w:r w:rsidR="00457531">
        <w:rPr>
          <w:sz w:val="24"/>
          <w:szCs w:val="24"/>
        </w:rPr>
        <w:t>claims</w:t>
      </w:r>
      <w:r w:rsidR="00102AD4">
        <w:rPr>
          <w:sz w:val="24"/>
          <w:szCs w:val="24"/>
        </w:rPr>
        <w:t xml:space="preserve"> were from </w:t>
      </w:r>
      <w:r w:rsidR="005178EF">
        <w:rPr>
          <w:sz w:val="24"/>
          <w:szCs w:val="24"/>
        </w:rPr>
        <w:t xml:space="preserve">15 </w:t>
      </w:r>
      <w:r w:rsidR="00C1626D">
        <w:rPr>
          <w:sz w:val="24"/>
          <w:szCs w:val="24"/>
        </w:rPr>
        <w:t>schools</w:t>
      </w:r>
      <w:r w:rsidR="00E03401">
        <w:rPr>
          <w:sz w:val="24"/>
          <w:szCs w:val="24"/>
        </w:rPr>
        <w:t xml:space="preserve"> (</w:t>
      </w:r>
      <w:r w:rsidR="00844D9F">
        <w:rPr>
          <w:sz w:val="24"/>
          <w:szCs w:val="24"/>
        </w:rPr>
        <w:t>results not shown</w:t>
      </w:r>
      <w:r w:rsidR="00E03401">
        <w:rPr>
          <w:sz w:val="24"/>
          <w:szCs w:val="24"/>
        </w:rPr>
        <w:t>)</w:t>
      </w:r>
      <w:r w:rsidR="00C1626D">
        <w:rPr>
          <w:sz w:val="24"/>
          <w:szCs w:val="24"/>
        </w:rPr>
        <w:t>.</w:t>
      </w:r>
      <w:r w:rsidR="00E03401">
        <w:rPr>
          <w:sz w:val="24"/>
          <w:szCs w:val="24"/>
        </w:rPr>
        <w:t xml:space="preserve">  The mean numbe</w:t>
      </w:r>
      <w:r w:rsidR="00E03401" w:rsidRPr="00387994">
        <w:rPr>
          <w:color w:val="000000" w:themeColor="text1"/>
          <w:sz w:val="24"/>
          <w:szCs w:val="24"/>
        </w:rPr>
        <w:t xml:space="preserve">r of claims per school </w:t>
      </w:r>
      <w:r w:rsidR="00BF40DB">
        <w:rPr>
          <w:color w:val="000000" w:themeColor="text1"/>
          <w:sz w:val="24"/>
          <w:szCs w:val="24"/>
        </w:rPr>
        <w:t>was</w:t>
      </w:r>
      <w:r w:rsidR="00BF40DB" w:rsidRPr="00387994">
        <w:rPr>
          <w:color w:val="000000" w:themeColor="text1"/>
          <w:sz w:val="24"/>
          <w:szCs w:val="24"/>
        </w:rPr>
        <w:t xml:space="preserve"> </w:t>
      </w:r>
      <w:r w:rsidR="008444E7">
        <w:rPr>
          <w:color w:val="000000" w:themeColor="text1"/>
          <w:sz w:val="24"/>
          <w:szCs w:val="24"/>
        </w:rPr>
        <w:t>44</w:t>
      </w:r>
      <w:r w:rsidR="008444E7" w:rsidRPr="00A75583">
        <w:rPr>
          <w:color w:val="000000" w:themeColor="text1"/>
          <w:sz w:val="24"/>
          <w:szCs w:val="24"/>
        </w:rPr>
        <w:t xml:space="preserve"> </w:t>
      </w:r>
      <w:r w:rsidR="00A75583">
        <w:rPr>
          <w:color w:val="000000" w:themeColor="text1"/>
          <w:sz w:val="24"/>
          <w:szCs w:val="24"/>
        </w:rPr>
        <w:t xml:space="preserve">with standard deviation of </w:t>
      </w:r>
      <w:r w:rsidR="008444E7">
        <w:rPr>
          <w:color w:val="000000" w:themeColor="text1"/>
          <w:sz w:val="24"/>
          <w:szCs w:val="24"/>
        </w:rPr>
        <w:t>342</w:t>
      </w:r>
      <w:r w:rsidR="00D30BEC">
        <w:rPr>
          <w:color w:val="000000" w:themeColor="text1"/>
          <w:sz w:val="24"/>
          <w:szCs w:val="24"/>
        </w:rPr>
        <w:t xml:space="preserve"> and </w:t>
      </w:r>
      <w:r w:rsidR="008444E7">
        <w:rPr>
          <w:color w:val="000000" w:themeColor="text1"/>
          <w:sz w:val="24"/>
          <w:szCs w:val="24"/>
        </w:rPr>
        <w:t xml:space="preserve">median </w:t>
      </w:r>
      <w:r w:rsidR="00D30BEC">
        <w:rPr>
          <w:color w:val="000000" w:themeColor="text1"/>
          <w:sz w:val="24"/>
          <w:szCs w:val="24"/>
        </w:rPr>
        <w:t>of</w:t>
      </w:r>
      <w:r w:rsidR="008444E7">
        <w:rPr>
          <w:color w:val="000000" w:themeColor="text1"/>
          <w:sz w:val="24"/>
          <w:szCs w:val="24"/>
        </w:rPr>
        <w:t xml:space="preserve"> 2</w:t>
      </w:r>
      <w:r w:rsidR="00A75583">
        <w:rPr>
          <w:color w:val="000000" w:themeColor="text1"/>
          <w:sz w:val="24"/>
          <w:szCs w:val="24"/>
        </w:rPr>
        <w:t xml:space="preserve">.  </w:t>
      </w:r>
    </w:p>
    <w:p w14:paraId="37418059" w14:textId="3683213E" w:rsidR="00E03401" w:rsidRPr="00193C4F" w:rsidRDefault="00E03401" w:rsidP="00500E4E">
      <w:pPr>
        <w:pStyle w:val="Heading2"/>
        <w:spacing w:line="360" w:lineRule="auto"/>
        <w:rPr>
          <w:rFonts w:asciiTheme="minorHAnsi" w:hAnsiTheme="minorHAnsi"/>
          <w:b w:val="0"/>
          <w:color w:val="auto"/>
        </w:rPr>
      </w:pPr>
      <w:r w:rsidRPr="00193C4F">
        <w:rPr>
          <w:rFonts w:asciiTheme="minorHAnsi" w:hAnsiTheme="minorHAnsi"/>
          <w:b w:val="0"/>
          <w:i/>
          <w:color w:val="000000" w:themeColor="text1"/>
        </w:rPr>
        <w:lastRenderedPageBreak/>
        <w:t>3.2 Claim Status</w:t>
      </w:r>
    </w:p>
    <w:p w14:paraId="1933240F" w14:textId="1E7E32CB" w:rsidR="00A24F88" w:rsidRDefault="001A20BC" w:rsidP="00A24F88">
      <w:pPr>
        <w:spacing w:after="240" w:line="360" w:lineRule="auto"/>
        <w:ind w:firstLine="720"/>
        <w:contextualSpacing/>
        <w:rPr>
          <w:sz w:val="24"/>
          <w:szCs w:val="24"/>
        </w:rPr>
      </w:pPr>
      <w:r>
        <w:rPr>
          <w:sz w:val="24"/>
          <w:szCs w:val="24"/>
        </w:rPr>
        <w:t xml:space="preserve">The Department </w:t>
      </w:r>
      <w:r w:rsidR="00E03401">
        <w:rPr>
          <w:sz w:val="24"/>
          <w:szCs w:val="24"/>
        </w:rPr>
        <w:t xml:space="preserve">tracks the </w:t>
      </w:r>
      <w:r w:rsidR="005A06C7">
        <w:rPr>
          <w:sz w:val="24"/>
          <w:szCs w:val="24"/>
        </w:rPr>
        <w:t xml:space="preserve">current </w:t>
      </w:r>
      <w:r w:rsidR="00E03401">
        <w:rPr>
          <w:sz w:val="24"/>
          <w:szCs w:val="24"/>
        </w:rPr>
        <w:t xml:space="preserve">status of borrower defense claims.  </w:t>
      </w:r>
      <w:r w:rsidR="00524133">
        <w:rPr>
          <w:sz w:val="24"/>
          <w:szCs w:val="24"/>
        </w:rPr>
        <w:t>The status generally falls into one of four categories</w:t>
      </w:r>
      <w:r w:rsidR="00C83215">
        <w:rPr>
          <w:sz w:val="24"/>
          <w:szCs w:val="24"/>
        </w:rPr>
        <w:t xml:space="preserve">: </w:t>
      </w:r>
      <w:r w:rsidR="00524133">
        <w:rPr>
          <w:sz w:val="24"/>
          <w:szCs w:val="24"/>
        </w:rPr>
        <w:t>intake, adjudication, post-review, and completed</w:t>
      </w:r>
      <w:r w:rsidR="00B463F8">
        <w:rPr>
          <w:sz w:val="24"/>
          <w:szCs w:val="24"/>
        </w:rPr>
        <w:t xml:space="preserve">.  </w:t>
      </w:r>
      <w:r w:rsidR="00E03401">
        <w:rPr>
          <w:sz w:val="24"/>
          <w:szCs w:val="24"/>
        </w:rPr>
        <w:t xml:space="preserve">The breakdown of claims as of </w:t>
      </w:r>
      <w:r w:rsidR="0041210C">
        <w:rPr>
          <w:sz w:val="24"/>
          <w:szCs w:val="24"/>
        </w:rPr>
        <w:t>October 30, 2017,</w:t>
      </w:r>
      <w:r w:rsidR="00387994">
        <w:rPr>
          <w:sz w:val="24"/>
          <w:szCs w:val="24"/>
        </w:rPr>
        <w:t xml:space="preserve"> by status is shown in </w:t>
      </w:r>
      <w:r w:rsidR="007E7CD6">
        <w:rPr>
          <w:sz w:val="24"/>
          <w:szCs w:val="24"/>
        </w:rPr>
        <w:t>Table 1</w:t>
      </w:r>
      <w:r w:rsidR="00E03401" w:rsidRPr="00387994">
        <w:rPr>
          <w:sz w:val="24"/>
          <w:szCs w:val="24"/>
        </w:rPr>
        <w:t>.</w:t>
      </w:r>
      <w:r w:rsidR="00A24F88">
        <w:rPr>
          <w:sz w:val="24"/>
          <w:szCs w:val="24"/>
        </w:rPr>
        <w:t xml:space="preserve">  </w:t>
      </w:r>
    </w:p>
    <w:p w14:paraId="138AA655" w14:textId="20611C02" w:rsidR="00387994" w:rsidRDefault="00387994" w:rsidP="0064020F">
      <w:pPr>
        <w:keepNext/>
        <w:spacing w:after="0"/>
        <w:rPr>
          <w:b/>
          <w:color w:val="000000" w:themeColor="text1"/>
          <w:sz w:val="24"/>
          <w:szCs w:val="24"/>
        </w:rPr>
      </w:pPr>
      <w:bookmarkStart w:id="2" w:name="_Ref496101324"/>
      <w:bookmarkStart w:id="3" w:name="_Ref496101312"/>
      <w:r w:rsidRPr="00B463F8">
        <w:rPr>
          <w:b/>
          <w:color w:val="000000" w:themeColor="text1"/>
          <w:sz w:val="24"/>
          <w:szCs w:val="24"/>
        </w:rPr>
        <w:t>Table</w:t>
      </w:r>
      <w:r w:rsidR="007E7CD6">
        <w:rPr>
          <w:b/>
          <w:color w:val="000000" w:themeColor="text1"/>
          <w:sz w:val="24"/>
          <w:szCs w:val="24"/>
        </w:rPr>
        <w:t xml:space="preserve"> 1</w:t>
      </w:r>
      <w:bookmarkEnd w:id="2"/>
      <w:r w:rsidRPr="00B463F8">
        <w:rPr>
          <w:b/>
          <w:color w:val="000000" w:themeColor="text1"/>
          <w:sz w:val="24"/>
          <w:szCs w:val="24"/>
        </w:rPr>
        <w:t>: Status of Borrower Defense Claims</w:t>
      </w:r>
      <w:bookmarkEnd w:id="3"/>
    </w:p>
    <w:tbl>
      <w:tblPr>
        <w:tblStyle w:val="TableGrid"/>
        <w:tblW w:w="8354" w:type="dxa"/>
        <w:tblLook w:val="04A0" w:firstRow="1" w:lastRow="0" w:firstColumn="1" w:lastColumn="0" w:noHBand="0" w:noVBand="1"/>
        <w:tblCaption w:val="Status of Borrower Defense Claims"/>
        <w:tblDescription w:val="Table shows status of claims as of October 30, 2017"/>
      </w:tblPr>
      <w:tblGrid>
        <w:gridCol w:w="5406"/>
        <w:gridCol w:w="1034"/>
        <w:gridCol w:w="1914"/>
      </w:tblGrid>
      <w:tr w:rsidR="00F10C11" w:rsidRPr="002D5A1A" w14:paraId="00E928B7" w14:textId="77777777" w:rsidTr="00A24F88">
        <w:trPr>
          <w:trHeight w:val="70"/>
        </w:trPr>
        <w:tc>
          <w:tcPr>
            <w:tcW w:w="5429" w:type="dxa"/>
            <w:vAlign w:val="center"/>
          </w:tcPr>
          <w:p w14:paraId="40800977" w14:textId="5355EF8C" w:rsidR="00F10C11" w:rsidRPr="002D5A1A" w:rsidRDefault="00F10C11" w:rsidP="00193C4F">
            <w:pPr>
              <w:keepNext/>
              <w:rPr>
                <w:b/>
                <w:color w:val="000000" w:themeColor="text1"/>
                <w:sz w:val="24"/>
                <w:szCs w:val="24"/>
              </w:rPr>
            </w:pPr>
            <w:r w:rsidRPr="002D5A1A">
              <w:rPr>
                <w:rFonts w:ascii="Calibri" w:eastAsia="Times New Roman" w:hAnsi="Calibri" w:cs="Times New Roman"/>
                <w:b/>
                <w:bCs/>
                <w:color w:val="000000"/>
                <w:sz w:val="24"/>
                <w:szCs w:val="24"/>
              </w:rPr>
              <w:t>Status</w:t>
            </w:r>
          </w:p>
        </w:tc>
        <w:tc>
          <w:tcPr>
            <w:tcW w:w="1006" w:type="dxa"/>
          </w:tcPr>
          <w:p w14:paraId="0AF7F5A6" w14:textId="22D3A647" w:rsidR="00F10C11" w:rsidRPr="002D5A1A" w:rsidRDefault="00F10C11" w:rsidP="0064020F">
            <w:pPr>
              <w:keepNext/>
              <w:rPr>
                <w:b/>
                <w:color w:val="000000" w:themeColor="text1"/>
                <w:sz w:val="24"/>
                <w:szCs w:val="24"/>
              </w:rPr>
            </w:pPr>
            <w:r w:rsidRPr="002D5A1A">
              <w:rPr>
                <w:rFonts w:ascii="Calibri" w:eastAsia="Times New Roman" w:hAnsi="Calibri" w:cs="Times New Roman"/>
                <w:b/>
                <w:bCs/>
                <w:color w:val="000000"/>
                <w:sz w:val="24"/>
                <w:szCs w:val="24"/>
              </w:rPr>
              <w:t xml:space="preserve">Number </w:t>
            </w:r>
          </w:p>
        </w:tc>
        <w:tc>
          <w:tcPr>
            <w:tcW w:w="1919" w:type="dxa"/>
          </w:tcPr>
          <w:p w14:paraId="6597857E" w14:textId="2C9EB228" w:rsidR="00F10C11" w:rsidRPr="002D5A1A" w:rsidRDefault="00F10C11" w:rsidP="0064020F">
            <w:pPr>
              <w:keepNext/>
              <w:rPr>
                <w:b/>
                <w:color w:val="000000" w:themeColor="text1"/>
                <w:sz w:val="24"/>
                <w:szCs w:val="24"/>
              </w:rPr>
            </w:pPr>
            <w:r w:rsidRPr="002D5A1A">
              <w:rPr>
                <w:rFonts w:ascii="Calibri" w:eastAsia="Times New Roman" w:hAnsi="Calibri" w:cs="Times New Roman"/>
                <w:b/>
                <w:bCs/>
                <w:color w:val="000000"/>
                <w:sz w:val="24"/>
                <w:szCs w:val="24"/>
              </w:rPr>
              <w:t>Percent</w:t>
            </w:r>
          </w:p>
        </w:tc>
      </w:tr>
      <w:tr w:rsidR="00F10C11" w:rsidRPr="002D5A1A" w14:paraId="741F7D65" w14:textId="77777777" w:rsidTr="00A24F88">
        <w:trPr>
          <w:trHeight w:val="70"/>
        </w:trPr>
        <w:tc>
          <w:tcPr>
            <w:tcW w:w="5429" w:type="dxa"/>
            <w:vAlign w:val="center"/>
          </w:tcPr>
          <w:p w14:paraId="0BCBA437" w14:textId="07AA520D" w:rsidR="00F10C11" w:rsidRPr="002D5A1A" w:rsidRDefault="00F10C11" w:rsidP="00193C4F">
            <w:pPr>
              <w:rPr>
                <w:b/>
                <w:color w:val="000000" w:themeColor="text1"/>
                <w:sz w:val="24"/>
                <w:szCs w:val="24"/>
              </w:rPr>
            </w:pPr>
            <w:r w:rsidRPr="002D5A1A">
              <w:rPr>
                <w:rFonts w:ascii="Calibri" w:eastAsia="Times New Roman" w:hAnsi="Calibri" w:cs="Times New Roman"/>
                <w:color w:val="000000"/>
                <w:sz w:val="24"/>
                <w:szCs w:val="24"/>
              </w:rPr>
              <w:t>Intake</w:t>
            </w:r>
          </w:p>
        </w:tc>
        <w:tc>
          <w:tcPr>
            <w:tcW w:w="1006" w:type="dxa"/>
            <w:shd w:val="clear" w:color="auto" w:fill="auto"/>
            <w:vAlign w:val="center"/>
          </w:tcPr>
          <w:p w14:paraId="1E677A25" w14:textId="4DF0BC12" w:rsidR="00F10C11" w:rsidRPr="002D5A1A" w:rsidRDefault="00CC003E" w:rsidP="00193C4F">
            <w:pPr>
              <w:jc w:val="right"/>
              <w:rPr>
                <w:color w:val="000000" w:themeColor="text1"/>
                <w:sz w:val="24"/>
                <w:szCs w:val="24"/>
              </w:rPr>
            </w:pPr>
            <w:r w:rsidRPr="002D5A1A">
              <w:rPr>
                <w:color w:val="000000" w:themeColor="text1"/>
                <w:sz w:val="24"/>
                <w:szCs w:val="24"/>
              </w:rPr>
              <w:t>23,820</w:t>
            </w:r>
          </w:p>
        </w:tc>
        <w:tc>
          <w:tcPr>
            <w:tcW w:w="1919" w:type="dxa"/>
            <w:shd w:val="clear" w:color="auto" w:fill="auto"/>
            <w:vAlign w:val="center"/>
          </w:tcPr>
          <w:p w14:paraId="02C5AA36" w14:textId="75D8204E" w:rsidR="00F10C11" w:rsidRPr="002D5A1A" w:rsidRDefault="00CC003E" w:rsidP="00193C4F">
            <w:pPr>
              <w:jc w:val="right"/>
              <w:rPr>
                <w:color w:val="000000" w:themeColor="text1"/>
                <w:sz w:val="24"/>
                <w:szCs w:val="24"/>
              </w:rPr>
            </w:pPr>
            <w:r w:rsidRPr="002D5A1A">
              <w:rPr>
                <w:color w:val="000000" w:themeColor="text1"/>
                <w:sz w:val="24"/>
                <w:szCs w:val="24"/>
              </w:rPr>
              <w:t>18</w:t>
            </w:r>
          </w:p>
        </w:tc>
      </w:tr>
      <w:tr w:rsidR="00F10C11" w:rsidRPr="002D5A1A" w14:paraId="17D1F8BD" w14:textId="77777777" w:rsidTr="00A24F88">
        <w:trPr>
          <w:trHeight w:val="70"/>
        </w:trPr>
        <w:tc>
          <w:tcPr>
            <w:tcW w:w="5429" w:type="dxa"/>
            <w:vAlign w:val="center"/>
          </w:tcPr>
          <w:p w14:paraId="771A6E7C" w14:textId="1B3027E5" w:rsidR="00F10C11" w:rsidRPr="002D5A1A" w:rsidRDefault="00F10C11" w:rsidP="00193C4F">
            <w:pPr>
              <w:rPr>
                <w:b/>
                <w:color w:val="000000" w:themeColor="text1"/>
                <w:sz w:val="24"/>
                <w:szCs w:val="24"/>
              </w:rPr>
            </w:pPr>
            <w:r w:rsidRPr="002D5A1A">
              <w:rPr>
                <w:rFonts w:ascii="Calibri" w:eastAsia="Times New Roman" w:hAnsi="Calibri" w:cs="Times New Roman"/>
                <w:color w:val="000000"/>
                <w:sz w:val="24"/>
                <w:szCs w:val="24"/>
              </w:rPr>
              <w:t>Adjudication</w:t>
            </w:r>
          </w:p>
        </w:tc>
        <w:tc>
          <w:tcPr>
            <w:tcW w:w="1006" w:type="dxa"/>
            <w:shd w:val="clear" w:color="auto" w:fill="auto"/>
            <w:vAlign w:val="center"/>
          </w:tcPr>
          <w:p w14:paraId="4C0D7BAA" w14:textId="14105D8E" w:rsidR="00F10C11" w:rsidRPr="002D5A1A" w:rsidRDefault="00CC003E" w:rsidP="00193C4F">
            <w:pPr>
              <w:jc w:val="right"/>
              <w:rPr>
                <w:color w:val="000000" w:themeColor="text1"/>
                <w:sz w:val="24"/>
                <w:szCs w:val="24"/>
              </w:rPr>
            </w:pPr>
            <w:r w:rsidRPr="002D5A1A">
              <w:rPr>
                <w:color w:val="000000" w:themeColor="text1"/>
                <w:sz w:val="24"/>
                <w:szCs w:val="24"/>
              </w:rPr>
              <w:t>78,910</w:t>
            </w:r>
          </w:p>
        </w:tc>
        <w:tc>
          <w:tcPr>
            <w:tcW w:w="1919" w:type="dxa"/>
            <w:shd w:val="clear" w:color="auto" w:fill="auto"/>
            <w:vAlign w:val="center"/>
          </w:tcPr>
          <w:p w14:paraId="3C4E02E6" w14:textId="1B9EDE54" w:rsidR="00F10C11" w:rsidRPr="002D5A1A" w:rsidRDefault="00CC003E" w:rsidP="00193C4F">
            <w:pPr>
              <w:jc w:val="right"/>
              <w:rPr>
                <w:color w:val="000000" w:themeColor="text1"/>
                <w:sz w:val="24"/>
                <w:szCs w:val="24"/>
              </w:rPr>
            </w:pPr>
            <w:r w:rsidRPr="002D5A1A">
              <w:rPr>
                <w:color w:val="000000" w:themeColor="text1"/>
                <w:sz w:val="24"/>
                <w:szCs w:val="24"/>
              </w:rPr>
              <w:t>58</w:t>
            </w:r>
          </w:p>
        </w:tc>
      </w:tr>
      <w:tr w:rsidR="00F10C11" w:rsidRPr="002D5A1A" w14:paraId="3A13C447" w14:textId="77777777" w:rsidTr="00A24F88">
        <w:trPr>
          <w:trHeight w:val="70"/>
        </w:trPr>
        <w:tc>
          <w:tcPr>
            <w:tcW w:w="5429" w:type="dxa"/>
            <w:vAlign w:val="center"/>
          </w:tcPr>
          <w:p w14:paraId="6D403390" w14:textId="69268518" w:rsidR="00F10C11" w:rsidRPr="002D5A1A" w:rsidRDefault="00F10C11" w:rsidP="00193C4F">
            <w:pPr>
              <w:rPr>
                <w:b/>
                <w:color w:val="000000" w:themeColor="text1"/>
                <w:sz w:val="24"/>
                <w:szCs w:val="24"/>
              </w:rPr>
            </w:pPr>
            <w:r w:rsidRPr="002D5A1A">
              <w:rPr>
                <w:rFonts w:ascii="Calibri" w:eastAsia="Times New Roman" w:hAnsi="Calibri" w:cs="Times New Roman"/>
                <w:color w:val="000000"/>
                <w:sz w:val="24"/>
                <w:szCs w:val="24"/>
              </w:rPr>
              <w:t>Post-Review</w:t>
            </w:r>
          </w:p>
        </w:tc>
        <w:tc>
          <w:tcPr>
            <w:tcW w:w="1006" w:type="dxa"/>
            <w:shd w:val="clear" w:color="auto" w:fill="auto"/>
            <w:vAlign w:val="center"/>
          </w:tcPr>
          <w:p w14:paraId="53071166" w14:textId="52E1C110" w:rsidR="00F10C11" w:rsidRPr="002D5A1A" w:rsidRDefault="00CC003E" w:rsidP="00193C4F">
            <w:pPr>
              <w:jc w:val="right"/>
              <w:rPr>
                <w:color w:val="000000" w:themeColor="text1"/>
                <w:sz w:val="24"/>
                <w:szCs w:val="24"/>
              </w:rPr>
            </w:pPr>
            <w:r w:rsidRPr="002D5A1A">
              <w:rPr>
                <w:color w:val="000000" w:themeColor="text1"/>
                <w:sz w:val="24"/>
                <w:szCs w:val="24"/>
              </w:rPr>
              <w:t>2,550</w:t>
            </w:r>
          </w:p>
        </w:tc>
        <w:tc>
          <w:tcPr>
            <w:tcW w:w="1919" w:type="dxa"/>
            <w:shd w:val="clear" w:color="auto" w:fill="auto"/>
            <w:vAlign w:val="center"/>
          </w:tcPr>
          <w:p w14:paraId="51335A15" w14:textId="38C3EDBF" w:rsidR="00F10C11" w:rsidRPr="002D5A1A" w:rsidRDefault="00CC003E" w:rsidP="00193C4F">
            <w:pPr>
              <w:jc w:val="right"/>
              <w:rPr>
                <w:color w:val="000000" w:themeColor="text1"/>
                <w:sz w:val="24"/>
                <w:szCs w:val="24"/>
              </w:rPr>
            </w:pPr>
            <w:r w:rsidRPr="002D5A1A">
              <w:rPr>
                <w:color w:val="000000" w:themeColor="text1"/>
                <w:sz w:val="24"/>
                <w:szCs w:val="24"/>
              </w:rPr>
              <w:t>2</w:t>
            </w:r>
          </w:p>
        </w:tc>
      </w:tr>
      <w:tr w:rsidR="00F10C11" w:rsidRPr="002D5A1A" w14:paraId="2182A349" w14:textId="77777777" w:rsidTr="00BD4B6C">
        <w:tc>
          <w:tcPr>
            <w:tcW w:w="5429" w:type="dxa"/>
            <w:vAlign w:val="center"/>
          </w:tcPr>
          <w:p w14:paraId="235D99CF" w14:textId="2028A091" w:rsidR="00F10C11" w:rsidRPr="002D5A1A" w:rsidRDefault="00F10C11" w:rsidP="00193C4F">
            <w:pPr>
              <w:rPr>
                <w:b/>
                <w:color w:val="000000" w:themeColor="text1"/>
                <w:sz w:val="24"/>
                <w:szCs w:val="24"/>
              </w:rPr>
            </w:pPr>
            <w:r w:rsidRPr="002D5A1A">
              <w:rPr>
                <w:rFonts w:ascii="Calibri" w:eastAsia="Times New Roman" w:hAnsi="Calibri" w:cs="Times New Roman"/>
                <w:color w:val="000000"/>
                <w:sz w:val="24"/>
                <w:szCs w:val="24"/>
              </w:rPr>
              <w:t>Completed</w:t>
            </w:r>
          </w:p>
        </w:tc>
        <w:tc>
          <w:tcPr>
            <w:tcW w:w="1006" w:type="dxa"/>
            <w:shd w:val="clear" w:color="auto" w:fill="auto"/>
            <w:vAlign w:val="center"/>
          </w:tcPr>
          <w:p w14:paraId="58E24EA6" w14:textId="39B870A8" w:rsidR="00F10C11" w:rsidRPr="002D5A1A" w:rsidRDefault="00CC003E" w:rsidP="00193C4F">
            <w:pPr>
              <w:jc w:val="right"/>
              <w:rPr>
                <w:color w:val="000000" w:themeColor="text1"/>
                <w:sz w:val="24"/>
                <w:szCs w:val="24"/>
              </w:rPr>
            </w:pPr>
            <w:r w:rsidRPr="002D5A1A">
              <w:rPr>
                <w:color w:val="000000" w:themeColor="text1"/>
                <w:sz w:val="24"/>
                <w:szCs w:val="24"/>
              </w:rPr>
              <w:t>29,780</w:t>
            </w:r>
          </w:p>
        </w:tc>
        <w:tc>
          <w:tcPr>
            <w:tcW w:w="1919" w:type="dxa"/>
            <w:shd w:val="clear" w:color="auto" w:fill="auto"/>
            <w:vAlign w:val="center"/>
          </w:tcPr>
          <w:p w14:paraId="7CF015D6" w14:textId="147B536B" w:rsidR="00F10C11" w:rsidRPr="002D5A1A" w:rsidRDefault="00CC003E" w:rsidP="00193C4F">
            <w:pPr>
              <w:jc w:val="right"/>
              <w:rPr>
                <w:color w:val="000000" w:themeColor="text1"/>
                <w:sz w:val="24"/>
                <w:szCs w:val="24"/>
              </w:rPr>
            </w:pPr>
            <w:r w:rsidRPr="002D5A1A">
              <w:rPr>
                <w:color w:val="000000" w:themeColor="text1"/>
                <w:sz w:val="24"/>
                <w:szCs w:val="24"/>
              </w:rPr>
              <w:t>22</w:t>
            </w:r>
          </w:p>
        </w:tc>
      </w:tr>
      <w:tr w:rsidR="00F10C11" w:rsidRPr="002D5A1A" w14:paraId="2FF7F026" w14:textId="77777777" w:rsidTr="00BD4B6C">
        <w:tc>
          <w:tcPr>
            <w:tcW w:w="5429" w:type="dxa"/>
            <w:vAlign w:val="center"/>
          </w:tcPr>
          <w:p w14:paraId="2BBEFA9E" w14:textId="0CB54349" w:rsidR="00F10C11" w:rsidRPr="002D5A1A" w:rsidRDefault="00F10C11" w:rsidP="00193C4F">
            <w:pPr>
              <w:rPr>
                <w:b/>
                <w:color w:val="000000" w:themeColor="text1"/>
                <w:sz w:val="24"/>
                <w:szCs w:val="24"/>
              </w:rPr>
            </w:pPr>
            <w:r w:rsidRPr="002D5A1A">
              <w:rPr>
                <w:rFonts w:ascii="Calibri" w:eastAsia="Times New Roman" w:hAnsi="Calibri" w:cs="Times New Roman"/>
                <w:b/>
                <w:color w:val="000000"/>
                <w:sz w:val="24"/>
                <w:szCs w:val="24"/>
              </w:rPr>
              <w:t>TOTAL</w:t>
            </w:r>
          </w:p>
        </w:tc>
        <w:tc>
          <w:tcPr>
            <w:tcW w:w="1006" w:type="dxa"/>
            <w:shd w:val="clear" w:color="auto" w:fill="auto"/>
            <w:vAlign w:val="center"/>
          </w:tcPr>
          <w:p w14:paraId="58A143BB" w14:textId="21662901" w:rsidR="00F10C11" w:rsidRPr="002D5A1A" w:rsidRDefault="00CC003E" w:rsidP="00193C4F">
            <w:pPr>
              <w:jc w:val="right"/>
              <w:rPr>
                <w:color w:val="000000" w:themeColor="text1"/>
                <w:sz w:val="24"/>
                <w:szCs w:val="24"/>
              </w:rPr>
            </w:pPr>
            <w:r w:rsidRPr="002D5A1A">
              <w:rPr>
                <w:color w:val="000000" w:themeColor="text1"/>
                <w:sz w:val="24"/>
                <w:szCs w:val="24"/>
              </w:rPr>
              <w:t>135,050</w:t>
            </w:r>
          </w:p>
        </w:tc>
        <w:tc>
          <w:tcPr>
            <w:tcW w:w="1919" w:type="dxa"/>
            <w:shd w:val="clear" w:color="auto" w:fill="auto"/>
            <w:vAlign w:val="center"/>
          </w:tcPr>
          <w:p w14:paraId="3DB04FF3" w14:textId="1DE6B60A" w:rsidR="00F10C11" w:rsidRPr="002D5A1A" w:rsidRDefault="00CC003E" w:rsidP="00193C4F">
            <w:pPr>
              <w:jc w:val="right"/>
              <w:rPr>
                <w:color w:val="000000" w:themeColor="text1"/>
                <w:sz w:val="24"/>
                <w:szCs w:val="24"/>
              </w:rPr>
            </w:pPr>
            <w:r w:rsidRPr="002D5A1A">
              <w:rPr>
                <w:color w:val="000000" w:themeColor="text1"/>
                <w:sz w:val="24"/>
                <w:szCs w:val="24"/>
              </w:rPr>
              <w:t>100</w:t>
            </w:r>
          </w:p>
        </w:tc>
      </w:tr>
      <w:tr w:rsidR="00BD4B6C" w14:paraId="260325F3" w14:textId="77777777" w:rsidTr="006424F4">
        <w:tc>
          <w:tcPr>
            <w:tcW w:w="8354" w:type="dxa"/>
            <w:gridSpan w:val="3"/>
            <w:vAlign w:val="center"/>
          </w:tcPr>
          <w:p w14:paraId="18BD0205" w14:textId="6A6F59DB" w:rsidR="00BD4B6C" w:rsidRPr="00BD4B6C" w:rsidRDefault="007E7CD6" w:rsidP="00BD4B6C">
            <w:pPr>
              <w:rPr>
                <w:rFonts w:ascii="Calibri" w:eastAsia="Times New Roman" w:hAnsi="Calibri" w:cs="Times New Roman"/>
                <w:b/>
                <w:color w:val="000000"/>
              </w:rPr>
            </w:pPr>
            <w:r>
              <w:rPr>
                <w:sz w:val="18"/>
                <w:szCs w:val="18"/>
              </w:rPr>
              <w:t>C</w:t>
            </w:r>
            <w:r w:rsidR="005A7155" w:rsidRPr="00447DB3">
              <w:rPr>
                <w:sz w:val="18"/>
                <w:szCs w:val="18"/>
              </w:rPr>
              <w:t>ell counts greater than 10 were rounded to the tens place</w:t>
            </w:r>
            <w:r w:rsidR="005A7155">
              <w:rPr>
                <w:sz w:val="18"/>
                <w:szCs w:val="18"/>
              </w:rPr>
              <w:t>.</w:t>
            </w:r>
          </w:p>
        </w:tc>
      </w:tr>
    </w:tbl>
    <w:p w14:paraId="5BD4EB24" w14:textId="77777777" w:rsidR="00A24F88" w:rsidRDefault="00A24F88" w:rsidP="00A24F88">
      <w:pPr>
        <w:spacing w:after="0" w:line="360" w:lineRule="auto"/>
        <w:ind w:firstLine="720"/>
        <w:rPr>
          <w:sz w:val="24"/>
          <w:szCs w:val="24"/>
        </w:rPr>
      </w:pPr>
    </w:p>
    <w:p w14:paraId="346FE225" w14:textId="7D74A46B" w:rsidR="00A50801" w:rsidRPr="00820DEE" w:rsidRDefault="00A50801" w:rsidP="00AF1EA3">
      <w:pPr>
        <w:pStyle w:val="Heading2"/>
        <w:spacing w:before="0" w:line="360" w:lineRule="auto"/>
        <w:contextualSpacing/>
        <w:rPr>
          <w:rFonts w:asciiTheme="minorHAnsi" w:hAnsiTheme="minorHAnsi"/>
          <w:b w:val="0"/>
          <w:i/>
          <w:color w:val="000000" w:themeColor="text1"/>
        </w:rPr>
      </w:pPr>
      <w:r w:rsidRPr="00820DEE">
        <w:rPr>
          <w:rFonts w:asciiTheme="minorHAnsi" w:hAnsiTheme="minorHAnsi"/>
          <w:b w:val="0"/>
          <w:i/>
          <w:color w:val="000000" w:themeColor="text1"/>
        </w:rPr>
        <w:t>3.3 Changes over Time</w:t>
      </w:r>
    </w:p>
    <w:p w14:paraId="0A64D689" w14:textId="4CD704AB" w:rsidR="00AF1EA3" w:rsidRDefault="009826F5" w:rsidP="003147ED">
      <w:pPr>
        <w:spacing w:after="0" w:line="360" w:lineRule="auto"/>
        <w:ind w:firstLine="720"/>
        <w:contextualSpacing/>
        <w:rPr>
          <w:sz w:val="24"/>
          <w:szCs w:val="24"/>
        </w:rPr>
      </w:pPr>
      <w:r>
        <w:rPr>
          <w:sz w:val="24"/>
          <w:szCs w:val="24"/>
        </w:rPr>
        <w:t xml:space="preserve">Since 2015, the Department </w:t>
      </w:r>
      <w:r w:rsidR="006D3342">
        <w:rPr>
          <w:sz w:val="24"/>
          <w:szCs w:val="24"/>
        </w:rPr>
        <w:t>had</w:t>
      </w:r>
      <w:r>
        <w:rPr>
          <w:sz w:val="24"/>
          <w:szCs w:val="24"/>
        </w:rPr>
        <w:t xml:space="preserve"> received much larger claims volume than it previously experienced.  For visualization purposes, </w:t>
      </w:r>
      <w:r w:rsidR="00D91A48">
        <w:rPr>
          <w:sz w:val="24"/>
          <w:szCs w:val="24"/>
        </w:rPr>
        <w:t xml:space="preserve">the </w:t>
      </w:r>
      <w:r w:rsidR="00B06123">
        <w:rPr>
          <w:sz w:val="24"/>
          <w:szCs w:val="24"/>
        </w:rPr>
        <w:t xml:space="preserve">small number of </w:t>
      </w:r>
      <w:r w:rsidR="00D91A48">
        <w:rPr>
          <w:sz w:val="24"/>
          <w:szCs w:val="24"/>
        </w:rPr>
        <w:t xml:space="preserve">cases received prior to 2015 </w:t>
      </w:r>
      <w:r w:rsidR="00B06123">
        <w:rPr>
          <w:sz w:val="24"/>
          <w:szCs w:val="24"/>
        </w:rPr>
        <w:t>was</w:t>
      </w:r>
      <w:r>
        <w:rPr>
          <w:sz w:val="24"/>
          <w:szCs w:val="24"/>
        </w:rPr>
        <w:t xml:space="preserve"> excluded from</w:t>
      </w:r>
      <w:r w:rsidR="008574E7">
        <w:rPr>
          <w:sz w:val="24"/>
          <w:szCs w:val="24"/>
        </w:rPr>
        <w:t xml:space="preserve"> Figure 2.  </w:t>
      </w:r>
      <w:r>
        <w:rPr>
          <w:sz w:val="24"/>
          <w:szCs w:val="24"/>
        </w:rPr>
        <w:t xml:space="preserve">For claims submitted after January 1, 2015, the mean number of claims per </w:t>
      </w:r>
      <w:r w:rsidR="007E7CD6">
        <w:rPr>
          <w:sz w:val="24"/>
          <w:szCs w:val="24"/>
        </w:rPr>
        <w:t xml:space="preserve">month </w:t>
      </w:r>
      <w:r w:rsidR="006D3342">
        <w:rPr>
          <w:sz w:val="24"/>
          <w:szCs w:val="24"/>
        </w:rPr>
        <w:t>was</w:t>
      </w:r>
      <w:r>
        <w:rPr>
          <w:sz w:val="24"/>
          <w:szCs w:val="24"/>
        </w:rPr>
        <w:t xml:space="preserve"> 4,356 with a standard deviation of 4,460.</w:t>
      </w:r>
      <w:r w:rsidR="0013379D" w:rsidRPr="0013379D">
        <w:rPr>
          <w:sz w:val="24"/>
          <w:szCs w:val="24"/>
        </w:rPr>
        <w:t xml:space="preserve"> </w:t>
      </w:r>
      <w:r w:rsidR="0013379D">
        <w:rPr>
          <w:sz w:val="24"/>
          <w:szCs w:val="24"/>
        </w:rPr>
        <w:t xml:space="preserve">  Increases correlate temporally with school closures, lawsuits, </w:t>
      </w:r>
      <w:proofErr w:type="gramStart"/>
      <w:r w:rsidR="003147ED">
        <w:rPr>
          <w:sz w:val="24"/>
          <w:szCs w:val="24"/>
        </w:rPr>
        <w:t>other</w:t>
      </w:r>
      <w:proofErr w:type="gramEnd"/>
      <w:r w:rsidR="003147ED">
        <w:rPr>
          <w:sz w:val="24"/>
          <w:szCs w:val="24"/>
        </w:rPr>
        <w:t xml:space="preserve"> </w:t>
      </w:r>
      <w:r w:rsidR="0013379D">
        <w:rPr>
          <w:sz w:val="24"/>
          <w:szCs w:val="24"/>
        </w:rPr>
        <w:t xml:space="preserve">adverse actions against schools, </w:t>
      </w:r>
      <w:r w:rsidR="003147ED">
        <w:rPr>
          <w:sz w:val="24"/>
          <w:szCs w:val="24"/>
        </w:rPr>
        <w:t xml:space="preserve">Department outreach, </w:t>
      </w:r>
      <w:r w:rsidR="0013379D">
        <w:rPr>
          <w:sz w:val="24"/>
          <w:szCs w:val="24"/>
        </w:rPr>
        <w:t xml:space="preserve">and operational changes to claim submission.  </w:t>
      </w:r>
    </w:p>
    <w:p w14:paraId="7ADF72DC" w14:textId="4198292C" w:rsidR="00E27D38" w:rsidRDefault="00E27D38" w:rsidP="00E27D38">
      <w:pPr>
        <w:pStyle w:val="Caption"/>
        <w:keepNext/>
        <w:spacing w:after="0"/>
        <w:contextualSpacing/>
        <w:rPr>
          <w:color w:val="000000" w:themeColor="text1"/>
          <w:sz w:val="24"/>
          <w:szCs w:val="24"/>
        </w:rPr>
      </w:pPr>
      <w:bookmarkStart w:id="4" w:name="_Ref497729743"/>
      <w:r w:rsidRPr="00E633DA">
        <w:rPr>
          <w:color w:val="000000" w:themeColor="text1"/>
          <w:sz w:val="24"/>
          <w:szCs w:val="24"/>
        </w:rPr>
        <w:t>Figure</w:t>
      </w:r>
      <w:r w:rsidR="007E7CD6">
        <w:rPr>
          <w:color w:val="000000" w:themeColor="text1"/>
          <w:sz w:val="24"/>
          <w:szCs w:val="24"/>
        </w:rPr>
        <w:t xml:space="preserve"> 2</w:t>
      </w:r>
      <w:bookmarkEnd w:id="4"/>
      <w:r w:rsidRPr="00E633DA">
        <w:rPr>
          <w:color w:val="000000" w:themeColor="text1"/>
          <w:sz w:val="24"/>
          <w:szCs w:val="24"/>
        </w:rPr>
        <w:t>: Number of Borrower Defense Claims by date received</w:t>
      </w:r>
    </w:p>
    <w:p w14:paraId="0325D52F" w14:textId="619913DF" w:rsidR="00E27D38" w:rsidRDefault="00E246C7" w:rsidP="00500E4E">
      <w:pPr>
        <w:spacing w:after="0" w:line="240" w:lineRule="auto"/>
        <w:contextualSpacing/>
        <w:jc w:val="both"/>
        <w:rPr>
          <w:sz w:val="24"/>
          <w:szCs w:val="24"/>
        </w:rPr>
      </w:pPr>
      <w:r>
        <w:rPr>
          <w:noProof/>
          <w:sz w:val="24"/>
          <w:szCs w:val="24"/>
        </w:rPr>
        <w:drawing>
          <wp:inline distT="0" distB="0" distL="0" distR="0" wp14:anchorId="75449E93" wp14:editId="10F87D02">
            <wp:extent cx="5139931" cy="3062177"/>
            <wp:effectExtent l="19050" t="19050" r="22860" b="24130"/>
            <wp:docPr id="4" name="Picture 4" descr="Graph shart depicting the number of borrower defense claims" title="Number of Borrower Defense Claims by date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rah.Hay\Desktop\BD_Analysis_N1_v6_Figure2.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5164184" cy="3076626"/>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p>
    <w:p w14:paraId="3228E93A" w14:textId="6735AF60" w:rsidR="002F793A" w:rsidRDefault="00D82BA3" w:rsidP="006D7718">
      <w:pPr>
        <w:spacing w:after="0" w:line="360" w:lineRule="auto"/>
        <w:ind w:firstLine="720"/>
        <w:contextualSpacing/>
        <w:rPr>
          <w:sz w:val="24"/>
          <w:szCs w:val="24"/>
        </w:rPr>
      </w:pPr>
      <w:r>
        <w:rPr>
          <w:sz w:val="24"/>
          <w:szCs w:val="24"/>
        </w:rPr>
        <w:lastRenderedPageBreak/>
        <w:t xml:space="preserve">The breakdown of claims received by year and </w:t>
      </w:r>
      <w:r w:rsidR="007435C4">
        <w:rPr>
          <w:sz w:val="24"/>
          <w:szCs w:val="24"/>
        </w:rPr>
        <w:t xml:space="preserve">status </w:t>
      </w:r>
      <w:r>
        <w:rPr>
          <w:sz w:val="24"/>
          <w:szCs w:val="24"/>
        </w:rPr>
        <w:t xml:space="preserve">is shown in </w:t>
      </w:r>
      <w:r w:rsidR="008574E7">
        <w:rPr>
          <w:sz w:val="24"/>
          <w:szCs w:val="24"/>
        </w:rPr>
        <w:t xml:space="preserve">Table 2.  </w:t>
      </w:r>
      <w:r w:rsidR="003531AA">
        <w:rPr>
          <w:sz w:val="24"/>
          <w:szCs w:val="24"/>
        </w:rPr>
        <w:t xml:space="preserve">Most of the </w:t>
      </w:r>
      <w:r w:rsidR="006D3342">
        <w:rPr>
          <w:sz w:val="24"/>
          <w:szCs w:val="24"/>
        </w:rPr>
        <w:t xml:space="preserve">completed </w:t>
      </w:r>
      <w:r w:rsidR="003531AA">
        <w:rPr>
          <w:sz w:val="24"/>
          <w:szCs w:val="24"/>
        </w:rPr>
        <w:t>claims were received by the Department in 2016.</w:t>
      </w:r>
      <w:r w:rsidR="00CA381C">
        <w:rPr>
          <w:sz w:val="24"/>
          <w:szCs w:val="24"/>
        </w:rPr>
        <w:t xml:space="preserve">  </w:t>
      </w:r>
    </w:p>
    <w:p w14:paraId="7FA5F362" w14:textId="341AC743" w:rsidR="002F793A" w:rsidRPr="00D82BA3" w:rsidRDefault="002F793A" w:rsidP="002F793A">
      <w:pPr>
        <w:pStyle w:val="Caption"/>
        <w:keepNext/>
        <w:spacing w:after="0"/>
        <w:rPr>
          <w:color w:val="000000" w:themeColor="text1"/>
          <w:sz w:val="24"/>
          <w:szCs w:val="24"/>
        </w:rPr>
      </w:pPr>
      <w:bookmarkStart w:id="5" w:name="_Ref498611713"/>
      <w:r w:rsidRPr="00D82BA3">
        <w:rPr>
          <w:color w:val="000000" w:themeColor="text1"/>
          <w:sz w:val="24"/>
          <w:szCs w:val="24"/>
        </w:rPr>
        <w:t>Table</w:t>
      </w:r>
      <w:r w:rsidR="007E7CD6">
        <w:rPr>
          <w:color w:val="000000" w:themeColor="text1"/>
          <w:sz w:val="24"/>
          <w:szCs w:val="24"/>
        </w:rPr>
        <w:t xml:space="preserve"> 2</w:t>
      </w:r>
      <w:bookmarkEnd w:id="5"/>
      <w:r w:rsidRPr="00D82BA3">
        <w:rPr>
          <w:color w:val="000000" w:themeColor="text1"/>
          <w:sz w:val="24"/>
          <w:szCs w:val="24"/>
        </w:rPr>
        <w:t>: Number of BD claims by current status category and year received</w:t>
      </w:r>
    </w:p>
    <w:tbl>
      <w:tblPr>
        <w:tblW w:w="87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244"/>
        <w:gridCol w:w="1814"/>
        <w:gridCol w:w="1764"/>
        <w:gridCol w:w="1434"/>
        <w:gridCol w:w="1380"/>
      </w:tblGrid>
      <w:tr w:rsidR="002F793A" w:rsidRPr="002D5A1A" w14:paraId="4F56C90D" w14:textId="77777777" w:rsidTr="0017345C">
        <w:trPr>
          <w:trHeight w:val="300"/>
        </w:trPr>
        <w:tc>
          <w:tcPr>
            <w:tcW w:w="1111" w:type="dxa"/>
            <w:shd w:val="clear" w:color="auto" w:fill="auto"/>
            <w:noWrap/>
            <w:vAlign w:val="center"/>
            <w:hideMark/>
          </w:tcPr>
          <w:p w14:paraId="1C76F89B" w14:textId="77777777" w:rsidR="002F793A" w:rsidRPr="002D5A1A" w:rsidRDefault="002F793A" w:rsidP="0017345C">
            <w:pPr>
              <w:spacing w:after="0" w:line="240" w:lineRule="auto"/>
              <w:contextualSpacing/>
              <w:rPr>
                <w:rFonts w:eastAsia="Times New Roman" w:cs="Times New Roman"/>
                <w:b/>
                <w:bCs/>
                <w:color w:val="000000"/>
                <w:sz w:val="24"/>
                <w:szCs w:val="24"/>
              </w:rPr>
            </w:pPr>
            <w:r w:rsidRPr="002D5A1A">
              <w:rPr>
                <w:rFonts w:eastAsia="Times New Roman" w:cs="Times New Roman"/>
                <w:b/>
                <w:bCs/>
                <w:color w:val="000000"/>
                <w:sz w:val="24"/>
                <w:szCs w:val="24"/>
              </w:rPr>
              <w:t>Year</w:t>
            </w:r>
          </w:p>
        </w:tc>
        <w:tc>
          <w:tcPr>
            <w:tcW w:w="1244" w:type="dxa"/>
            <w:shd w:val="clear" w:color="auto" w:fill="auto"/>
            <w:noWrap/>
            <w:vAlign w:val="center"/>
            <w:hideMark/>
          </w:tcPr>
          <w:p w14:paraId="1B2C0B7B" w14:textId="77777777" w:rsidR="002F793A" w:rsidRPr="002D5A1A" w:rsidRDefault="002F793A" w:rsidP="0017345C">
            <w:pPr>
              <w:spacing w:after="0" w:line="240" w:lineRule="auto"/>
              <w:contextualSpacing/>
              <w:rPr>
                <w:rFonts w:eastAsia="Times New Roman" w:cs="Times New Roman"/>
                <w:b/>
                <w:bCs/>
                <w:color w:val="000000"/>
                <w:sz w:val="24"/>
                <w:szCs w:val="24"/>
              </w:rPr>
            </w:pPr>
            <w:r w:rsidRPr="002D5A1A">
              <w:rPr>
                <w:rFonts w:eastAsia="Times New Roman" w:cs="Times New Roman"/>
                <w:b/>
                <w:bCs/>
                <w:color w:val="000000"/>
                <w:sz w:val="24"/>
                <w:szCs w:val="24"/>
              </w:rPr>
              <w:t>Intake</w:t>
            </w:r>
          </w:p>
        </w:tc>
        <w:tc>
          <w:tcPr>
            <w:tcW w:w="1814" w:type="dxa"/>
            <w:shd w:val="clear" w:color="auto" w:fill="auto"/>
            <w:noWrap/>
            <w:vAlign w:val="center"/>
            <w:hideMark/>
          </w:tcPr>
          <w:p w14:paraId="03C137DE" w14:textId="77777777" w:rsidR="002F793A" w:rsidRPr="002D5A1A" w:rsidRDefault="002F793A" w:rsidP="0017345C">
            <w:pPr>
              <w:spacing w:after="0" w:line="240" w:lineRule="auto"/>
              <w:contextualSpacing/>
              <w:rPr>
                <w:rFonts w:eastAsia="Times New Roman" w:cs="Times New Roman"/>
                <w:b/>
                <w:bCs/>
                <w:color w:val="000000"/>
                <w:sz w:val="24"/>
                <w:szCs w:val="24"/>
              </w:rPr>
            </w:pPr>
            <w:r w:rsidRPr="002D5A1A">
              <w:rPr>
                <w:rFonts w:eastAsia="Times New Roman" w:cs="Times New Roman"/>
                <w:b/>
                <w:bCs/>
                <w:color w:val="000000"/>
                <w:sz w:val="24"/>
                <w:szCs w:val="24"/>
              </w:rPr>
              <w:t>Adjudication</w:t>
            </w:r>
          </w:p>
        </w:tc>
        <w:tc>
          <w:tcPr>
            <w:tcW w:w="1764" w:type="dxa"/>
            <w:shd w:val="clear" w:color="auto" w:fill="auto"/>
            <w:noWrap/>
            <w:vAlign w:val="center"/>
            <w:hideMark/>
          </w:tcPr>
          <w:p w14:paraId="2688EC62" w14:textId="77777777" w:rsidR="002F793A" w:rsidRPr="002D5A1A" w:rsidRDefault="002F793A" w:rsidP="0017345C">
            <w:pPr>
              <w:spacing w:after="0" w:line="240" w:lineRule="auto"/>
              <w:contextualSpacing/>
              <w:rPr>
                <w:rFonts w:eastAsia="Times New Roman" w:cs="Times New Roman"/>
                <w:b/>
                <w:bCs/>
                <w:color w:val="000000"/>
                <w:sz w:val="24"/>
                <w:szCs w:val="24"/>
              </w:rPr>
            </w:pPr>
            <w:r w:rsidRPr="002D5A1A">
              <w:rPr>
                <w:rFonts w:eastAsia="Times New Roman" w:cs="Times New Roman"/>
                <w:b/>
                <w:bCs/>
                <w:color w:val="000000"/>
                <w:sz w:val="24"/>
                <w:szCs w:val="24"/>
              </w:rPr>
              <w:t>Post-Review</w:t>
            </w:r>
          </w:p>
        </w:tc>
        <w:tc>
          <w:tcPr>
            <w:tcW w:w="1434" w:type="dxa"/>
            <w:shd w:val="clear" w:color="auto" w:fill="auto"/>
            <w:noWrap/>
            <w:vAlign w:val="center"/>
            <w:hideMark/>
          </w:tcPr>
          <w:p w14:paraId="6DE12FEF" w14:textId="77777777" w:rsidR="002F793A" w:rsidRPr="002D5A1A" w:rsidRDefault="002F793A" w:rsidP="0017345C">
            <w:pPr>
              <w:spacing w:after="0" w:line="240" w:lineRule="auto"/>
              <w:contextualSpacing/>
              <w:rPr>
                <w:rFonts w:eastAsia="Times New Roman" w:cs="Times New Roman"/>
                <w:b/>
                <w:bCs/>
                <w:color w:val="000000"/>
                <w:sz w:val="24"/>
                <w:szCs w:val="24"/>
              </w:rPr>
            </w:pPr>
            <w:r w:rsidRPr="002D5A1A">
              <w:rPr>
                <w:rFonts w:eastAsia="Times New Roman" w:cs="Times New Roman"/>
                <w:b/>
                <w:bCs/>
                <w:color w:val="000000"/>
                <w:sz w:val="24"/>
                <w:szCs w:val="24"/>
              </w:rPr>
              <w:t>Completed</w:t>
            </w:r>
          </w:p>
        </w:tc>
        <w:tc>
          <w:tcPr>
            <w:tcW w:w="1380" w:type="dxa"/>
            <w:shd w:val="clear" w:color="auto" w:fill="auto"/>
            <w:noWrap/>
            <w:vAlign w:val="center"/>
            <w:hideMark/>
          </w:tcPr>
          <w:p w14:paraId="72F8D6D6" w14:textId="77777777" w:rsidR="002F793A" w:rsidRPr="002D5A1A" w:rsidRDefault="002F793A" w:rsidP="0017345C">
            <w:pPr>
              <w:spacing w:after="0" w:line="240" w:lineRule="auto"/>
              <w:contextualSpacing/>
              <w:rPr>
                <w:rFonts w:eastAsia="Times New Roman" w:cs="Times New Roman"/>
                <w:b/>
                <w:bCs/>
                <w:color w:val="000000"/>
                <w:sz w:val="24"/>
                <w:szCs w:val="24"/>
              </w:rPr>
            </w:pPr>
            <w:r w:rsidRPr="002D5A1A">
              <w:rPr>
                <w:rFonts w:eastAsia="Times New Roman" w:cs="Times New Roman"/>
                <w:b/>
                <w:bCs/>
                <w:color w:val="000000"/>
                <w:sz w:val="24"/>
                <w:szCs w:val="24"/>
              </w:rPr>
              <w:t>Total</w:t>
            </w:r>
          </w:p>
        </w:tc>
      </w:tr>
      <w:tr w:rsidR="002F793A" w:rsidRPr="002D5A1A" w14:paraId="65F9D5B0" w14:textId="77777777" w:rsidTr="0017345C">
        <w:trPr>
          <w:trHeight w:val="300"/>
        </w:trPr>
        <w:tc>
          <w:tcPr>
            <w:tcW w:w="1111" w:type="dxa"/>
            <w:shd w:val="clear" w:color="auto" w:fill="auto"/>
            <w:noWrap/>
            <w:vAlign w:val="center"/>
            <w:hideMark/>
          </w:tcPr>
          <w:p w14:paraId="4F6BD48F" w14:textId="77777777" w:rsidR="002F793A" w:rsidRPr="002D5A1A" w:rsidRDefault="002F793A" w:rsidP="0017345C">
            <w:pPr>
              <w:spacing w:after="0" w:line="240" w:lineRule="auto"/>
              <w:contextualSpacing/>
              <w:jc w:val="right"/>
              <w:rPr>
                <w:rFonts w:eastAsia="Times New Roman" w:cs="Times New Roman"/>
                <w:b/>
                <w:bCs/>
                <w:color w:val="000000"/>
                <w:sz w:val="24"/>
                <w:szCs w:val="24"/>
              </w:rPr>
            </w:pPr>
            <w:r w:rsidRPr="002D5A1A">
              <w:rPr>
                <w:rFonts w:eastAsia="Times New Roman" w:cs="Times New Roman"/>
                <w:b/>
                <w:bCs/>
                <w:color w:val="000000"/>
                <w:sz w:val="24"/>
                <w:szCs w:val="24"/>
              </w:rPr>
              <w:t>pre-2015</w:t>
            </w:r>
          </w:p>
        </w:tc>
        <w:tc>
          <w:tcPr>
            <w:tcW w:w="1244" w:type="dxa"/>
            <w:shd w:val="clear" w:color="auto" w:fill="auto"/>
            <w:noWrap/>
            <w:vAlign w:val="center"/>
            <w:hideMark/>
          </w:tcPr>
          <w:p w14:paraId="76C64DCF" w14:textId="77777777" w:rsidR="002F793A" w:rsidRPr="002D5A1A" w:rsidRDefault="002F793A"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w:t>
            </w:r>
          </w:p>
        </w:tc>
        <w:tc>
          <w:tcPr>
            <w:tcW w:w="1814" w:type="dxa"/>
            <w:shd w:val="clear" w:color="auto" w:fill="auto"/>
            <w:noWrap/>
            <w:vAlign w:val="center"/>
            <w:hideMark/>
          </w:tcPr>
          <w:p w14:paraId="30A3F290" w14:textId="77777777" w:rsidR="002F793A" w:rsidRPr="002D5A1A" w:rsidRDefault="002F793A"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w:t>
            </w:r>
          </w:p>
        </w:tc>
        <w:tc>
          <w:tcPr>
            <w:tcW w:w="1764" w:type="dxa"/>
            <w:shd w:val="clear" w:color="auto" w:fill="auto"/>
            <w:noWrap/>
            <w:vAlign w:val="center"/>
            <w:hideMark/>
          </w:tcPr>
          <w:p w14:paraId="1C9D5B9A" w14:textId="77777777" w:rsidR="002F793A" w:rsidRPr="002D5A1A" w:rsidRDefault="002F793A"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w:t>
            </w:r>
          </w:p>
        </w:tc>
        <w:tc>
          <w:tcPr>
            <w:tcW w:w="1434" w:type="dxa"/>
            <w:shd w:val="clear" w:color="auto" w:fill="auto"/>
            <w:noWrap/>
            <w:vAlign w:val="center"/>
            <w:hideMark/>
          </w:tcPr>
          <w:p w14:paraId="5BCFDBE4" w14:textId="77777777" w:rsidR="002F793A" w:rsidRPr="002D5A1A" w:rsidRDefault="002F793A"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w:t>
            </w:r>
          </w:p>
        </w:tc>
        <w:tc>
          <w:tcPr>
            <w:tcW w:w="1380" w:type="dxa"/>
            <w:shd w:val="clear" w:color="auto" w:fill="auto"/>
            <w:noWrap/>
            <w:vAlign w:val="center"/>
            <w:hideMark/>
          </w:tcPr>
          <w:p w14:paraId="50339577" w14:textId="77777777" w:rsidR="002F793A" w:rsidRPr="002D5A1A" w:rsidRDefault="002F793A"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w:t>
            </w:r>
          </w:p>
        </w:tc>
      </w:tr>
      <w:tr w:rsidR="002F793A" w:rsidRPr="002D5A1A" w14:paraId="373B761E" w14:textId="77777777" w:rsidTr="0017345C">
        <w:trPr>
          <w:trHeight w:val="300"/>
        </w:trPr>
        <w:tc>
          <w:tcPr>
            <w:tcW w:w="1111" w:type="dxa"/>
            <w:shd w:val="clear" w:color="auto" w:fill="auto"/>
            <w:noWrap/>
            <w:vAlign w:val="center"/>
            <w:hideMark/>
          </w:tcPr>
          <w:p w14:paraId="3C87AA83" w14:textId="77777777" w:rsidR="002F793A" w:rsidRPr="002D5A1A" w:rsidRDefault="002F793A" w:rsidP="0017345C">
            <w:pPr>
              <w:spacing w:after="0" w:line="240" w:lineRule="auto"/>
              <w:contextualSpacing/>
              <w:jc w:val="right"/>
              <w:rPr>
                <w:rFonts w:eastAsia="Times New Roman" w:cs="Times New Roman"/>
                <w:b/>
                <w:bCs/>
                <w:color w:val="000000"/>
                <w:sz w:val="24"/>
                <w:szCs w:val="24"/>
              </w:rPr>
            </w:pPr>
            <w:r w:rsidRPr="002D5A1A">
              <w:rPr>
                <w:rFonts w:eastAsia="Times New Roman" w:cs="Times New Roman"/>
                <w:b/>
                <w:bCs/>
                <w:color w:val="000000"/>
                <w:sz w:val="24"/>
                <w:szCs w:val="24"/>
              </w:rPr>
              <w:t>2015</w:t>
            </w:r>
          </w:p>
        </w:tc>
        <w:tc>
          <w:tcPr>
            <w:tcW w:w="1244" w:type="dxa"/>
            <w:shd w:val="clear" w:color="auto" w:fill="auto"/>
            <w:noWrap/>
            <w:vAlign w:val="center"/>
            <w:hideMark/>
          </w:tcPr>
          <w:p w14:paraId="3BA53ACF" w14:textId="629C8427"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4</w:t>
            </w:r>
            <w:r w:rsidR="005A3C1B" w:rsidRPr="002D5A1A">
              <w:rPr>
                <w:rFonts w:eastAsia="Times New Roman" w:cs="Times New Roman"/>
                <w:color w:val="000000"/>
                <w:sz w:val="24"/>
                <w:szCs w:val="24"/>
              </w:rPr>
              <w:t>30</w:t>
            </w:r>
          </w:p>
        </w:tc>
        <w:tc>
          <w:tcPr>
            <w:tcW w:w="1814" w:type="dxa"/>
            <w:shd w:val="clear" w:color="auto" w:fill="auto"/>
            <w:noWrap/>
            <w:vAlign w:val="center"/>
            <w:hideMark/>
          </w:tcPr>
          <w:p w14:paraId="4CCDDB29" w14:textId="4FE164BE"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6,2</w:t>
            </w:r>
            <w:r w:rsidR="005A3C1B" w:rsidRPr="002D5A1A">
              <w:rPr>
                <w:rFonts w:eastAsia="Times New Roman" w:cs="Times New Roman"/>
                <w:color w:val="000000"/>
                <w:sz w:val="24"/>
                <w:szCs w:val="24"/>
              </w:rPr>
              <w:t>70</w:t>
            </w:r>
          </w:p>
        </w:tc>
        <w:tc>
          <w:tcPr>
            <w:tcW w:w="1764" w:type="dxa"/>
            <w:shd w:val="clear" w:color="auto" w:fill="auto"/>
            <w:noWrap/>
            <w:vAlign w:val="center"/>
            <w:hideMark/>
          </w:tcPr>
          <w:p w14:paraId="105D8412" w14:textId="376919B1"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2</w:t>
            </w:r>
            <w:r w:rsidR="005A3C1B" w:rsidRPr="002D5A1A">
              <w:rPr>
                <w:rFonts w:eastAsia="Times New Roman" w:cs="Times New Roman"/>
                <w:color w:val="000000"/>
                <w:sz w:val="24"/>
                <w:szCs w:val="24"/>
              </w:rPr>
              <w:t>40</w:t>
            </w:r>
          </w:p>
        </w:tc>
        <w:tc>
          <w:tcPr>
            <w:tcW w:w="1434" w:type="dxa"/>
            <w:shd w:val="clear" w:color="auto" w:fill="auto"/>
            <w:noWrap/>
            <w:vAlign w:val="center"/>
            <w:hideMark/>
          </w:tcPr>
          <w:p w14:paraId="6EA067A6" w14:textId="3CD35E57"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3,2</w:t>
            </w:r>
            <w:r w:rsidR="005A3C1B" w:rsidRPr="002D5A1A">
              <w:rPr>
                <w:rFonts w:eastAsia="Times New Roman" w:cs="Times New Roman"/>
                <w:color w:val="000000"/>
                <w:sz w:val="24"/>
                <w:szCs w:val="24"/>
              </w:rPr>
              <w:t>30</w:t>
            </w:r>
          </w:p>
        </w:tc>
        <w:tc>
          <w:tcPr>
            <w:tcW w:w="1380" w:type="dxa"/>
            <w:shd w:val="clear" w:color="auto" w:fill="auto"/>
            <w:noWrap/>
            <w:vAlign w:val="center"/>
            <w:hideMark/>
          </w:tcPr>
          <w:p w14:paraId="1AB54597" w14:textId="3524CE89"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10,1</w:t>
            </w:r>
            <w:r w:rsidR="005A3C1B" w:rsidRPr="002D5A1A">
              <w:rPr>
                <w:rFonts w:eastAsia="Times New Roman" w:cs="Times New Roman"/>
                <w:color w:val="000000"/>
                <w:sz w:val="24"/>
                <w:szCs w:val="24"/>
              </w:rPr>
              <w:t>60</w:t>
            </w:r>
          </w:p>
        </w:tc>
      </w:tr>
      <w:tr w:rsidR="002F793A" w:rsidRPr="002D5A1A" w14:paraId="31ECDE86" w14:textId="77777777" w:rsidTr="0017345C">
        <w:trPr>
          <w:trHeight w:val="300"/>
        </w:trPr>
        <w:tc>
          <w:tcPr>
            <w:tcW w:w="1111" w:type="dxa"/>
            <w:shd w:val="clear" w:color="auto" w:fill="auto"/>
            <w:noWrap/>
            <w:vAlign w:val="center"/>
            <w:hideMark/>
          </w:tcPr>
          <w:p w14:paraId="7F2F2294" w14:textId="77777777" w:rsidR="002F793A" w:rsidRPr="002D5A1A" w:rsidRDefault="002F793A" w:rsidP="0017345C">
            <w:pPr>
              <w:spacing w:after="0" w:line="240" w:lineRule="auto"/>
              <w:contextualSpacing/>
              <w:jc w:val="right"/>
              <w:rPr>
                <w:rFonts w:eastAsia="Times New Roman" w:cs="Times New Roman"/>
                <w:b/>
                <w:bCs/>
                <w:color w:val="000000"/>
                <w:sz w:val="24"/>
                <w:szCs w:val="24"/>
              </w:rPr>
            </w:pPr>
            <w:r w:rsidRPr="002D5A1A">
              <w:rPr>
                <w:rFonts w:eastAsia="Times New Roman" w:cs="Times New Roman"/>
                <w:b/>
                <w:bCs/>
                <w:color w:val="000000"/>
                <w:sz w:val="24"/>
                <w:szCs w:val="24"/>
              </w:rPr>
              <w:t>2016</w:t>
            </w:r>
          </w:p>
        </w:tc>
        <w:tc>
          <w:tcPr>
            <w:tcW w:w="1244" w:type="dxa"/>
            <w:shd w:val="clear" w:color="auto" w:fill="auto"/>
            <w:noWrap/>
            <w:vAlign w:val="center"/>
            <w:hideMark/>
          </w:tcPr>
          <w:p w14:paraId="4E4E851F" w14:textId="3DCDD90D"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10,6</w:t>
            </w:r>
            <w:r w:rsidR="005A3C1B" w:rsidRPr="002D5A1A">
              <w:rPr>
                <w:rFonts w:eastAsia="Times New Roman" w:cs="Times New Roman"/>
                <w:color w:val="000000"/>
                <w:sz w:val="24"/>
                <w:szCs w:val="24"/>
              </w:rPr>
              <w:t>40</w:t>
            </w:r>
          </w:p>
        </w:tc>
        <w:tc>
          <w:tcPr>
            <w:tcW w:w="1814" w:type="dxa"/>
            <w:shd w:val="clear" w:color="auto" w:fill="auto"/>
            <w:noWrap/>
            <w:vAlign w:val="center"/>
            <w:hideMark/>
          </w:tcPr>
          <w:p w14:paraId="3555CBC2" w14:textId="417AE16B"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40,8</w:t>
            </w:r>
            <w:r w:rsidR="005A3C1B" w:rsidRPr="002D5A1A">
              <w:rPr>
                <w:rFonts w:eastAsia="Times New Roman" w:cs="Times New Roman"/>
                <w:color w:val="000000"/>
                <w:sz w:val="24"/>
                <w:szCs w:val="24"/>
              </w:rPr>
              <w:t>10</w:t>
            </w:r>
          </w:p>
        </w:tc>
        <w:tc>
          <w:tcPr>
            <w:tcW w:w="1764" w:type="dxa"/>
            <w:shd w:val="clear" w:color="auto" w:fill="auto"/>
            <w:noWrap/>
            <w:vAlign w:val="center"/>
            <w:hideMark/>
          </w:tcPr>
          <w:p w14:paraId="37768E9E" w14:textId="4EF926ED"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1,9</w:t>
            </w:r>
            <w:r w:rsidR="005A3C1B" w:rsidRPr="002D5A1A">
              <w:rPr>
                <w:rFonts w:eastAsia="Times New Roman" w:cs="Times New Roman"/>
                <w:color w:val="000000"/>
                <w:sz w:val="24"/>
                <w:szCs w:val="24"/>
              </w:rPr>
              <w:t>50</w:t>
            </w:r>
          </w:p>
        </w:tc>
        <w:tc>
          <w:tcPr>
            <w:tcW w:w="1434" w:type="dxa"/>
            <w:shd w:val="clear" w:color="auto" w:fill="auto"/>
            <w:noWrap/>
            <w:vAlign w:val="center"/>
            <w:hideMark/>
          </w:tcPr>
          <w:p w14:paraId="5A4A25A1" w14:textId="52A9DB2D"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23,9</w:t>
            </w:r>
            <w:r w:rsidR="005A3C1B" w:rsidRPr="002D5A1A">
              <w:rPr>
                <w:rFonts w:eastAsia="Times New Roman" w:cs="Times New Roman"/>
                <w:color w:val="000000"/>
                <w:sz w:val="24"/>
                <w:szCs w:val="24"/>
              </w:rPr>
              <w:t>40</w:t>
            </w:r>
          </w:p>
        </w:tc>
        <w:tc>
          <w:tcPr>
            <w:tcW w:w="1380" w:type="dxa"/>
            <w:shd w:val="clear" w:color="auto" w:fill="auto"/>
            <w:noWrap/>
            <w:vAlign w:val="center"/>
            <w:hideMark/>
          </w:tcPr>
          <w:p w14:paraId="69927058" w14:textId="2F277B4A"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77,3</w:t>
            </w:r>
            <w:r w:rsidR="005A3C1B" w:rsidRPr="002D5A1A">
              <w:rPr>
                <w:rFonts w:eastAsia="Times New Roman" w:cs="Times New Roman"/>
                <w:color w:val="000000"/>
                <w:sz w:val="24"/>
                <w:szCs w:val="24"/>
              </w:rPr>
              <w:t>40</w:t>
            </w:r>
          </w:p>
        </w:tc>
      </w:tr>
      <w:tr w:rsidR="002F793A" w:rsidRPr="002D5A1A" w14:paraId="3A3348B5" w14:textId="77777777" w:rsidTr="0017345C">
        <w:trPr>
          <w:trHeight w:val="300"/>
        </w:trPr>
        <w:tc>
          <w:tcPr>
            <w:tcW w:w="1111" w:type="dxa"/>
            <w:shd w:val="clear" w:color="auto" w:fill="auto"/>
            <w:noWrap/>
            <w:vAlign w:val="center"/>
            <w:hideMark/>
          </w:tcPr>
          <w:p w14:paraId="67218C80" w14:textId="77777777" w:rsidR="002F793A" w:rsidRPr="002D5A1A" w:rsidRDefault="002F793A" w:rsidP="0017345C">
            <w:pPr>
              <w:spacing w:after="0" w:line="240" w:lineRule="auto"/>
              <w:contextualSpacing/>
              <w:jc w:val="right"/>
              <w:rPr>
                <w:rFonts w:eastAsia="Times New Roman" w:cs="Times New Roman"/>
                <w:b/>
                <w:bCs/>
                <w:color w:val="000000"/>
                <w:sz w:val="24"/>
                <w:szCs w:val="24"/>
              </w:rPr>
            </w:pPr>
            <w:r w:rsidRPr="002D5A1A">
              <w:rPr>
                <w:rFonts w:eastAsia="Times New Roman" w:cs="Times New Roman"/>
                <w:b/>
                <w:bCs/>
                <w:color w:val="000000"/>
                <w:sz w:val="24"/>
                <w:szCs w:val="24"/>
              </w:rPr>
              <w:t>2017</w:t>
            </w:r>
          </w:p>
        </w:tc>
        <w:tc>
          <w:tcPr>
            <w:tcW w:w="1244" w:type="dxa"/>
            <w:shd w:val="clear" w:color="auto" w:fill="auto"/>
            <w:noWrap/>
            <w:vAlign w:val="center"/>
            <w:hideMark/>
          </w:tcPr>
          <w:p w14:paraId="0D17F1D4" w14:textId="6ADDBFB9"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12,7</w:t>
            </w:r>
            <w:r w:rsidR="005A3C1B" w:rsidRPr="002D5A1A">
              <w:rPr>
                <w:rFonts w:eastAsia="Times New Roman" w:cs="Times New Roman"/>
                <w:color w:val="000000"/>
                <w:sz w:val="24"/>
                <w:szCs w:val="24"/>
              </w:rPr>
              <w:t>50</w:t>
            </w:r>
          </w:p>
        </w:tc>
        <w:tc>
          <w:tcPr>
            <w:tcW w:w="1814" w:type="dxa"/>
            <w:shd w:val="clear" w:color="auto" w:fill="auto"/>
            <w:noWrap/>
            <w:vAlign w:val="center"/>
            <w:hideMark/>
          </w:tcPr>
          <w:p w14:paraId="6AA517FF" w14:textId="1E995653"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31,8</w:t>
            </w:r>
            <w:r w:rsidR="005A3C1B" w:rsidRPr="002D5A1A">
              <w:rPr>
                <w:rFonts w:eastAsia="Times New Roman" w:cs="Times New Roman"/>
                <w:color w:val="000000"/>
                <w:sz w:val="24"/>
                <w:szCs w:val="24"/>
              </w:rPr>
              <w:t>30</w:t>
            </w:r>
          </w:p>
        </w:tc>
        <w:tc>
          <w:tcPr>
            <w:tcW w:w="1764" w:type="dxa"/>
            <w:shd w:val="clear" w:color="auto" w:fill="auto"/>
            <w:noWrap/>
            <w:vAlign w:val="center"/>
            <w:hideMark/>
          </w:tcPr>
          <w:p w14:paraId="5A968480" w14:textId="20844CD2"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3</w:t>
            </w:r>
            <w:r w:rsidR="005A3C1B" w:rsidRPr="002D5A1A">
              <w:rPr>
                <w:rFonts w:eastAsia="Times New Roman" w:cs="Times New Roman"/>
                <w:color w:val="000000"/>
                <w:sz w:val="24"/>
                <w:szCs w:val="24"/>
              </w:rPr>
              <w:t>60</w:t>
            </w:r>
          </w:p>
        </w:tc>
        <w:tc>
          <w:tcPr>
            <w:tcW w:w="1434" w:type="dxa"/>
            <w:shd w:val="clear" w:color="auto" w:fill="auto"/>
            <w:noWrap/>
            <w:vAlign w:val="center"/>
            <w:hideMark/>
          </w:tcPr>
          <w:p w14:paraId="5B660DCC" w14:textId="6A1A64D3"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2,6</w:t>
            </w:r>
            <w:r w:rsidR="005A3C1B" w:rsidRPr="002D5A1A">
              <w:rPr>
                <w:rFonts w:eastAsia="Times New Roman" w:cs="Times New Roman"/>
                <w:color w:val="000000"/>
                <w:sz w:val="24"/>
                <w:szCs w:val="24"/>
              </w:rPr>
              <w:t>10</w:t>
            </w:r>
          </w:p>
        </w:tc>
        <w:tc>
          <w:tcPr>
            <w:tcW w:w="1380" w:type="dxa"/>
            <w:shd w:val="clear" w:color="auto" w:fill="auto"/>
            <w:noWrap/>
            <w:vAlign w:val="center"/>
            <w:hideMark/>
          </w:tcPr>
          <w:p w14:paraId="752C2924" w14:textId="04827CE4"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47,5</w:t>
            </w:r>
            <w:r w:rsidR="005A3C1B" w:rsidRPr="002D5A1A">
              <w:rPr>
                <w:rFonts w:eastAsia="Times New Roman" w:cs="Times New Roman"/>
                <w:color w:val="000000"/>
                <w:sz w:val="24"/>
                <w:szCs w:val="24"/>
              </w:rPr>
              <w:t>40</w:t>
            </w:r>
          </w:p>
        </w:tc>
      </w:tr>
      <w:tr w:rsidR="002F793A" w:rsidRPr="002D5A1A" w14:paraId="77C84DED" w14:textId="77777777" w:rsidTr="0017345C">
        <w:trPr>
          <w:trHeight w:val="64"/>
        </w:trPr>
        <w:tc>
          <w:tcPr>
            <w:tcW w:w="1111" w:type="dxa"/>
            <w:shd w:val="clear" w:color="auto" w:fill="auto"/>
            <w:noWrap/>
            <w:vAlign w:val="bottom"/>
            <w:hideMark/>
          </w:tcPr>
          <w:p w14:paraId="5C79208B" w14:textId="77777777" w:rsidR="002F793A" w:rsidRPr="002D5A1A" w:rsidRDefault="002F793A" w:rsidP="0017345C">
            <w:pPr>
              <w:spacing w:after="0" w:line="240" w:lineRule="auto"/>
              <w:contextualSpacing/>
              <w:rPr>
                <w:rFonts w:eastAsia="Times New Roman" w:cs="Times New Roman"/>
                <w:b/>
                <w:bCs/>
                <w:color w:val="000000"/>
                <w:sz w:val="24"/>
                <w:szCs w:val="24"/>
              </w:rPr>
            </w:pPr>
            <w:r w:rsidRPr="002D5A1A">
              <w:rPr>
                <w:rFonts w:eastAsia="Times New Roman" w:cs="Times New Roman"/>
                <w:b/>
                <w:bCs/>
                <w:color w:val="000000"/>
                <w:sz w:val="24"/>
                <w:szCs w:val="24"/>
              </w:rPr>
              <w:t>Total</w:t>
            </w:r>
          </w:p>
        </w:tc>
        <w:tc>
          <w:tcPr>
            <w:tcW w:w="1244" w:type="dxa"/>
            <w:shd w:val="clear" w:color="auto" w:fill="auto"/>
            <w:noWrap/>
            <w:vAlign w:val="center"/>
            <w:hideMark/>
          </w:tcPr>
          <w:p w14:paraId="2DE257B4" w14:textId="1D7EF830"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23,8</w:t>
            </w:r>
            <w:r w:rsidR="005A3C1B" w:rsidRPr="002D5A1A">
              <w:rPr>
                <w:rFonts w:eastAsia="Times New Roman" w:cs="Times New Roman"/>
                <w:color w:val="000000"/>
                <w:sz w:val="24"/>
                <w:szCs w:val="24"/>
              </w:rPr>
              <w:t>20</w:t>
            </w:r>
          </w:p>
        </w:tc>
        <w:tc>
          <w:tcPr>
            <w:tcW w:w="1814" w:type="dxa"/>
            <w:shd w:val="clear" w:color="auto" w:fill="auto"/>
            <w:noWrap/>
            <w:vAlign w:val="center"/>
            <w:hideMark/>
          </w:tcPr>
          <w:p w14:paraId="5F4B5ABF" w14:textId="2B10F8B9"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ascii="Calibri" w:hAnsi="Calibri"/>
                <w:color w:val="000000"/>
                <w:sz w:val="24"/>
                <w:szCs w:val="24"/>
              </w:rPr>
              <w:t>78,9</w:t>
            </w:r>
            <w:r w:rsidR="005A3C1B" w:rsidRPr="002D5A1A">
              <w:rPr>
                <w:rFonts w:ascii="Calibri" w:hAnsi="Calibri"/>
                <w:color w:val="000000"/>
                <w:sz w:val="24"/>
                <w:szCs w:val="24"/>
              </w:rPr>
              <w:t>10</w:t>
            </w:r>
          </w:p>
        </w:tc>
        <w:tc>
          <w:tcPr>
            <w:tcW w:w="1764" w:type="dxa"/>
            <w:shd w:val="clear" w:color="auto" w:fill="auto"/>
            <w:noWrap/>
            <w:vAlign w:val="center"/>
            <w:hideMark/>
          </w:tcPr>
          <w:p w14:paraId="68E540BA" w14:textId="4A178F76" w:rsidR="002F793A" w:rsidRPr="002D5A1A" w:rsidRDefault="009C4D5C" w:rsidP="0017345C">
            <w:pPr>
              <w:spacing w:after="0" w:line="240" w:lineRule="auto"/>
              <w:contextualSpacing/>
              <w:jc w:val="right"/>
              <w:rPr>
                <w:rFonts w:ascii="Calibri" w:hAnsi="Calibri"/>
                <w:color w:val="000000"/>
                <w:sz w:val="24"/>
                <w:szCs w:val="24"/>
              </w:rPr>
            </w:pPr>
            <w:r w:rsidRPr="002D5A1A">
              <w:rPr>
                <w:rFonts w:ascii="Calibri" w:hAnsi="Calibri"/>
                <w:color w:val="000000"/>
                <w:sz w:val="24"/>
                <w:szCs w:val="24"/>
              </w:rPr>
              <w:t>2,5</w:t>
            </w:r>
            <w:r w:rsidR="005A3C1B" w:rsidRPr="002D5A1A">
              <w:rPr>
                <w:rFonts w:ascii="Calibri" w:hAnsi="Calibri"/>
                <w:color w:val="000000"/>
                <w:sz w:val="24"/>
                <w:szCs w:val="24"/>
              </w:rPr>
              <w:t>50</w:t>
            </w:r>
          </w:p>
        </w:tc>
        <w:tc>
          <w:tcPr>
            <w:tcW w:w="1434" w:type="dxa"/>
            <w:shd w:val="clear" w:color="auto" w:fill="auto"/>
            <w:noWrap/>
            <w:vAlign w:val="center"/>
            <w:hideMark/>
          </w:tcPr>
          <w:p w14:paraId="3DF11CA0" w14:textId="208B2146" w:rsidR="002F793A" w:rsidRPr="002D5A1A" w:rsidRDefault="009C4D5C" w:rsidP="0017345C">
            <w:pPr>
              <w:spacing w:after="0" w:line="240" w:lineRule="auto"/>
              <w:contextualSpacing/>
              <w:jc w:val="right"/>
              <w:rPr>
                <w:rFonts w:ascii="Calibri" w:hAnsi="Calibri"/>
                <w:color w:val="000000"/>
                <w:sz w:val="24"/>
                <w:szCs w:val="24"/>
              </w:rPr>
            </w:pPr>
            <w:r w:rsidRPr="002D5A1A">
              <w:rPr>
                <w:rFonts w:ascii="Calibri" w:hAnsi="Calibri"/>
                <w:color w:val="000000"/>
                <w:sz w:val="24"/>
                <w:szCs w:val="24"/>
              </w:rPr>
              <w:t>29,7</w:t>
            </w:r>
            <w:r w:rsidR="005A3C1B" w:rsidRPr="002D5A1A">
              <w:rPr>
                <w:rFonts w:ascii="Calibri" w:hAnsi="Calibri"/>
                <w:color w:val="000000"/>
                <w:sz w:val="24"/>
                <w:szCs w:val="24"/>
              </w:rPr>
              <w:t>80</w:t>
            </w:r>
          </w:p>
        </w:tc>
        <w:tc>
          <w:tcPr>
            <w:tcW w:w="1380" w:type="dxa"/>
            <w:shd w:val="clear" w:color="auto" w:fill="auto"/>
            <w:noWrap/>
            <w:vAlign w:val="center"/>
            <w:hideMark/>
          </w:tcPr>
          <w:p w14:paraId="65E40608" w14:textId="1131B7CF" w:rsidR="002F793A" w:rsidRPr="002D5A1A" w:rsidRDefault="009C4D5C" w:rsidP="0017345C">
            <w:pPr>
              <w:spacing w:after="0" w:line="240" w:lineRule="auto"/>
              <w:contextualSpacing/>
              <w:jc w:val="right"/>
              <w:rPr>
                <w:rFonts w:eastAsia="Times New Roman" w:cs="Times New Roman"/>
                <w:color w:val="000000"/>
                <w:sz w:val="24"/>
                <w:szCs w:val="24"/>
              </w:rPr>
            </w:pPr>
            <w:r w:rsidRPr="002D5A1A">
              <w:rPr>
                <w:rFonts w:eastAsia="Times New Roman" w:cs="Times New Roman"/>
                <w:color w:val="000000"/>
                <w:sz w:val="24"/>
                <w:szCs w:val="24"/>
              </w:rPr>
              <w:t>135,0</w:t>
            </w:r>
            <w:r w:rsidR="005A3C1B" w:rsidRPr="002D5A1A">
              <w:rPr>
                <w:rFonts w:eastAsia="Times New Roman" w:cs="Times New Roman"/>
                <w:color w:val="000000"/>
                <w:sz w:val="24"/>
                <w:szCs w:val="24"/>
              </w:rPr>
              <w:t>50</w:t>
            </w:r>
          </w:p>
        </w:tc>
      </w:tr>
      <w:tr w:rsidR="002F793A" w:rsidRPr="00D82BA3" w14:paraId="0B5493DA" w14:textId="77777777" w:rsidTr="0017345C">
        <w:trPr>
          <w:trHeight w:val="64"/>
        </w:trPr>
        <w:tc>
          <w:tcPr>
            <w:tcW w:w="8747" w:type="dxa"/>
            <w:gridSpan w:val="6"/>
            <w:shd w:val="clear" w:color="auto" w:fill="auto"/>
            <w:noWrap/>
          </w:tcPr>
          <w:p w14:paraId="5A6261F3" w14:textId="6FDAF35A" w:rsidR="002F793A" w:rsidRPr="00447DB3" w:rsidRDefault="007E7CD6" w:rsidP="0017345C">
            <w:pPr>
              <w:spacing w:after="0" w:line="240" w:lineRule="auto"/>
              <w:contextualSpacing/>
              <w:rPr>
                <w:rFonts w:eastAsia="Times New Roman" w:cs="Times New Roman"/>
                <w:sz w:val="24"/>
                <w:szCs w:val="24"/>
              </w:rPr>
            </w:pPr>
            <w:r>
              <w:rPr>
                <w:sz w:val="18"/>
                <w:szCs w:val="18"/>
              </w:rPr>
              <w:t>C</w:t>
            </w:r>
            <w:r w:rsidR="00B464FE" w:rsidRPr="00447DB3">
              <w:rPr>
                <w:sz w:val="18"/>
                <w:szCs w:val="18"/>
              </w:rPr>
              <w:t xml:space="preserve">ounts with fewer than 10 observations </w:t>
            </w:r>
            <w:r w:rsidR="00B464FE">
              <w:rPr>
                <w:sz w:val="18"/>
                <w:szCs w:val="18"/>
              </w:rPr>
              <w:t>were</w:t>
            </w:r>
            <w:r w:rsidR="00B464FE" w:rsidRPr="00447DB3">
              <w:rPr>
                <w:sz w:val="18"/>
                <w:szCs w:val="18"/>
              </w:rPr>
              <w:t xml:space="preserve"> suppressed. Suppressed cells </w:t>
            </w:r>
            <w:r w:rsidR="00B464FE">
              <w:rPr>
                <w:sz w:val="18"/>
                <w:szCs w:val="18"/>
              </w:rPr>
              <w:t>were</w:t>
            </w:r>
            <w:r w:rsidR="00B464FE" w:rsidRPr="00447DB3">
              <w:rPr>
                <w:sz w:val="18"/>
                <w:szCs w:val="18"/>
              </w:rPr>
              <w:t xml:space="preserve"> represented by an asterisk. All remaining counts </w:t>
            </w:r>
            <w:r w:rsidR="00B464FE">
              <w:rPr>
                <w:sz w:val="18"/>
                <w:szCs w:val="18"/>
              </w:rPr>
              <w:t xml:space="preserve">were </w:t>
            </w:r>
            <w:r w:rsidR="00B464FE" w:rsidRPr="00447DB3">
              <w:rPr>
                <w:sz w:val="18"/>
                <w:szCs w:val="18"/>
              </w:rPr>
              <w:t>rounded to the tens place</w:t>
            </w:r>
            <w:r w:rsidR="00B464FE">
              <w:rPr>
                <w:sz w:val="18"/>
                <w:szCs w:val="18"/>
              </w:rPr>
              <w:t>.</w:t>
            </w:r>
          </w:p>
        </w:tc>
      </w:tr>
    </w:tbl>
    <w:p w14:paraId="46B8CD3D" w14:textId="77777777" w:rsidR="002F793A" w:rsidRDefault="002F793A" w:rsidP="00500E4E">
      <w:pPr>
        <w:spacing w:after="240"/>
        <w:ind w:firstLine="720"/>
        <w:contextualSpacing/>
        <w:rPr>
          <w:sz w:val="24"/>
          <w:szCs w:val="24"/>
        </w:rPr>
      </w:pPr>
    </w:p>
    <w:p w14:paraId="61059CFC" w14:textId="41C1BB03" w:rsidR="002F793A" w:rsidRDefault="001406CD" w:rsidP="006D7718">
      <w:pPr>
        <w:spacing w:after="0" w:line="360" w:lineRule="auto"/>
        <w:ind w:firstLine="720"/>
        <w:contextualSpacing/>
        <w:rPr>
          <w:sz w:val="24"/>
          <w:szCs w:val="24"/>
        </w:rPr>
      </w:pPr>
      <w:r>
        <w:rPr>
          <w:sz w:val="24"/>
          <w:szCs w:val="24"/>
        </w:rPr>
        <w:t xml:space="preserve">The Department of Education </w:t>
      </w:r>
      <w:r w:rsidR="002F793A">
        <w:rPr>
          <w:sz w:val="24"/>
          <w:szCs w:val="24"/>
        </w:rPr>
        <w:t xml:space="preserve">tracked the date that an approved claim was sent to the servicer for disbursement or refund.  This date only applies to those cases that were approved and for which loans existed.  The comparison of number of claims received and number </w:t>
      </w:r>
      <w:r w:rsidR="00F5154A">
        <w:rPr>
          <w:sz w:val="24"/>
          <w:szCs w:val="24"/>
        </w:rPr>
        <w:t>of claims resolved is shown in</w:t>
      </w:r>
      <w:r>
        <w:rPr>
          <w:sz w:val="24"/>
          <w:szCs w:val="24"/>
        </w:rPr>
        <w:t xml:space="preserve"> Figure 3</w:t>
      </w:r>
      <w:r w:rsidR="002F793A">
        <w:rPr>
          <w:sz w:val="24"/>
          <w:szCs w:val="24"/>
        </w:rPr>
        <w:t xml:space="preserve">. </w:t>
      </w:r>
      <w:r>
        <w:rPr>
          <w:sz w:val="24"/>
          <w:szCs w:val="24"/>
        </w:rPr>
        <w:t xml:space="preserve">The mean number of days between date claim received and date approved claim sent to the servicer was 264 days with a standard deviation of 101 days.  </w:t>
      </w:r>
    </w:p>
    <w:p w14:paraId="2F646470" w14:textId="3FE95690" w:rsidR="002F793A" w:rsidRPr="00D82BA3" w:rsidRDefault="00FB0B56" w:rsidP="00F5154A">
      <w:pPr>
        <w:pStyle w:val="Caption"/>
        <w:spacing w:after="0"/>
        <w:rPr>
          <w:color w:val="000000" w:themeColor="text1"/>
          <w:sz w:val="24"/>
          <w:szCs w:val="24"/>
        </w:rPr>
      </w:pPr>
      <w:bookmarkStart w:id="6" w:name="_Ref498611971"/>
      <w:r w:rsidRPr="00F5154A">
        <w:rPr>
          <w:color w:val="000000" w:themeColor="text1"/>
          <w:sz w:val="24"/>
          <w:szCs w:val="24"/>
        </w:rPr>
        <w:t>Figure</w:t>
      </w:r>
      <w:r w:rsidR="001406CD">
        <w:rPr>
          <w:color w:val="000000" w:themeColor="text1"/>
          <w:sz w:val="24"/>
          <w:szCs w:val="24"/>
        </w:rPr>
        <w:t xml:space="preserve"> 3</w:t>
      </w:r>
      <w:bookmarkEnd w:id="6"/>
      <w:r w:rsidR="002F793A" w:rsidRPr="00E633DA">
        <w:rPr>
          <w:color w:val="000000" w:themeColor="text1"/>
          <w:sz w:val="24"/>
          <w:szCs w:val="24"/>
        </w:rPr>
        <w:t xml:space="preserve">: Number of Claims by </w:t>
      </w:r>
      <w:r w:rsidR="002F793A">
        <w:rPr>
          <w:color w:val="000000" w:themeColor="text1"/>
          <w:sz w:val="24"/>
          <w:szCs w:val="24"/>
        </w:rPr>
        <w:t>year</w:t>
      </w:r>
      <w:r w:rsidR="002F793A">
        <w:rPr>
          <w:color w:val="000000" w:themeColor="text1"/>
          <w:sz w:val="24"/>
          <w:szCs w:val="24"/>
        </w:rPr>
        <w:tab/>
      </w:r>
      <w:r w:rsidR="002F793A">
        <w:rPr>
          <w:color w:val="000000" w:themeColor="text1"/>
          <w:sz w:val="24"/>
          <w:szCs w:val="24"/>
        </w:rPr>
        <w:tab/>
      </w:r>
      <w:r w:rsidR="002F793A">
        <w:rPr>
          <w:color w:val="000000" w:themeColor="text1"/>
          <w:sz w:val="24"/>
          <w:szCs w:val="24"/>
        </w:rPr>
        <w:tab/>
      </w:r>
      <w:r w:rsidR="002F793A">
        <w:rPr>
          <w:color w:val="000000" w:themeColor="text1"/>
          <w:sz w:val="24"/>
          <w:szCs w:val="24"/>
        </w:rPr>
        <w:tab/>
        <w:t xml:space="preserve">   </w:t>
      </w:r>
      <w:r w:rsidR="002F793A" w:rsidRPr="00D82BA3">
        <w:rPr>
          <w:color w:val="000000" w:themeColor="text1"/>
          <w:sz w:val="24"/>
          <w:szCs w:val="24"/>
        </w:rPr>
        <w:t>Table</w:t>
      </w:r>
      <w:r w:rsidR="001406CD">
        <w:rPr>
          <w:color w:val="000000" w:themeColor="text1"/>
          <w:sz w:val="24"/>
          <w:szCs w:val="24"/>
        </w:rPr>
        <w:t xml:space="preserve"> 3</w:t>
      </w:r>
      <w:r w:rsidR="002F793A" w:rsidRPr="00D82BA3">
        <w:rPr>
          <w:color w:val="000000" w:themeColor="text1"/>
          <w:sz w:val="24"/>
          <w:szCs w:val="24"/>
        </w:rPr>
        <w:t xml:space="preserve">: Number of claims by year </w:t>
      </w:r>
    </w:p>
    <w:tbl>
      <w:tblPr>
        <w:tblpPr w:leftFromText="180" w:rightFromText="180" w:vertAnchor="text" w:tblpXSpec="right" w:tblpY="1"/>
        <w:tblOverlap w:val="never"/>
        <w:tblW w:w="3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1244"/>
        <w:gridCol w:w="1331"/>
      </w:tblGrid>
      <w:tr w:rsidR="002F793A" w:rsidRPr="00D82BA3" w14:paraId="296AC1BB" w14:textId="77777777" w:rsidTr="0017345C">
        <w:trPr>
          <w:trHeight w:val="300"/>
        </w:trPr>
        <w:tc>
          <w:tcPr>
            <w:tcW w:w="1111" w:type="dxa"/>
            <w:shd w:val="clear" w:color="auto" w:fill="auto"/>
            <w:noWrap/>
            <w:vAlign w:val="bottom"/>
            <w:hideMark/>
          </w:tcPr>
          <w:p w14:paraId="396DDDF3" w14:textId="77777777" w:rsidR="002F793A" w:rsidRPr="00D82BA3" w:rsidRDefault="002F793A" w:rsidP="0017345C">
            <w:pPr>
              <w:spacing w:after="0" w:line="240" w:lineRule="auto"/>
              <w:contextualSpacing/>
              <w:rPr>
                <w:rFonts w:eastAsia="Times New Roman" w:cs="Times New Roman"/>
                <w:b/>
                <w:bCs/>
                <w:color w:val="000000"/>
                <w:sz w:val="24"/>
                <w:szCs w:val="24"/>
              </w:rPr>
            </w:pPr>
            <w:bookmarkStart w:id="7" w:name="_GoBack" w:colFirst="0" w:colLast="3"/>
            <w:r w:rsidRPr="00D82BA3">
              <w:rPr>
                <w:rFonts w:eastAsia="Times New Roman" w:cs="Times New Roman"/>
                <w:b/>
                <w:bCs/>
                <w:color w:val="000000"/>
                <w:sz w:val="24"/>
                <w:szCs w:val="24"/>
              </w:rPr>
              <w:t>Year</w:t>
            </w:r>
          </w:p>
        </w:tc>
        <w:tc>
          <w:tcPr>
            <w:tcW w:w="1244" w:type="dxa"/>
            <w:shd w:val="clear" w:color="auto" w:fill="auto"/>
            <w:noWrap/>
            <w:vAlign w:val="bottom"/>
          </w:tcPr>
          <w:p w14:paraId="46E89522" w14:textId="77777777" w:rsidR="002F793A" w:rsidRPr="00D82BA3" w:rsidRDefault="002F793A" w:rsidP="0017345C">
            <w:pPr>
              <w:spacing w:after="0" w:line="240" w:lineRule="auto"/>
              <w:contextualSpacing/>
              <w:rPr>
                <w:rFonts w:eastAsia="Times New Roman" w:cs="Times New Roman"/>
                <w:b/>
                <w:bCs/>
                <w:color w:val="000000"/>
                <w:sz w:val="24"/>
                <w:szCs w:val="24"/>
              </w:rPr>
            </w:pPr>
            <w:r>
              <w:rPr>
                <w:rFonts w:eastAsia="Times New Roman" w:cs="Times New Roman"/>
                <w:b/>
                <w:bCs/>
                <w:color w:val="000000"/>
                <w:sz w:val="24"/>
                <w:szCs w:val="24"/>
              </w:rPr>
              <w:t>Number Received</w:t>
            </w:r>
          </w:p>
        </w:tc>
        <w:tc>
          <w:tcPr>
            <w:tcW w:w="1331" w:type="dxa"/>
            <w:shd w:val="clear" w:color="auto" w:fill="auto"/>
            <w:noWrap/>
            <w:vAlign w:val="bottom"/>
          </w:tcPr>
          <w:p w14:paraId="63AE1BBB" w14:textId="77777777" w:rsidR="002F793A" w:rsidRPr="00D82BA3" w:rsidRDefault="002F793A" w:rsidP="0017345C">
            <w:pPr>
              <w:spacing w:after="0" w:line="240" w:lineRule="auto"/>
              <w:contextualSpacing/>
              <w:rPr>
                <w:rFonts w:eastAsia="Times New Roman" w:cs="Times New Roman"/>
                <w:b/>
                <w:bCs/>
                <w:color w:val="000000"/>
                <w:sz w:val="24"/>
                <w:szCs w:val="24"/>
              </w:rPr>
            </w:pPr>
            <w:r>
              <w:rPr>
                <w:rFonts w:eastAsia="Times New Roman" w:cs="Times New Roman"/>
                <w:b/>
                <w:bCs/>
                <w:color w:val="000000"/>
                <w:sz w:val="24"/>
                <w:szCs w:val="24"/>
              </w:rPr>
              <w:t>Number Resolved</w:t>
            </w:r>
          </w:p>
        </w:tc>
      </w:tr>
      <w:tr w:rsidR="002F793A" w:rsidRPr="00D82BA3" w14:paraId="357380B4" w14:textId="77777777" w:rsidTr="005A3C1B">
        <w:trPr>
          <w:trHeight w:val="300"/>
        </w:trPr>
        <w:tc>
          <w:tcPr>
            <w:tcW w:w="1111" w:type="dxa"/>
            <w:shd w:val="clear" w:color="auto" w:fill="auto"/>
            <w:noWrap/>
            <w:vAlign w:val="bottom"/>
            <w:hideMark/>
          </w:tcPr>
          <w:p w14:paraId="7F96F2E1" w14:textId="77777777" w:rsidR="002F793A" w:rsidRPr="00D82BA3" w:rsidRDefault="002F793A" w:rsidP="0017345C">
            <w:pPr>
              <w:spacing w:after="0" w:line="240" w:lineRule="auto"/>
              <w:contextualSpacing/>
              <w:jc w:val="right"/>
              <w:rPr>
                <w:rFonts w:eastAsia="Times New Roman" w:cs="Times New Roman"/>
                <w:b/>
                <w:bCs/>
                <w:color w:val="000000"/>
                <w:sz w:val="24"/>
                <w:szCs w:val="24"/>
              </w:rPr>
            </w:pPr>
            <w:r>
              <w:rPr>
                <w:rFonts w:eastAsia="Times New Roman" w:cs="Times New Roman"/>
                <w:b/>
                <w:bCs/>
                <w:color w:val="000000"/>
                <w:sz w:val="24"/>
                <w:szCs w:val="24"/>
              </w:rPr>
              <w:t>pre-2015</w:t>
            </w:r>
          </w:p>
        </w:tc>
        <w:tc>
          <w:tcPr>
            <w:tcW w:w="1244" w:type="dxa"/>
            <w:shd w:val="clear" w:color="auto" w:fill="auto"/>
            <w:noWrap/>
            <w:vAlign w:val="bottom"/>
          </w:tcPr>
          <w:p w14:paraId="5CF09AAC" w14:textId="77777777" w:rsidR="002F793A" w:rsidRPr="00D82BA3" w:rsidRDefault="002F793A"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w:t>
            </w:r>
          </w:p>
        </w:tc>
        <w:tc>
          <w:tcPr>
            <w:tcW w:w="1331" w:type="dxa"/>
            <w:shd w:val="clear" w:color="auto" w:fill="auto"/>
            <w:noWrap/>
            <w:vAlign w:val="bottom"/>
          </w:tcPr>
          <w:p w14:paraId="156A98C5" w14:textId="77777777" w:rsidR="002F793A" w:rsidRPr="00D82BA3" w:rsidRDefault="002F793A"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w:t>
            </w:r>
          </w:p>
        </w:tc>
      </w:tr>
      <w:tr w:rsidR="002F793A" w:rsidRPr="00D82BA3" w14:paraId="4E3ED9CC" w14:textId="77777777" w:rsidTr="005A3C1B">
        <w:trPr>
          <w:trHeight w:val="300"/>
        </w:trPr>
        <w:tc>
          <w:tcPr>
            <w:tcW w:w="1111" w:type="dxa"/>
            <w:shd w:val="clear" w:color="auto" w:fill="auto"/>
            <w:noWrap/>
            <w:vAlign w:val="bottom"/>
            <w:hideMark/>
          </w:tcPr>
          <w:p w14:paraId="2B1D49A4" w14:textId="77777777" w:rsidR="002F793A" w:rsidRPr="00D82BA3" w:rsidRDefault="002F793A" w:rsidP="0017345C">
            <w:pPr>
              <w:spacing w:after="0" w:line="240" w:lineRule="auto"/>
              <w:contextualSpacing/>
              <w:jc w:val="right"/>
              <w:rPr>
                <w:rFonts w:eastAsia="Times New Roman" w:cs="Times New Roman"/>
                <w:b/>
                <w:bCs/>
                <w:color w:val="000000"/>
                <w:sz w:val="24"/>
                <w:szCs w:val="24"/>
              </w:rPr>
            </w:pPr>
            <w:r w:rsidRPr="00D82BA3">
              <w:rPr>
                <w:rFonts w:eastAsia="Times New Roman" w:cs="Times New Roman"/>
                <w:b/>
                <w:bCs/>
                <w:color w:val="000000"/>
                <w:sz w:val="24"/>
                <w:szCs w:val="24"/>
              </w:rPr>
              <w:t>2015</w:t>
            </w:r>
          </w:p>
        </w:tc>
        <w:tc>
          <w:tcPr>
            <w:tcW w:w="1244" w:type="dxa"/>
            <w:shd w:val="clear" w:color="auto" w:fill="auto"/>
            <w:noWrap/>
            <w:vAlign w:val="bottom"/>
          </w:tcPr>
          <w:p w14:paraId="1D9EE0A9" w14:textId="6C7FD0BA" w:rsidR="002F793A" w:rsidRPr="00D82BA3" w:rsidRDefault="005A3C1B"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10,160</w:t>
            </w:r>
          </w:p>
        </w:tc>
        <w:tc>
          <w:tcPr>
            <w:tcW w:w="1331" w:type="dxa"/>
            <w:shd w:val="clear" w:color="auto" w:fill="auto"/>
            <w:noWrap/>
            <w:vAlign w:val="bottom"/>
          </w:tcPr>
          <w:p w14:paraId="731D8331" w14:textId="77777777" w:rsidR="002F793A" w:rsidRPr="00D82BA3" w:rsidRDefault="002F793A"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w:t>
            </w:r>
          </w:p>
        </w:tc>
      </w:tr>
      <w:tr w:rsidR="002F793A" w:rsidRPr="00D82BA3" w14:paraId="78B0C016" w14:textId="77777777" w:rsidTr="005A3C1B">
        <w:trPr>
          <w:trHeight w:val="300"/>
        </w:trPr>
        <w:tc>
          <w:tcPr>
            <w:tcW w:w="1111" w:type="dxa"/>
            <w:shd w:val="clear" w:color="auto" w:fill="auto"/>
            <w:noWrap/>
            <w:vAlign w:val="bottom"/>
            <w:hideMark/>
          </w:tcPr>
          <w:p w14:paraId="5C364FA2" w14:textId="77777777" w:rsidR="002F793A" w:rsidRPr="00D82BA3" w:rsidRDefault="002F793A" w:rsidP="0017345C">
            <w:pPr>
              <w:spacing w:after="0" w:line="240" w:lineRule="auto"/>
              <w:contextualSpacing/>
              <w:jc w:val="right"/>
              <w:rPr>
                <w:rFonts w:eastAsia="Times New Roman" w:cs="Times New Roman"/>
                <w:b/>
                <w:bCs/>
                <w:color w:val="000000"/>
                <w:sz w:val="24"/>
                <w:szCs w:val="24"/>
              </w:rPr>
            </w:pPr>
            <w:r w:rsidRPr="00D82BA3">
              <w:rPr>
                <w:rFonts w:eastAsia="Times New Roman" w:cs="Times New Roman"/>
                <w:b/>
                <w:bCs/>
                <w:color w:val="000000"/>
                <w:sz w:val="24"/>
                <w:szCs w:val="24"/>
              </w:rPr>
              <w:t>2016</w:t>
            </w:r>
          </w:p>
        </w:tc>
        <w:tc>
          <w:tcPr>
            <w:tcW w:w="1244" w:type="dxa"/>
            <w:shd w:val="clear" w:color="auto" w:fill="auto"/>
            <w:noWrap/>
            <w:vAlign w:val="bottom"/>
          </w:tcPr>
          <w:p w14:paraId="2A99E29A" w14:textId="3A8CD140" w:rsidR="002F793A" w:rsidRPr="00D82BA3" w:rsidRDefault="005A3C1B"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77,340</w:t>
            </w:r>
          </w:p>
        </w:tc>
        <w:tc>
          <w:tcPr>
            <w:tcW w:w="1331" w:type="dxa"/>
            <w:shd w:val="clear" w:color="auto" w:fill="auto"/>
            <w:noWrap/>
            <w:vAlign w:val="bottom"/>
          </w:tcPr>
          <w:p w14:paraId="6C97053C" w14:textId="3B404E92" w:rsidR="002F793A" w:rsidRPr="00D82BA3" w:rsidRDefault="005A3C1B"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14,980</w:t>
            </w:r>
          </w:p>
        </w:tc>
      </w:tr>
      <w:tr w:rsidR="002F793A" w:rsidRPr="00D82BA3" w14:paraId="73354D28" w14:textId="77777777" w:rsidTr="005A3C1B">
        <w:trPr>
          <w:trHeight w:val="300"/>
        </w:trPr>
        <w:tc>
          <w:tcPr>
            <w:tcW w:w="1111" w:type="dxa"/>
            <w:shd w:val="clear" w:color="auto" w:fill="auto"/>
            <w:noWrap/>
            <w:vAlign w:val="bottom"/>
            <w:hideMark/>
          </w:tcPr>
          <w:p w14:paraId="2FC5FE69" w14:textId="77777777" w:rsidR="002F793A" w:rsidRPr="00D82BA3" w:rsidRDefault="002F793A" w:rsidP="0017345C">
            <w:pPr>
              <w:spacing w:after="0" w:line="240" w:lineRule="auto"/>
              <w:contextualSpacing/>
              <w:jc w:val="right"/>
              <w:rPr>
                <w:rFonts w:eastAsia="Times New Roman" w:cs="Times New Roman"/>
                <w:b/>
                <w:bCs/>
                <w:color w:val="000000"/>
                <w:sz w:val="24"/>
                <w:szCs w:val="24"/>
              </w:rPr>
            </w:pPr>
            <w:r w:rsidRPr="00D82BA3">
              <w:rPr>
                <w:rFonts w:eastAsia="Times New Roman" w:cs="Times New Roman"/>
                <w:b/>
                <w:bCs/>
                <w:color w:val="000000"/>
                <w:sz w:val="24"/>
                <w:szCs w:val="24"/>
              </w:rPr>
              <w:t>2017</w:t>
            </w:r>
          </w:p>
        </w:tc>
        <w:tc>
          <w:tcPr>
            <w:tcW w:w="1244" w:type="dxa"/>
            <w:shd w:val="clear" w:color="auto" w:fill="auto"/>
            <w:noWrap/>
            <w:vAlign w:val="bottom"/>
          </w:tcPr>
          <w:p w14:paraId="59BDC3B5" w14:textId="378525DE" w:rsidR="002F793A" w:rsidRPr="00D82BA3" w:rsidRDefault="005A3C1B"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47,540</w:t>
            </w:r>
          </w:p>
        </w:tc>
        <w:tc>
          <w:tcPr>
            <w:tcW w:w="1331" w:type="dxa"/>
            <w:shd w:val="clear" w:color="auto" w:fill="auto"/>
            <w:noWrap/>
            <w:vAlign w:val="bottom"/>
          </w:tcPr>
          <w:p w14:paraId="6009CE1E" w14:textId="2BC71602" w:rsidR="002F793A" w:rsidRPr="00D82BA3" w:rsidRDefault="005A3C1B"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16,150</w:t>
            </w:r>
          </w:p>
        </w:tc>
      </w:tr>
      <w:tr w:rsidR="002F793A" w:rsidRPr="00D82BA3" w14:paraId="05C311D1" w14:textId="77777777" w:rsidTr="005A3C1B">
        <w:trPr>
          <w:trHeight w:val="300"/>
        </w:trPr>
        <w:tc>
          <w:tcPr>
            <w:tcW w:w="1111" w:type="dxa"/>
            <w:shd w:val="clear" w:color="auto" w:fill="auto"/>
            <w:noWrap/>
            <w:vAlign w:val="bottom"/>
            <w:hideMark/>
          </w:tcPr>
          <w:p w14:paraId="5EDDE5D3" w14:textId="77777777" w:rsidR="002F793A" w:rsidRPr="00D82BA3" w:rsidRDefault="002F793A" w:rsidP="0017345C">
            <w:pPr>
              <w:spacing w:after="0" w:line="240" w:lineRule="auto"/>
              <w:contextualSpacing/>
              <w:rPr>
                <w:rFonts w:eastAsia="Times New Roman" w:cs="Times New Roman"/>
                <w:b/>
                <w:bCs/>
                <w:color w:val="000000"/>
                <w:sz w:val="24"/>
                <w:szCs w:val="24"/>
              </w:rPr>
            </w:pPr>
            <w:r w:rsidRPr="00D82BA3">
              <w:rPr>
                <w:rFonts w:eastAsia="Times New Roman" w:cs="Times New Roman"/>
                <w:b/>
                <w:bCs/>
                <w:color w:val="000000"/>
                <w:sz w:val="24"/>
                <w:szCs w:val="24"/>
              </w:rPr>
              <w:t>Total</w:t>
            </w:r>
          </w:p>
        </w:tc>
        <w:tc>
          <w:tcPr>
            <w:tcW w:w="1244" w:type="dxa"/>
            <w:shd w:val="clear" w:color="auto" w:fill="auto"/>
            <w:noWrap/>
            <w:vAlign w:val="bottom"/>
          </w:tcPr>
          <w:p w14:paraId="01C6B7E2" w14:textId="317080E3" w:rsidR="002F793A" w:rsidRPr="00D82BA3" w:rsidRDefault="005A3C1B"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135,050</w:t>
            </w:r>
          </w:p>
        </w:tc>
        <w:tc>
          <w:tcPr>
            <w:tcW w:w="1331" w:type="dxa"/>
            <w:shd w:val="clear" w:color="auto" w:fill="auto"/>
            <w:noWrap/>
            <w:vAlign w:val="bottom"/>
          </w:tcPr>
          <w:p w14:paraId="3F88FF9D" w14:textId="32C56975" w:rsidR="002F793A" w:rsidRPr="00D82BA3" w:rsidRDefault="005A3C1B" w:rsidP="0017345C">
            <w:pPr>
              <w:spacing w:after="0" w:line="240" w:lineRule="auto"/>
              <w:contextualSpacing/>
              <w:jc w:val="right"/>
              <w:rPr>
                <w:rFonts w:eastAsia="Times New Roman" w:cs="Times New Roman"/>
                <w:color w:val="000000"/>
                <w:sz w:val="24"/>
                <w:szCs w:val="24"/>
              </w:rPr>
            </w:pPr>
            <w:r>
              <w:rPr>
                <w:rFonts w:eastAsia="Times New Roman" w:cs="Times New Roman"/>
                <w:color w:val="000000"/>
                <w:sz w:val="24"/>
                <w:szCs w:val="24"/>
              </w:rPr>
              <w:t>31,140</w:t>
            </w:r>
          </w:p>
        </w:tc>
      </w:tr>
      <w:tr w:rsidR="002F793A" w:rsidRPr="00D82BA3" w14:paraId="3C8A5FB6" w14:textId="77777777" w:rsidTr="0017345C">
        <w:trPr>
          <w:trHeight w:val="300"/>
        </w:trPr>
        <w:tc>
          <w:tcPr>
            <w:tcW w:w="3686" w:type="dxa"/>
            <w:gridSpan w:val="3"/>
            <w:shd w:val="clear" w:color="auto" w:fill="auto"/>
            <w:noWrap/>
          </w:tcPr>
          <w:p w14:paraId="278F38FF" w14:textId="13BD3F0D" w:rsidR="002F793A" w:rsidRDefault="007E7CD6" w:rsidP="0017345C">
            <w:pPr>
              <w:spacing w:after="0" w:line="240" w:lineRule="auto"/>
              <w:contextualSpacing/>
              <w:rPr>
                <w:rFonts w:eastAsia="Times New Roman" w:cs="Times New Roman"/>
                <w:color w:val="000000"/>
                <w:sz w:val="24"/>
                <w:szCs w:val="24"/>
              </w:rPr>
            </w:pPr>
            <w:r>
              <w:rPr>
                <w:sz w:val="18"/>
                <w:szCs w:val="18"/>
              </w:rPr>
              <w:t>C</w:t>
            </w:r>
            <w:r w:rsidR="00B464FE" w:rsidRPr="00447DB3">
              <w:rPr>
                <w:sz w:val="18"/>
                <w:szCs w:val="18"/>
              </w:rPr>
              <w:t xml:space="preserve">ounts with fewer than 10 observations </w:t>
            </w:r>
            <w:r w:rsidR="00B464FE">
              <w:rPr>
                <w:sz w:val="18"/>
                <w:szCs w:val="18"/>
              </w:rPr>
              <w:t>were</w:t>
            </w:r>
            <w:r w:rsidR="00B464FE" w:rsidRPr="00447DB3">
              <w:rPr>
                <w:sz w:val="18"/>
                <w:szCs w:val="18"/>
              </w:rPr>
              <w:t xml:space="preserve"> suppressed. Suppressed cells </w:t>
            </w:r>
            <w:r w:rsidR="00B464FE">
              <w:rPr>
                <w:sz w:val="18"/>
                <w:szCs w:val="18"/>
              </w:rPr>
              <w:t>were</w:t>
            </w:r>
            <w:r w:rsidR="00B464FE" w:rsidRPr="00447DB3">
              <w:rPr>
                <w:sz w:val="18"/>
                <w:szCs w:val="18"/>
              </w:rPr>
              <w:t xml:space="preserve"> represented by an asterisk. All remaining counts </w:t>
            </w:r>
            <w:r w:rsidR="00B464FE">
              <w:rPr>
                <w:sz w:val="18"/>
                <w:szCs w:val="18"/>
              </w:rPr>
              <w:t xml:space="preserve">were </w:t>
            </w:r>
            <w:r w:rsidR="00B464FE" w:rsidRPr="00447DB3">
              <w:rPr>
                <w:sz w:val="18"/>
                <w:szCs w:val="18"/>
              </w:rPr>
              <w:t>rounded to the tens place</w:t>
            </w:r>
            <w:r w:rsidR="00B464FE">
              <w:rPr>
                <w:sz w:val="18"/>
                <w:szCs w:val="18"/>
              </w:rPr>
              <w:t>.</w:t>
            </w:r>
          </w:p>
        </w:tc>
      </w:tr>
    </w:tbl>
    <w:bookmarkEnd w:id="7"/>
    <w:p w14:paraId="23869120" w14:textId="58B69105" w:rsidR="002F793A" w:rsidRDefault="00F5154A" w:rsidP="00500E4E">
      <w:pPr>
        <w:spacing w:after="0" w:line="240" w:lineRule="auto"/>
        <w:jc w:val="right"/>
        <w:rPr>
          <w:sz w:val="24"/>
          <w:szCs w:val="24"/>
        </w:rPr>
      </w:pPr>
      <w:r>
        <w:rPr>
          <w:noProof/>
        </w:rPr>
        <w:drawing>
          <wp:inline distT="0" distB="0" distL="0" distR="0" wp14:anchorId="127A8566" wp14:editId="53BB5796">
            <wp:extent cx="3479470" cy="2565070"/>
            <wp:effectExtent l="0" t="0" r="26035" b="26035"/>
            <wp:docPr id="3" name="Chart 3" descr="Graph chart depicting number of claims from 2015 through 2017" title="Number of claims by yea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1863577" w14:textId="77777777" w:rsidR="00500E4E" w:rsidRDefault="00500E4E" w:rsidP="00500E4E">
      <w:pPr>
        <w:spacing w:after="240" w:line="360" w:lineRule="auto"/>
        <w:ind w:firstLine="720"/>
        <w:contextualSpacing/>
        <w:rPr>
          <w:sz w:val="24"/>
          <w:szCs w:val="24"/>
        </w:rPr>
      </w:pPr>
    </w:p>
    <w:p w14:paraId="647AA27E" w14:textId="6164AAB3" w:rsidR="00BF22A3" w:rsidRPr="00BF22A3" w:rsidRDefault="00BF22A3" w:rsidP="0017242E">
      <w:pPr>
        <w:spacing w:after="240" w:line="360" w:lineRule="auto"/>
        <w:ind w:firstLine="720"/>
        <w:contextualSpacing/>
        <w:rPr>
          <w:sz w:val="24"/>
          <w:szCs w:val="24"/>
        </w:rPr>
      </w:pPr>
    </w:p>
    <w:sectPr w:rsidR="00BF22A3" w:rsidRPr="00BF22A3" w:rsidSect="00BF22A3">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E15A0" w14:textId="77777777" w:rsidR="00BF3664" w:rsidRDefault="00BF3664" w:rsidP="00BF22A3">
      <w:pPr>
        <w:spacing w:after="0" w:line="240" w:lineRule="auto"/>
      </w:pPr>
      <w:r>
        <w:separator/>
      </w:r>
    </w:p>
  </w:endnote>
  <w:endnote w:type="continuationSeparator" w:id="0">
    <w:p w14:paraId="254EA13D" w14:textId="77777777" w:rsidR="00BF3664" w:rsidRDefault="00BF3664" w:rsidP="00BF22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5E3460" w14:textId="77777777" w:rsidR="00D22A21" w:rsidRDefault="00D22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8340612"/>
      <w:docPartObj>
        <w:docPartGallery w:val="Page Numbers (Bottom of Page)"/>
        <w:docPartUnique/>
      </w:docPartObj>
    </w:sdtPr>
    <w:sdtEndPr>
      <w:rPr>
        <w:noProof/>
      </w:rPr>
    </w:sdtEndPr>
    <w:sdtContent>
      <w:p w14:paraId="3B56AA01" w14:textId="5D77E780" w:rsidR="0010053F" w:rsidRDefault="004E0C34" w:rsidP="00BF22A3">
        <w:pPr>
          <w:pStyle w:val="Footer"/>
        </w:pPr>
        <w:r>
          <w:tab/>
          <w:t>PUBLIC</w:t>
        </w:r>
        <w:r w:rsidR="0010053F">
          <w:tab/>
        </w:r>
        <w:r w:rsidR="0010053F">
          <w:fldChar w:fldCharType="begin"/>
        </w:r>
        <w:r w:rsidR="0010053F">
          <w:instrText xml:space="preserve"> PAGE   \* MERGEFORMAT </w:instrText>
        </w:r>
        <w:r w:rsidR="0010053F">
          <w:fldChar w:fldCharType="separate"/>
        </w:r>
        <w:r w:rsidR="00702327">
          <w:rPr>
            <w:noProof/>
          </w:rPr>
          <w:t>6</w:t>
        </w:r>
        <w:r w:rsidR="0010053F">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03538" w14:textId="6B82C3BA" w:rsidR="0010053F" w:rsidRDefault="0010053F">
    <w:pPr>
      <w:pStyle w:val="Footer"/>
    </w:pPr>
    <w:r>
      <w:tab/>
    </w:r>
    <w:r w:rsidR="005B3A02">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842B2" w14:textId="77777777" w:rsidR="00BF3664" w:rsidRDefault="00BF3664" w:rsidP="00BF22A3">
      <w:pPr>
        <w:spacing w:after="0" w:line="240" w:lineRule="auto"/>
      </w:pPr>
      <w:r>
        <w:separator/>
      </w:r>
    </w:p>
  </w:footnote>
  <w:footnote w:type="continuationSeparator" w:id="0">
    <w:p w14:paraId="142F89A0" w14:textId="77777777" w:rsidR="00BF3664" w:rsidRDefault="00BF3664" w:rsidP="00BF22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E03E4" w14:textId="77777777" w:rsidR="00D22A21" w:rsidRDefault="00D22A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3522F" w14:textId="01C9DDBB" w:rsidR="0010053F" w:rsidRDefault="0010053F">
    <w:pPr>
      <w:pStyle w:val="Header"/>
    </w:pPr>
    <w:r>
      <w:tab/>
    </w:r>
    <w:r w:rsidR="005B3A02">
      <w:tab/>
    </w:r>
    <w:r w:rsidR="00013795">
      <w:t>BD</w:t>
    </w:r>
    <w:r w:rsidR="005B3A02">
      <w:t xml:space="preserve"> Claims Analysis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2A0D40" w14:textId="6EC48E02" w:rsidR="0010053F" w:rsidRDefault="0010053F">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B78AF"/>
    <w:multiLevelType w:val="hybridMultilevel"/>
    <w:tmpl w:val="5ECAC6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B0609F"/>
    <w:multiLevelType w:val="hybridMultilevel"/>
    <w:tmpl w:val="E0E8C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C657338"/>
    <w:multiLevelType w:val="hybridMultilevel"/>
    <w:tmpl w:val="21C877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2A3"/>
    <w:rsid w:val="00001BD6"/>
    <w:rsid w:val="00003BAD"/>
    <w:rsid w:val="0000469A"/>
    <w:rsid w:val="00010B57"/>
    <w:rsid w:val="00013795"/>
    <w:rsid w:val="00015EE0"/>
    <w:rsid w:val="00060FAD"/>
    <w:rsid w:val="0008381F"/>
    <w:rsid w:val="000B6D12"/>
    <w:rsid w:val="000D24D6"/>
    <w:rsid w:val="0010053F"/>
    <w:rsid w:val="00102AD4"/>
    <w:rsid w:val="001071A6"/>
    <w:rsid w:val="0011305D"/>
    <w:rsid w:val="001302D2"/>
    <w:rsid w:val="0013379D"/>
    <w:rsid w:val="001406CD"/>
    <w:rsid w:val="00151F75"/>
    <w:rsid w:val="001556D8"/>
    <w:rsid w:val="00156A9A"/>
    <w:rsid w:val="00157E38"/>
    <w:rsid w:val="00160458"/>
    <w:rsid w:val="0017242E"/>
    <w:rsid w:val="0017345C"/>
    <w:rsid w:val="001734E6"/>
    <w:rsid w:val="00177DD1"/>
    <w:rsid w:val="00193C4F"/>
    <w:rsid w:val="00193E17"/>
    <w:rsid w:val="001A10F6"/>
    <w:rsid w:val="001A20BC"/>
    <w:rsid w:val="001A596F"/>
    <w:rsid w:val="001B04C4"/>
    <w:rsid w:val="001B1924"/>
    <w:rsid w:val="001B2DCB"/>
    <w:rsid w:val="001B4234"/>
    <w:rsid w:val="001E2282"/>
    <w:rsid w:val="001F1A48"/>
    <w:rsid w:val="001F41A6"/>
    <w:rsid w:val="001F5923"/>
    <w:rsid w:val="001F7C5B"/>
    <w:rsid w:val="002047AF"/>
    <w:rsid w:val="002055B5"/>
    <w:rsid w:val="00207DD0"/>
    <w:rsid w:val="0024568A"/>
    <w:rsid w:val="00255467"/>
    <w:rsid w:val="00270E6D"/>
    <w:rsid w:val="00275BF2"/>
    <w:rsid w:val="00286FA1"/>
    <w:rsid w:val="002875B1"/>
    <w:rsid w:val="00290F1E"/>
    <w:rsid w:val="00296799"/>
    <w:rsid w:val="002A08B4"/>
    <w:rsid w:val="002A79DE"/>
    <w:rsid w:val="002D5A1A"/>
    <w:rsid w:val="002F219C"/>
    <w:rsid w:val="002F2258"/>
    <w:rsid w:val="002F3CED"/>
    <w:rsid w:val="002F793A"/>
    <w:rsid w:val="003147ED"/>
    <w:rsid w:val="003531AA"/>
    <w:rsid w:val="00353736"/>
    <w:rsid w:val="00354ED3"/>
    <w:rsid w:val="003670E0"/>
    <w:rsid w:val="00387994"/>
    <w:rsid w:val="00390B25"/>
    <w:rsid w:val="003A638F"/>
    <w:rsid w:val="003A63F8"/>
    <w:rsid w:val="003E5EE2"/>
    <w:rsid w:val="004044E0"/>
    <w:rsid w:val="00410B24"/>
    <w:rsid w:val="0041210C"/>
    <w:rsid w:val="004210E4"/>
    <w:rsid w:val="00426B2A"/>
    <w:rsid w:val="00427794"/>
    <w:rsid w:val="00445789"/>
    <w:rsid w:val="00447DB3"/>
    <w:rsid w:val="00457531"/>
    <w:rsid w:val="00460D6C"/>
    <w:rsid w:val="0046637A"/>
    <w:rsid w:val="004701EB"/>
    <w:rsid w:val="004A23C7"/>
    <w:rsid w:val="004B59B6"/>
    <w:rsid w:val="004E0C34"/>
    <w:rsid w:val="004E62E5"/>
    <w:rsid w:val="004F2FDC"/>
    <w:rsid w:val="00500E4E"/>
    <w:rsid w:val="00502DE1"/>
    <w:rsid w:val="0051233A"/>
    <w:rsid w:val="00515E3E"/>
    <w:rsid w:val="005178EF"/>
    <w:rsid w:val="00524133"/>
    <w:rsid w:val="00527D71"/>
    <w:rsid w:val="00572762"/>
    <w:rsid w:val="00592D22"/>
    <w:rsid w:val="005A06C7"/>
    <w:rsid w:val="005A3C1B"/>
    <w:rsid w:val="005A7155"/>
    <w:rsid w:val="005B3799"/>
    <w:rsid w:val="005B3A02"/>
    <w:rsid w:val="005C33CF"/>
    <w:rsid w:val="005C646B"/>
    <w:rsid w:val="005D7209"/>
    <w:rsid w:val="005F2DB7"/>
    <w:rsid w:val="005F32EC"/>
    <w:rsid w:val="00603E78"/>
    <w:rsid w:val="0061786E"/>
    <w:rsid w:val="00621379"/>
    <w:rsid w:val="00627E74"/>
    <w:rsid w:val="006337B4"/>
    <w:rsid w:val="00633E56"/>
    <w:rsid w:val="00637217"/>
    <w:rsid w:val="0064020F"/>
    <w:rsid w:val="006436C3"/>
    <w:rsid w:val="0066006E"/>
    <w:rsid w:val="006615CE"/>
    <w:rsid w:val="006625DC"/>
    <w:rsid w:val="00684BC4"/>
    <w:rsid w:val="006877D0"/>
    <w:rsid w:val="00697733"/>
    <w:rsid w:val="006C15B6"/>
    <w:rsid w:val="006C1C1D"/>
    <w:rsid w:val="006C3CC5"/>
    <w:rsid w:val="006C6278"/>
    <w:rsid w:val="006D3342"/>
    <w:rsid w:val="006D7718"/>
    <w:rsid w:val="006D78CF"/>
    <w:rsid w:val="006E19D3"/>
    <w:rsid w:val="006F0B3F"/>
    <w:rsid w:val="007022D5"/>
    <w:rsid w:val="00702327"/>
    <w:rsid w:val="00702B21"/>
    <w:rsid w:val="00702C6E"/>
    <w:rsid w:val="00706A31"/>
    <w:rsid w:val="00706BA6"/>
    <w:rsid w:val="007233DD"/>
    <w:rsid w:val="00743496"/>
    <w:rsid w:val="007435C4"/>
    <w:rsid w:val="007467A1"/>
    <w:rsid w:val="0076688B"/>
    <w:rsid w:val="0077298C"/>
    <w:rsid w:val="00781CF8"/>
    <w:rsid w:val="00790627"/>
    <w:rsid w:val="007A2EBC"/>
    <w:rsid w:val="007A4E92"/>
    <w:rsid w:val="007A61AF"/>
    <w:rsid w:val="007B32FF"/>
    <w:rsid w:val="007B630E"/>
    <w:rsid w:val="007B6C7A"/>
    <w:rsid w:val="007C4406"/>
    <w:rsid w:val="007C4AB0"/>
    <w:rsid w:val="007D3EDC"/>
    <w:rsid w:val="007D75F6"/>
    <w:rsid w:val="007E1CEA"/>
    <w:rsid w:val="007E1E5B"/>
    <w:rsid w:val="007E2E50"/>
    <w:rsid w:val="007E2F91"/>
    <w:rsid w:val="007E3BB2"/>
    <w:rsid w:val="007E4171"/>
    <w:rsid w:val="007E7CD6"/>
    <w:rsid w:val="007F2A7F"/>
    <w:rsid w:val="007F7E15"/>
    <w:rsid w:val="00804226"/>
    <w:rsid w:val="008109CB"/>
    <w:rsid w:val="00820DEE"/>
    <w:rsid w:val="008444E7"/>
    <w:rsid w:val="00844911"/>
    <w:rsid w:val="00844D9F"/>
    <w:rsid w:val="008458B3"/>
    <w:rsid w:val="008574E7"/>
    <w:rsid w:val="008618D0"/>
    <w:rsid w:val="00863E6E"/>
    <w:rsid w:val="0088104E"/>
    <w:rsid w:val="008824EE"/>
    <w:rsid w:val="00884CCE"/>
    <w:rsid w:val="008A19D4"/>
    <w:rsid w:val="008A3428"/>
    <w:rsid w:val="008C2C6D"/>
    <w:rsid w:val="008D5F53"/>
    <w:rsid w:val="008D70E6"/>
    <w:rsid w:val="008E13AC"/>
    <w:rsid w:val="008E1A21"/>
    <w:rsid w:val="008E4258"/>
    <w:rsid w:val="0090452E"/>
    <w:rsid w:val="0092126F"/>
    <w:rsid w:val="00931E0A"/>
    <w:rsid w:val="009449B2"/>
    <w:rsid w:val="00951933"/>
    <w:rsid w:val="009539B3"/>
    <w:rsid w:val="00960EDD"/>
    <w:rsid w:val="00964457"/>
    <w:rsid w:val="00966A83"/>
    <w:rsid w:val="00970A4C"/>
    <w:rsid w:val="0097347B"/>
    <w:rsid w:val="009767E8"/>
    <w:rsid w:val="009826F5"/>
    <w:rsid w:val="009B60D6"/>
    <w:rsid w:val="009B6780"/>
    <w:rsid w:val="009C06E3"/>
    <w:rsid w:val="009C4D5C"/>
    <w:rsid w:val="009C7936"/>
    <w:rsid w:val="009C79F5"/>
    <w:rsid w:val="009D5B48"/>
    <w:rsid w:val="009D5B9D"/>
    <w:rsid w:val="009F3F2A"/>
    <w:rsid w:val="009F4720"/>
    <w:rsid w:val="00A03A1D"/>
    <w:rsid w:val="00A16C37"/>
    <w:rsid w:val="00A24F88"/>
    <w:rsid w:val="00A50801"/>
    <w:rsid w:val="00A5328A"/>
    <w:rsid w:val="00A672A5"/>
    <w:rsid w:val="00A679CF"/>
    <w:rsid w:val="00A75583"/>
    <w:rsid w:val="00AB119B"/>
    <w:rsid w:val="00AB291E"/>
    <w:rsid w:val="00AB43FD"/>
    <w:rsid w:val="00AB4887"/>
    <w:rsid w:val="00AC1330"/>
    <w:rsid w:val="00AC1C1D"/>
    <w:rsid w:val="00AC2679"/>
    <w:rsid w:val="00AC4A03"/>
    <w:rsid w:val="00AE12F7"/>
    <w:rsid w:val="00AE2498"/>
    <w:rsid w:val="00AE3014"/>
    <w:rsid w:val="00AE3685"/>
    <w:rsid w:val="00AE72E6"/>
    <w:rsid w:val="00AF1EA3"/>
    <w:rsid w:val="00B06123"/>
    <w:rsid w:val="00B06A78"/>
    <w:rsid w:val="00B167C1"/>
    <w:rsid w:val="00B17897"/>
    <w:rsid w:val="00B44425"/>
    <w:rsid w:val="00B4564D"/>
    <w:rsid w:val="00B463F8"/>
    <w:rsid w:val="00B464FE"/>
    <w:rsid w:val="00B67CC4"/>
    <w:rsid w:val="00B743CD"/>
    <w:rsid w:val="00B76532"/>
    <w:rsid w:val="00B86177"/>
    <w:rsid w:val="00B86541"/>
    <w:rsid w:val="00BB273C"/>
    <w:rsid w:val="00BB2B45"/>
    <w:rsid w:val="00BB7D43"/>
    <w:rsid w:val="00BD4B6C"/>
    <w:rsid w:val="00BE2B7E"/>
    <w:rsid w:val="00BF1C76"/>
    <w:rsid w:val="00BF22A3"/>
    <w:rsid w:val="00BF3664"/>
    <w:rsid w:val="00BF40DB"/>
    <w:rsid w:val="00BF63E2"/>
    <w:rsid w:val="00C07169"/>
    <w:rsid w:val="00C1626D"/>
    <w:rsid w:val="00C230EF"/>
    <w:rsid w:val="00C33333"/>
    <w:rsid w:val="00C568A4"/>
    <w:rsid w:val="00C62AE5"/>
    <w:rsid w:val="00C66B5B"/>
    <w:rsid w:val="00C679D3"/>
    <w:rsid w:val="00C760E0"/>
    <w:rsid w:val="00C778F6"/>
    <w:rsid w:val="00C83215"/>
    <w:rsid w:val="00C9372B"/>
    <w:rsid w:val="00CA08B9"/>
    <w:rsid w:val="00CA381C"/>
    <w:rsid w:val="00CB4FEA"/>
    <w:rsid w:val="00CB76C1"/>
    <w:rsid w:val="00CC003E"/>
    <w:rsid w:val="00CF5769"/>
    <w:rsid w:val="00D00ECE"/>
    <w:rsid w:val="00D04123"/>
    <w:rsid w:val="00D220ED"/>
    <w:rsid w:val="00D22A21"/>
    <w:rsid w:val="00D30BEC"/>
    <w:rsid w:val="00D3207B"/>
    <w:rsid w:val="00D33551"/>
    <w:rsid w:val="00D453B8"/>
    <w:rsid w:val="00D54A33"/>
    <w:rsid w:val="00D81F5F"/>
    <w:rsid w:val="00D82BA3"/>
    <w:rsid w:val="00D91A48"/>
    <w:rsid w:val="00D94522"/>
    <w:rsid w:val="00DA4619"/>
    <w:rsid w:val="00DA68A0"/>
    <w:rsid w:val="00DE35EB"/>
    <w:rsid w:val="00DE4304"/>
    <w:rsid w:val="00DE54A4"/>
    <w:rsid w:val="00DE6A27"/>
    <w:rsid w:val="00DF1637"/>
    <w:rsid w:val="00E028BF"/>
    <w:rsid w:val="00E03401"/>
    <w:rsid w:val="00E246C7"/>
    <w:rsid w:val="00E27D38"/>
    <w:rsid w:val="00E34156"/>
    <w:rsid w:val="00E3629E"/>
    <w:rsid w:val="00E37157"/>
    <w:rsid w:val="00E4173F"/>
    <w:rsid w:val="00E557EA"/>
    <w:rsid w:val="00E56932"/>
    <w:rsid w:val="00E609BB"/>
    <w:rsid w:val="00E6276A"/>
    <w:rsid w:val="00E62F79"/>
    <w:rsid w:val="00E633DA"/>
    <w:rsid w:val="00E63837"/>
    <w:rsid w:val="00E652FC"/>
    <w:rsid w:val="00E65C85"/>
    <w:rsid w:val="00E96459"/>
    <w:rsid w:val="00EA1C91"/>
    <w:rsid w:val="00EA30CA"/>
    <w:rsid w:val="00EB0309"/>
    <w:rsid w:val="00EB37FC"/>
    <w:rsid w:val="00EC346C"/>
    <w:rsid w:val="00EC76E4"/>
    <w:rsid w:val="00EE4C02"/>
    <w:rsid w:val="00EF364B"/>
    <w:rsid w:val="00F10C11"/>
    <w:rsid w:val="00F1731B"/>
    <w:rsid w:val="00F3288F"/>
    <w:rsid w:val="00F36665"/>
    <w:rsid w:val="00F41094"/>
    <w:rsid w:val="00F5154A"/>
    <w:rsid w:val="00F609D3"/>
    <w:rsid w:val="00F94828"/>
    <w:rsid w:val="00FB0B56"/>
    <w:rsid w:val="00FB42A2"/>
    <w:rsid w:val="00FB5FA2"/>
    <w:rsid w:val="00FB7104"/>
    <w:rsid w:val="00FD26DE"/>
    <w:rsid w:val="00FD3644"/>
    <w:rsid w:val="00FE3F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1297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2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A3"/>
    <w:pPr>
      <w:ind w:left="720"/>
      <w:contextualSpacing/>
    </w:pPr>
  </w:style>
  <w:style w:type="paragraph" w:styleId="Header">
    <w:name w:val="header"/>
    <w:basedOn w:val="Normal"/>
    <w:link w:val="HeaderChar"/>
    <w:uiPriority w:val="99"/>
    <w:unhideWhenUsed/>
    <w:rsid w:val="00BF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A3"/>
  </w:style>
  <w:style w:type="paragraph" w:styleId="Footer">
    <w:name w:val="footer"/>
    <w:basedOn w:val="Normal"/>
    <w:link w:val="FooterChar"/>
    <w:uiPriority w:val="99"/>
    <w:unhideWhenUsed/>
    <w:rsid w:val="00BF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A3"/>
  </w:style>
  <w:style w:type="character" w:styleId="CommentReference">
    <w:name w:val="annotation reference"/>
    <w:basedOn w:val="DefaultParagraphFont"/>
    <w:uiPriority w:val="99"/>
    <w:semiHidden/>
    <w:unhideWhenUsed/>
    <w:rsid w:val="00C1626D"/>
    <w:rPr>
      <w:sz w:val="16"/>
      <w:szCs w:val="16"/>
    </w:rPr>
  </w:style>
  <w:style w:type="paragraph" w:styleId="CommentText">
    <w:name w:val="annotation text"/>
    <w:basedOn w:val="Normal"/>
    <w:link w:val="CommentTextChar"/>
    <w:uiPriority w:val="99"/>
    <w:semiHidden/>
    <w:unhideWhenUsed/>
    <w:rsid w:val="00C1626D"/>
    <w:pPr>
      <w:spacing w:line="240" w:lineRule="auto"/>
    </w:pPr>
    <w:rPr>
      <w:sz w:val="20"/>
      <w:szCs w:val="20"/>
    </w:rPr>
  </w:style>
  <w:style w:type="character" w:customStyle="1" w:styleId="CommentTextChar">
    <w:name w:val="Comment Text Char"/>
    <w:basedOn w:val="DefaultParagraphFont"/>
    <w:link w:val="CommentText"/>
    <w:uiPriority w:val="99"/>
    <w:semiHidden/>
    <w:rsid w:val="00C1626D"/>
    <w:rPr>
      <w:sz w:val="20"/>
      <w:szCs w:val="20"/>
    </w:rPr>
  </w:style>
  <w:style w:type="paragraph" w:styleId="CommentSubject">
    <w:name w:val="annotation subject"/>
    <w:basedOn w:val="CommentText"/>
    <w:next w:val="CommentText"/>
    <w:link w:val="CommentSubjectChar"/>
    <w:uiPriority w:val="99"/>
    <w:semiHidden/>
    <w:unhideWhenUsed/>
    <w:rsid w:val="00C1626D"/>
    <w:rPr>
      <w:b/>
      <w:bCs/>
    </w:rPr>
  </w:style>
  <w:style w:type="character" w:customStyle="1" w:styleId="CommentSubjectChar">
    <w:name w:val="Comment Subject Char"/>
    <w:basedOn w:val="CommentTextChar"/>
    <w:link w:val="CommentSubject"/>
    <w:uiPriority w:val="99"/>
    <w:semiHidden/>
    <w:rsid w:val="00C1626D"/>
    <w:rPr>
      <w:b/>
      <w:bCs/>
      <w:sz w:val="20"/>
      <w:szCs w:val="20"/>
    </w:rPr>
  </w:style>
  <w:style w:type="paragraph" w:styleId="BalloonText">
    <w:name w:val="Balloon Text"/>
    <w:basedOn w:val="Normal"/>
    <w:link w:val="BalloonTextChar"/>
    <w:uiPriority w:val="99"/>
    <w:semiHidden/>
    <w:unhideWhenUsed/>
    <w:rsid w:val="00C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6D"/>
    <w:rPr>
      <w:rFonts w:ascii="Tahoma" w:hAnsi="Tahoma" w:cs="Tahoma"/>
      <w:sz w:val="16"/>
      <w:szCs w:val="16"/>
    </w:rPr>
  </w:style>
  <w:style w:type="paragraph" w:styleId="Caption">
    <w:name w:val="caption"/>
    <w:basedOn w:val="Normal"/>
    <w:next w:val="Normal"/>
    <w:uiPriority w:val="35"/>
    <w:unhideWhenUsed/>
    <w:qFormat/>
    <w:rsid w:val="00445789"/>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0D2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4D6"/>
    <w:rPr>
      <w:sz w:val="20"/>
      <w:szCs w:val="20"/>
    </w:rPr>
  </w:style>
  <w:style w:type="character" w:styleId="FootnoteReference">
    <w:name w:val="footnote reference"/>
    <w:basedOn w:val="DefaultParagraphFont"/>
    <w:uiPriority w:val="99"/>
    <w:semiHidden/>
    <w:unhideWhenUsed/>
    <w:rsid w:val="000D24D6"/>
    <w:rPr>
      <w:vertAlign w:val="superscript"/>
    </w:rPr>
  </w:style>
  <w:style w:type="character" w:styleId="Hyperlink">
    <w:name w:val="Hyperlink"/>
    <w:basedOn w:val="DefaultParagraphFont"/>
    <w:uiPriority w:val="99"/>
    <w:unhideWhenUsed/>
    <w:rsid w:val="006877D0"/>
    <w:rPr>
      <w:color w:val="0000FF" w:themeColor="hyperlink"/>
      <w:u w:val="single"/>
    </w:rPr>
  </w:style>
  <w:style w:type="character" w:customStyle="1" w:styleId="Heading1Char">
    <w:name w:val="Heading 1 Char"/>
    <w:basedOn w:val="DefaultParagraphFont"/>
    <w:link w:val="Heading1"/>
    <w:uiPriority w:val="9"/>
    <w:rsid w:val="00BB27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2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1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C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27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E228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22A3"/>
    <w:pPr>
      <w:ind w:left="720"/>
      <w:contextualSpacing/>
    </w:pPr>
  </w:style>
  <w:style w:type="paragraph" w:styleId="Header">
    <w:name w:val="header"/>
    <w:basedOn w:val="Normal"/>
    <w:link w:val="HeaderChar"/>
    <w:uiPriority w:val="99"/>
    <w:unhideWhenUsed/>
    <w:rsid w:val="00BF22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22A3"/>
  </w:style>
  <w:style w:type="paragraph" w:styleId="Footer">
    <w:name w:val="footer"/>
    <w:basedOn w:val="Normal"/>
    <w:link w:val="FooterChar"/>
    <w:uiPriority w:val="99"/>
    <w:unhideWhenUsed/>
    <w:rsid w:val="00BF22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22A3"/>
  </w:style>
  <w:style w:type="character" w:styleId="CommentReference">
    <w:name w:val="annotation reference"/>
    <w:basedOn w:val="DefaultParagraphFont"/>
    <w:uiPriority w:val="99"/>
    <w:semiHidden/>
    <w:unhideWhenUsed/>
    <w:rsid w:val="00C1626D"/>
    <w:rPr>
      <w:sz w:val="16"/>
      <w:szCs w:val="16"/>
    </w:rPr>
  </w:style>
  <w:style w:type="paragraph" w:styleId="CommentText">
    <w:name w:val="annotation text"/>
    <w:basedOn w:val="Normal"/>
    <w:link w:val="CommentTextChar"/>
    <w:uiPriority w:val="99"/>
    <w:semiHidden/>
    <w:unhideWhenUsed/>
    <w:rsid w:val="00C1626D"/>
    <w:pPr>
      <w:spacing w:line="240" w:lineRule="auto"/>
    </w:pPr>
    <w:rPr>
      <w:sz w:val="20"/>
      <w:szCs w:val="20"/>
    </w:rPr>
  </w:style>
  <w:style w:type="character" w:customStyle="1" w:styleId="CommentTextChar">
    <w:name w:val="Comment Text Char"/>
    <w:basedOn w:val="DefaultParagraphFont"/>
    <w:link w:val="CommentText"/>
    <w:uiPriority w:val="99"/>
    <w:semiHidden/>
    <w:rsid w:val="00C1626D"/>
    <w:rPr>
      <w:sz w:val="20"/>
      <w:szCs w:val="20"/>
    </w:rPr>
  </w:style>
  <w:style w:type="paragraph" w:styleId="CommentSubject">
    <w:name w:val="annotation subject"/>
    <w:basedOn w:val="CommentText"/>
    <w:next w:val="CommentText"/>
    <w:link w:val="CommentSubjectChar"/>
    <w:uiPriority w:val="99"/>
    <w:semiHidden/>
    <w:unhideWhenUsed/>
    <w:rsid w:val="00C1626D"/>
    <w:rPr>
      <w:b/>
      <w:bCs/>
    </w:rPr>
  </w:style>
  <w:style w:type="character" w:customStyle="1" w:styleId="CommentSubjectChar">
    <w:name w:val="Comment Subject Char"/>
    <w:basedOn w:val="CommentTextChar"/>
    <w:link w:val="CommentSubject"/>
    <w:uiPriority w:val="99"/>
    <w:semiHidden/>
    <w:rsid w:val="00C1626D"/>
    <w:rPr>
      <w:b/>
      <w:bCs/>
      <w:sz w:val="20"/>
      <w:szCs w:val="20"/>
    </w:rPr>
  </w:style>
  <w:style w:type="paragraph" w:styleId="BalloonText">
    <w:name w:val="Balloon Text"/>
    <w:basedOn w:val="Normal"/>
    <w:link w:val="BalloonTextChar"/>
    <w:uiPriority w:val="99"/>
    <w:semiHidden/>
    <w:unhideWhenUsed/>
    <w:rsid w:val="00C162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626D"/>
    <w:rPr>
      <w:rFonts w:ascii="Tahoma" w:hAnsi="Tahoma" w:cs="Tahoma"/>
      <w:sz w:val="16"/>
      <w:szCs w:val="16"/>
    </w:rPr>
  </w:style>
  <w:style w:type="paragraph" w:styleId="Caption">
    <w:name w:val="caption"/>
    <w:basedOn w:val="Normal"/>
    <w:next w:val="Normal"/>
    <w:uiPriority w:val="35"/>
    <w:unhideWhenUsed/>
    <w:qFormat/>
    <w:rsid w:val="00445789"/>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0D24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D24D6"/>
    <w:rPr>
      <w:sz w:val="20"/>
      <w:szCs w:val="20"/>
    </w:rPr>
  </w:style>
  <w:style w:type="character" w:styleId="FootnoteReference">
    <w:name w:val="footnote reference"/>
    <w:basedOn w:val="DefaultParagraphFont"/>
    <w:uiPriority w:val="99"/>
    <w:semiHidden/>
    <w:unhideWhenUsed/>
    <w:rsid w:val="000D24D6"/>
    <w:rPr>
      <w:vertAlign w:val="superscript"/>
    </w:rPr>
  </w:style>
  <w:style w:type="character" w:styleId="Hyperlink">
    <w:name w:val="Hyperlink"/>
    <w:basedOn w:val="DefaultParagraphFont"/>
    <w:uiPriority w:val="99"/>
    <w:unhideWhenUsed/>
    <w:rsid w:val="006877D0"/>
    <w:rPr>
      <w:color w:val="0000FF" w:themeColor="hyperlink"/>
      <w:u w:val="single"/>
    </w:rPr>
  </w:style>
  <w:style w:type="character" w:customStyle="1" w:styleId="Heading1Char">
    <w:name w:val="Heading 1 Char"/>
    <w:basedOn w:val="DefaultParagraphFont"/>
    <w:link w:val="Heading1"/>
    <w:uiPriority w:val="9"/>
    <w:rsid w:val="00BB273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E2282"/>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F10C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6C1C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158670">
      <w:bodyDiv w:val="1"/>
      <w:marLeft w:val="0"/>
      <w:marRight w:val="0"/>
      <w:marTop w:val="0"/>
      <w:marBottom w:val="0"/>
      <w:divBdr>
        <w:top w:val="none" w:sz="0" w:space="0" w:color="auto"/>
        <w:left w:val="none" w:sz="0" w:space="0" w:color="auto"/>
        <w:bottom w:val="none" w:sz="0" w:space="0" w:color="auto"/>
        <w:right w:val="none" w:sz="0" w:space="0" w:color="auto"/>
      </w:divBdr>
    </w:div>
    <w:div w:id="506602941">
      <w:bodyDiv w:val="1"/>
      <w:marLeft w:val="0"/>
      <w:marRight w:val="0"/>
      <w:marTop w:val="0"/>
      <w:marBottom w:val="0"/>
      <w:divBdr>
        <w:top w:val="none" w:sz="0" w:space="0" w:color="auto"/>
        <w:left w:val="none" w:sz="0" w:space="0" w:color="auto"/>
        <w:bottom w:val="none" w:sz="0" w:space="0" w:color="auto"/>
        <w:right w:val="none" w:sz="0" w:space="0" w:color="auto"/>
      </w:divBdr>
    </w:div>
    <w:div w:id="1133718291">
      <w:bodyDiv w:val="1"/>
      <w:marLeft w:val="0"/>
      <w:marRight w:val="0"/>
      <w:marTop w:val="0"/>
      <w:marBottom w:val="0"/>
      <w:divBdr>
        <w:top w:val="none" w:sz="0" w:space="0" w:color="auto"/>
        <w:left w:val="none" w:sz="0" w:space="0" w:color="auto"/>
        <w:bottom w:val="none" w:sz="0" w:space="0" w:color="auto"/>
        <w:right w:val="none" w:sz="0" w:space="0" w:color="auto"/>
      </w:divBdr>
    </w:div>
    <w:div w:id="1374887186">
      <w:bodyDiv w:val="1"/>
      <w:marLeft w:val="0"/>
      <w:marRight w:val="0"/>
      <w:marTop w:val="0"/>
      <w:marBottom w:val="0"/>
      <w:divBdr>
        <w:top w:val="none" w:sz="0" w:space="0" w:color="auto"/>
        <w:left w:val="none" w:sz="0" w:space="0" w:color="auto"/>
        <w:bottom w:val="none" w:sz="0" w:space="0" w:color="auto"/>
        <w:right w:val="none" w:sz="0" w:space="0" w:color="auto"/>
      </w:divBdr>
    </w:div>
    <w:div w:id="1448937721">
      <w:bodyDiv w:val="1"/>
      <w:marLeft w:val="0"/>
      <w:marRight w:val="0"/>
      <w:marTop w:val="0"/>
      <w:marBottom w:val="0"/>
      <w:divBdr>
        <w:top w:val="none" w:sz="0" w:space="0" w:color="auto"/>
        <w:left w:val="none" w:sz="0" w:space="0" w:color="auto"/>
        <w:bottom w:val="none" w:sz="0" w:space="0" w:color="auto"/>
        <w:right w:val="none" w:sz="0" w:space="0" w:color="auto"/>
      </w:divBdr>
    </w:div>
    <w:div w:id="1657144246">
      <w:bodyDiv w:val="1"/>
      <w:marLeft w:val="0"/>
      <w:marRight w:val="0"/>
      <w:marTop w:val="0"/>
      <w:marBottom w:val="0"/>
      <w:divBdr>
        <w:top w:val="none" w:sz="0" w:space="0" w:color="auto"/>
        <w:left w:val="none" w:sz="0" w:space="0" w:color="auto"/>
        <w:bottom w:val="none" w:sz="0" w:space="0" w:color="auto"/>
        <w:right w:val="none" w:sz="0" w:space="0" w:color="auto"/>
      </w:divBdr>
    </w:div>
    <w:div w:id="1728413192">
      <w:bodyDiv w:val="1"/>
      <w:marLeft w:val="0"/>
      <w:marRight w:val="0"/>
      <w:marTop w:val="0"/>
      <w:marBottom w:val="0"/>
      <w:divBdr>
        <w:top w:val="none" w:sz="0" w:space="0" w:color="auto"/>
        <w:left w:val="none" w:sz="0" w:space="0" w:color="auto"/>
        <w:bottom w:val="none" w:sz="0" w:space="0" w:color="auto"/>
        <w:right w:val="none" w:sz="0" w:space="0" w:color="auto"/>
      </w:divBdr>
    </w:div>
    <w:div w:id="1731920262">
      <w:bodyDiv w:val="1"/>
      <w:marLeft w:val="0"/>
      <w:marRight w:val="0"/>
      <w:marTop w:val="0"/>
      <w:marBottom w:val="0"/>
      <w:divBdr>
        <w:top w:val="none" w:sz="0" w:space="0" w:color="auto"/>
        <w:left w:val="none" w:sz="0" w:space="0" w:color="auto"/>
        <w:bottom w:val="none" w:sz="0" w:space="0" w:color="auto"/>
        <w:right w:val="none" w:sz="0" w:space="0" w:color="auto"/>
      </w:divBdr>
    </w:div>
    <w:div w:id="1824855438">
      <w:bodyDiv w:val="1"/>
      <w:marLeft w:val="0"/>
      <w:marRight w:val="0"/>
      <w:marTop w:val="0"/>
      <w:marBottom w:val="0"/>
      <w:divBdr>
        <w:top w:val="none" w:sz="0" w:space="0" w:color="auto"/>
        <w:left w:val="none" w:sz="0" w:space="0" w:color="auto"/>
        <w:bottom w:val="none" w:sz="0" w:space="0" w:color="auto"/>
        <w:right w:val="none" w:sz="0" w:space="0" w:color="auto"/>
      </w:divBdr>
    </w:div>
    <w:div w:id="1974359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arah.Hay\Desktop\BD%20Analysis%20N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2"/>
          <c:order val="0"/>
          <c:tx>
            <c:strRef>
              <c:f>Sheet1!$J$1</c:f>
              <c:strCache>
                <c:ptCount val="1"/>
                <c:pt idx="0">
                  <c:v>Cumulative Resolved</c:v>
                </c:pt>
              </c:strCache>
            </c:strRef>
          </c:tx>
          <c:spPr>
            <a:ln>
              <a:solidFill>
                <a:schemeClr val="accent6">
                  <a:lumMod val="75000"/>
                </a:schemeClr>
              </a:solidFill>
            </a:ln>
          </c:spPr>
          <c:marker>
            <c:symbol val="none"/>
          </c:marker>
          <c:cat>
            <c:numRef>
              <c:f>Sheet1!$H$9:$H$11</c:f>
              <c:numCache>
                <c:formatCode>General</c:formatCode>
                <c:ptCount val="3"/>
                <c:pt idx="0">
                  <c:v>2015</c:v>
                </c:pt>
                <c:pt idx="1">
                  <c:v>2016</c:v>
                </c:pt>
                <c:pt idx="2">
                  <c:v>2017</c:v>
                </c:pt>
              </c:numCache>
            </c:numRef>
          </c:cat>
          <c:val>
            <c:numRef>
              <c:f>Sheet1!$J$9:$J$11</c:f>
              <c:numCache>
                <c:formatCode>General</c:formatCode>
                <c:ptCount val="3"/>
                <c:pt idx="0">
                  <c:v>0</c:v>
                </c:pt>
                <c:pt idx="1">
                  <c:v>14984</c:v>
                </c:pt>
                <c:pt idx="2">
                  <c:v>31138</c:v>
                </c:pt>
              </c:numCache>
            </c:numRef>
          </c:val>
          <c:smooth val="0"/>
        </c:ser>
        <c:ser>
          <c:idx val="1"/>
          <c:order val="1"/>
          <c:tx>
            <c:strRef>
              <c:f>Sheet1!$I$1</c:f>
              <c:strCache>
                <c:ptCount val="1"/>
                <c:pt idx="0">
                  <c:v>Cumulative Received</c:v>
                </c:pt>
              </c:strCache>
            </c:strRef>
          </c:tx>
          <c:spPr>
            <a:ln>
              <a:solidFill>
                <a:schemeClr val="accent5">
                  <a:lumMod val="75000"/>
                </a:schemeClr>
              </a:solidFill>
            </a:ln>
          </c:spPr>
          <c:marker>
            <c:symbol val="none"/>
          </c:marker>
          <c:cat>
            <c:numRef>
              <c:f>Sheet1!$H$9:$H$11</c:f>
              <c:numCache>
                <c:formatCode>General</c:formatCode>
                <c:ptCount val="3"/>
                <c:pt idx="0">
                  <c:v>2015</c:v>
                </c:pt>
                <c:pt idx="1">
                  <c:v>2016</c:v>
                </c:pt>
                <c:pt idx="2">
                  <c:v>2017</c:v>
                </c:pt>
              </c:numCache>
            </c:numRef>
          </c:cat>
          <c:val>
            <c:numRef>
              <c:f>Sheet1!$I$9:$I$11</c:f>
              <c:numCache>
                <c:formatCode>General</c:formatCode>
                <c:ptCount val="3"/>
                <c:pt idx="0">
                  <c:v>10167</c:v>
                </c:pt>
                <c:pt idx="1">
                  <c:v>87509</c:v>
                </c:pt>
                <c:pt idx="2">
                  <c:v>135050</c:v>
                </c:pt>
              </c:numCache>
            </c:numRef>
          </c:val>
          <c:smooth val="0"/>
        </c:ser>
        <c:dLbls>
          <c:showLegendKey val="0"/>
          <c:showVal val="0"/>
          <c:showCatName val="0"/>
          <c:showSerName val="0"/>
          <c:showPercent val="0"/>
          <c:showBubbleSize val="0"/>
        </c:dLbls>
        <c:marker val="1"/>
        <c:smooth val="0"/>
        <c:axId val="136899968"/>
        <c:axId val="47523328"/>
      </c:lineChart>
      <c:catAx>
        <c:axId val="136899968"/>
        <c:scaling>
          <c:orientation val="minMax"/>
        </c:scaling>
        <c:delete val="0"/>
        <c:axPos val="b"/>
        <c:title>
          <c:tx>
            <c:rich>
              <a:bodyPr/>
              <a:lstStyle/>
              <a:p>
                <a:pPr>
                  <a:defRPr/>
                </a:pPr>
                <a:r>
                  <a:rPr lang="en-US"/>
                  <a:t>Year</a:t>
                </a:r>
              </a:p>
            </c:rich>
          </c:tx>
          <c:layout/>
          <c:overlay val="0"/>
        </c:title>
        <c:numFmt formatCode="General" sourceLinked="1"/>
        <c:majorTickMark val="out"/>
        <c:minorTickMark val="none"/>
        <c:tickLblPos val="nextTo"/>
        <c:crossAx val="47523328"/>
        <c:crosses val="autoZero"/>
        <c:auto val="1"/>
        <c:lblAlgn val="ctr"/>
        <c:lblOffset val="100"/>
        <c:noMultiLvlLbl val="0"/>
      </c:catAx>
      <c:valAx>
        <c:axId val="47523328"/>
        <c:scaling>
          <c:orientation val="minMax"/>
          <c:max val="140000"/>
        </c:scaling>
        <c:delete val="0"/>
        <c:axPos val="l"/>
        <c:majorGridlines/>
        <c:title>
          <c:tx>
            <c:rich>
              <a:bodyPr rot="-5400000" vert="horz"/>
              <a:lstStyle/>
              <a:p>
                <a:pPr>
                  <a:defRPr/>
                </a:pPr>
                <a:r>
                  <a:rPr lang="en-US"/>
                  <a:t>Number of Claims</a:t>
                </a:r>
              </a:p>
            </c:rich>
          </c:tx>
          <c:layout/>
          <c:overlay val="0"/>
        </c:title>
        <c:numFmt formatCode="General" sourceLinked="1"/>
        <c:majorTickMark val="out"/>
        <c:minorTickMark val="none"/>
        <c:tickLblPos val="nextTo"/>
        <c:crossAx val="136899968"/>
        <c:crosses val="autoZero"/>
        <c:crossBetween val="midCat"/>
      </c:valAx>
    </c:plotArea>
    <c:legend>
      <c:legendPos val="b"/>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1195</Words>
  <Characters>6814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2018-01-12T19:08:00Z</dcterms:created>
  <dcterms:modified xsi:type="dcterms:W3CDTF">2018-01-12T19:08:00Z</dcterms:modified>
</cp:coreProperties>
</file>