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91CDA" w14:textId="3B574CB0" w:rsidR="00484BAE" w:rsidRPr="000947F5" w:rsidRDefault="00484BAE" w:rsidP="000B0A56">
      <w:pPr>
        <w:shd w:val="clear" w:color="auto" w:fill="FFFFFF"/>
        <w:spacing w:after="240" w:line="240" w:lineRule="auto"/>
        <w:jc w:val="center"/>
        <w:outlineLvl w:val="1"/>
        <w:rPr>
          <w:rFonts w:eastAsia="Times New Roman" w:cs="Arial"/>
          <w:b/>
          <w:bCs/>
          <w:color w:val="000000"/>
        </w:rPr>
      </w:pPr>
      <w:bookmarkStart w:id="0" w:name="_GoBack"/>
      <w:bookmarkEnd w:id="0"/>
      <w:r w:rsidRPr="000947F5">
        <w:rPr>
          <w:rFonts w:eastAsia="Times New Roman" w:cs="Arial"/>
          <w:b/>
          <w:bCs/>
          <w:color w:val="000000"/>
        </w:rPr>
        <w:t xml:space="preserve">Key Sections of Uniform Guidance Related to </w:t>
      </w:r>
      <w:r w:rsidR="00C46AD7" w:rsidRPr="000947F5">
        <w:rPr>
          <w:rFonts w:eastAsia="Times New Roman" w:cs="Arial"/>
          <w:b/>
          <w:bCs/>
          <w:color w:val="000000"/>
        </w:rPr>
        <w:t>Procurement</w:t>
      </w:r>
    </w:p>
    <w:p w14:paraId="5E872D01" w14:textId="72214D47" w:rsidR="002E5514" w:rsidRPr="0058582F" w:rsidRDefault="002E5514" w:rsidP="002E5514">
      <w:pPr>
        <w:shd w:val="clear" w:color="auto" w:fill="FFFFFF"/>
        <w:spacing w:after="120" w:line="240" w:lineRule="auto"/>
        <w:outlineLvl w:val="1"/>
        <w:rPr>
          <w:rFonts w:eastAsia="Times New Roman" w:cs="Arial"/>
          <w:bCs/>
          <w:color w:val="000000"/>
        </w:rPr>
      </w:pPr>
      <w:r>
        <w:rPr>
          <w:rFonts w:eastAsia="Times New Roman" w:cs="Arial"/>
          <w:bCs/>
          <w:color w:val="000000"/>
        </w:rPr>
        <w:t xml:space="preserve">Note:  The following are sections of the Uniform Guidance which relate to </w:t>
      </w:r>
      <w:r w:rsidR="00087F68">
        <w:rPr>
          <w:rFonts w:eastAsia="Times New Roman" w:cs="Arial"/>
          <w:bCs/>
          <w:color w:val="000000"/>
        </w:rPr>
        <w:t>procurement</w:t>
      </w:r>
      <w:r>
        <w:rPr>
          <w:rFonts w:eastAsia="Times New Roman" w:cs="Arial"/>
          <w:bCs/>
          <w:color w:val="000000"/>
        </w:rPr>
        <w:t xml:space="preserve">.  It is not the Uniform Guidance in its entirety, nor is it a complete list of sections related to </w:t>
      </w:r>
      <w:r w:rsidR="00087F68">
        <w:rPr>
          <w:rFonts w:eastAsia="Times New Roman" w:cs="Arial"/>
          <w:bCs/>
          <w:color w:val="000000"/>
        </w:rPr>
        <w:t>procurement</w:t>
      </w:r>
      <w:r>
        <w:rPr>
          <w:rFonts w:eastAsia="Times New Roman" w:cs="Arial"/>
          <w:bCs/>
          <w:color w:val="000000"/>
        </w:rPr>
        <w:t xml:space="preserve">.  </w:t>
      </w:r>
    </w:p>
    <w:p w14:paraId="60337CE7" w14:textId="17692B60" w:rsidR="00AA6CBF" w:rsidRPr="000947F5" w:rsidRDefault="00AA6CBF" w:rsidP="000B0A56">
      <w:pPr>
        <w:shd w:val="clear" w:color="auto" w:fill="FFFFFF"/>
        <w:spacing w:after="120" w:line="240" w:lineRule="auto"/>
        <w:outlineLvl w:val="1"/>
        <w:rPr>
          <w:rFonts w:eastAsia="Times New Roman" w:cs="Arial"/>
          <w:b/>
          <w:bCs/>
          <w:color w:val="000000"/>
        </w:rPr>
      </w:pPr>
      <w:r w:rsidRPr="000947F5">
        <w:rPr>
          <w:rFonts w:eastAsia="Times New Roman" w:cs="Arial"/>
          <w:b/>
          <w:bCs/>
          <w:color w:val="000000"/>
        </w:rPr>
        <w:t>Table of Contents</w:t>
      </w:r>
    </w:p>
    <w:p w14:paraId="4A25ED15" w14:textId="5A51E7B9" w:rsidR="00FE788C" w:rsidRPr="000947F5" w:rsidRDefault="00FE788C" w:rsidP="00FE788C">
      <w:pPr>
        <w:shd w:val="clear" w:color="auto" w:fill="FFFFFF"/>
        <w:spacing w:after="120" w:line="240" w:lineRule="auto"/>
        <w:outlineLvl w:val="1"/>
        <w:rPr>
          <w:rFonts w:eastAsia="Times New Roman" w:cs="Arial"/>
          <w:bCs/>
          <w:color w:val="000000"/>
        </w:rPr>
      </w:pPr>
      <w:r w:rsidRPr="000947F5">
        <w:rPr>
          <w:rFonts w:eastAsia="Times New Roman" w:cs="Arial"/>
          <w:bCs/>
          <w:color w:val="000000"/>
        </w:rPr>
        <w:t>Subpart A</w:t>
      </w:r>
    </w:p>
    <w:p w14:paraId="2C05170C" w14:textId="39A28218" w:rsidR="00FE788C" w:rsidRPr="000947F5" w:rsidRDefault="00FE788C" w:rsidP="003450AD">
      <w:pPr>
        <w:shd w:val="clear" w:color="auto" w:fill="FFFFFF"/>
        <w:spacing w:after="120" w:line="240" w:lineRule="auto"/>
        <w:ind w:left="360"/>
        <w:outlineLvl w:val="1"/>
        <w:rPr>
          <w:rFonts w:eastAsia="Times New Roman" w:cs="Arial"/>
          <w:bCs/>
          <w:color w:val="000000"/>
        </w:rPr>
      </w:pPr>
      <w:r w:rsidRPr="000947F5">
        <w:rPr>
          <w:rFonts w:eastAsia="Times New Roman" w:cs="Arial"/>
          <w:bCs/>
          <w:color w:val="000000"/>
        </w:rPr>
        <w:t>Definitions</w:t>
      </w:r>
    </w:p>
    <w:p w14:paraId="52FE3FE7" w14:textId="447F2C3D" w:rsidR="003450AD" w:rsidRPr="000947F5" w:rsidRDefault="002F1ADA" w:rsidP="003450AD">
      <w:pPr>
        <w:pStyle w:val="Heading2"/>
        <w:shd w:val="clear" w:color="auto" w:fill="FFFFFF"/>
        <w:spacing w:before="200" w:beforeAutospacing="0" w:afterAutospacing="0"/>
        <w:ind w:left="720"/>
        <w:rPr>
          <w:rFonts w:asciiTheme="minorHAnsi" w:hAnsiTheme="minorHAnsi" w:cs="Arial"/>
          <w:b w:val="0"/>
          <w:color w:val="000000"/>
          <w:sz w:val="22"/>
          <w:szCs w:val="22"/>
        </w:rPr>
      </w:pPr>
      <w:hyperlink w:anchor="_§200.22__" w:history="1">
        <w:r w:rsidR="000947F5" w:rsidRPr="002E5514">
          <w:rPr>
            <w:rStyle w:val="Hyperlink"/>
            <w:rFonts w:asciiTheme="minorHAnsi" w:hAnsiTheme="minorHAnsi" w:cs="Arial"/>
            <w:b w:val="0"/>
            <w:sz w:val="22"/>
            <w:szCs w:val="22"/>
          </w:rPr>
          <w:t xml:space="preserve">§200.22  </w:t>
        </w:r>
        <w:r w:rsidR="003450AD" w:rsidRPr="002E5514">
          <w:rPr>
            <w:rStyle w:val="Hyperlink"/>
            <w:rFonts w:asciiTheme="minorHAnsi" w:hAnsiTheme="minorHAnsi" w:cs="Arial"/>
            <w:b w:val="0"/>
            <w:sz w:val="22"/>
            <w:szCs w:val="22"/>
          </w:rPr>
          <w:t>Contract.</w:t>
        </w:r>
      </w:hyperlink>
    </w:p>
    <w:p w14:paraId="7EE65489" w14:textId="2D21D071" w:rsidR="003450AD" w:rsidRPr="000947F5" w:rsidRDefault="002F1ADA" w:rsidP="003450AD">
      <w:pPr>
        <w:pStyle w:val="Heading2"/>
        <w:shd w:val="clear" w:color="auto" w:fill="FFFFFF"/>
        <w:spacing w:before="200" w:beforeAutospacing="0" w:afterAutospacing="0"/>
        <w:ind w:left="720"/>
        <w:rPr>
          <w:rFonts w:asciiTheme="minorHAnsi" w:hAnsiTheme="minorHAnsi" w:cs="Arial"/>
          <w:b w:val="0"/>
          <w:color w:val="000000"/>
          <w:sz w:val="22"/>
          <w:szCs w:val="22"/>
        </w:rPr>
      </w:pPr>
      <w:hyperlink w:anchor="_§200.23__" w:history="1">
        <w:r w:rsidR="003450AD" w:rsidRPr="002E5514">
          <w:rPr>
            <w:rStyle w:val="Hyperlink"/>
            <w:rFonts w:asciiTheme="minorHAnsi" w:hAnsiTheme="minorHAnsi" w:cs="Arial"/>
            <w:b w:val="0"/>
            <w:sz w:val="22"/>
            <w:szCs w:val="22"/>
          </w:rPr>
          <w:t>§200.23</w:t>
        </w:r>
        <w:r w:rsidR="000947F5" w:rsidRPr="002E5514">
          <w:rPr>
            <w:rStyle w:val="Hyperlink"/>
            <w:rFonts w:asciiTheme="minorHAnsi" w:hAnsiTheme="minorHAnsi" w:cs="Arial"/>
            <w:b w:val="0"/>
            <w:sz w:val="22"/>
            <w:szCs w:val="22"/>
          </w:rPr>
          <w:t xml:space="preserve">  </w:t>
        </w:r>
        <w:r w:rsidR="003450AD" w:rsidRPr="002E5514">
          <w:rPr>
            <w:rStyle w:val="Hyperlink"/>
            <w:rFonts w:asciiTheme="minorHAnsi" w:hAnsiTheme="minorHAnsi" w:cs="Arial"/>
            <w:b w:val="0"/>
            <w:sz w:val="22"/>
            <w:szCs w:val="22"/>
          </w:rPr>
          <w:t>Contractor.</w:t>
        </w:r>
      </w:hyperlink>
    </w:p>
    <w:bookmarkStart w:id="1" w:name="_§200.67__Micro-purchase."/>
    <w:bookmarkEnd w:id="1"/>
    <w:p w14:paraId="654600E1" w14:textId="7A316664" w:rsidR="003450AD" w:rsidRPr="000947F5" w:rsidRDefault="002E5514" w:rsidP="003450AD">
      <w:pPr>
        <w:pStyle w:val="Heading2"/>
        <w:shd w:val="clear" w:color="auto" w:fill="FFFFFF"/>
        <w:spacing w:before="200" w:beforeAutospacing="0" w:afterAutospacing="0"/>
        <w:ind w:left="720"/>
        <w:rPr>
          <w:rFonts w:asciiTheme="minorHAnsi" w:hAnsiTheme="minorHAnsi" w:cs="Arial"/>
          <w:b w:val="0"/>
          <w:color w:val="000000"/>
          <w:sz w:val="22"/>
          <w:szCs w:val="22"/>
        </w:rPr>
      </w:pPr>
      <w:r>
        <w:rPr>
          <w:rFonts w:asciiTheme="minorHAnsi" w:hAnsiTheme="minorHAnsi" w:cs="Arial"/>
          <w:b w:val="0"/>
          <w:color w:val="000000"/>
          <w:sz w:val="22"/>
          <w:szCs w:val="22"/>
        </w:rPr>
        <w:fldChar w:fldCharType="begin"/>
      </w:r>
      <w:r>
        <w:rPr>
          <w:rFonts w:asciiTheme="minorHAnsi" w:hAnsiTheme="minorHAnsi" w:cs="Arial"/>
          <w:b w:val="0"/>
          <w:color w:val="000000"/>
          <w:sz w:val="22"/>
          <w:szCs w:val="22"/>
        </w:rPr>
        <w:instrText xml:space="preserve"> HYPERLINK  \l "_§200.67__Micro-purchase." </w:instrText>
      </w:r>
      <w:r>
        <w:rPr>
          <w:rFonts w:asciiTheme="minorHAnsi" w:hAnsiTheme="minorHAnsi" w:cs="Arial"/>
          <w:b w:val="0"/>
          <w:color w:val="000000"/>
          <w:sz w:val="22"/>
          <w:szCs w:val="22"/>
        </w:rPr>
        <w:fldChar w:fldCharType="separate"/>
      </w:r>
      <w:r w:rsidR="003450AD" w:rsidRPr="002E5514">
        <w:rPr>
          <w:rStyle w:val="Hyperlink"/>
          <w:rFonts w:asciiTheme="minorHAnsi" w:hAnsiTheme="minorHAnsi" w:cs="Arial"/>
          <w:b w:val="0"/>
          <w:sz w:val="22"/>
          <w:szCs w:val="22"/>
        </w:rPr>
        <w:t>§200.67</w:t>
      </w:r>
      <w:r w:rsidR="000947F5" w:rsidRPr="002E5514">
        <w:rPr>
          <w:rStyle w:val="Hyperlink"/>
          <w:rFonts w:asciiTheme="minorHAnsi" w:hAnsiTheme="minorHAnsi" w:cs="Arial"/>
          <w:b w:val="0"/>
          <w:sz w:val="22"/>
          <w:szCs w:val="22"/>
        </w:rPr>
        <w:t xml:space="preserve">  </w:t>
      </w:r>
      <w:r w:rsidR="003450AD" w:rsidRPr="002E5514">
        <w:rPr>
          <w:rStyle w:val="Hyperlink"/>
          <w:rFonts w:asciiTheme="minorHAnsi" w:hAnsiTheme="minorHAnsi" w:cs="Arial"/>
          <w:b w:val="0"/>
          <w:sz w:val="22"/>
          <w:szCs w:val="22"/>
        </w:rPr>
        <w:t>Micro-purchase.</w:t>
      </w:r>
      <w:r>
        <w:rPr>
          <w:rFonts w:asciiTheme="minorHAnsi" w:hAnsiTheme="minorHAnsi" w:cs="Arial"/>
          <w:b w:val="0"/>
          <w:color w:val="000000"/>
          <w:sz w:val="22"/>
          <w:szCs w:val="22"/>
        </w:rPr>
        <w:fldChar w:fldCharType="end"/>
      </w:r>
    </w:p>
    <w:p w14:paraId="499CB458" w14:textId="01D02B95" w:rsidR="003450AD" w:rsidRPr="002E5514" w:rsidRDefault="002E5514" w:rsidP="003450AD">
      <w:pPr>
        <w:pStyle w:val="Heading2"/>
        <w:shd w:val="clear" w:color="auto" w:fill="FFFFFF"/>
        <w:spacing w:before="200" w:beforeAutospacing="0" w:afterAutospacing="0"/>
        <w:ind w:left="720"/>
        <w:rPr>
          <w:rStyle w:val="Hyperlink"/>
          <w:rFonts w:asciiTheme="minorHAnsi" w:hAnsiTheme="minorHAnsi" w:cs="Arial"/>
          <w:b w:val="0"/>
          <w:sz w:val="22"/>
          <w:szCs w:val="22"/>
        </w:rPr>
      </w:pPr>
      <w:r>
        <w:rPr>
          <w:rFonts w:asciiTheme="minorHAnsi" w:hAnsiTheme="minorHAnsi" w:cs="Arial"/>
          <w:b w:val="0"/>
          <w:color w:val="000000"/>
          <w:sz w:val="22"/>
          <w:szCs w:val="22"/>
        </w:rPr>
        <w:fldChar w:fldCharType="begin"/>
      </w:r>
      <w:r>
        <w:rPr>
          <w:rFonts w:asciiTheme="minorHAnsi" w:hAnsiTheme="minorHAnsi" w:cs="Arial"/>
          <w:b w:val="0"/>
          <w:color w:val="000000"/>
          <w:sz w:val="22"/>
          <w:szCs w:val="22"/>
        </w:rPr>
        <w:instrText xml:space="preserve"> HYPERLINK  \l "_§200.88__" </w:instrText>
      </w:r>
      <w:r>
        <w:rPr>
          <w:rFonts w:asciiTheme="minorHAnsi" w:hAnsiTheme="minorHAnsi" w:cs="Arial"/>
          <w:b w:val="0"/>
          <w:color w:val="000000"/>
          <w:sz w:val="22"/>
          <w:szCs w:val="22"/>
        </w:rPr>
        <w:fldChar w:fldCharType="separate"/>
      </w:r>
      <w:r w:rsidR="003450AD" w:rsidRPr="002E5514">
        <w:rPr>
          <w:rStyle w:val="Hyperlink"/>
          <w:rFonts w:asciiTheme="minorHAnsi" w:hAnsiTheme="minorHAnsi" w:cs="Arial"/>
          <w:b w:val="0"/>
          <w:sz w:val="22"/>
          <w:szCs w:val="22"/>
        </w:rPr>
        <w:t>§200.88</w:t>
      </w:r>
      <w:r w:rsidR="000947F5" w:rsidRPr="002E5514">
        <w:rPr>
          <w:rStyle w:val="Hyperlink"/>
          <w:rFonts w:asciiTheme="minorHAnsi" w:hAnsiTheme="minorHAnsi" w:cs="Arial"/>
          <w:b w:val="0"/>
          <w:sz w:val="22"/>
          <w:szCs w:val="22"/>
        </w:rPr>
        <w:t xml:space="preserve">  </w:t>
      </w:r>
      <w:r w:rsidR="003450AD" w:rsidRPr="002E5514">
        <w:rPr>
          <w:rStyle w:val="Hyperlink"/>
          <w:rFonts w:asciiTheme="minorHAnsi" w:hAnsiTheme="minorHAnsi" w:cs="Arial"/>
          <w:b w:val="0"/>
          <w:sz w:val="22"/>
          <w:szCs w:val="22"/>
        </w:rPr>
        <w:t>Simplified acquisition threshold.</w:t>
      </w:r>
    </w:p>
    <w:p w14:paraId="619D5AD9" w14:textId="3FC08F0E" w:rsidR="003450AD" w:rsidRPr="000947F5" w:rsidRDefault="002E5514" w:rsidP="003450AD">
      <w:pPr>
        <w:shd w:val="clear" w:color="auto" w:fill="FFFFFF"/>
        <w:spacing w:after="120" w:line="240" w:lineRule="auto"/>
        <w:ind w:left="720"/>
        <w:outlineLvl w:val="1"/>
        <w:rPr>
          <w:rFonts w:eastAsia="Times New Roman" w:cs="Arial"/>
          <w:bCs/>
          <w:color w:val="000000"/>
        </w:rPr>
      </w:pPr>
      <w:r>
        <w:rPr>
          <w:rFonts w:eastAsia="Times New Roman" w:cs="Arial"/>
          <w:bCs/>
          <w:color w:val="000000"/>
        </w:rPr>
        <w:fldChar w:fldCharType="end"/>
      </w:r>
      <w:hyperlink w:anchor="_§200.92__" w:history="1">
        <w:r w:rsidR="003450AD" w:rsidRPr="002E5514">
          <w:rPr>
            <w:rStyle w:val="Hyperlink"/>
            <w:rFonts w:eastAsia="Times New Roman" w:cs="Arial"/>
            <w:bCs/>
          </w:rPr>
          <w:t>§200.92</w:t>
        </w:r>
        <w:r w:rsidR="000947F5" w:rsidRPr="002E5514">
          <w:rPr>
            <w:rStyle w:val="Hyperlink"/>
            <w:rFonts w:eastAsia="Times New Roman" w:cs="Arial"/>
            <w:bCs/>
          </w:rPr>
          <w:t xml:space="preserve">  </w:t>
        </w:r>
        <w:r w:rsidR="003450AD" w:rsidRPr="002E5514">
          <w:rPr>
            <w:rStyle w:val="Hyperlink"/>
            <w:rFonts w:eastAsia="Times New Roman" w:cs="Arial"/>
            <w:bCs/>
          </w:rPr>
          <w:t>Subaward.</w:t>
        </w:r>
      </w:hyperlink>
    </w:p>
    <w:p w14:paraId="3F900040" w14:textId="34FD60EC" w:rsidR="003450AD" w:rsidRPr="000947F5" w:rsidRDefault="002F1ADA" w:rsidP="003450AD">
      <w:pPr>
        <w:pStyle w:val="Heading2"/>
        <w:shd w:val="clear" w:color="auto" w:fill="FFFFFF"/>
        <w:spacing w:before="0" w:beforeAutospacing="0" w:after="120" w:afterAutospacing="0"/>
        <w:ind w:left="720"/>
        <w:rPr>
          <w:rFonts w:asciiTheme="minorHAnsi" w:hAnsiTheme="minorHAnsi" w:cs="Arial"/>
          <w:b w:val="0"/>
          <w:color w:val="000000"/>
          <w:sz w:val="22"/>
          <w:szCs w:val="22"/>
        </w:rPr>
      </w:pPr>
      <w:hyperlink w:anchor="_§200.93__" w:history="1">
        <w:r w:rsidR="003450AD" w:rsidRPr="002E5514">
          <w:rPr>
            <w:rStyle w:val="Hyperlink"/>
            <w:rFonts w:asciiTheme="minorHAnsi" w:hAnsiTheme="minorHAnsi" w:cs="Arial"/>
            <w:b w:val="0"/>
            <w:sz w:val="22"/>
            <w:szCs w:val="22"/>
          </w:rPr>
          <w:t>§200.93</w:t>
        </w:r>
        <w:r w:rsidR="000947F5" w:rsidRPr="002E5514">
          <w:rPr>
            <w:rStyle w:val="Hyperlink"/>
            <w:rFonts w:asciiTheme="minorHAnsi" w:hAnsiTheme="minorHAnsi" w:cs="Arial"/>
            <w:b w:val="0"/>
            <w:sz w:val="22"/>
            <w:szCs w:val="22"/>
          </w:rPr>
          <w:t xml:space="preserve">  </w:t>
        </w:r>
        <w:r w:rsidR="003450AD" w:rsidRPr="002E5514">
          <w:rPr>
            <w:rStyle w:val="Hyperlink"/>
            <w:rFonts w:asciiTheme="minorHAnsi" w:hAnsiTheme="minorHAnsi" w:cs="Arial"/>
            <w:b w:val="0"/>
            <w:sz w:val="22"/>
            <w:szCs w:val="22"/>
          </w:rPr>
          <w:t>Subrecipient.</w:t>
        </w:r>
      </w:hyperlink>
    </w:p>
    <w:p w14:paraId="13337F2C" w14:textId="22B1DD47" w:rsidR="00FE788C" w:rsidRPr="000947F5" w:rsidRDefault="003450AD" w:rsidP="00FE788C">
      <w:pPr>
        <w:shd w:val="clear" w:color="auto" w:fill="FFFFFF"/>
        <w:spacing w:after="120" w:line="240" w:lineRule="auto"/>
        <w:outlineLvl w:val="1"/>
        <w:rPr>
          <w:rFonts w:eastAsia="Times New Roman" w:cs="Arial"/>
          <w:bCs/>
          <w:color w:val="000000"/>
        </w:rPr>
      </w:pPr>
      <w:r w:rsidRPr="000947F5">
        <w:rPr>
          <w:rFonts w:eastAsia="Times New Roman" w:cs="Arial"/>
          <w:bCs/>
          <w:color w:val="000000"/>
        </w:rPr>
        <w:t>Subpart B</w:t>
      </w:r>
    </w:p>
    <w:p w14:paraId="5D19E868" w14:textId="77777777" w:rsidR="003450AD" w:rsidRPr="000947F5" w:rsidRDefault="003450AD" w:rsidP="003450AD">
      <w:pPr>
        <w:shd w:val="clear" w:color="auto" w:fill="FFFFFF"/>
        <w:spacing w:after="120" w:line="240" w:lineRule="auto"/>
        <w:ind w:left="360"/>
        <w:outlineLvl w:val="1"/>
        <w:rPr>
          <w:rFonts w:eastAsia="Times New Roman" w:cs="Arial"/>
          <w:bCs/>
          <w:color w:val="000000"/>
        </w:rPr>
      </w:pPr>
      <w:r w:rsidRPr="000947F5">
        <w:rPr>
          <w:rFonts w:eastAsia="Times New Roman" w:cs="Arial"/>
          <w:bCs/>
          <w:color w:val="000000"/>
        </w:rPr>
        <w:t>Procurement Standards</w:t>
      </w:r>
    </w:p>
    <w:p w14:paraId="7CF55A4B" w14:textId="14CAD095" w:rsidR="00B4406E" w:rsidRPr="000947F5" w:rsidRDefault="002F1ADA" w:rsidP="003450AD">
      <w:pPr>
        <w:pStyle w:val="Heading2"/>
        <w:shd w:val="clear" w:color="auto" w:fill="FFFFFF"/>
        <w:spacing w:before="0" w:beforeAutospacing="0" w:after="120" w:afterAutospacing="0"/>
        <w:ind w:left="720"/>
        <w:rPr>
          <w:rFonts w:asciiTheme="minorHAnsi" w:hAnsiTheme="minorHAnsi" w:cs="Arial"/>
          <w:b w:val="0"/>
          <w:color w:val="000000"/>
          <w:sz w:val="22"/>
          <w:szCs w:val="22"/>
        </w:rPr>
      </w:pPr>
      <w:hyperlink w:anchor="_§200.317__" w:history="1">
        <w:r w:rsidR="003450AD" w:rsidRPr="002E5514">
          <w:rPr>
            <w:rStyle w:val="Hyperlink"/>
            <w:rFonts w:asciiTheme="minorHAnsi" w:hAnsiTheme="minorHAnsi" w:cs="Arial"/>
            <w:b w:val="0"/>
            <w:sz w:val="22"/>
            <w:szCs w:val="22"/>
          </w:rPr>
          <w:t>§200.</w:t>
        </w:r>
        <w:r w:rsidR="00880315" w:rsidRPr="002E5514">
          <w:rPr>
            <w:rStyle w:val="Hyperlink"/>
            <w:rFonts w:asciiTheme="minorHAnsi" w:hAnsiTheme="minorHAnsi" w:cs="Arial"/>
            <w:b w:val="0"/>
            <w:sz w:val="22"/>
            <w:szCs w:val="22"/>
          </w:rPr>
          <w:t>317</w:t>
        </w:r>
        <w:r w:rsidR="003450AD" w:rsidRPr="002E5514">
          <w:rPr>
            <w:rStyle w:val="Hyperlink"/>
            <w:rFonts w:asciiTheme="minorHAnsi" w:hAnsiTheme="minorHAnsi" w:cs="Arial"/>
            <w:b w:val="0"/>
            <w:sz w:val="22"/>
            <w:szCs w:val="22"/>
          </w:rPr>
          <w:t xml:space="preserve"> </w:t>
        </w:r>
        <w:r w:rsidR="000947F5" w:rsidRPr="002E5514">
          <w:rPr>
            <w:rStyle w:val="Hyperlink"/>
            <w:rFonts w:asciiTheme="minorHAnsi" w:hAnsiTheme="minorHAnsi" w:cs="Arial"/>
            <w:b w:val="0"/>
            <w:sz w:val="22"/>
            <w:szCs w:val="22"/>
          </w:rPr>
          <w:t xml:space="preserve"> </w:t>
        </w:r>
        <w:r w:rsidR="00880315" w:rsidRPr="002E5514">
          <w:rPr>
            <w:rStyle w:val="Hyperlink"/>
            <w:rFonts w:asciiTheme="minorHAnsi" w:hAnsiTheme="minorHAnsi" w:cs="Arial"/>
            <w:b w:val="0"/>
            <w:sz w:val="22"/>
            <w:szCs w:val="22"/>
          </w:rPr>
          <w:t>Procurement by states</w:t>
        </w:r>
        <w:r w:rsidR="000947F5" w:rsidRPr="002E5514">
          <w:rPr>
            <w:rStyle w:val="Hyperlink"/>
            <w:rFonts w:asciiTheme="minorHAnsi" w:hAnsiTheme="minorHAnsi" w:cs="Arial"/>
            <w:b w:val="0"/>
            <w:sz w:val="22"/>
            <w:szCs w:val="22"/>
          </w:rPr>
          <w:t>.</w:t>
        </w:r>
      </w:hyperlink>
    </w:p>
    <w:p w14:paraId="6B95E5DB" w14:textId="2F7FAEA0" w:rsidR="00B4406E" w:rsidRPr="000947F5" w:rsidRDefault="002F1ADA" w:rsidP="003450AD">
      <w:pPr>
        <w:pStyle w:val="Heading2"/>
        <w:shd w:val="clear" w:color="auto" w:fill="FFFFFF"/>
        <w:spacing w:before="0" w:beforeAutospacing="0" w:after="120" w:afterAutospacing="0"/>
        <w:ind w:left="720"/>
        <w:rPr>
          <w:rFonts w:asciiTheme="minorHAnsi" w:hAnsiTheme="minorHAnsi" w:cs="Arial"/>
          <w:b w:val="0"/>
          <w:color w:val="000000"/>
          <w:sz w:val="22"/>
          <w:szCs w:val="22"/>
        </w:rPr>
      </w:pPr>
      <w:hyperlink w:anchor="_§200.318__" w:history="1">
        <w:r w:rsidR="000947F5" w:rsidRPr="002E5514">
          <w:rPr>
            <w:rStyle w:val="Hyperlink"/>
            <w:rFonts w:asciiTheme="minorHAnsi" w:hAnsiTheme="minorHAnsi" w:cs="Arial"/>
            <w:b w:val="0"/>
            <w:sz w:val="22"/>
            <w:szCs w:val="22"/>
          </w:rPr>
          <w:t>§</w:t>
        </w:r>
        <w:r w:rsidR="003450AD" w:rsidRPr="002E5514">
          <w:rPr>
            <w:rStyle w:val="Hyperlink"/>
            <w:rFonts w:asciiTheme="minorHAnsi" w:hAnsiTheme="minorHAnsi" w:cs="Arial"/>
            <w:b w:val="0"/>
            <w:sz w:val="22"/>
            <w:szCs w:val="22"/>
          </w:rPr>
          <w:t>200.</w:t>
        </w:r>
        <w:r w:rsidR="000947F5" w:rsidRPr="002E5514">
          <w:rPr>
            <w:rStyle w:val="Hyperlink"/>
            <w:rFonts w:asciiTheme="minorHAnsi" w:hAnsiTheme="minorHAnsi" w:cs="Arial"/>
            <w:b w:val="0"/>
            <w:sz w:val="22"/>
            <w:szCs w:val="22"/>
          </w:rPr>
          <w:t xml:space="preserve">318  </w:t>
        </w:r>
        <w:r w:rsidR="00880315" w:rsidRPr="002E5514">
          <w:rPr>
            <w:rStyle w:val="Hyperlink"/>
            <w:rFonts w:asciiTheme="minorHAnsi" w:hAnsiTheme="minorHAnsi" w:cs="Arial"/>
            <w:b w:val="0"/>
            <w:sz w:val="22"/>
            <w:szCs w:val="22"/>
          </w:rPr>
          <w:t>General procurement standards</w:t>
        </w:r>
        <w:r w:rsidR="000947F5" w:rsidRPr="002E5514">
          <w:rPr>
            <w:rStyle w:val="Hyperlink"/>
            <w:rFonts w:asciiTheme="minorHAnsi" w:hAnsiTheme="minorHAnsi" w:cs="Arial"/>
            <w:b w:val="0"/>
            <w:sz w:val="22"/>
            <w:szCs w:val="22"/>
          </w:rPr>
          <w:t>.</w:t>
        </w:r>
      </w:hyperlink>
    </w:p>
    <w:p w14:paraId="709FF113" w14:textId="438077AF" w:rsidR="00B4406E" w:rsidRPr="000947F5" w:rsidRDefault="002F1ADA" w:rsidP="003450AD">
      <w:pPr>
        <w:pStyle w:val="Heading2"/>
        <w:shd w:val="clear" w:color="auto" w:fill="FFFFFF"/>
        <w:spacing w:before="0" w:beforeAutospacing="0" w:after="120" w:afterAutospacing="0"/>
        <w:ind w:left="720"/>
        <w:rPr>
          <w:rFonts w:asciiTheme="minorHAnsi" w:hAnsiTheme="minorHAnsi" w:cs="Arial"/>
          <w:b w:val="0"/>
          <w:color w:val="000000"/>
          <w:sz w:val="22"/>
          <w:szCs w:val="22"/>
        </w:rPr>
      </w:pPr>
      <w:hyperlink w:anchor="_§200.319__" w:history="1">
        <w:r w:rsidR="000947F5" w:rsidRPr="002E5514">
          <w:rPr>
            <w:rStyle w:val="Hyperlink"/>
            <w:rFonts w:asciiTheme="minorHAnsi" w:hAnsiTheme="minorHAnsi" w:cs="Arial"/>
            <w:b w:val="0"/>
            <w:sz w:val="22"/>
            <w:szCs w:val="22"/>
          </w:rPr>
          <w:t>§</w:t>
        </w:r>
        <w:r w:rsidR="003450AD" w:rsidRPr="002E5514">
          <w:rPr>
            <w:rStyle w:val="Hyperlink"/>
            <w:rFonts w:asciiTheme="minorHAnsi" w:hAnsiTheme="minorHAnsi" w:cs="Arial"/>
            <w:b w:val="0"/>
            <w:sz w:val="22"/>
            <w:szCs w:val="22"/>
          </w:rPr>
          <w:t>200.</w:t>
        </w:r>
        <w:r w:rsidR="000947F5" w:rsidRPr="002E5514">
          <w:rPr>
            <w:rStyle w:val="Hyperlink"/>
            <w:rFonts w:asciiTheme="minorHAnsi" w:hAnsiTheme="minorHAnsi" w:cs="Arial"/>
            <w:b w:val="0"/>
            <w:sz w:val="22"/>
            <w:szCs w:val="22"/>
          </w:rPr>
          <w:t xml:space="preserve">319  </w:t>
        </w:r>
        <w:r w:rsidR="00880315" w:rsidRPr="002E5514">
          <w:rPr>
            <w:rStyle w:val="Hyperlink"/>
            <w:rFonts w:asciiTheme="minorHAnsi" w:hAnsiTheme="minorHAnsi" w:cs="Arial"/>
            <w:b w:val="0"/>
            <w:sz w:val="22"/>
            <w:szCs w:val="22"/>
          </w:rPr>
          <w:t>Competition</w:t>
        </w:r>
        <w:r w:rsidR="000947F5" w:rsidRPr="002E5514">
          <w:rPr>
            <w:rStyle w:val="Hyperlink"/>
            <w:rFonts w:asciiTheme="minorHAnsi" w:hAnsiTheme="minorHAnsi" w:cs="Arial"/>
            <w:b w:val="0"/>
            <w:sz w:val="22"/>
            <w:szCs w:val="22"/>
          </w:rPr>
          <w:t>.</w:t>
        </w:r>
      </w:hyperlink>
    </w:p>
    <w:p w14:paraId="42F0631C" w14:textId="4DDA5BF6" w:rsidR="00B4406E" w:rsidRPr="000947F5" w:rsidRDefault="002F1ADA" w:rsidP="003450AD">
      <w:pPr>
        <w:pStyle w:val="Heading2"/>
        <w:shd w:val="clear" w:color="auto" w:fill="FFFFFF"/>
        <w:spacing w:before="0" w:beforeAutospacing="0" w:after="120" w:afterAutospacing="0"/>
        <w:ind w:left="720"/>
        <w:rPr>
          <w:rFonts w:asciiTheme="minorHAnsi" w:hAnsiTheme="minorHAnsi" w:cs="Arial"/>
          <w:b w:val="0"/>
          <w:color w:val="000000"/>
          <w:sz w:val="22"/>
          <w:szCs w:val="22"/>
        </w:rPr>
      </w:pPr>
      <w:hyperlink w:anchor="_§200.320__" w:history="1">
        <w:r w:rsidR="000947F5" w:rsidRPr="002E5514">
          <w:rPr>
            <w:rStyle w:val="Hyperlink"/>
            <w:rFonts w:asciiTheme="minorHAnsi" w:hAnsiTheme="minorHAnsi" w:cs="Arial"/>
            <w:b w:val="0"/>
            <w:sz w:val="22"/>
            <w:szCs w:val="22"/>
          </w:rPr>
          <w:t>§</w:t>
        </w:r>
        <w:r w:rsidR="003450AD" w:rsidRPr="002E5514">
          <w:rPr>
            <w:rStyle w:val="Hyperlink"/>
            <w:rFonts w:asciiTheme="minorHAnsi" w:hAnsiTheme="minorHAnsi" w:cs="Arial"/>
            <w:b w:val="0"/>
            <w:sz w:val="22"/>
            <w:szCs w:val="22"/>
          </w:rPr>
          <w:t>200.</w:t>
        </w:r>
        <w:r w:rsidR="000947F5" w:rsidRPr="002E5514">
          <w:rPr>
            <w:rStyle w:val="Hyperlink"/>
            <w:rFonts w:asciiTheme="minorHAnsi" w:hAnsiTheme="minorHAnsi" w:cs="Arial"/>
            <w:b w:val="0"/>
            <w:sz w:val="22"/>
            <w:szCs w:val="22"/>
          </w:rPr>
          <w:t xml:space="preserve">320  </w:t>
        </w:r>
        <w:r w:rsidR="00880315" w:rsidRPr="002E5514">
          <w:rPr>
            <w:rStyle w:val="Hyperlink"/>
            <w:rFonts w:asciiTheme="minorHAnsi" w:hAnsiTheme="minorHAnsi" w:cs="Arial"/>
            <w:b w:val="0"/>
            <w:sz w:val="22"/>
            <w:szCs w:val="22"/>
          </w:rPr>
          <w:t>Methods of procurement to be followed</w:t>
        </w:r>
        <w:r w:rsidR="000947F5" w:rsidRPr="002E5514">
          <w:rPr>
            <w:rStyle w:val="Hyperlink"/>
            <w:rFonts w:asciiTheme="minorHAnsi" w:hAnsiTheme="minorHAnsi" w:cs="Arial"/>
            <w:b w:val="0"/>
            <w:sz w:val="22"/>
            <w:szCs w:val="22"/>
          </w:rPr>
          <w:t>.</w:t>
        </w:r>
      </w:hyperlink>
    </w:p>
    <w:p w14:paraId="1B16F0BB" w14:textId="69867CC8" w:rsidR="00B4406E" w:rsidRPr="000947F5" w:rsidRDefault="002F1ADA" w:rsidP="003450AD">
      <w:pPr>
        <w:pStyle w:val="Heading2"/>
        <w:shd w:val="clear" w:color="auto" w:fill="FFFFFF"/>
        <w:spacing w:before="0" w:beforeAutospacing="0" w:after="120" w:afterAutospacing="0"/>
        <w:ind w:left="720"/>
        <w:rPr>
          <w:rFonts w:asciiTheme="minorHAnsi" w:hAnsiTheme="minorHAnsi" w:cs="Arial"/>
          <w:b w:val="0"/>
          <w:color w:val="000000"/>
          <w:sz w:val="22"/>
          <w:szCs w:val="22"/>
        </w:rPr>
      </w:pPr>
      <w:hyperlink w:anchor="_§200.321__" w:history="1">
        <w:r w:rsidR="000947F5" w:rsidRPr="002E5514">
          <w:rPr>
            <w:rStyle w:val="Hyperlink"/>
            <w:rFonts w:asciiTheme="minorHAnsi" w:hAnsiTheme="minorHAnsi" w:cs="Arial"/>
            <w:b w:val="0"/>
            <w:sz w:val="22"/>
            <w:szCs w:val="22"/>
          </w:rPr>
          <w:t>§</w:t>
        </w:r>
        <w:r w:rsidR="003450AD" w:rsidRPr="002E5514">
          <w:rPr>
            <w:rStyle w:val="Hyperlink"/>
            <w:rFonts w:asciiTheme="minorHAnsi" w:hAnsiTheme="minorHAnsi" w:cs="Arial"/>
            <w:b w:val="0"/>
            <w:sz w:val="22"/>
            <w:szCs w:val="22"/>
          </w:rPr>
          <w:t>200.</w:t>
        </w:r>
        <w:r w:rsidR="000947F5" w:rsidRPr="002E5514">
          <w:rPr>
            <w:rStyle w:val="Hyperlink"/>
            <w:rFonts w:asciiTheme="minorHAnsi" w:hAnsiTheme="minorHAnsi" w:cs="Arial"/>
            <w:b w:val="0"/>
            <w:sz w:val="22"/>
            <w:szCs w:val="22"/>
          </w:rPr>
          <w:t xml:space="preserve">321  </w:t>
        </w:r>
        <w:r w:rsidR="00880315" w:rsidRPr="002E5514">
          <w:rPr>
            <w:rStyle w:val="Hyperlink"/>
            <w:rFonts w:asciiTheme="minorHAnsi" w:hAnsiTheme="minorHAnsi" w:cs="Arial"/>
            <w:b w:val="0"/>
            <w:sz w:val="22"/>
            <w:szCs w:val="22"/>
          </w:rPr>
          <w:t>Contracting with small and minority businesses, women’s business enterprises, and labor surplus area firms</w:t>
        </w:r>
        <w:r w:rsidR="000947F5" w:rsidRPr="002E5514">
          <w:rPr>
            <w:rStyle w:val="Hyperlink"/>
            <w:rFonts w:asciiTheme="minorHAnsi" w:hAnsiTheme="minorHAnsi" w:cs="Arial"/>
            <w:b w:val="0"/>
            <w:sz w:val="22"/>
            <w:szCs w:val="22"/>
          </w:rPr>
          <w:t>.</w:t>
        </w:r>
      </w:hyperlink>
    </w:p>
    <w:p w14:paraId="4FB8BDB9" w14:textId="2E444182" w:rsidR="00B4406E" w:rsidRPr="000947F5" w:rsidRDefault="002F1ADA" w:rsidP="003450AD">
      <w:pPr>
        <w:pStyle w:val="Heading2"/>
        <w:shd w:val="clear" w:color="auto" w:fill="FFFFFF"/>
        <w:spacing w:before="0" w:beforeAutospacing="0" w:after="120" w:afterAutospacing="0"/>
        <w:ind w:left="720"/>
        <w:rPr>
          <w:rFonts w:asciiTheme="minorHAnsi" w:hAnsiTheme="minorHAnsi" w:cs="Arial"/>
          <w:b w:val="0"/>
          <w:color w:val="000000"/>
          <w:sz w:val="22"/>
          <w:szCs w:val="22"/>
        </w:rPr>
      </w:pPr>
      <w:hyperlink w:anchor="_§200.322__" w:history="1">
        <w:r w:rsidR="000947F5" w:rsidRPr="002E5514">
          <w:rPr>
            <w:rStyle w:val="Hyperlink"/>
            <w:rFonts w:asciiTheme="minorHAnsi" w:hAnsiTheme="minorHAnsi" w:cs="Arial"/>
            <w:b w:val="0"/>
            <w:sz w:val="22"/>
            <w:szCs w:val="22"/>
          </w:rPr>
          <w:t>§</w:t>
        </w:r>
        <w:r w:rsidR="003450AD" w:rsidRPr="002E5514">
          <w:rPr>
            <w:rStyle w:val="Hyperlink"/>
            <w:rFonts w:asciiTheme="minorHAnsi" w:hAnsiTheme="minorHAnsi" w:cs="Arial"/>
            <w:b w:val="0"/>
            <w:sz w:val="22"/>
            <w:szCs w:val="22"/>
          </w:rPr>
          <w:t>200.</w:t>
        </w:r>
        <w:r w:rsidR="000947F5" w:rsidRPr="002E5514">
          <w:rPr>
            <w:rStyle w:val="Hyperlink"/>
            <w:rFonts w:asciiTheme="minorHAnsi" w:hAnsiTheme="minorHAnsi" w:cs="Arial"/>
            <w:b w:val="0"/>
            <w:sz w:val="22"/>
            <w:szCs w:val="22"/>
          </w:rPr>
          <w:t xml:space="preserve">322  </w:t>
        </w:r>
        <w:r w:rsidR="00880315" w:rsidRPr="002E5514">
          <w:rPr>
            <w:rStyle w:val="Hyperlink"/>
            <w:rFonts w:asciiTheme="minorHAnsi" w:hAnsiTheme="minorHAnsi" w:cs="Arial"/>
            <w:b w:val="0"/>
            <w:sz w:val="22"/>
            <w:szCs w:val="22"/>
          </w:rPr>
          <w:t>Procurement of recovered materials</w:t>
        </w:r>
        <w:r w:rsidR="000947F5" w:rsidRPr="002E5514">
          <w:rPr>
            <w:rStyle w:val="Hyperlink"/>
            <w:rFonts w:asciiTheme="minorHAnsi" w:hAnsiTheme="minorHAnsi" w:cs="Arial"/>
            <w:b w:val="0"/>
            <w:sz w:val="22"/>
            <w:szCs w:val="22"/>
          </w:rPr>
          <w:t>.</w:t>
        </w:r>
      </w:hyperlink>
    </w:p>
    <w:p w14:paraId="7D53336D" w14:textId="542CC01F" w:rsidR="00B4406E" w:rsidRPr="000947F5" w:rsidRDefault="002F1ADA" w:rsidP="003450AD">
      <w:pPr>
        <w:pStyle w:val="Heading2"/>
        <w:shd w:val="clear" w:color="auto" w:fill="FFFFFF"/>
        <w:spacing w:before="0" w:beforeAutospacing="0" w:after="120" w:afterAutospacing="0"/>
        <w:ind w:left="720"/>
        <w:rPr>
          <w:rFonts w:asciiTheme="minorHAnsi" w:hAnsiTheme="minorHAnsi" w:cs="Arial"/>
          <w:b w:val="0"/>
          <w:color w:val="000000"/>
          <w:sz w:val="22"/>
          <w:szCs w:val="22"/>
        </w:rPr>
      </w:pPr>
      <w:hyperlink w:anchor="_§200.323__" w:history="1">
        <w:r w:rsidR="000947F5" w:rsidRPr="002E5514">
          <w:rPr>
            <w:rStyle w:val="Hyperlink"/>
            <w:rFonts w:asciiTheme="minorHAnsi" w:hAnsiTheme="minorHAnsi" w:cs="Arial"/>
            <w:b w:val="0"/>
            <w:sz w:val="22"/>
            <w:szCs w:val="22"/>
          </w:rPr>
          <w:t>§</w:t>
        </w:r>
        <w:r w:rsidR="003450AD" w:rsidRPr="002E5514">
          <w:rPr>
            <w:rStyle w:val="Hyperlink"/>
            <w:rFonts w:asciiTheme="minorHAnsi" w:hAnsiTheme="minorHAnsi" w:cs="Arial"/>
            <w:b w:val="0"/>
            <w:sz w:val="22"/>
            <w:szCs w:val="22"/>
          </w:rPr>
          <w:t>200.</w:t>
        </w:r>
        <w:r w:rsidR="000947F5" w:rsidRPr="002E5514">
          <w:rPr>
            <w:rStyle w:val="Hyperlink"/>
            <w:rFonts w:asciiTheme="minorHAnsi" w:hAnsiTheme="minorHAnsi" w:cs="Arial"/>
            <w:b w:val="0"/>
            <w:sz w:val="22"/>
            <w:szCs w:val="22"/>
          </w:rPr>
          <w:t xml:space="preserve">323  </w:t>
        </w:r>
        <w:r w:rsidR="00880315" w:rsidRPr="002E5514">
          <w:rPr>
            <w:rStyle w:val="Hyperlink"/>
            <w:rFonts w:asciiTheme="minorHAnsi" w:hAnsiTheme="minorHAnsi" w:cs="Arial"/>
            <w:b w:val="0"/>
            <w:sz w:val="22"/>
            <w:szCs w:val="22"/>
          </w:rPr>
          <w:t>Contract cost and price</w:t>
        </w:r>
        <w:r w:rsidR="000947F5" w:rsidRPr="002E5514">
          <w:rPr>
            <w:rStyle w:val="Hyperlink"/>
            <w:rFonts w:asciiTheme="minorHAnsi" w:hAnsiTheme="minorHAnsi" w:cs="Arial"/>
            <w:b w:val="0"/>
            <w:sz w:val="22"/>
            <w:szCs w:val="22"/>
          </w:rPr>
          <w:t>.</w:t>
        </w:r>
      </w:hyperlink>
    </w:p>
    <w:bookmarkStart w:id="2" w:name="_§200.324__Federal"/>
    <w:bookmarkEnd w:id="2"/>
    <w:p w14:paraId="7BE8D8E6" w14:textId="01549EEB" w:rsidR="00B4406E" w:rsidRPr="000947F5" w:rsidRDefault="002E5514" w:rsidP="003450AD">
      <w:pPr>
        <w:pStyle w:val="Heading2"/>
        <w:shd w:val="clear" w:color="auto" w:fill="FFFFFF"/>
        <w:spacing w:before="0" w:beforeAutospacing="0" w:after="120" w:afterAutospacing="0"/>
        <w:ind w:left="720"/>
        <w:rPr>
          <w:rFonts w:asciiTheme="minorHAnsi" w:hAnsiTheme="minorHAnsi" w:cs="Arial"/>
          <w:b w:val="0"/>
          <w:color w:val="000000"/>
          <w:sz w:val="22"/>
          <w:szCs w:val="22"/>
        </w:rPr>
      </w:pPr>
      <w:r>
        <w:rPr>
          <w:rFonts w:asciiTheme="minorHAnsi" w:hAnsiTheme="minorHAnsi" w:cs="Arial"/>
          <w:b w:val="0"/>
          <w:color w:val="000000"/>
          <w:sz w:val="22"/>
          <w:szCs w:val="22"/>
        </w:rPr>
        <w:fldChar w:fldCharType="begin"/>
      </w:r>
      <w:r>
        <w:rPr>
          <w:rFonts w:asciiTheme="minorHAnsi" w:hAnsiTheme="minorHAnsi" w:cs="Arial"/>
          <w:b w:val="0"/>
          <w:color w:val="000000"/>
          <w:sz w:val="22"/>
          <w:szCs w:val="22"/>
        </w:rPr>
        <w:instrText xml:space="preserve"> HYPERLINK  \l "_§200.324__Federal" </w:instrText>
      </w:r>
      <w:r>
        <w:rPr>
          <w:rFonts w:asciiTheme="minorHAnsi" w:hAnsiTheme="minorHAnsi" w:cs="Arial"/>
          <w:b w:val="0"/>
          <w:color w:val="000000"/>
          <w:sz w:val="22"/>
          <w:szCs w:val="22"/>
        </w:rPr>
        <w:fldChar w:fldCharType="separate"/>
      </w:r>
      <w:r w:rsidR="000947F5" w:rsidRPr="002E5514">
        <w:rPr>
          <w:rStyle w:val="Hyperlink"/>
          <w:rFonts w:asciiTheme="minorHAnsi" w:hAnsiTheme="minorHAnsi" w:cs="Arial"/>
          <w:b w:val="0"/>
          <w:sz w:val="22"/>
          <w:szCs w:val="22"/>
        </w:rPr>
        <w:t>§</w:t>
      </w:r>
      <w:r w:rsidR="003450AD" w:rsidRPr="002E5514">
        <w:rPr>
          <w:rStyle w:val="Hyperlink"/>
          <w:rFonts w:asciiTheme="minorHAnsi" w:hAnsiTheme="minorHAnsi" w:cs="Arial"/>
          <w:b w:val="0"/>
          <w:sz w:val="22"/>
          <w:szCs w:val="22"/>
        </w:rPr>
        <w:t>200.</w:t>
      </w:r>
      <w:r w:rsidR="000947F5" w:rsidRPr="002E5514">
        <w:rPr>
          <w:rStyle w:val="Hyperlink"/>
          <w:rFonts w:asciiTheme="minorHAnsi" w:hAnsiTheme="minorHAnsi" w:cs="Arial"/>
          <w:b w:val="0"/>
          <w:sz w:val="22"/>
          <w:szCs w:val="22"/>
        </w:rPr>
        <w:t xml:space="preserve">324  </w:t>
      </w:r>
      <w:r w:rsidR="00880315" w:rsidRPr="002E5514">
        <w:rPr>
          <w:rStyle w:val="Hyperlink"/>
          <w:rFonts w:asciiTheme="minorHAnsi" w:hAnsiTheme="minorHAnsi" w:cs="Arial"/>
          <w:b w:val="0"/>
          <w:sz w:val="22"/>
          <w:szCs w:val="22"/>
        </w:rPr>
        <w:t>Federal awarding agency or pass-through entity review</w:t>
      </w:r>
      <w:r w:rsidR="000947F5" w:rsidRPr="002E5514">
        <w:rPr>
          <w:rStyle w:val="Hyperlink"/>
          <w:rFonts w:asciiTheme="minorHAnsi" w:hAnsiTheme="minorHAnsi" w:cs="Arial"/>
          <w:b w:val="0"/>
          <w:sz w:val="22"/>
          <w:szCs w:val="22"/>
        </w:rPr>
        <w:t>.</w:t>
      </w:r>
      <w:r>
        <w:rPr>
          <w:rFonts w:asciiTheme="minorHAnsi" w:hAnsiTheme="minorHAnsi" w:cs="Arial"/>
          <w:b w:val="0"/>
          <w:color w:val="000000"/>
          <w:sz w:val="22"/>
          <w:szCs w:val="22"/>
        </w:rPr>
        <w:fldChar w:fldCharType="end"/>
      </w:r>
    </w:p>
    <w:bookmarkStart w:id="3" w:name="_§200.325__Bonding"/>
    <w:bookmarkEnd w:id="3"/>
    <w:p w14:paraId="2ED5FCF2" w14:textId="3A072DAA" w:rsidR="00B4406E" w:rsidRPr="000947F5" w:rsidRDefault="002E5514" w:rsidP="003450AD">
      <w:pPr>
        <w:pStyle w:val="Heading2"/>
        <w:shd w:val="clear" w:color="auto" w:fill="FFFFFF"/>
        <w:spacing w:before="0" w:beforeAutospacing="0" w:after="120" w:afterAutospacing="0"/>
        <w:ind w:left="720"/>
        <w:rPr>
          <w:rFonts w:asciiTheme="minorHAnsi" w:hAnsiTheme="minorHAnsi" w:cs="Arial"/>
          <w:b w:val="0"/>
          <w:color w:val="000000"/>
          <w:sz w:val="22"/>
          <w:szCs w:val="22"/>
        </w:rPr>
      </w:pPr>
      <w:r>
        <w:rPr>
          <w:rFonts w:asciiTheme="minorHAnsi" w:hAnsiTheme="minorHAnsi" w:cs="Arial"/>
          <w:b w:val="0"/>
          <w:color w:val="000000"/>
          <w:sz w:val="22"/>
          <w:szCs w:val="22"/>
        </w:rPr>
        <w:fldChar w:fldCharType="begin"/>
      </w:r>
      <w:r>
        <w:rPr>
          <w:rFonts w:asciiTheme="minorHAnsi" w:hAnsiTheme="minorHAnsi" w:cs="Arial"/>
          <w:b w:val="0"/>
          <w:color w:val="000000"/>
          <w:sz w:val="22"/>
          <w:szCs w:val="22"/>
        </w:rPr>
        <w:instrText xml:space="preserve"> HYPERLINK  \l "_§200.325__Bonding" </w:instrText>
      </w:r>
      <w:r>
        <w:rPr>
          <w:rFonts w:asciiTheme="minorHAnsi" w:hAnsiTheme="minorHAnsi" w:cs="Arial"/>
          <w:b w:val="0"/>
          <w:color w:val="000000"/>
          <w:sz w:val="22"/>
          <w:szCs w:val="22"/>
        </w:rPr>
        <w:fldChar w:fldCharType="separate"/>
      </w:r>
      <w:r w:rsidR="000947F5" w:rsidRPr="002E5514">
        <w:rPr>
          <w:rStyle w:val="Hyperlink"/>
          <w:rFonts w:asciiTheme="minorHAnsi" w:hAnsiTheme="minorHAnsi" w:cs="Arial"/>
          <w:b w:val="0"/>
          <w:sz w:val="22"/>
          <w:szCs w:val="22"/>
        </w:rPr>
        <w:t>§</w:t>
      </w:r>
      <w:r w:rsidR="003450AD" w:rsidRPr="002E5514">
        <w:rPr>
          <w:rStyle w:val="Hyperlink"/>
          <w:rFonts w:asciiTheme="minorHAnsi" w:hAnsiTheme="minorHAnsi" w:cs="Arial"/>
          <w:b w:val="0"/>
          <w:sz w:val="22"/>
          <w:szCs w:val="22"/>
        </w:rPr>
        <w:t>200.</w:t>
      </w:r>
      <w:r w:rsidR="000947F5" w:rsidRPr="002E5514">
        <w:rPr>
          <w:rStyle w:val="Hyperlink"/>
          <w:rFonts w:asciiTheme="minorHAnsi" w:hAnsiTheme="minorHAnsi" w:cs="Arial"/>
          <w:b w:val="0"/>
          <w:sz w:val="22"/>
          <w:szCs w:val="22"/>
        </w:rPr>
        <w:t xml:space="preserve">325  </w:t>
      </w:r>
      <w:r w:rsidR="00880315" w:rsidRPr="002E5514">
        <w:rPr>
          <w:rStyle w:val="Hyperlink"/>
          <w:rFonts w:asciiTheme="minorHAnsi" w:hAnsiTheme="minorHAnsi" w:cs="Arial"/>
          <w:b w:val="0"/>
          <w:sz w:val="22"/>
          <w:szCs w:val="22"/>
        </w:rPr>
        <w:t>Bonding requirements</w:t>
      </w:r>
      <w:r w:rsidR="000947F5" w:rsidRPr="002E5514">
        <w:rPr>
          <w:rStyle w:val="Hyperlink"/>
          <w:rFonts w:asciiTheme="minorHAnsi" w:hAnsiTheme="minorHAnsi" w:cs="Arial"/>
          <w:b w:val="0"/>
          <w:sz w:val="22"/>
          <w:szCs w:val="22"/>
        </w:rPr>
        <w:t>.</w:t>
      </w:r>
      <w:r>
        <w:rPr>
          <w:rFonts w:asciiTheme="minorHAnsi" w:hAnsiTheme="minorHAnsi" w:cs="Arial"/>
          <w:b w:val="0"/>
          <w:color w:val="000000"/>
          <w:sz w:val="22"/>
          <w:szCs w:val="22"/>
        </w:rPr>
        <w:fldChar w:fldCharType="end"/>
      </w:r>
    </w:p>
    <w:bookmarkStart w:id="4" w:name="_§200.326__Contract"/>
    <w:bookmarkEnd w:id="4"/>
    <w:p w14:paraId="6255A076" w14:textId="25EFF6F6" w:rsidR="00B4406E" w:rsidRPr="000947F5" w:rsidRDefault="002E5514" w:rsidP="003450AD">
      <w:pPr>
        <w:pStyle w:val="Heading2"/>
        <w:shd w:val="clear" w:color="auto" w:fill="FFFFFF"/>
        <w:spacing w:before="0" w:beforeAutospacing="0" w:after="120" w:afterAutospacing="0"/>
        <w:ind w:left="720"/>
        <w:rPr>
          <w:rFonts w:asciiTheme="minorHAnsi" w:hAnsiTheme="minorHAnsi" w:cs="Arial"/>
          <w:b w:val="0"/>
          <w:color w:val="000000"/>
          <w:sz w:val="22"/>
          <w:szCs w:val="22"/>
        </w:rPr>
      </w:pPr>
      <w:r>
        <w:rPr>
          <w:rFonts w:asciiTheme="minorHAnsi" w:hAnsiTheme="minorHAnsi" w:cs="Arial"/>
          <w:b w:val="0"/>
          <w:color w:val="000000"/>
          <w:sz w:val="22"/>
          <w:szCs w:val="22"/>
        </w:rPr>
        <w:fldChar w:fldCharType="begin"/>
      </w:r>
      <w:r>
        <w:rPr>
          <w:rFonts w:asciiTheme="minorHAnsi" w:hAnsiTheme="minorHAnsi" w:cs="Arial"/>
          <w:b w:val="0"/>
          <w:color w:val="000000"/>
          <w:sz w:val="22"/>
          <w:szCs w:val="22"/>
        </w:rPr>
        <w:instrText xml:space="preserve"> HYPERLINK  \l "_§200.326__Contract" </w:instrText>
      </w:r>
      <w:r>
        <w:rPr>
          <w:rFonts w:asciiTheme="minorHAnsi" w:hAnsiTheme="minorHAnsi" w:cs="Arial"/>
          <w:b w:val="0"/>
          <w:color w:val="000000"/>
          <w:sz w:val="22"/>
          <w:szCs w:val="22"/>
        </w:rPr>
        <w:fldChar w:fldCharType="separate"/>
      </w:r>
      <w:r w:rsidR="000947F5" w:rsidRPr="002E5514">
        <w:rPr>
          <w:rStyle w:val="Hyperlink"/>
          <w:rFonts w:asciiTheme="minorHAnsi" w:hAnsiTheme="minorHAnsi" w:cs="Arial"/>
          <w:b w:val="0"/>
          <w:sz w:val="22"/>
          <w:szCs w:val="22"/>
        </w:rPr>
        <w:t>§</w:t>
      </w:r>
      <w:r w:rsidR="003450AD" w:rsidRPr="002E5514">
        <w:rPr>
          <w:rStyle w:val="Hyperlink"/>
          <w:rFonts w:asciiTheme="minorHAnsi" w:hAnsiTheme="minorHAnsi" w:cs="Arial"/>
          <w:b w:val="0"/>
          <w:sz w:val="22"/>
          <w:szCs w:val="22"/>
        </w:rPr>
        <w:t>200.</w:t>
      </w:r>
      <w:r w:rsidR="00880315" w:rsidRPr="002E5514">
        <w:rPr>
          <w:rStyle w:val="Hyperlink"/>
          <w:rFonts w:asciiTheme="minorHAnsi" w:hAnsiTheme="minorHAnsi" w:cs="Arial"/>
          <w:b w:val="0"/>
          <w:sz w:val="22"/>
          <w:szCs w:val="22"/>
        </w:rPr>
        <w:t>32</w:t>
      </w:r>
      <w:r w:rsidR="000947F5" w:rsidRPr="002E5514">
        <w:rPr>
          <w:rStyle w:val="Hyperlink"/>
          <w:rFonts w:asciiTheme="minorHAnsi" w:hAnsiTheme="minorHAnsi" w:cs="Arial"/>
          <w:b w:val="0"/>
          <w:sz w:val="22"/>
          <w:szCs w:val="22"/>
        </w:rPr>
        <w:t xml:space="preserve">6  </w:t>
      </w:r>
      <w:r w:rsidR="00880315" w:rsidRPr="002E5514">
        <w:rPr>
          <w:rStyle w:val="Hyperlink"/>
          <w:rFonts w:asciiTheme="minorHAnsi" w:hAnsiTheme="minorHAnsi" w:cs="Arial"/>
          <w:b w:val="0"/>
          <w:sz w:val="22"/>
          <w:szCs w:val="22"/>
        </w:rPr>
        <w:t>Contract provisions</w:t>
      </w:r>
      <w:r w:rsidR="000947F5" w:rsidRPr="002E5514">
        <w:rPr>
          <w:rStyle w:val="Hyperlink"/>
          <w:rFonts w:asciiTheme="minorHAnsi" w:hAnsiTheme="minorHAnsi" w:cs="Arial"/>
          <w:b w:val="0"/>
          <w:sz w:val="22"/>
          <w:szCs w:val="22"/>
        </w:rPr>
        <w:t>.</w:t>
      </w:r>
      <w:r>
        <w:rPr>
          <w:rFonts w:asciiTheme="minorHAnsi" w:hAnsiTheme="minorHAnsi" w:cs="Arial"/>
          <w:b w:val="0"/>
          <w:color w:val="000000"/>
          <w:sz w:val="22"/>
          <w:szCs w:val="22"/>
        </w:rPr>
        <w:fldChar w:fldCharType="end"/>
      </w:r>
    </w:p>
    <w:p w14:paraId="1594D4BC" w14:textId="77777777" w:rsidR="000947F5" w:rsidRPr="000947F5" w:rsidRDefault="000947F5" w:rsidP="000947F5">
      <w:pPr>
        <w:shd w:val="clear" w:color="auto" w:fill="FFFFFF"/>
        <w:spacing w:after="120" w:line="240" w:lineRule="auto"/>
        <w:ind w:left="360"/>
        <w:outlineLvl w:val="1"/>
        <w:rPr>
          <w:rFonts w:eastAsia="Times New Roman" w:cs="Arial"/>
          <w:bCs/>
          <w:color w:val="000000"/>
        </w:rPr>
      </w:pPr>
      <w:r w:rsidRPr="000947F5">
        <w:rPr>
          <w:rFonts w:eastAsia="Times New Roman" w:cs="Arial"/>
          <w:bCs/>
          <w:color w:val="000000"/>
        </w:rPr>
        <w:t>Subrecipient Monitoring and Management</w:t>
      </w:r>
    </w:p>
    <w:p w14:paraId="09B1FE13" w14:textId="0EF1023A" w:rsidR="000947F5" w:rsidRPr="000947F5" w:rsidRDefault="002F1ADA" w:rsidP="000947F5">
      <w:pPr>
        <w:pStyle w:val="Heading2"/>
        <w:shd w:val="clear" w:color="auto" w:fill="FFFFFF"/>
        <w:spacing w:before="0" w:beforeAutospacing="0" w:after="120" w:afterAutospacing="0"/>
        <w:ind w:left="720"/>
        <w:rPr>
          <w:rFonts w:asciiTheme="minorHAnsi" w:hAnsiTheme="minorHAnsi" w:cs="Arial"/>
          <w:b w:val="0"/>
          <w:color w:val="000000"/>
          <w:sz w:val="22"/>
          <w:szCs w:val="22"/>
        </w:rPr>
      </w:pPr>
      <w:hyperlink w:anchor="_§200.330__" w:history="1">
        <w:r w:rsidR="000947F5" w:rsidRPr="002E5514">
          <w:rPr>
            <w:rStyle w:val="Hyperlink"/>
            <w:rFonts w:asciiTheme="minorHAnsi" w:hAnsiTheme="minorHAnsi" w:cs="Arial"/>
            <w:b w:val="0"/>
            <w:sz w:val="22"/>
            <w:szCs w:val="22"/>
          </w:rPr>
          <w:t>§200.330  Subrecipient and contractor determinations.</w:t>
        </w:r>
      </w:hyperlink>
    </w:p>
    <w:p w14:paraId="7EF9BF34" w14:textId="73FF8871" w:rsidR="000947F5" w:rsidRPr="000947F5" w:rsidRDefault="002F1ADA" w:rsidP="000947F5">
      <w:pPr>
        <w:pStyle w:val="Heading2"/>
        <w:shd w:val="clear" w:color="auto" w:fill="FFFFFF"/>
        <w:spacing w:before="200" w:beforeAutospacing="0" w:afterAutospacing="0"/>
        <w:rPr>
          <w:rFonts w:asciiTheme="minorHAnsi" w:hAnsiTheme="minorHAnsi" w:cs="Arial"/>
          <w:b w:val="0"/>
          <w:bCs w:val="0"/>
          <w:smallCaps/>
          <w:color w:val="000000"/>
          <w:sz w:val="22"/>
          <w:szCs w:val="22"/>
        </w:rPr>
      </w:pPr>
      <w:hyperlink w:anchor="_Appendix_II_to" w:history="1">
        <w:r w:rsidR="000947F5" w:rsidRPr="002E5514">
          <w:rPr>
            <w:rStyle w:val="Hyperlink"/>
            <w:rFonts w:asciiTheme="minorHAnsi" w:hAnsiTheme="minorHAnsi" w:cs="Arial"/>
            <w:b w:val="0"/>
            <w:bCs w:val="0"/>
            <w:smallCaps/>
            <w:sz w:val="22"/>
            <w:szCs w:val="22"/>
          </w:rPr>
          <w:t>Appendix II to Part 200—Contract Provisions for Non-Federal Entity Contracts Under Federal Awards</w:t>
        </w:r>
      </w:hyperlink>
    </w:p>
    <w:p w14:paraId="7762AE33" w14:textId="77777777" w:rsidR="000947F5" w:rsidRDefault="000947F5">
      <w:pPr>
        <w:rPr>
          <w:rFonts w:eastAsia="Times New Roman" w:cs="Arial"/>
          <w:b/>
          <w:bCs/>
          <w:color w:val="000000"/>
          <w:u w:val="single"/>
        </w:rPr>
      </w:pPr>
      <w:r>
        <w:rPr>
          <w:rFonts w:eastAsia="Times New Roman" w:cs="Arial"/>
          <w:b/>
          <w:bCs/>
          <w:color w:val="000000"/>
          <w:u w:val="single"/>
        </w:rPr>
        <w:br w:type="page"/>
      </w:r>
    </w:p>
    <w:p w14:paraId="55F37F67" w14:textId="700B2A4D" w:rsidR="000B0A56" w:rsidRPr="000947F5" w:rsidRDefault="000B0A56" w:rsidP="000947F5">
      <w:pPr>
        <w:shd w:val="clear" w:color="auto" w:fill="FFFFFF"/>
        <w:spacing w:before="360" w:after="120" w:line="240" w:lineRule="auto"/>
        <w:outlineLvl w:val="1"/>
        <w:rPr>
          <w:rFonts w:eastAsia="Times New Roman" w:cs="Arial"/>
          <w:b/>
          <w:bCs/>
          <w:color w:val="000000"/>
          <w:u w:val="single"/>
        </w:rPr>
      </w:pPr>
      <w:r w:rsidRPr="000947F5">
        <w:rPr>
          <w:rFonts w:eastAsia="Times New Roman" w:cs="Arial"/>
          <w:b/>
          <w:bCs/>
          <w:color w:val="000000"/>
          <w:u w:val="single"/>
        </w:rPr>
        <w:lastRenderedPageBreak/>
        <w:t>2 CFR Part 200 Subpart A</w:t>
      </w:r>
    </w:p>
    <w:p w14:paraId="511162B9" w14:textId="608F92A4" w:rsidR="000947F5" w:rsidRPr="000947F5" w:rsidRDefault="000947F5" w:rsidP="000947F5">
      <w:pPr>
        <w:pStyle w:val="Heading2"/>
        <w:shd w:val="clear" w:color="auto" w:fill="FFFFFF"/>
        <w:spacing w:before="200" w:beforeAutospacing="0" w:afterAutospacing="0"/>
        <w:rPr>
          <w:rFonts w:asciiTheme="minorHAnsi" w:hAnsiTheme="minorHAnsi" w:cs="Arial"/>
          <w:smallCaps/>
          <w:color w:val="000000"/>
          <w:sz w:val="22"/>
          <w:szCs w:val="22"/>
        </w:rPr>
      </w:pPr>
      <w:r w:rsidRPr="000947F5">
        <w:rPr>
          <w:rFonts w:asciiTheme="minorHAnsi" w:hAnsiTheme="minorHAnsi" w:cs="Arial"/>
          <w:smallCaps/>
          <w:color w:val="000000"/>
          <w:sz w:val="22"/>
          <w:szCs w:val="22"/>
        </w:rPr>
        <w:t>definitions</w:t>
      </w:r>
    </w:p>
    <w:p w14:paraId="705D6057" w14:textId="77777777" w:rsidR="003450AD" w:rsidRPr="000947F5" w:rsidRDefault="003450AD" w:rsidP="003450AD">
      <w:pPr>
        <w:pStyle w:val="Heading2"/>
        <w:shd w:val="clear" w:color="auto" w:fill="FFFFFF"/>
        <w:spacing w:before="200" w:beforeAutospacing="0" w:afterAutospacing="0"/>
        <w:rPr>
          <w:rFonts w:asciiTheme="minorHAnsi" w:hAnsiTheme="minorHAnsi" w:cs="Arial"/>
          <w:color w:val="000000"/>
          <w:sz w:val="22"/>
          <w:szCs w:val="22"/>
        </w:rPr>
      </w:pPr>
      <w:bookmarkStart w:id="5" w:name="_§200.22__"/>
      <w:bookmarkEnd w:id="5"/>
      <w:r w:rsidRPr="000947F5">
        <w:rPr>
          <w:rFonts w:asciiTheme="minorHAnsi" w:hAnsiTheme="minorHAnsi" w:cs="Arial"/>
          <w:color w:val="000000"/>
          <w:sz w:val="22"/>
          <w:szCs w:val="22"/>
        </w:rPr>
        <w:t>§200.22   Contract.</w:t>
      </w:r>
    </w:p>
    <w:p w14:paraId="4945D5CE"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i/>
          <w:iCs/>
          <w:color w:val="000000"/>
          <w:sz w:val="22"/>
          <w:szCs w:val="22"/>
        </w:rPr>
        <w:t>Contract</w:t>
      </w:r>
      <w:r w:rsidRPr="000947F5">
        <w:rPr>
          <w:rStyle w:val="apple-converted-space"/>
          <w:rFonts w:asciiTheme="minorHAnsi" w:hAnsiTheme="minorHAnsi" w:cs="Arial"/>
          <w:color w:val="000000"/>
          <w:sz w:val="22"/>
          <w:szCs w:val="22"/>
        </w:rPr>
        <w:t> </w:t>
      </w:r>
      <w:r w:rsidRPr="000947F5">
        <w:rPr>
          <w:rFonts w:asciiTheme="minorHAnsi" w:hAnsiTheme="minorHAnsi" w:cs="Arial"/>
          <w:color w:val="000000"/>
          <w:sz w:val="22"/>
          <w:szCs w:val="22"/>
        </w:rPr>
        <w:t>means a legal instrument by which a non-Federal entity purchases property or services needed to carry out the project or program under a Federal award. The term as used in this part does not include a legal instrument, even if the non-Federal entity considers it a contract, when the substance of the transaction meets the definition of a Federal award or subaward (see §200.92 Subaward).</w:t>
      </w:r>
    </w:p>
    <w:p w14:paraId="42C1C9FB" w14:textId="77777777" w:rsidR="003450AD" w:rsidRPr="000947F5" w:rsidRDefault="003450AD" w:rsidP="003450AD">
      <w:pPr>
        <w:pStyle w:val="Heading2"/>
        <w:shd w:val="clear" w:color="auto" w:fill="FFFFFF"/>
        <w:spacing w:before="200" w:beforeAutospacing="0" w:afterAutospacing="0"/>
        <w:rPr>
          <w:rFonts w:asciiTheme="minorHAnsi" w:hAnsiTheme="minorHAnsi" w:cs="Arial"/>
          <w:color w:val="000000"/>
          <w:sz w:val="22"/>
          <w:szCs w:val="22"/>
        </w:rPr>
      </w:pPr>
      <w:bookmarkStart w:id="6" w:name="_§200.23__"/>
      <w:bookmarkEnd w:id="6"/>
      <w:r w:rsidRPr="000947F5">
        <w:rPr>
          <w:rFonts w:asciiTheme="minorHAnsi" w:hAnsiTheme="minorHAnsi" w:cs="Arial"/>
          <w:color w:val="000000"/>
          <w:sz w:val="22"/>
          <w:szCs w:val="22"/>
        </w:rPr>
        <w:t>§200.23   Contractor.</w:t>
      </w:r>
    </w:p>
    <w:p w14:paraId="1F6E88FD"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i/>
          <w:iCs/>
          <w:color w:val="000000"/>
          <w:sz w:val="22"/>
          <w:szCs w:val="22"/>
        </w:rPr>
        <w:t>Contractor</w:t>
      </w:r>
      <w:r w:rsidRPr="000947F5">
        <w:rPr>
          <w:rStyle w:val="apple-converted-space"/>
          <w:rFonts w:asciiTheme="minorHAnsi" w:hAnsiTheme="minorHAnsi" w:cs="Arial"/>
          <w:color w:val="000000"/>
          <w:sz w:val="22"/>
          <w:szCs w:val="22"/>
        </w:rPr>
        <w:t> </w:t>
      </w:r>
      <w:r w:rsidRPr="000947F5">
        <w:rPr>
          <w:rFonts w:asciiTheme="minorHAnsi" w:hAnsiTheme="minorHAnsi" w:cs="Arial"/>
          <w:color w:val="000000"/>
          <w:sz w:val="22"/>
          <w:szCs w:val="22"/>
        </w:rPr>
        <w:t>means an entity that receives a contract as defined in §200.22 Contract.</w:t>
      </w:r>
    </w:p>
    <w:p w14:paraId="38DE0F98" w14:textId="77777777" w:rsidR="003450AD" w:rsidRPr="000947F5" w:rsidRDefault="003450AD" w:rsidP="003450AD">
      <w:pPr>
        <w:pStyle w:val="Heading2"/>
        <w:shd w:val="clear" w:color="auto" w:fill="FFFFFF"/>
        <w:spacing w:before="200" w:beforeAutospacing="0" w:afterAutospacing="0"/>
        <w:rPr>
          <w:rFonts w:asciiTheme="minorHAnsi" w:hAnsiTheme="minorHAnsi" w:cs="Arial"/>
          <w:color w:val="000000"/>
          <w:sz w:val="22"/>
          <w:szCs w:val="22"/>
        </w:rPr>
      </w:pPr>
      <w:bookmarkStart w:id="7" w:name="_§200.67__"/>
      <w:bookmarkEnd w:id="7"/>
      <w:r w:rsidRPr="000947F5">
        <w:rPr>
          <w:rFonts w:asciiTheme="minorHAnsi" w:hAnsiTheme="minorHAnsi" w:cs="Arial"/>
          <w:color w:val="000000"/>
          <w:sz w:val="22"/>
          <w:szCs w:val="22"/>
        </w:rPr>
        <w:t>§200.67   Micro-purchase.</w:t>
      </w:r>
    </w:p>
    <w:p w14:paraId="3A091F39"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i/>
          <w:iCs/>
          <w:color w:val="000000"/>
          <w:sz w:val="22"/>
          <w:szCs w:val="22"/>
        </w:rPr>
        <w:t>Micro-purchase</w:t>
      </w:r>
      <w:r w:rsidRPr="000947F5">
        <w:rPr>
          <w:rStyle w:val="apple-converted-space"/>
          <w:rFonts w:asciiTheme="minorHAnsi" w:hAnsiTheme="minorHAnsi" w:cs="Arial"/>
          <w:color w:val="000000"/>
          <w:sz w:val="22"/>
          <w:szCs w:val="22"/>
        </w:rPr>
        <w:t> </w:t>
      </w:r>
      <w:r w:rsidRPr="000947F5">
        <w:rPr>
          <w:rFonts w:asciiTheme="minorHAnsi" w:hAnsiTheme="minorHAnsi" w:cs="Arial"/>
          <w:color w:val="000000"/>
          <w:sz w:val="22"/>
          <w:szCs w:val="22"/>
        </w:rPr>
        <w:t>means a purchase of supplies or services using simplified acquisition procedures, the aggregate amount of which does not exceed the micro-purchase threshold. Micro-purchase procedures comprise a subset of a non-Federal entity's small purchase procedures. The non-Federal entity uses such procedures in order to expedite the completion of its lowest-dollar small purchase transactions and minimize the associated administrative burden and cost. The micro-purchase threshold is set by the Federal Acquisition Regulation at 48 CFR Subpart 2.1 (Definitions). It is $3,000 except as otherwise discussed in Subpart 2.1 of that regulation, but this threshold is periodically adjusted for inflation.</w:t>
      </w:r>
    </w:p>
    <w:p w14:paraId="0881F90E" w14:textId="77777777" w:rsidR="003450AD" w:rsidRPr="000947F5" w:rsidRDefault="003450AD" w:rsidP="003450AD">
      <w:pPr>
        <w:pStyle w:val="Heading2"/>
        <w:shd w:val="clear" w:color="auto" w:fill="FFFFFF"/>
        <w:spacing w:before="200" w:beforeAutospacing="0" w:afterAutospacing="0"/>
        <w:rPr>
          <w:rFonts w:asciiTheme="minorHAnsi" w:hAnsiTheme="minorHAnsi" w:cs="Arial"/>
          <w:color w:val="000000"/>
          <w:sz w:val="22"/>
          <w:szCs w:val="22"/>
        </w:rPr>
      </w:pPr>
      <w:bookmarkStart w:id="8" w:name="_§200.88__"/>
      <w:bookmarkEnd w:id="8"/>
      <w:r w:rsidRPr="000947F5">
        <w:rPr>
          <w:rFonts w:asciiTheme="minorHAnsi" w:hAnsiTheme="minorHAnsi" w:cs="Arial"/>
          <w:color w:val="000000"/>
          <w:sz w:val="22"/>
          <w:szCs w:val="22"/>
        </w:rPr>
        <w:t>§200.88   Simplified acquisition threshold.</w:t>
      </w:r>
    </w:p>
    <w:p w14:paraId="7D3C339F"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i/>
          <w:iCs/>
          <w:color w:val="000000"/>
          <w:sz w:val="22"/>
          <w:szCs w:val="22"/>
        </w:rPr>
        <w:t>Simplified acquisition threshold</w:t>
      </w:r>
      <w:r w:rsidRPr="000947F5">
        <w:rPr>
          <w:rStyle w:val="apple-converted-space"/>
          <w:rFonts w:asciiTheme="minorHAnsi" w:hAnsiTheme="minorHAnsi" w:cs="Arial"/>
          <w:color w:val="000000"/>
          <w:sz w:val="22"/>
          <w:szCs w:val="22"/>
        </w:rPr>
        <w:t> </w:t>
      </w:r>
      <w:r w:rsidRPr="000947F5">
        <w:rPr>
          <w:rFonts w:asciiTheme="minorHAnsi" w:hAnsiTheme="minorHAnsi" w:cs="Arial"/>
          <w:color w:val="000000"/>
          <w:sz w:val="22"/>
          <w:szCs w:val="22"/>
        </w:rPr>
        <w:t>means the dollar amount below which a non-Federal entity may purchase property or services using small purchase methods. Non-Federal entities adopt small purchase procedures in order to expedite the purchase of items costing less than the simplified acquisition threshold. The simplified acquisition threshold is set by the Federal Acquisition Regulation at 48 CFR Subpart 2.1 (Definitions) and in accordance with 41 U.S.C. 1908. As of the publication of this part, the simplified acquisition threshold is $150,000, but this threshold is periodically adjusted for inflation. (Also see definition of §200.67 Micro-purchase.)</w:t>
      </w:r>
    </w:p>
    <w:p w14:paraId="7B391CDD" w14:textId="77777777" w:rsidR="00484BAE" w:rsidRPr="002E5514" w:rsidRDefault="00484BAE" w:rsidP="002E5514">
      <w:pPr>
        <w:pStyle w:val="Heading2"/>
        <w:shd w:val="clear" w:color="auto" w:fill="FFFFFF"/>
        <w:spacing w:before="200" w:beforeAutospacing="0" w:afterAutospacing="0"/>
        <w:rPr>
          <w:rFonts w:asciiTheme="minorHAnsi" w:hAnsiTheme="minorHAnsi" w:cs="Arial"/>
          <w:color w:val="000000"/>
          <w:sz w:val="22"/>
          <w:szCs w:val="22"/>
        </w:rPr>
      </w:pPr>
      <w:bookmarkStart w:id="9" w:name="_§200.92__"/>
      <w:bookmarkEnd w:id="9"/>
      <w:r w:rsidRPr="002E5514">
        <w:rPr>
          <w:rFonts w:asciiTheme="minorHAnsi" w:hAnsiTheme="minorHAnsi" w:cs="Arial"/>
          <w:color w:val="000000"/>
          <w:sz w:val="22"/>
          <w:szCs w:val="22"/>
        </w:rPr>
        <w:t>§200.92   Subaward.</w:t>
      </w:r>
    </w:p>
    <w:p w14:paraId="7B391CDE" w14:textId="77777777" w:rsidR="00484BAE" w:rsidRPr="000947F5" w:rsidRDefault="00484BAE" w:rsidP="000B0A56">
      <w:pPr>
        <w:shd w:val="clear" w:color="auto" w:fill="FFFFFF"/>
        <w:spacing w:after="120" w:line="240" w:lineRule="auto"/>
        <w:ind w:firstLine="480"/>
        <w:rPr>
          <w:rFonts w:eastAsia="Times New Roman" w:cs="Arial"/>
          <w:color w:val="000000"/>
        </w:rPr>
      </w:pPr>
      <w:r w:rsidRPr="000947F5">
        <w:rPr>
          <w:rFonts w:eastAsia="Times New Roman" w:cs="Arial"/>
          <w:i/>
          <w:iCs/>
          <w:color w:val="000000"/>
        </w:rPr>
        <w:t>Subaward</w:t>
      </w:r>
      <w:r w:rsidRPr="000947F5">
        <w:rPr>
          <w:rFonts w:eastAsia="Times New Roman" w:cs="Arial"/>
          <w:color w:val="000000"/>
        </w:rPr>
        <w:t>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7B391CDF" w14:textId="77777777" w:rsidR="00484BAE" w:rsidRPr="000947F5"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bookmarkStart w:id="10" w:name="_§200.93__"/>
      <w:bookmarkEnd w:id="10"/>
      <w:r w:rsidRPr="000947F5">
        <w:rPr>
          <w:rFonts w:asciiTheme="minorHAnsi" w:hAnsiTheme="minorHAnsi" w:cs="Arial"/>
          <w:color w:val="000000"/>
          <w:sz w:val="22"/>
          <w:szCs w:val="22"/>
        </w:rPr>
        <w:t>§200.93   Subrecipient.</w:t>
      </w:r>
    </w:p>
    <w:p w14:paraId="7B391CE0" w14:textId="77777777" w:rsidR="00484BAE" w:rsidRPr="000947F5" w:rsidRDefault="00484BAE" w:rsidP="000B0A56">
      <w:pPr>
        <w:pStyle w:val="NormalWeb"/>
        <w:shd w:val="clear" w:color="auto" w:fill="FFFFFF"/>
        <w:spacing w:before="0" w:beforeAutospacing="0" w:after="360" w:afterAutospacing="0"/>
        <w:ind w:firstLine="475"/>
        <w:rPr>
          <w:rFonts w:asciiTheme="minorHAnsi" w:hAnsiTheme="minorHAnsi" w:cs="Arial"/>
          <w:color w:val="000000"/>
          <w:sz w:val="22"/>
          <w:szCs w:val="22"/>
        </w:rPr>
      </w:pPr>
      <w:r w:rsidRPr="000947F5">
        <w:rPr>
          <w:rFonts w:asciiTheme="minorHAnsi" w:hAnsiTheme="minorHAnsi" w:cs="Arial"/>
          <w:i/>
          <w:iCs/>
          <w:color w:val="000000"/>
          <w:sz w:val="22"/>
          <w:szCs w:val="22"/>
        </w:rPr>
        <w:t>Subrecipient</w:t>
      </w:r>
      <w:r w:rsidRPr="000947F5">
        <w:rPr>
          <w:rStyle w:val="apple-converted-space"/>
          <w:rFonts w:asciiTheme="minorHAnsi" w:hAnsiTheme="minorHAnsi" w:cs="Arial"/>
          <w:color w:val="000000"/>
          <w:sz w:val="22"/>
          <w:szCs w:val="22"/>
        </w:rPr>
        <w:t> </w:t>
      </w:r>
      <w:r w:rsidRPr="000947F5">
        <w:rPr>
          <w:rFonts w:asciiTheme="minorHAnsi" w:hAnsiTheme="minorHAnsi" w:cs="Arial"/>
          <w:color w:val="000000"/>
          <w:sz w:val="22"/>
          <w:szCs w:val="22"/>
        </w:rPr>
        <w:t>means a non-Federal entity that receives a subaward from a pass-through entity to carry out part of a Federal program; but does not include an individual that is a beneficiary of such program. A subrecipient may also be a recipient of other Federal awards directly from a Federal awarding agency.</w:t>
      </w:r>
    </w:p>
    <w:p w14:paraId="624A7984" w14:textId="388969AB" w:rsidR="000B0A56" w:rsidRPr="000947F5" w:rsidRDefault="000B0A56" w:rsidP="000B0A56">
      <w:pPr>
        <w:shd w:val="clear" w:color="auto" w:fill="FFFFFF"/>
        <w:spacing w:after="120" w:line="240" w:lineRule="auto"/>
        <w:outlineLvl w:val="1"/>
        <w:rPr>
          <w:rFonts w:eastAsia="Times New Roman" w:cs="Arial"/>
          <w:b/>
          <w:bCs/>
          <w:color w:val="000000"/>
          <w:u w:val="single"/>
        </w:rPr>
      </w:pPr>
      <w:r w:rsidRPr="000947F5">
        <w:rPr>
          <w:rFonts w:eastAsia="Times New Roman" w:cs="Arial"/>
          <w:b/>
          <w:bCs/>
          <w:color w:val="000000"/>
          <w:u w:val="single"/>
        </w:rPr>
        <w:lastRenderedPageBreak/>
        <w:t>2 CFR Part 200 Subpart D</w:t>
      </w:r>
    </w:p>
    <w:p w14:paraId="5F36FEB4" w14:textId="77777777" w:rsidR="00C46AD7" w:rsidRPr="000947F5" w:rsidRDefault="00C46AD7" w:rsidP="00C46AD7">
      <w:pPr>
        <w:pStyle w:val="Heading2"/>
        <w:shd w:val="clear" w:color="auto" w:fill="FFFFFF"/>
        <w:spacing w:before="200" w:beforeAutospacing="0" w:afterAutospacing="0"/>
        <w:rPr>
          <w:rFonts w:asciiTheme="minorHAnsi" w:hAnsiTheme="minorHAnsi" w:cs="Arial"/>
          <w:smallCaps/>
          <w:color w:val="000000"/>
          <w:sz w:val="22"/>
          <w:szCs w:val="22"/>
        </w:rPr>
      </w:pPr>
      <w:r w:rsidRPr="000947F5">
        <w:rPr>
          <w:rFonts w:asciiTheme="minorHAnsi" w:hAnsiTheme="minorHAnsi" w:cs="Arial"/>
          <w:smallCaps/>
          <w:color w:val="000000"/>
          <w:sz w:val="22"/>
          <w:szCs w:val="22"/>
        </w:rPr>
        <w:t>Procurement Standards</w:t>
      </w:r>
    </w:p>
    <w:p w14:paraId="5BD62212" w14:textId="77777777" w:rsidR="00C46AD7" w:rsidRPr="000947F5" w:rsidRDefault="00C46AD7" w:rsidP="00C46AD7">
      <w:pPr>
        <w:pStyle w:val="Heading2"/>
        <w:shd w:val="clear" w:color="auto" w:fill="FFFFFF"/>
        <w:spacing w:before="200" w:beforeAutospacing="0" w:afterAutospacing="0"/>
        <w:rPr>
          <w:rFonts w:asciiTheme="minorHAnsi" w:hAnsiTheme="minorHAnsi" w:cs="Arial"/>
          <w:color w:val="000000"/>
          <w:sz w:val="22"/>
          <w:szCs w:val="22"/>
        </w:rPr>
      </w:pPr>
      <w:bookmarkStart w:id="11" w:name="_§200.317__"/>
      <w:bookmarkEnd w:id="11"/>
      <w:r w:rsidRPr="000947F5">
        <w:rPr>
          <w:rFonts w:asciiTheme="minorHAnsi" w:hAnsiTheme="minorHAnsi" w:cs="Arial"/>
          <w:color w:val="000000"/>
          <w:sz w:val="22"/>
          <w:szCs w:val="22"/>
        </w:rPr>
        <w:t>§200.317   Procurements by states.</w:t>
      </w:r>
    </w:p>
    <w:p w14:paraId="40E5EED8"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When procuring property and services under a Federal award, a state must follow the same policies and procedures it uses for procurements from its non-Federal funds. The state will comply with §200.322 Procurement of recovered</w:t>
      </w:r>
      <w:r w:rsidRPr="000947F5">
        <w:rPr>
          <w:rFonts w:asciiTheme="minorHAnsi" w:hAnsiTheme="minorHAnsi" w:cs="Arial"/>
          <w:i/>
          <w:iCs/>
          <w:color w:val="000000"/>
          <w:sz w:val="22"/>
          <w:szCs w:val="22"/>
        </w:rPr>
        <w:t>materials</w:t>
      </w:r>
      <w:r w:rsidRPr="000947F5">
        <w:rPr>
          <w:rStyle w:val="apple-converted-space"/>
          <w:rFonts w:asciiTheme="minorHAnsi" w:hAnsiTheme="minorHAnsi" w:cs="Arial"/>
          <w:color w:val="000000"/>
          <w:sz w:val="22"/>
          <w:szCs w:val="22"/>
        </w:rPr>
        <w:t> </w:t>
      </w:r>
      <w:r w:rsidRPr="000947F5">
        <w:rPr>
          <w:rFonts w:asciiTheme="minorHAnsi" w:hAnsiTheme="minorHAnsi" w:cs="Arial"/>
          <w:color w:val="000000"/>
          <w:sz w:val="22"/>
          <w:szCs w:val="22"/>
        </w:rPr>
        <w:t>and ensure that every purchase order or other contract includes any clauses required by section §200.326 Contract provisions. All other non-Federal entities, including subrecipients of a state, will follow §§200.318 General procurement standards through 200.326 Contract provisions.</w:t>
      </w:r>
    </w:p>
    <w:p w14:paraId="5008BA4C" w14:textId="77777777" w:rsidR="00C46AD7" w:rsidRPr="000947F5" w:rsidRDefault="00C46AD7" w:rsidP="00C46AD7">
      <w:pPr>
        <w:pStyle w:val="Heading2"/>
        <w:shd w:val="clear" w:color="auto" w:fill="FFFFFF"/>
        <w:spacing w:before="200" w:beforeAutospacing="0" w:afterAutospacing="0"/>
        <w:rPr>
          <w:rFonts w:asciiTheme="minorHAnsi" w:hAnsiTheme="minorHAnsi" w:cs="Arial"/>
          <w:color w:val="000000"/>
          <w:sz w:val="22"/>
          <w:szCs w:val="22"/>
        </w:rPr>
      </w:pPr>
      <w:bookmarkStart w:id="12" w:name="_§200.318__"/>
      <w:bookmarkEnd w:id="12"/>
      <w:r w:rsidRPr="000947F5">
        <w:rPr>
          <w:rFonts w:asciiTheme="minorHAnsi" w:hAnsiTheme="minorHAnsi" w:cs="Arial"/>
          <w:color w:val="000000"/>
          <w:sz w:val="22"/>
          <w:szCs w:val="22"/>
        </w:rPr>
        <w:t>§200.318   General procurement standards.</w:t>
      </w:r>
    </w:p>
    <w:p w14:paraId="79DFC9AD"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(a) The non-Federal entity must use its own documented procurement procedures which reflect applicable State, local, and tribal laws and regulations, provided that the procurements conform to applicable Federal law and the standards identified in this part.</w:t>
      </w:r>
    </w:p>
    <w:p w14:paraId="1948EA69"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(b) Non-Federal entities must maintain oversight to ensure that contractors perform in accordance with the terms, conditions, and specifications of their contracts or purchase orders.</w:t>
      </w:r>
    </w:p>
    <w:p w14:paraId="1D557BAA"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(c)(1)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14:paraId="7375E11A"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w:t>
      </w:r>
    </w:p>
    <w:p w14:paraId="0C499311"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(d) 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14:paraId="7D9BA6F3"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lastRenderedPageBreak/>
        <w:t>(e)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w:t>
      </w:r>
    </w:p>
    <w:p w14:paraId="5760A5D2"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(f) The non-Federal entity is encouraged to use Federal excess and surplus property in lieu of purchasing new equipment and property whenever such use is feasible and reduces project costs.</w:t>
      </w:r>
    </w:p>
    <w:p w14:paraId="31C6588F"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(g)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p w14:paraId="214035AD"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(h) 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§200.212 Suspension and debarment.</w:t>
      </w:r>
    </w:p>
    <w:p w14:paraId="3757EB84"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(i)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w:t>
      </w:r>
    </w:p>
    <w:p w14:paraId="42F2ED3C"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(j)(1) The non-Federal entity may use a time and materials type contract only after a determination that no other contract is suitable and if the contract includes a ceiling price that the contractor exceeds at its own risk. Time and materials type contract means a contract whose cost to a non-Federal entity is the sum of:</w:t>
      </w:r>
    </w:p>
    <w:p w14:paraId="7C83FF2B"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(i) The actual cost of materials; and</w:t>
      </w:r>
    </w:p>
    <w:p w14:paraId="6EE115CC"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(ii) Direct labor hours charged at fixed hourly rates that reflect wages, general and administrative expenses, and profit.</w:t>
      </w:r>
    </w:p>
    <w:p w14:paraId="4C0E12A4"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w:t>
      </w:r>
    </w:p>
    <w:p w14:paraId="52EE0E32"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p>
    <w:p w14:paraId="11A36E3B" w14:textId="77777777" w:rsidR="00C46AD7" w:rsidRPr="000947F5" w:rsidRDefault="00C46AD7" w:rsidP="00C46AD7">
      <w:pPr>
        <w:pStyle w:val="cita"/>
        <w:shd w:val="clear" w:color="auto" w:fill="FFFFFF"/>
        <w:spacing w:before="200" w:beforeAutospacing="0"/>
        <w:rPr>
          <w:rFonts w:asciiTheme="minorHAnsi" w:hAnsiTheme="minorHAnsi" w:cs="Arial"/>
          <w:color w:val="000000"/>
          <w:sz w:val="22"/>
          <w:szCs w:val="22"/>
        </w:rPr>
      </w:pPr>
      <w:r w:rsidRPr="000947F5">
        <w:rPr>
          <w:rFonts w:asciiTheme="minorHAnsi" w:hAnsiTheme="minorHAnsi" w:cs="Arial"/>
          <w:color w:val="000000"/>
          <w:sz w:val="22"/>
          <w:szCs w:val="22"/>
        </w:rPr>
        <w:lastRenderedPageBreak/>
        <w:t>[78 FR 78608, Dec. 26, 2013, as amended at 79 FR 75885, Dec. 19, 2014]</w:t>
      </w:r>
    </w:p>
    <w:p w14:paraId="45C88DA6" w14:textId="77777777" w:rsidR="00C46AD7" w:rsidRPr="000947F5" w:rsidRDefault="00C46AD7" w:rsidP="00C46AD7">
      <w:pPr>
        <w:pStyle w:val="Heading2"/>
        <w:shd w:val="clear" w:color="auto" w:fill="FFFFFF"/>
        <w:spacing w:before="200" w:beforeAutospacing="0" w:afterAutospacing="0"/>
        <w:rPr>
          <w:rFonts w:asciiTheme="minorHAnsi" w:hAnsiTheme="minorHAnsi" w:cs="Arial"/>
          <w:color w:val="000000"/>
          <w:sz w:val="22"/>
          <w:szCs w:val="22"/>
        </w:rPr>
      </w:pPr>
      <w:bookmarkStart w:id="13" w:name="_§200.319__"/>
      <w:bookmarkEnd w:id="13"/>
      <w:r w:rsidRPr="000947F5">
        <w:rPr>
          <w:rFonts w:asciiTheme="minorHAnsi" w:hAnsiTheme="minorHAnsi" w:cs="Arial"/>
          <w:color w:val="000000"/>
          <w:sz w:val="22"/>
          <w:szCs w:val="22"/>
        </w:rPr>
        <w:t>§200.319   Competition.</w:t>
      </w:r>
    </w:p>
    <w:p w14:paraId="39EEE655"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(a) 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1D071A3B"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(1) Placing unreasonable requirements on firms in order for them to qualify to do business;</w:t>
      </w:r>
    </w:p>
    <w:p w14:paraId="34860A9F"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(2) Requiring unnecessary experience and excessive bonding;</w:t>
      </w:r>
    </w:p>
    <w:p w14:paraId="155250A7"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(3) Noncompetitive pricing practices between firms or between affiliated companies;</w:t>
      </w:r>
    </w:p>
    <w:p w14:paraId="11ECD6CF"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(4) Noncompetitive contracts to consultants that are on retainer contracts;</w:t>
      </w:r>
    </w:p>
    <w:p w14:paraId="45F98942"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(5) Organizational conflicts of interest;</w:t>
      </w:r>
    </w:p>
    <w:p w14:paraId="11137C73"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(6) Specifying only a “brand name” product instead of allowing “an equal” product to be offered and describing the performance or other relevant requirements of the procurement; and</w:t>
      </w:r>
    </w:p>
    <w:p w14:paraId="339A0897"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(7) Any arbitrary action in the procurement process.</w:t>
      </w:r>
    </w:p>
    <w:p w14:paraId="37486744"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(b) 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p w14:paraId="6FAE7072"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(c) The non-Federal entity must have written procedures for procurement transactions. These procedures must ensure that all solicitations:</w:t>
      </w:r>
    </w:p>
    <w:p w14:paraId="121CAFF7"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w:t>
      </w:r>
    </w:p>
    <w:p w14:paraId="71975571"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lastRenderedPageBreak/>
        <w:t>(2) Identify all requirements which the offerors must fulfill and all other factors to be used in evaluating bids or proposals.</w:t>
      </w:r>
    </w:p>
    <w:p w14:paraId="55B5D187"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(d)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w:t>
      </w:r>
    </w:p>
    <w:p w14:paraId="3B33FD16" w14:textId="77777777" w:rsidR="00C46AD7" w:rsidRPr="000947F5" w:rsidRDefault="00C46AD7" w:rsidP="00C46AD7">
      <w:pPr>
        <w:pStyle w:val="cita"/>
        <w:shd w:val="clear" w:color="auto" w:fill="FFFFFF"/>
        <w:spacing w:before="200" w:beforeAutospacing="0"/>
        <w:rPr>
          <w:rFonts w:asciiTheme="minorHAnsi" w:hAnsiTheme="minorHAnsi" w:cs="Arial"/>
          <w:color w:val="000000"/>
          <w:sz w:val="22"/>
          <w:szCs w:val="22"/>
        </w:rPr>
      </w:pPr>
      <w:r w:rsidRPr="000947F5">
        <w:rPr>
          <w:rFonts w:asciiTheme="minorHAnsi" w:hAnsiTheme="minorHAnsi" w:cs="Arial"/>
          <w:color w:val="000000"/>
          <w:sz w:val="22"/>
          <w:szCs w:val="22"/>
        </w:rPr>
        <w:t>[78 FR 78608, Dec. 26, 2013, as amended at 79 FR 75885, Dec. 19, 2014]</w:t>
      </w:r>
    </w:p>
    <w:p w14:paraId="5481150D" w14:textId="77777777" w:rsidR="00C46AD7" w:rsidRPr="000947F5" w:rsidRDefault="00C46AD7" w:rsidP="00C46AD7">
      <w:pPr>
        <w:pStyle w:val="Heading2"/>
        <w:shd w:val="clear" w:color="auto" w:fill="FFFFFF"/>
        <w:spacing w:before="200" w:beforeAutospacing="0" w:afterAutospacing="0"/>
        <w:rPr>
          <w:rFonts w:asciiTheme="minorHAnsi" w:hAnsiTheme="minorHAnsi" w:cs="Arial"/>
          <w:color w:val="000000"/>
          <w:sz w:val="22"/>
          <w:szCs w:val="22"/>
        </w:rPr>
      </w:pPr>
      <w:bookmarkStart w:id="14" w:name="_§200.320__"/>
      <w:bookmarkEnd w:id="14"/>
      <w:r w:rsidRPr="000947F5">
        <w:rPr>
          <w:rFonts w:asciiTheme="minorHAnsi" w:hAnsiTheme="minorHAnsi" w:cs="Arial"/>
          <w:color w:val="000000"/>
          <w:sz w:val="22"/>
          <w:szCs w:val="22"/>
        </w:rPr>
        <w:t>§200.320   Methods of procurement to be followed.</w:t>
      </w:r>
    </w:p>
    <w:p w14:paraId="77116850"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The non-Federal entity must use one of the following methods of procurement.</w:t>
      </w:r>
    </w:p>
    <w:p w14:paraId="71DBC809"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(a) Procurement by micro-purchases. Procurement by micro-purchase is the acquisition of supplies or services, the aggregate dollar amount of which does not exceed the micro-purchase threshold (§200.67 Micro-purchase). To the extent practicable, the non-Federal entity must distribute micro-purchases equitably among qualified suppliers. Micro-purchases may be awarded without soliciting competitive quotations if the non-Federal entity considers the price to be reasonable.</w:t>
      </w:r>
    </w:p>
    <w:p w14:paraId="1795EE98"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(b) Procurement by small purchase procedures. 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p w14:paraId="6DEEF14B"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(c) Procurement by sealed bids (formal advertising). Bids are publicly solicited and a firm fixed price contract (lump sum or unit price) is awarded to the responsible bidder whose bid, conforming with all the material terms and conditions of the invitation for bids, is the lowest in price. The sealed bid method is the preferred method for procuring construction, if the conditions in paragraph (c)(1) of this section apply.</w:t>
      </w:r>
    </w:p>
    <w:p w14:paraId="02ABAD4E"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(1) In order for sealed bidding to be feasible, the following conditions should be present:</w:t>
      </w:r>
    </w:p>
    <w:p w14:paraId="0F2441C3"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(i) A complete, adequate, and realistic specification or purchase description is available;</w:t>
      </w:r>
    </w:p>
    <w:p w14:paraId="7CFB80B3"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(ii) Two or more responsible bidders are willing and able to compete effectively for the business; and</w:t>
      </w:r>
    </w:p>
    <w:p w14:paraId="57853FF9"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(iii) The procurement lends itself to a firm fixed price contract and the selection of the successful bidder can be made principally on the basis of price.</w:t>
      </w:r>
    </w:p>
    <w:p w14:paraId="2DF41158"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(2) If sealed bids are used, the following requirements apply:</w:t>
      </w:r>
    </w:p>
    <w:p w14:paraId="074A274D"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(i) Bids must be solicited from an adequate number of known suppliers, providing them sufficient response time prior to the date set for opening the bids, for state, local, and tribal governments, the invitation for bids must be publically advertised;</w:t>
      </w:r>
    </w:p>
    <w:p w14:paraId="42D26FA4"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lastRenderedPageBreak/>
        <w:t>(ii) The invitation for bids, which will include any specifications and pertinent attachments, must define the items or services in order for the bidder to properly respond;</w:t>
      </w:r>
    </w:p>
    <w:p w14:paraId="1E11C909"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(iii) All bids will be opened at the time and place prescribed in the invitation for bids, and for local and tribal governments, the bids must be opened publicly;</w:t>
      </w:r>
    </w:p>
    <w:p w14:paraId="2B5A2BAC"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(iv)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14:paraId="3D4A3150"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(v) Any or all bids may be rejected if there is a sound documented reason.</w:t>
      </w:r>
    </w:p>
    <w:p w14:paraId="62529D02"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(d) Procurement by competitive proposals.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14:paraId="165E327E"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(1) Requests for proposals must be publicized and identify all evaluation factors and their relative importance. Any response to publicized requests for proposals must be considered to the maximum extent practical;</w:t>
      </w:r>
    </w:p>
    <w:p w14:paraId="36C3BA4E"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(2) Proposals must be solicited from an adequate number of qualified sources;</w:t>
      </w:r>
    </w:p>
    <w:p w14:paraId="0DCF1476"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(3) The non-Federal entity must have a written method for conducting technical evaluations of the proposals received and for selecting recipients;</w:t>
      </w:r>
    </w:p>
    <w:p w14:paraId="5C50A957"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(4) Contracts must be awarded to the responsible firm whose proposal is most advantageous to the program, with price and other factors considered; and</w:t>
      </w:r>
    </w:p>
    <w:p w14:paraId="1D7D4A78"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(5) 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14:paraId="6A9EAB98"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(e) [Reserved]</w:t>
      </w:r>
    </w:p>
    <w:p w14:paraId="6429C36D"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(f) Procurement by noncompetitive proposals. Procurement by noncompetitive proposals is procurement through solicitation of a proposal from only one source and may be used only when one or more of the following circumstances apply:</w:t>
      </w:r>
    </w:p>
    <w:p w14:paraId="313B2B4D"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(1) The item is available only from a single source;</w:t>
      </w:r>
    </w:p>
    <w:p w14:paraId="45F908BB"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lastRenderedPageBreak/>
        <w:t>(2) The public exigency or emergency for the requirement will not permit a delay resulting from competitive solicitation;</w:t>
      </w:r>
    </w:p>
    <w:p w14:paraId="7DD0CD04"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(3) The Federal awarding agency or pass-through entity expressly authorizes noncompetitive proposals in response to a written request from the non-Federal entity; or</w:t>
      </w:r>
    </w:p>
    <w:p w14:paraId="4E55FF8C"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(4) After solicitation of a number of sources, competition is determined inadequate.</w:t>
      </w:r>
    </w:p>
    <w:p w14:paraId="543989AE" w14:textId="77777777" w:rsidR="00C46AD7" w:rsidRPr="000947F5" w:rsidRDefault="00C46AD7" w:rsidP="00C46AD7">
      <w:pPr>
        <w:pStyle w:val="cita"/>
        <w:shd w:val="clear" w:color="auto" w:fill="FFFFFF"/>
        <w:spacing w:before="200" w:beforeAutospacing="0"/>
        <w:rPr>
          <w:rFonts w:asciiTheme="minorHAnsi" w:hAnsiTheme="minorHAnsi" w:cs="Arial"/>
          <w:color w:val="000000"/>
          <w:sz w:val="22"/>
          <w:szCs w:val="22"/>
        </w:rPr>
      </w:pPr>
      <w:r w:rsidRPr="000947F5">
        <w:rPr>
          <w:rFonts w:asciiTheme="minorHAnsi" w:hAnsiTheme="minorHAnsi" w:cs="Arial"/>
          <w:color w:val="000000"/>
          <w:sz w:val="22"/>
          <w:szCs w:val="22"/>
        </w:rPr>
        <w:t>[78 FR 78608, Dec. 26, 2013, as amended at 79 FR 75885, Dec. 19, 2014]</w:t>
      </w:r>
    </w:p>
    <w:p w14:paraId="3E63C0A9" w14:textId="77777777" w:rsidR="00C46AD7" w:rsidRPr="000947F5" w:rsidRDefault="00C46AD7" w:rsidP="00C46AD7">
      <w:pPr>
        <w:pStyle w:val="Heading2"/>
        <w:shd w:val="clear" w:color="auto" w:fill="FFFFFF"/>
        <w:spacing w:before="200" w:beforeAutospacing="0" w:afterAutospacing="0"/>
        <w:rPr>
          <w:rFonts w:asciiTheme="minorHAnsi" w:hAnsiTheme="minorHAnsi" w:cs="Arial"/>
          <w:color w:val="000000"/>
          <w:sz w:val="22"/>
          <w:szCs w:val="22"/>
        </w:rPr>
      </w:pPr>
      <w:bookmarkStart w:id="15" w:name="_§200.321__"/>
      <w:bookmarkEnd w:id="15"/>
      <w:r w:rsidRPr="000947F5">
        <w:rPr>
          <w:rFonts w:asciiTheme="minorHAnsi" w:hAnsiTheme="minorHAnsi" w:cs="Arial"/>
          <w:color w:val="000000"/>
          <w:sz w:val="22"/>
          <w:szCs w:val="22"/>
        </w:rPr>
        <w:t>§200.321   Contracting with small and minority businesses, women's business enterprises, and labor surplus area firms.</w:t>
      </w:r>
    </w:p>
    <w:p w14:paraId="13E2F52E"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(a) The non-Federal entity must take all necessary affirmative steps to assure that minority businesses, women's business enterprises, and labor surplus area firms are used when possible.</w:t>
      </w:r>
    </w:p>
    <w:p w14:paraId="04E49AC4"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(b) Affirmative steps must include:</w:t>
      </w:r>
    </w:p>
    <w:p w14:paraId="5111F565"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(1) Placing qualified small and minority businesses and women's business enterprises on solicitation lists;</w:t>
      </w:r>
    </w:p>
    <w:p w14:paraId="38FFF344"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(2) Assuring that small and minority businesses, and women's business enterprises are solicited whenever they are potential sources;</w:t>
      </w:r>
    </w:p>
    <w:p w14:paraId="4E244DCC"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(3) Dividing total requirements, when economically feasible, into smaller tasks or quantities to permit maximum participation by small and minority businesses, and women's business enterprises;</w:t>
      </w:r>
    </w:p>
    <w:p w14:paraId="61C959A2"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(4) Establishing delivery schedules, where the requirement permits, which encourage participation by small and minority businesses, and women's business enterprises;</w:t>
      </w:r>
    </w:p>
    <w:p w14:paraId="0480837B"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(5) Using the services and assistance, as appropriate, of such organizations as the Small Business Administration and the Minority Business Development Agency of the Department of Commerce; and</w:t>
      </w:r>
    </w:p>
    <w:p w14:paraId="5140C12D"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(6) Requiring the prime contractor, if subcontracts are to be let, to take the affirmative steps listed in paragraphs (1) through (5) of this section.</w:t>
      </w:r>
    </w:p>
    <w:p w14:paraId="3C3FBDBB" w14:textId="77777777" w:rsidR="00C46AD7" w:rsidRPr="000947F5" w:rsidRDefault="00C46AD7" w:rsidP="00C46AD7">
      <w:pPr>
        <w:pStyle w:val="Heading2"/>
        <w:shd w:val="clear" w:color="auto" w:fill="FFFFFF"/>
        <w:spacing w:before="200" w:beforeAutospacing="0" w:afterAutospacing="0"/>
        <w:rPr>
          <w:rFonts w:asciiTheme="minorHAnsi" w:hAnsiTheme="minorHAnsi" w:cs="Arial"/>
          <w:color w:val="000000"/>
          <w:sz w:val="22"/>
          <w:szCs w:val="22"/>
        </w:rPr>
      </w:pPr>
      <w:bookmarkStart w:id="16" w:name="_§200.322__"/>
      <w:bookmarkEnd w:id="16"/>
      <w:r w:rsidRPr="000947F5">
        <w:rPr>
          <w:rFonts w:asciiTheme="minorHAnsi" w:hAnsiTheme="minorHAnsi" w:cs="Arial"/>
          <w:color w:val="000000"/>
          <w:sz w:val="22"/>
          <w:szCs w:val="22"/>
        </w:rPr>
        <w:t>§200.322   Procurement of recovered materials.</w:t>
      </w:r>
    </w:p>
    <w:p w14:paraId="745E755D"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w:t>
      </w:r>
      <w:r w:rsidRPr="000947F5">
        <w:rPr>
          <w:rFonts w:asciiTheme="minorHAnsi" w:hAnsiTheme="minorHAnsi" w:cs="Arial"/>
          <w:color w:val="000000"/>
          <w:sz w:val="22"/>
          <w:szCs w:val="22"/>
        </w:rPr>
        <w:lastRenderedPageBreak/>
        <w:t>affirmative procurement program for procurement of recovered materials identified in the EPA guidelines.</w:t>
      </w:r>
    </w:p>
    <w:p w14:paraId="66C96718" w14:textId="77777777" w:rsidR="00C46AD7" w:rsidRPr="000947F5" w:rsidRDefault="00C46AD7" w:rsidP="00C46AD7">
      <w:pPr>
        <w:pStyle w:val="cita"/>
        <w:shd w:val="clear" w:color="auto" w:fill="FFFFFF"/>
        <w:spacing w:before="200" w:beforeAutospacing="0"/>
        <w:rPr>
          <w:rFonts w:asciiTheme="minorHAnsi" w:hAnsiTheme="minorHAnsi" w:cs="Arial"/>
          <w:color w:val="000000"/>
          <w:sz w:val="22"/>
          <w:szCs w:val="22"/>
        </w:rPr>
      </w:pPr>
      <w:r w:rsidRPr="000947F5">
        <w:rPr>
          <w:rFonts w:asciiTheme="minorHAnsi" w:hAnsiTheme="minorHAnsi" w:cs="Arial"/>
          <w:color w:val="000000"/>
          <w:sz w:val="22"/>
          <w:szCs w:val="22"/>
        </w:rPr>
        <w:t>[78 FR 78608, Dec. 26, 2013, as amended at 79 FR 75885, Dec. 19, 2014]</w:t>
      </w:r>
    </w:p>
    <w:p w14:paraId="5784FCBA" w14:textId="77777777" w:rsidR="00C46AD7" w:rsidRPr="000947F5" w:rsidRDefault="00C46AD7" w:rsidP="00C46AD7">
      <w:pPr>
        <w:pStyle w:val="Heading2"/>
        <w:shd w:val="clear" w:color="auto" w:fill="FFFFFF"/>
        <w:spacing w:before="200" w:beforeAutospacing="0" w:afterAutospacing="0"/>
        <w:rPr>
          <w:rFonts w:asciiTheme="minorHAnsi" w:hAnsiTheme="minorHAnsi" w:cs="Arial"/>
          <w:color w:val="000000"/>
          <w:sz w:val="22"/>
          <w:szCs w:val="22"/>
        </w:rPr>
      </w:pPr>
      <w:bookmarkStart w:id="17" w:name="_§200.323__"/>
      <w:bookmarkEnd w:id="17"/>
      <w:r w:rsidRPr="000947F5">
        <w:rPr>
          <w:rFonts w:asciiTheme="minorHAnsi" w:hAnsiTheme="minorHAnsi" w:cs="Arial"/>
          <w:color w:val="000000"/>
          <w:sz w:val="22"/>
          <w:szCs w:val="22"/>
        </w:rPr>
        <w:t>§200.323   Contract cost and price.</w:t>
      </w:r>
    </w:p>
    <w:p w14:paraId="23E052D3"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(a)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w:t>
      </w:r>
    </w:p>
    <w:p w14:paraId="6FD627AA"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(b) The non-Federal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14:paraId="05BC9BBF"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(c) Costs or prices based on estimated costs for contracts under the Federal award are allowable only to the extent that costs incurred or cost estimates included in negotiated prices would be allowable for the non-Federal entity under Subpart E—Cost Principles of this part. The non-Federal entity may reference its own cost principles that comply with the Federal cost principles.</w:t>
      </w:r>
    </w:p>
    <w:p w14:paraId="2FAFB2F3"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(d) The cost plus a percentage of cost and percentage of construction cost methods of contracting must not be used.</w:t>
      </w:r>
    </w:p>
    <w:p w14:paraId="0270CF7A" w14:textId="77777777" w:rsidR="00C46AD7" w:rsidRPr="000947F5" w:rsidRDefault="00C46AD7" w:rsidP="00C46AD7">
      <w:pPr>
        <w:pStyle w:val="Heading2"/>
        <w:shd w:val="clear" w:color="auto" w:fill="FFFFFF"/>
        <w:spacing w:before="200" w:beforeAutospacing="0" w:afterAutospacing="0"/>
        <w:rPr>
          <w:rFonts w:asciiTheme="minorHAnsi" w:hAnsiTheme="minorHAnsi" w:cs="Arial"/>
          <w:color w:val="000000"/>
          <w:sz w:val="22"/>
          <w:szCs w:val="22"/>
        </w:rPr>
      </w:pPr>
      <w:r w:rsidRPr="000947F5">
        <w:rPr>
          <w:rFonts w:asciiTheme="minorHAnsi" w:hAnsiTheme="minorHAnsi" w:cs="Arial"/>
          <w:color w:val="000000"/>
          <w:sz w:val="22"/>
          <w:szCs w:val="22"/>
        </w:rPr>
        <w:t>§200.324   Federal awarding agency or pass-through entity review.</w:t>
      </w:r>
    </w:p>
    <w:p w14:paraId="3CD41B77"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(a) 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w:t>
      </w:r>
    </w:p>
    <w:p w14:paraId="302E7B27"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(b) The non-Federal entity must make available upon request, for the Federal awarding agency or pass-through entity pre-procurement review, procurement documents, such as requests for proposals or invitations for bids, or independent cost estimates, when:</w:t>
      </w:r>
    </w:p>
    <w:p w14:paraId="02374643"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(1) The non-Federal entity's procurement procedures or operation fails to comply with the procurement standards in this part;</w:t>
      </w:r>
    </w:p>
    <w:p w14:paraId="1D8F2992"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lastRenderedPageBreak/>
        <w:t>(2) The procurement is expected to exceed the Simplified Acquisition Threshold and is to be awarded without competition or only one bid or offer is received in response to a solicitation;</w:t>
      </w:r>
    </w:p>
    <w:p w14:paraId="183A867C"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(3) The procurement, which is expected to exceed the Simplified Acquisition Threshold, specifies a “brand name” product;</w:t>
      </w:r>
    </w:p>
    <w:p w14:paraId="1845EF42"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(4) The proposed contract is more than the Simplified Acquisition Threshold and is to be awarded to other than the apparent low bidder under a sealed bid procurement; or</w:t>
      </w:r>
    </w:p>
    <w:p w14:paraId="4DF870E5"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(5) A proposed contract modification changes the scope of a contract or increases the contract amount by more than the Simplified Acquisition Threshold.</w:t>
      </w:r>
    </w:p>
    <w:p w14:paraId="4F0FEAB1"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(c) The non-Federal entity is exempt from the pre-procurement review in paragraph (b) of this section if the Federal awarding agency or pass-through entity determines that its procurement systems comply with the standards of this part.</w:t>
      </w:r>
    </w:p>
    <w:p w14:paraId="30AB588D"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(1) The non-Federal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 party contracts are awarded on a regular basis;</w:t>
      </w:r>
    </w:p>
    <w:p w14:paraId="3870E14E"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(2) 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being in compliance with these requirements and have its system available for review.</w:t>
      </w:r>
    </w:p>
    <w:p w14:paraId="5D803D22" w14:textId="77777777" w:rsidR="00C46AD7" w:rsidRPr="000947F5" w:rsidRDefault="00C46AD7" w:rsidP="00C46AD7">
      <w:pPr>
        <w:pStyle w:val="Heading2"/>
        <w:shd w:val="clear" w:color="auto" w:fill="FFFFFF"/>
        <w:spacing w:before="200" w:beforeAutospacing="0" w:afterAutospacing="0"/>
        <w:rPr>
          <w:rFonts w:asciiTheme="minorHAnsi" w:hAnsiTheme="minorHAnsi" w:cs="Arial"/>
          <w:color w:val="000000"/>
          <w:sz w:val="22"/>
          <w:szCs w:val="22"/>
        </w:rPr>
      </w:pPr>
      <w:r w:rsidRPr="000947F5">
        <w:rPr>
          <w:rFonts w:asciiTheme="minorHAnsi" w:hAnsiTheme="minorHAnsi" w:cs="Arial"/>
          <w:color w:val="000000"/>
          <w:sz w:val="22"/>
          <w:szCs w:val="22"/>
        </w:rPr>
        <w:t>§200.325   Bonding requirements.</w:t>
      </w:r>
    </w:p>
    <w:p w14:paraId="1BB62C5A"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w:t>
      </w:r>
    </w:p>
    <w:p w14:paraId="36D03ADC"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p w14:paraId="6D6ECC4E"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(b) A performance bond on the part of the contractor for 100 percent of the contract price. A “performance bond” is one executed in connection with a contract to secure fulfillment of all the contractor's obligations under such contract.</w:t>
      </w:r>
    </w:p>
    <w:p w14:paraId="4EA0C9FD"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p w14:paraId="0971E048" w14:textId="77777777" w:rsidR="00C46AD7" w:rsidRPr="000947F5" w:rsidRDefault="00C46AD7" w:rsidP="00C46AD7">
      <w:pPr>
        <w:pStyle w:val="Heading2"/>
        <w:shd w:val="clear" w:color="auto" w:fill="FFFFFF"/>
        <w:spacing w:before="200" w:beforeAutospacing="0" w:afterAutospacing="0"/>
        <w:rPr>
          <w:rFonts w:asciiTheme="minorHAnsi" w:hAnsiTheme="minorHAnsi" w:cs="Arial"/>
          <w:color w:val="000000"/>
          <w:sz w:val="22"/>
          <w:szCs w:val="22"/>
        </w:rPr>
      </w:pPr>
      <w:r w:rsidRPr="000947F5">
        <w:rPr>
          <w:rFonts w:asciiTheme="minorHAnsi" w:hAnsiTheme="minorHAnsi" w:cs="Arial"/>
          <w:color w:val="000000"/>
          <w:sz w:val="22"/>
          <w:szCs w:val="22"/>
        </w:rPr>
        <w:lastRenderedPageBreak/>
        <w:t>§200.326   Contract provisions.</w:t>
      </w:r>
    </w:p>
    <w:p w14:paraId="70B5D6D0" w14:textId="77777777" w:rsidR="00C46AD7" w:rsidRPr="000947F5" w:rsidRDefault="00C46AD7" w:rsidP="00C46AD7">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The non-Federal entity's contracts must contain the applicable provisions described in Appendix II to Part 200—Contract Provisions for non-Federal Entity Contracts Under Federal Awards.</w:t>
      </w:r>
    </w:p>
    <w:p w14:paraId="7B391CFF" w14:textId="77777777" w:rsidR="00484BAE" w:rsidRPr="000947F5" w:rsidRDefault="00484BAE" w:rsidP="000B0A56">
      <w:pPr>
        <w:pStyle w:val="Heading2"/>
        <w:shd w:val="clear" w:color="auto" w:fill="FFFFFF"/>
        <w:spacing w:before="0" w:beforeAutospacing="0" w:after="120" w:afterAutospacing="0"/>
        <w:rPr>
          <w:rFonts w:asciiTheme="minorHAnsi" w:hAnsiTheme="minorHAnsi" w:cs="Arial"/>
          <w:smallCaps/>
          <w:color w:val="000000"/>
          <w:sz w:val="22"/>
          <w:szCs w:val="22"/>
        </w:rPr>
      </w:pPr>
      <w:r w:rsidRPr="000947F5">
        <w:rPr>
          <w:rFonts w:asciiTheme="minorHAnsi" w:hAnsiTheme="minorHAnsi" w:cs="Arial"/>
          <w:smallCaps/>
          <w:color w:val="000000"/>
          <w:sz w:val="22"/>
          <w:szCs w:val="22"/>
        </w:rPr>
        <w:t>Subrecipient Monitoring and Management</w:t>
      </w:r>
    </w:p>
    <w:p w14:paraId="7B391D00" w14:textId="77777777" w:rsidR="00484BAE" w:rsidRPr="000947F5"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bookmarkStart w:id="18" w:name="_§200.330__"/>
      <w:bookmarkEnd w:id="18"/>
      <w:r w:rsidRPr="000947F5">
        <w:rPr>
          <w:rFonts w:asciiTheme="minorHAnsi" w:hAnsiTheme="minorHAnsi" w:cs="Arial"/>
          <w:color w:val="000000"/>
          <w:sz w:val="22"/>
          <w:szCs w:val="22"/>
        </w:rPr>
        <w:t>§200.330   Subrecipient and contractor determinations.</w:t>
      </w:r>
    </w:p>
    <w:p w14:paraId="7B391D01"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The non-Federal entity may concurrently receive Federal awards as a recipient, a subrecipient, and a contractor, depending on the substance of its agreements with Federal awarding agencies and pass-through entities. Therefore, a pass-through entity must make case-by-case determinations whether each agreement it makes for the disbursement of Federal program funds casts the party receiving the funds in the role of a subrecipient or a contractor. The Federal awarding agency may supply and require recipients to comply with additional guidance to support these determinations provided such guidance does not conflict with this section.</w:t>
      </w:r>
    </w:p>
    <w:p w14:paraId="7B391D02"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(a)</w:t>
      </w:r>
      <w:r w:rsidRPr="000947F5">
        <w:rPr>
          <w:rStyle w:val="apple-converted-space"/>
          <w:rFonts w:asciiTheme="minorHAnsi" w:hAnsiTheme="minorHAnsi" w:cs="Arial"/>
          <w:color w:val="000000"/>
          <w:sz w:val="22"/>
          <w:szCs w:val="22"/>
        </w:rPr>
        <w:t> </w:t>
      </w:r>
      <w:r w:rsidRPr="000947F5">
        <w:rPr>
          <w:rFonts w:asciiTheme="minorHAnsi" w:hAnsiTheme="minorHAnsi" w:cs="Arial"/>
          <w:i/>
          <w:iCs/>
          <w:color w:val="000000"/>
          <w:sz w:val="22"/>
          <w:szCs w:val="22"/>
        </w:rPr>
        <w:t>Subrecipients.</w:t>
      </w:r>
      <w:r w:rsidRPr="000947F5">
        <w:rPr>
          <w:rStyle w:val="apple-converted-space"/>
          <w:rFonts w:asciiTheme="minorHAnsi" w:hAnsiTheme="minorHAnsi" w:cs="Arial"/>
          <w:color w:val="000000"/>
          <w:sz w:val="22"/>
          <w:szCs w:val="22"/>
        </w:rPr>
        <w:t> </w:t>
      </w:r>
      <w:r w:rsidRPr="000947F5">
        <w:rPr>
          <w:rFonts w:asciiTheme="minorHAnsi" w:hAnsiTheme="minorHAnsi" w:cs="Arial"/>
          <w:color w:val="000000"/>
          <w:sz w:val="22"/>
          <w:szCs w:val="22"/>
        </w:rPr>
        <w:t>A subaward is for the purpose of carrying out a portion of a Federal award and creates a Federal assistance relationship with the subrecipient. See §200.92 Subaward. Characteristics which support the classification of the non-Federal entity as a subrecipient include when the non-Federal entity:</w:t>
      </w:r>
    </w:p>
    <w:p w14:paraId="7B391D03"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(1) Determines who is eligible to receive what Federal assistance;</w:t>
      </w:r>
    </w:p>
    <w:p w14:paraId="7B391D04"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(2) Has its performance measured in relation to whether objectives of a Federal program were met;</w:t>
      </w:r>
    </w:p>
    <w:p w14:paraId="7B391D05"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(3) Has responsibility for programmatic decision making;</w:t>
      </w:r>
    </w:p>
    <w:p w14:paraId="7B391D06"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(4) Is responsible for adherence to applicable Federal program requirements specified in the Federal award; and</w:t>
      </w:r>
    </w:p>
    <w:p w14:paraId="7B391D07"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(5) In accordance with its agreement, uses the Federal funds to carry out a program for a public purpose specified in authorizing statute, as opposed to providing goods or services for the benefit of the pass-through entity.</w:t>
      </w:r>
    </w:p>
    <w:p w14:paraId="7B391D08"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(b)</w:t>
      </w:r>
      <w:r w:rsidRPr="000947F5">
        <w:rPr>
          <w:rStyle w:val="apple-converted-space"/>
          <w:rFonts w:asciiTheme="minorHAnsi" w:hAnsiTheme="minorHAnsi" w:cs="Arial"/>
          <w:color w:val="000000"/>
          <w:sz w:val="22"/>
          <w:szCs w:val="22"/>
        </w:rPr>
        <w:t> </w:t>
      </w:r>
      <w:r w:rsidRPr="000947F5">
        <w:rPr>
          <w:rFonts w:asciiTheme="minorHAnsi" w:hAnsiTheme="minorHAnsi" w:cs="Arial"/>
          <w:i/>
          <w:iCs/>
          <w:color w:val="000000"/>
          <w:sz w:val="22"/>
          <w:szCs w:val="22"/>
        </w:rPr>
        <w:t>Contractors.</w:t>
      </w:r>
      <w:r w:rsidRPr="000947F5">
        <w:rPr>
          <w:rStyle w:val="apple-converted-space"/>
          <w:rFonts w:asciiTheme="minorHAnsi" w:hAnsiTheme="minorHAnsi" w:cs="Arial"/>
          <w:color w:val="000000"/>
          <w:sz w:val="22"/>
          <w:szCs w:val="22"/>
        </w:rPr>
        <w:t> </w:t>
      </w:r>
      <w:r w:rsidRPr="000947F5">
        <w:rPr>
          <w:rFonts w:asciiTheme="minorHAnsi" w:hAnsiTheme="minorHAnsi" w:cs="Arial"/>
          <w:color w:val="000000"/>
          <w:sz w:val="22"/>
          <w:szCs w:val="22"/>
        </w:rPr>
        <w:t>A contract is for the purpose of obtaining goods and services for the non-Federal entity's own use and creates a procurement relationship with the contractor. See §200.22 Contract. Characteristics indicative of a procurement relationship between the non-Federal entity and a contractor are when the non-Federal entity receiving the Federal funds:</w:t>
      </w:r>
    </w:p>
    <w:p w14:paraId="7B391D09"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(1) Provides the goods and services within normal business operations;</w:t>
      </w:r>
    </w:p>
    <w:p w14:paraId="7B391D0A"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(2) Provides similar goods or services to many different purchasers;</w:t>
      </w:r>
    </w:p>
    <w:p w14:paraId="7B391D0B"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(3) Normally operates in a competitive environment;</w:t>
      </w:r>
    </w:p>
    <w:p w14:paraId="7B391D0C"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(4) Provides goods or services that are ancillary to the operation of the Federal program; and</w:t>
      </w:r>
    </w:p>
    <w:p w14:paraId="7B391D0D"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(5) Is not subject to compliance requirements of the Federal program as a result of the agreement, though similar requirements may apply for other reasons.</w:t>
      </w:r>
    </w:p>
    <w:p w14:paraId="7B391D0E" w14:textId="77777777" w:rsidR="00484BAE" w:rsidRPr="000947F5"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947F5">
        <w:rPr>
          <w:rFonts w:asciiTheme="minorHAnsi" w:hAnsiTheme="minorHAnsi" w:cs="Arial"/>
          <w:color w:val="000000"/>
          <w:sz w:val="22"/>
          <w:szCs w:val="22"/>
        </w:rPr>
        <w:t>(c)</w:t>
      </w:r>
      <w:r w:rsidRPr="000947F5">
        <w:rPr>
          <w:rStyle w:val="apple-converted-space"/>
          <w:rFonts w:asciiTheme="minorHAnsi" w:hAnsiTheme="minorHAnsi" w:cs="Arial"/>
          <w:color w:val="000000"/>
          <w:sz w:val="22"/>
          <w:szCs w:val="22"/>
        </w:rPr>
        <w:t> </w:t>
      </w:r>
      <w:r w:rsidRPr="000947F5">
        <w:rPr>
          <w:rFonts w:asciiTheme="minorHAnsi" w:hAnsiTheme="minorHAnsi" w:cs="Arial"/>
          <w:i/>
          <w:iCs/>
          <w:color w:val="000000"/>
          <w:sz w:val="22"/>
          <w:szCs w:val="22"/>
        </w:rPr>
        <w:t>Use of judgment in making determination.</w:t>
      </w:r>
      <w:r w:rsidRPr="000947F5">
        <w:rPr>
          <w:rStyle w:val="apple-converted-space"/>
          <w:rFonts w:asciiTheme="minorHAnsi" w:hAnsiTheme="minorHAnsi" w:cs="Arial"/>
          <w:color w:val="000000"/>
          <w:sz w:val="22"/>
          <w:szCs w:val="22"/>
        </w:rPr>
        <w:t> </w:t>
      </w:r>
      <w:r w:rsidRPr="000947F5">
        <w:rPr>
          <w:rFonts w:asciiTheme="minorHAnsi" w:hAnsiTheme="minorHAnsi" w:cs="Arial"/>
          <w:color w:val="000000"/>
          <w:sz w:val="22"/>
          <w:szCs w:val="22"/>
        </w:rPr>
        <w:t xml:space="preserve">In determining whether an agreement between a pass-through entity and another non-Federal entity casts the latter as a subrecipient or a contractor, the substance of the relationship is more important than the form of the agreement. All of the </w:t>
      </w:r>
      <w:r w:rsidRPr="000947F5">
        <w:rPr>
          <w:rFonts w:asciiTheme="minorHAnsi" w:hAnsiTheme="minorHAnsi" w:cs="Arial"/>
          <w:color w:val="000000"/>
          <w:sz w:val="22"/>
          <w:szCs w:val="22"/>
        </w:rPr>
        <w:lastRenderedPageBreak/>
        <w:t>characteristics listed above may not be present in all cases, and the pass-through entity must use judgment in classifying each agreement as a subaward or a procurement contract.</w:t>
      </w:r>
    </w:p>
    <w:p w14:paraId="6BB480E2" w14:textId="77777777" w:rsidR="000947F5" w:rsidRDefault="000947F5">
      <w:pPr>
        <w:rPr>
          <w:rFonts w:eastAsia="Times New Roman" w:cs="Arial"/>
          <w:b/>
          <w:smallCaps/>
          <w:color w:val="000000"/>
        </w:rPr>
      </w:pPr>
      <w:r>
        <w:rPr>
          <w:rFonts w:cs="Arial"/>
          <w:bCs/>
          <w:smallCaps/>
          <w:color w:val="000000"/>
        </w:rPr>
        <w:br w:type="page"/>
      </w:r>
    </w:p>
    <w:p w14:paraId="149D140F" w14:textId="1FC1DFD4" w:rsidR="003450AD" w:rsidRPr="000947F5" w:rsidRDefault="003450AD" w:rsidP="003450AD">
      <w:pPr>
        <w:pStyle w:val="Heading2"/>
        <w:shd w:val="clear" w:color="auto" w:fill="FFFFFF"/>
        <w:spacing w:before="200" w:beforeAutospacing="0" w:afterAutospacing="0"/>
        <w:jc w:val="center"/>
        <w:rPr>
          <w:rFonts w:asciiTheme="minorHAnsi" w:hAnsiTheme="minorHAnsi" w:cs="Arial"/>
          <w:bCs w:val="0"/>
          <w:smallCaps/>
          <w:color w:val="000000"/>
          <w:sz w:val="22"/>
          <w:szCs w:val="22"/>
        </w:rPr>
      </w:pPr>
      <w:bookmarkStart w:id="19" w:name="_Appendix_II_to"/>
      <w:bookmarkEnd w:id="19"/>
      <w:r w:rsidRPr="000947F5">
        <w:rPr>
          <w:rFonts w:asciiTheme="minorHAnsi" w:hAnsiTheme="minorHAnsi" w:cs="Arial"/>
          <w:bCs w:val="0"/>
          <w:smallCaps/>
          <w:color w:val="000000"/>
          <w:sz w:val="22"/>
          <w:szCs w:val="22"/>
        </w:rPr>
        <w:lastRenderedPageBreak/>
        <w:t>Appendix II to Part 200—Contract Provisions for Non-Federal Entity Contracts Under Federal Awards</w:t>
      </w:r>
    </w:p>
    <w:p w14:paraId="69174FB9"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In addition to other provisions required by the Federal agency or non-Federal entity, all contracts made by the non-Federal entity under the Federal award must contain provisions covering the following, as applicable.</w:t>
      </w:r>
    </w:p>
    <w:p w14:paraId="3E5A68F7"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(A) 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2D798FC4"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(B) All contracts in excess of $10,000 must address termination for cause and for convenience by the non-Federal entity including the manner by which it will be effected and the basis for settlement.</w:t>
      </w:r>
    </w:p>
    <w:p w14:paraId="2B8D2959"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6177F852"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527E5C72"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 xml:space="preserve">(E) 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w:t>
      </w:r>
      <w:r w:rsidRPr="000947F5">
        <w:rPr>
          <w:rFonts w:asciiTheme="minorHAnsi" w:hAnsiTheme="minorHAnsi" w:cs="Arial"/>
          <w:color w:val="000000"/>
          <w:sz w:val="22"/>
          <w:szCs w:val="22"/>
        </w:rPr>
        <w:lastRenderedPageBreak/>
        <w:t>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54AD6884"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(F) 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1B8F6766"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(G) 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677E668E"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(H) Debarment and Suspension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7313FC2"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(I)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3767DE14" w14:textId="77777777" w:rsidR="003450AD" w:rsidRPr="000947F5" w:rsidRDefault="003450AD" w:rsidP="003450AD">
      <w:pPr>
        <w:pStyle w:val="NormalWeb"/>
        <w:shd w:val="clear" w:color="auto" w:fill="FFFFFF"/>
        <w:ind w:firstLine="480"/>
        <w:rPr>
          <w:rFonts w:asciiTheme="minorHAnsi" w:hAnsiTheme="minorHAnsi" w:cs="Arial"/>
          <w:color w:val="000000"/>
          <w:sz w:val="22"/>
          <w:szCs w:val="22"/>
        </w:rPr>
      </w:pPr>
      <w:r w:rsidRPr="000947F5">
        <w:rPr>
          <w:rFonts w:asciiTheme="minorHAnsi" w:hAnsiTheme="minorHAnsi" w:cs="Arial"/>
          <w:color w:val="000000"/>
          <w:sz w:val="22"/>
          <w:szCs w:val="22"/>
        </w:rPr>
        <w:t>(J) See §200.322 Procurement of recovered materials.</w:t>
      </w:r>
    </w:p>
    <w:p w14:paraId="26BF6E9F" w14:textId="77777777" w:rsidR="003450AD" w:rsidRPr="000947F5" w:rsidRDefault="003450AD" w:rsidP="003450AD">
      <w:pPr>
        <w:pStyle w:val="cita"/>
        <w:shd w:val="clear" w:color="auto" w:fill="FFFFFF"/>
        <w:spacing w:before="200" w:beforeAutospacing="0"/>
        <w:rPr>
          <w:rFonts w:asciiTheme="minorHAnsi" w:hAnsiTheme="minorHAnsi" w:cs="Arial"/>
          <w:color w:val="000000"/>
          <w:sz w:val="22"/>
          <w:szCs w:val="22"/>
        </w:rPr>
      </w:pPr>
      <w:r w:rsidRPr="000947F5">
        <w:rPr>
          <w:rFonts w:asciiTheme="minorHAnsi" w:hAnsiTheme="minorHAnsi" w:cs="Arial"/>
          <w:color w:val="000000"/>
          <w:sz w:val="22"/>
          <w:szCs w:val="22"/>
        </w:rPr>
        <w:t>[78 FR 78608, Dec. 26, 2013, as amended at 79 FR 75888, Dec. 19, 2014]</w:t>
      </w:r>
    </w:p>
    <w:p w14:paraId="41D26746" w14:textId="77777777" w:rsidR="003450AD" w:rsidRPr="000947F5" w:rsidRDefault="003450AD"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p>
    <w:sectPr w:rsidR="003450AD" w:rsidRPr="000947F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A8446" w14:textId="77777777" w:rsidR="00985D48" w:rsidRDefault="00985D48" w:rsidP="00E64763">
      <w:pPr>
        <w:spacing w:after="0" w:line="240" w:lineRule="auto"/>
      </w:pPr>
      <w:r>
        <w:separator/>
      </w:r>
    </w:p>
  </w:endnote>
  <w:endnote w:type="continuationSeparator" w:id="0">
    <w:p w14:paraId="297A031A" w14:textId="77777777" w:rsidR="00985D48" w:rsidRDefault="00985D48" w:rsidP="00E6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73768"/>
      <w:docPartObj>
        <w:docPartGallery w:val="Page Numbers (Bottom of Page)"/>
        <w:docPartUnique/>
      </w:docPartObj>
    </w:sdtPr>
    <w:sdtEndPr>
      <w:rPr>
        <w:noProof/>
      </w:rPr>
    </w:sdtEndPr>
    <w:sdtContent>
      <w:p w14:paraId="7B391D47" w14:textId="2313D663" w:rsidR="00E64763" w:rsidRDefault="00E64763">
        <w:pPr>
          <w:pStyle w:val="Footer"/>
        </w:pPr>
        <w:r>
          <w:t xml:space="preserve">Page | </w:t>
        </w:r>
        <w:r>
          <w:fldChar w:fldCharType="begin"/>
        </w:r>
        <w:r>
          <w:instrText xml:space="preserve"> PAGE   \* MERGEFORMAT </w:instrText>
        </w:r>
        <w:r>
          <w:fldChar w:fldCharType="separate"/>
        </w:r>
        <w:r w:rsidR="002F1ADA">
          <w:rPr>
            <w:noProof/>
          </w:rPr>
          <w:t>1</w:t>
        </w:r>
        <w:r>
          <w:rPr>
            <w:noProof/>
          </w:rPr>
          <w:fldChar w:fldCharType="end"/>
        </w:r>
        <w:r w:rsidR="002E5514">
          <w:rPr>
            <w:noProof/>
          </w:rPr>
          <w:tab/>
          <w:t>July 2015</w:t>
        </w:r>
      </w:p>
    </w:sdtContent>
  </w:sdt>
  <w:p w14:paraId="7B391D48" w14:textId="77777777" w:rsidR="00E64763" w:rsidRDefault="00E64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1FDAF" w14:textId="77777777" w:rsidR="00985D48" w:rsidRDefault="00985D48" w:rsidP="00E64763">
      <w:pPr>
        <w:spacing w:after="0" w:line="240" w:lineRule="auto"/>
      </w:pPr>
      <w:r>
        <w:separator/>
      </w:r>
    </w:p>
  </w:footnote>
  <w:footnote w:type="continuationSeparator" w:id="0">
    <w:p w14:paraId="1A27FACF" w14:textId="77777777" w:rsidR="00985D48" w:rsidRDefault="00985D48" w:rsidP="00E64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7305"/>
    <w:multiLevelType w:val="hybridMultilevel"/>
    <w:tmpl w:val="C58AEB7A"/>
    <w:lvl w:ilvl="0" w:tplc="66D0D5EC">
      <w:start w:val="1"/>
      <w:numFmt w:val="bullet"/>
      <w:lvlText w:val=""/>
      <w:lvlJc w:val="left"/>
      <w:pPr>
        <w:tabs>
          <w:tab w:val="num" w:pos="720"/>
        </w:tabs>
        <w:ind w:left="720" w:hanging="360"/>
      </w:pPr>
      <w:rPr>
        <w:rFonts w:ascii="Wingdings" w:hAnsi="Wingdings" w:hint="default"/>
      </w:rPr>
    </w:lvl>
    <w:lvl w:ilvl="1" w:tplc="5B28A42A" w:tentative="1">
      <w:start w:val="1"/>
      <w:numFmt w:val="bullet"/>
      <w:lvlText w:val=""/>
      <w:lvlJc w:val="left"/>
      <w:pPr>
        <w:tabs>
          <w:tab w:val="num" w:pos="1440"/>
        </w:tabs>
        <w:ind w:left="1440" w:hanging="360"/>
      </w:pPr>
      <w:rPr>
        <w:rFonts w:ascii="Wingdings" w:hAnsi="Wingdings" w:hint="default"/>
      </w:rPr>
    </w:lvl>
    <w:lvl w:ilvl="2" w:tplc="71D80BC2" w:tentative="1">
      <w:start w:val="1"/>
      <w:numFmt w:val="bullet"/>
      <w:lvlText w:val=""/>
      <w:lvlJc w:val="left"/>
      <w:pPr>
        <w:tabs>
          <w:tab w:val="num" w:pos="2160"/>
        </w:tabs>
        <w:ind w:left="2160" w:hanging="360"/>
      </w:pPr>
      <w:rPr>
        <w:rFonts w:ascii="Wingdings" w:hAnsi="Wingdings" w:hint="default"/>
      </w:rPr>
    </w:lvl>
    <w:lvl w:ilvl="3" w:tplc="82624ACA" w:tentative="1">
      <w:start w:val="1"/>
      <w:numFmt w:val="bullet"/>
      <w:lvlText w:val=""/>
      <w:lvlJc w:val="left"/>
      <w:pPr>
        <w:tabs>
          <w:tab w:val="num" w:pos="2880"/>
        </w:tabs>
        <w:ind w:left="2880" w:hanging="360"/>
      </w:pPr>
      <w:rPr>
        <w:rFonts w:ascii="Wingdings" w:hAnsi="Wingdings" w:hint="default"/>
      </w:rPr>
    </w:lvl>
    <w:lvl w:ilvl="4" w:tplc="935249AA" w:tentative="1">
      <w:start w:val="1"/>
      <w:numFmt w:val="bullet"/>
      <w:lvlText w:val=""/>
      <w:lvlJc w:val="left"/>
      <w:pPr>
        <w:tabs>
          <w:tab w:val="num" w:pos="3600"/>
        </w:tabs>
        <w:ind w:left="3600" w:hanging="360"/>
      </w:pPr>
      <w:rPr>
        <w:rFonts w:ascii="Wingdings" w:hAnsi="Wingdings" w:hint="default"/>
      </w:rPr>
    </w:lvl>
    <w:lvl w:ilvl="5" w:tplc="7C5E916E" w:tentative="1">
      <w:start w:val="1"/>
      <w:numFmt w:val="bullet"/>
      <w:lvlText w:val=""/>
      <w:lvlJc w:val="left"/>
      <w:pPr>
        <w:tabs>
          <w:tab w:val="num" w:pos="4320"/>
        </w:tabs>
        <w:ind w:left="4320" w:hanging="360"/>
      </w:pPr>
      <w:rPr>
        <w:rFonts w:ascii="Wingdings" w:hAnsi="Wingdings" w:hint="default"/>
      </w:rPr>
    </w:lvl>
    <w:lvl w:ilvl="6" w:tplc="CBB8C9D4" w:tentative="1">
      <w:start w:val="1"/>
      <w:numFmt w:val="bullet"/>
      <w:lvlText w:val=""/>
      <w:lvlJc w:val="left"/>
      <w:pPr>
        <w:tabs>
          <w:tab w:val="num" w:pos="5040"/>
        </w:tabs>
        <w:ind w:left="5040" w:hanging="360"/>
      </w:pPr>
      <w:rPr>
        <w:rFonts w:ascii="Wingdings" w:hAnsi="Wingdings" w:hint="default"/>
      </w:rPr>
    </w:lvl>
    <w:lvl w:ilvl="7" w:tplc="42506AF0" w:tentative="1">
      <w:start w:val="1"/>
      <w:numFmt w:val="bullet"/>
      <w:lvlText w:val=""/>
      <w:lvlJc w:val="left"/>
      <w:pPr>
        <w:tabs>
          <w:tab w:val="num" w:pos="5760"/>
        </w:tabs>
        <w:ind w:left="5760" w:hanging="360"/>
      </w:pPr>
      <w:rPr>
        <w:rFonts w:ascii="Wingdings" w:hAnsi="Wingdings" w:hint="default"/>
      </w:rPr>
    </w:lvl>
    <w:lvl w:ilvl="8" w:tplc="D4DED106" w:tentative="1">
      <w:start w:val="1"/>
      <w:numFmt w:val="bullet"/>
      <w:lvlText w:val=""/>
      <w:lvlJc w:val="left"/>
      <w:pPr>
        <w:tabs>
          <w:tab w:val="num" w:pos="6480"/>
        </w:tabs>
        <w:ind w:left="6480" w:hanging="360"/>
      </w:pPr>
      <w:rPr>
        <w:rFonts w:ascii="Wingdings" w:hAnsi="Wingdings" w:hint="default"/>
      </w:rPr>
    </w:lvl>
  </w:abstractNum>
  <w:abstractNum w:abstractNumId="1">
    <w:nsid w:val="21840ADA"/>
    <w:multiLevelType w:val="hybridMultilevel"/>
    <w:tmpl w:val="000AE3CE"/>
    <w:lvl w:ilvl="0" w:tplc="EF32F564">
      <w:start w:val="1"/>
      <w:numFmt w:val="bullet"/>
      <w:lvlText w:val=""/>
      <w:lvlJc w:val="left"/>
      <w:pPr>
        <w:tabs>
          <w:tab w:val="num" w:pos="720"/>
        </w:tabs>
        <w:ind w:left="720" w:hanging="360"/>
      </w:pPr>
      <w:rPr>
        <w:rFonts w:ascii="Wingdings" w:hAnsi="Wingdings" w:hint="default"/>
      </w:rPr>
    </w:lvl>
    <w:lvl w:ilvl="1" w:tplc="96B04D98" w:tentative="1">
      <w:start w:val="1"/>
      <w:numFmt w:val="bullet"/>
      <w:lvlText w:val=""/>
      <w:lvlJc w:val="left"/>
      <w:pPr>
        <w:tabs>
          <w:tab w:val="num" w:pos="1440"/>
        </w:tabs>
        <w:ind w:left="1440" w:hanging="360"/>
      </w:pPr>
      <w:rPr>
        <w:rFonts w:ascii="Wingdings" w:hAnsi="Wingdings" w:hint="default"/>
      </w:rPr>
    </w:lvl>
    <w:lvl w:ilvl="2" w:tplc="46B608AC" w:tentative="1">
      <w:start w:val="1"/>
      <w:numFmt w:val="bullet"/>
      <w:lvlText w:val=""/>
      <w:lvlJc w:val="left"/>
      <w:pPr>
        <w:tabs>
          <w:tab w:val="num" w:pos="2160"/>
        </w:tabs>
        <w:ind w:left="2160" w:hanging="360"/>
      </w:pPr>
      <w:rPr>
        <w:rFonts w:ascii="Wingdings" w:hAnsi="Wingdings" w:hint="default"/>
      </w:rPr>
    </w:lvl>
    <w:lvl w:ilvl="3" w:tplc="E94224F4" w:tentative="1">
      <w:start w:val="1"/>
      <w:numFmt w:val="bullet"/>
      <w:lvlText w:val=""/>
      <w:lvlJc w:val="left"/>
      <w:pPr>
        <w:tabs>
          <w:tab w:val="num" w:pos="2880"/>
        </w:tabs>
        <w:ind w:left="2880" w:hanging="360"/>
      </w:pPr>
      <w:rPr>
        <w:rFonts w:ascii="Wingdings" w:hAnsi="Wingdings" w:hint="default"/>
      </w:rPr>
    </w:lvl>
    <w:lvl w:ilvl="4" w:tplc="050261E6" w:tentative="1">
      <w:start w:val="1"/>
      <w:numFmt w:val="bullet"/>
      <w:lvlText w:val=""/>
      <w:lvlJc w:val="left"/>
      <w:pPr>
        <w:tabs>
          <w:tab w:val="num" w:pos="3600"/>
        </w:tabs>
        <w:ind w:left="3600" w:hanging="360"/>
      </w:pPr>
      <w:rPr>
        <w:rFonts w:ascii="Wingdings" w:hAnsi="Wingdings" w:hint="default"/>
      </w:rPr>
    </w:lvl>
    <w:lvl w:ilvl="5" w:tplc="1D6ACDFA" w:tentative="1">
      <w:start w:val="1"/>
      <w:numFmt w:val="bullet"/>
      <w:lvlText w:val=""/>
      <w:lvlJc w:val="left"/>
      <w:pPr>
        <w:tabs>
          <w:tab w:val="num" w:pos="4320"/>
        </w:tabs>
        <w:ind w:left="4320" w:hanging="360"/>
      </w:pPr>
      <w:rPr>
        <w:rFonts w:ascii="Wingdings" w:hAnsi="Wingdings" w:hint="default"/>
      </w:rPr>
    </w:lvl>
    <w:lvl w:ilvl="6" w:tplc="A5809428" w:tentative="1">
      <w:start w:val="1"/>
      <w:numFmt w:val="bullet"/>
      <w:lvlText w:val=""/>
      <w:lvlJc w:val="left"/>
      <w:pPr>
        <w:tabs>
          <w:tab w:val="num" w:pos="5040"/>
        </w:tabs>
        <w:ind w:left="5040" w:hanging="360"/>
      </w:pPr>
      <w:rPr>
        <w:rFonts w:ascii="Wingdings" w:hAnsi="Wingdings" w:hint="default"/>
      </w:rPr>
    </w:lvl>
    <w:lvl w:ilvl="7" w:tplc="5E7073AA" w:tentative="1">
      <w:start w:val="1"/>
      <w:numFmt w:val="bullet"/>
      <w:lvlText w:val=""/>
      <w:lvlJc w:val="left"/>
      <w:pPr>
        <w:tabs>
          <w:tab w:val="num" w:pos="5760"/>
        </w:tabs>
        <w:ind w:left="5760" w:hanging="360"/>
      </w:pPr>
      <w:rPr>
        <w:rFonts w:ascii="Wingdings" w:hAnsi="Wingdings" w:hint="default"/>
      </w:rPr>
    </w:lvl>
    <w:lvl w:ilvl="8" w:tplc="B1D005F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AE"/>
    <w:rsid w:val="00087F68"/>
    <w:rsid w:val="000947F5"/>
    <w:rsid w:val="000B0A56"/>
    <w:rsid w:val="002E5514"/>
    <w:rsid w:val="002F1ADA"/>
    <w:rsid w:val="003450AD"/>
    <w:rsid w:val="00484BAE"/>
    <w:rsid w:val="007B11B3"/>
    <w:rsid w:val="00880315"/>
    <w:rsid w:val="0089571E"/>
    <w:rsid w:val="00982C64"/>
    <w:rsid w:val="00985D48"/>
    <w:rsid w:val="00AA6CBF"/>
    <w:rsid w:val="00B4406E"/>
    <w:rsid w:val="00B52341"/>
    <w:rsid w:val="00B93305"/>
    <w:rsid w:val="00C46AD7"/>
    <w:rsid w:val="00E64763"/>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BAE"/>
    <w:rPr>
      <w:rFonts w:ascii="Times New Roman" w:eastAsia="Times New Roman" w:hAnsi="Times New Roman" w:cs="Times New Roman"/>
      <w:b/>
      <w:bCs/>
      <w:sz w:val="36"/>
      <w:szCs w:val="36"/>
    </w:rPr>
  </w:style>
  <w:style w:type="paragraph" w:styleId="NormalWeb">
    <w:name w:val="Normal (Web)"/>
    <w:basedOn w:val="Normal"/>
    <w:uiPriority w:val="99"/>
    <w:unhideWhenUsed/>
    <w:rsid w:val="0048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4BAE"/>
  </w:style>
  <w:style w:type="paragraph" w:customStyle="1" w:styleId="cita">
    <w:name w:val="cita"/>
    <w:basedOn w:val="Normal"/>
    <w:rsid w:val="00484B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63"/>
  </w:style>
  <w:style w:type="paragraph" w:styleId="Footer">
    <w:name w:val="footer"/>
    <w:basedOn w:val="Normal"/>
    <w:link w:val="FooterChar"/>
    <w:uiPriority w:val="99"/>
    <w:unhideWhenUsed/>
    <w:rsid w:val="00E6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63"/>
  </w:style>
  <w:style w:type="paragraph" w:styleId="BalloonText">
    <w:name w:val="Balloon Text"/>
    <w:basedOn w:val="Normal"/>
    <w:link w:val="BalloonTextChar"/>
    <w:uiPriority w:val="99"/>
    <w:semiHidden/>
    <w:unhideWhenUsed/>
    <w:rsid w:val="00AA6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CBF"/>
    <w:rPr>
      <w:rFonts w:ascii="Tahoma" w:hAnsi="Tahoma" w:cs="Tahoma"/>
      <w:sz w:val="16"/>
      <w:szCs w:val="16"/>
    </w:rPr>
  </w:style>
  <w:style w:type="character" w:styleId="Hyperlink">
    <w:name w:val="Hyperlink"/>
    <w:basedOn w:val="DefaultParagraphFont"/>
    <w:uiPriority w:val="99"/>
    <w:unhideWhenUsed/>
    <w:rsid w:val="002E5514"/>
    <w:rPr>
      <w:color w:val="0000FF" w:themeColor="hyperlink"/>
      <w:u w:val="single"/>
    </w:rPr>
  </w:style>
  <w:style w:type="character" w:styleId="FollowedHyperlink">
    <w:name w:val="FollowedHyperlink"/>
    <w:basedOn w:val="DefaultParagraphFont"/>
    <w:uiPriority w:val="99"/>
    <w:semiHidden/>
    <w:unhideWhenUsed/>
    <w:rsid w:val="002E55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BAE"/>
    <w:rPr>
      <w:rFonts w:ascii="Times New Roman" w:eastAsia="Times New Roman" w:hAnsi="Times New Roman" w:cs="Times New Roman"/>
      <w:b/>
      <w:bCs/>
      <w:sz w:val="36"/>
      <w:szCs w:val="36"/>
    </w:rPr>
  </w:style>
  <w:style w:type="paragraph" w:styleId="NormalWeb">
    <w:name w:val="Normal (Web)"/>
    <w:basedOn w:val="Normal"/>
    <w:uiPriority w:val="99"/>
    <w:unhideWhenUsed/>
    <w:rsid w:val="0048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4BAE"/>
  </w:style>
  <w:style w:type="paragraph" w:customStyle="1" w:styleId="cita">
    <w:name w:val="cita"/>
    <w:basedOn w:val="Normal"/>
    <w:rsid w:val="00484B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63"/>
  </w:style>
  <w:style w:type="paragraph" w:styleId="Footer">
    <w:name w:val="footer"/>
    <w:basedOn w:val="Normal"/>
    <w:link w:val="FooterChar"/>
    <w:uiPriority w:val="99"/>
    <w:unhideWhenUsed/>
    <w:rsid w:val="00E6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63"/>
  </w:style>
  <w:style w:type="paragraph" w:styleId="BalloonText">
    <w:name w:val="Balloon Text"/>
    <w:basedOn w:val="Normal"/>
    <w:link w:val="BalloonTextChar"/>
    <w:uiPriority w:val="99"/>
    <w:semiHidden/>
    <w:unhideWhenUsed/>
    <w:rsid w:val="00AA6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CBF"/>
    <w:rPr>
      <w:rFonts w:ascii="Tahoma" w:hAnsi="Tahoma" w:cs="Tahoma"/>
      <w:sz w:val="16"/>
      <w:szCs w:val="16"/>
    </w:rPr>
  </w:style>
  <w:style w:type="character" w:styleId="Hyperlink">
    <w:name w:val="Hyperlink"/>
    <w:basedOn w:val="DefaultParagraphFont"/>
    <w:uiPriority w:val="99"/>
    <w:unhideWhenUsed/>
    <w:rsid w:val="002E5514"/>
    <w:rPr>
      <w:color w:val="0000FF" w:themeColor="hyperlink"/>
      <w:u w:val="single"/>
    </w:rPr>
  </w:style>
  <w:style w:type="character" w:styleId="FollowedHyperlink">
    <w:name w:val="FollowedHyperlink"/>
    <w:basedOn w:val="DefaultParagraphFont"/>
    <w:uiPriority w:val="99"/>
    <w:semiHidden/>
    <w:unhideWhenUsed/>
    <w:rsid w:val="002E5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6615">
      <w:bodyDiv w:val="1"/>
      <w:marLeft w:val="0"/>
      <w:marRight w:val="0"/>
      <w:marTop w:val="0"/>
      <w:marBottom w:val="0"/>
      <w:divBdr>
        <w:top w:val="none" w:sz="0" w:space="0" w:color="auto"/>
        <w:left w:val="none" w:sz="0" w:space="0" w:color="auto"/>
        <w:bottom w:val="none" w:sz="0" w:space="0" w:color="auto"/>
        <w:right w:val="none" w:sz="0" w:space="0" w:color="auto"/>
      </w:divBdr>
    </w:div>
    <w:div w:id="453669896">
      <w:bodyDiv w:val="1"/>
      <w:marLeft w:val="0"/>
      <w:marRight w:val="0"/>
      <w:marTop w:val="0"/>
      <w:marBottom w:val="0"/>
      <w:divBdr>
        <w:top w:val="none" w:sz="0" w:space="0" w:color="auto"/>
        <w:left w:val="none" w:sz="0" w:space="0" w:color="auto"/>
        <w:bottom w:val="none" w:sz="0" w:space="0" w:color="auto"/>
        <w:right w:val="none" w:sz="0" w:space="0" w:color="auto"/>
      </w:divBdr>
    </w:div>
    <w:div w:id="487789908">
      <w:bodyDiv w:val="1"/>
      <w:marLeft w:val="0"/>
      <w:marRight w:val="0"/>
      <w:marTop w:val="0"/>
      <w:marBottom w:val="0"/>
      <w:divBdr>
        <w:top w:val="none" w:sz="0" w:space="0" w:color="auto"/>
        <w:left w:val="none" w:sz="0" w:space="0" w:color="auto"/>
        <w:bottom w:val="none" w:sz="0" w:space="0" w:color="auto"/>
        <w:right w:val="none" w:sz="0" w:space="0" w:color="auto"/>
      </w:divBdr>
    </w:div>
    <w:div w:id="518277337">
      <w:bodyDiv w:val="1"/>
      <w:marLeft w:val="0"/>
      <w:marRight w:val="0"/>
      <w:marTop w:val="0"/>
      <w:marBottom w:val="0"/>
      <w:divBdr>
        <w:top w:val="none" w:sz="0" w:space="0" w:color="auto"/>
        <w:left w:val="none" w:sz="0" w:space="0" w:color="auto"/>
        <w:bottom w:val="none" w:sz="0" w:space="0" w:color="auto"/>
        <w:right w:val="none" w:sz="0" w:space="0" w:color="auto"/>
      </w:divBdr>
    </w:div>
    <w:div w:id="841823736">
      <w:bodyDiv w:val="1"/>
      <w:marLeft w:val="0"/>
      <w:marRight w:val="0"/>
      <w:marTop w:val="0"/>
      <w:marBottom w:val="0"/>
      <w:divBdr>
        <w:top w:val="none" w:sz="0" w:space="0" w:color="auto"/>
        <w:left w:val="none" w:sz="0" w:space="0" w:color="auto"/>
        <w:bottom w:val="none" w:sz="0" w:space="0" w:color="auto"/>
        <w:right w:val="none" w:sz="0" w:space="0" w:color="auto"/>
      </w:divBdr>
    </w:div>
    <w:div w:id="848637698">
      <w:bodyDiv w:val="1"/>
      <w:marLeft w:val="0"/>
      <w:marRight w:val="0"/>
      <w:marTop w:val="0"/>
      <w:marBottom w:val="0"/>
      <w:divBdr>
        <w:top w:val="none" w:sz="0" w:space="0" w:color="auto"/>
        <w:left w:val="none" w:sz="0" w:space="0" w:color="auto"/>
        <w:bottom w:val="none" w:sz="0" w:space="0" w:color="auto"/>
        <w:right w:val="none" w:sz="0" w:space="0" w:color="auto"/>
      </w:divBdr>
    </w:div>
    <w:div w:id="933131134">
      <w:bodyDiv w:val="1"/>
      <w:marLeft w:val="0"/>
      <w:marRight w:val="0"/>
      <w:marTop w:val="0"/>
      <w:marBottom w:val="0"/>
      <w:divBdr>
        <w:top w:val="none" w:sz="0" w:space="0" w:color="auto"/>
        <w:left w:val="none" w:sz="0" w:space="0" w:color="auto"/>
        <w:bottom w:val="none" w:sz="0" w:space="0" w:color="auto"/>
        <w:right w:val="none" w:sz="0" w:space="0" w:color="auto"/>
      </w:divBdr>
      <w:divsChild>
        <w:div w:id="1104499971">
          <w:marLeft w:val="504"/>
          <w:marRight w:val="0"/>
          <w:marTop w:val="140"/>
          <w:marBottom w:val="0"/>
          <w:divBdr>
            <w:top w:val="none" w:sz="0" w:space="0" w:color="auto"/>
            <w:left w:val="none" w:sz="0" w:space="0" w:color="auto"/>
            <w:bottom w:val="none" w:sz="0" w:space="0" w:color="auto"/>
            <w:right w:val="none" w:sz="0" w:space="0" w:color="auto"/>
          </w:divBdr>
        </w:div>
        <w:div w:id="1419055813">
          <w:marLeft w:val="504"/>
          <w:marRight w:val="0"/>
          <w:marTop w:val="140"/>
          <w:marBottom w:val="0"/>
          <w:divBdr>
            <w:top w:val="none" w:sz="0" w:space="0" w:color="auto"/>
            <w:left w:val="none" w:sz="0" w:space="0" w:color="auto"/>
            <w:bottom w:val="none" w:sz="0" w:space="0" w:color="auto"/>
            <w:right w:val="none" w:sz="0" w:space="0" w:color="auto"/>
          </w:divBdr>
        </w:div>
        <w:div w:id="1428233420">
          <w:marLeft w:val="504"/>
          <w:marRight w:val="0"/>
          <w:marTop w:val="140"/>
          <w:marBottom w:val="0"/>
          <w:divBdr>
            <w:top w:val="none" w:sz="0" w:space="0" w:color="auto"/>
            <w:left w:val="none" w:sz="0" w:space="0" w:color="auto"/>
            <w:bottom w:val="none" w:sz="0" w:space="0" w:color="auto"/>
            <w:right w:val="none" w:sz="0" w:space="0" w:color="auto"/>
          </w:divBdr>
        </w:div>
        <w:div w:id="1899897971">
          <w:marLeft w:val="504"/>
          <w:marRight w:val="0"/>
          <w:marTop w:val="140"/>
          <w:marBottom w:val="0"/>
          <w:divBdr>
            <w:top w:val="none" w:sz="0" w:space="0" w:color="auto"/>
            <w:left w:val="none" w:sz="0" w:space="0" w:color="auto"/>
            <w:bottom w:val="none" w:sz="0" w:space="0" w:color="auto"/>
            <w:right w:val="none" w:sz="0" w:space="0" w:color="auto"/>
          </w:divBdr>
        </w:div>
        <w:div w:id="1634678209">
          <w:marLeft w:val="504"/>
          <w:marRight w:val="0"/>
          <w:marTop w:val="140"/>
          <w:marBottom w:val="0"/>
          <w:divBdr>
            <w:top w:val="none" w:sz="0" w:space="0" w:color="auto"/>
            <w:left w:val="none" w:sz="0" w:space="0" w:color="auto"/>
            <w:bottom w:val="none" w:sz="0" w:space="0" w:color="auto"/>
            <w:right w:val="none" w:sz="0" w:space="0" w:color="auto"/>
          </w:divBdr>
        </w:div>
      </w:divsChild>
    </w:div>
    <w:div w:id="936211917">
      <w:bodyDiv w:val="1"/>
      <w:marLeft w:val="0"/>
      <w:marRight w:val="0"/>
      <w:marTop w:val="0"/>
      <w:marBottom w:val="0"/>
      <w:divBdr>
        <w:top w:val="none" w:sz="0" w:space="0" w:color="auto"/>
        <w:left w:val="none" w:sz="0" w:space="0" w:color="auto"/>
        <w:bottom w:val="none" w:sz="0" w:space="0" w:color="auto"/>
        <w:right w:val="none" w:sz="0" w:space="0" w:color="auto"/>
      </w:divBdr>
    </w:div>
    <w:div w:id="1042941986">
      <w:bodyDiv w:val="1"/>
      <w:marLeft w:val="0"/>
      <w:marRight w:val="0"/>
      <w:marTop w:val="0"/>
      <w:marBottom w:val="0"/>
      <w:divBdr>
        <w:top w:val="none" w:sz="0" w:space="0" w:color="auto"/>
        <w:left w:val="none" w:sz="0" w:space="0" w:color="auto"/>
        <w:bottom w:val="none" w:sz="0" w:space="0" w:color="auto"/>
        <w:right w:val="none" w:sz="0" w:space="0" w:color="auto"/>
      </w:divBdr>
    </w:div>
    <w:div w:id="1151219055">
      <w:bodyDiv w:val="1"/>
      <w:marLeft w:val="0"/>
      <w:marRight w:val="0"/>
      <w:marTop w:val="0"/>
      <w:marBottom w:val="0"/>
      <w:divBdr>
        <w:top w:val="none" w:sz="0" w:space="0" w:color="auto"/>
        <w:left w:val="none" w:sz="0" w:space="0" w:color="auto"/>
        <w:bottom w:val="none" w:sz="0" w:space="0" w:color="auto"/>
        <w:right w:val="none" w:sz="0" w:space="0" w:color="auto"/>
      </w:divBdr>
    </w:div>
    <w:div w:id="1226183793">
      <w:bodyDiv w:val="1"/>
      <w:marLeft w:val="0"/>
      <w:marRight w:val="0"/>
      <w:marTop w:val="0"/>
      <w:marBottom w:val="0"/>
      <w:divBdr>
        <w:top w:val="none" w:sz="0" w:space="0" w:color="auto"/>
        <w:left w:val="none" w:sz="0" w:space="0" w:color="auto"/>
        <w:bottom w:val="none" w:sz="0" w:space="0" w:color="auto"/>
        <w:right w:val="none" w:sz="0" w:space="0" w:color="auto"/>
      </w:divBdr>
    </w:div>
    <w:div w:id="1326203709">
      <w:bodyDiv w:val="1"/>
      <w:marLeft w:val="0"/>
      <w:marRight w:val="0"/>
      <w:marTop w:val="0"/>
      <w:marBottom w:val="0"/>
      <w:divBdr>
        <w:top w:val="none" w:sz="0" w:space="0" w:color="auto"/>
        <w:left w:val="none" w:sz="0" w:space="0" w:color="auto"/>
        <w:bottom w:val="none" w:sz="0" w:space="0" w:color="auto"/>
        <w:right w:val="none" w:sz="0" w:space="0" w:color="auto"/>
      </w:divBdr>
      <w:divsChild>
        <w:div w:id="1980651746">
          <w:marLeft w:val="504"/>
          <w:marRight w:val="0"/>
          <w:marTop w:val="140"/>
          <w:marBottom w:val="0"/>
          <w:divBdr>
            <w:top w:val="none" w:sz="0" w:space="0" w:color="auto"/>
            <w:left w:val="none" w:sz="0" w:space="0" w:color="auto"/>
            <w:bottom w:val="none" w:sz="0" w:space="0" w:color="auto"/>
            <w:right w:val="none" w:sz="0" w:space="0" w:color="auto"/>
          </w:divBdr>
        </w:div>
        <w:div w:id="947198697">
          <w:marLeft w:val="504"/>
          <w:marRight w:val="0"/>
          <w:marTop w:val="140"/>
          <w:marBottom w:val="0"/>
          <w:divBdr>
            <w:top w:val="none" w:sz="0" w:space="0" w:color="auto"/>
            <w:left w:val="none" w:sz="0" w:space="0" w:color="auto"/>
            <w:bottom w:val="none" w:sz="0" w:space="0" w:color="auto"/>
            <w:right w:val="none" w:sz="0" w:space="0" w:color="auto"/>
          </w:divBdr>
        </w:div>
        <w:div w:id="611210766">
          <w:marLeft w:val="504"/>
          <w:marRight w:val="0"/>
          <w:marTop w:val="140"/>
          <w:marBottom w:val="0"/>
          <w:divBdr>
            <w:top w:val="none" w:sz="0" w:space="0" w:color="auto"/>
            <w:left w:val="none" w:sz="0" w:space="0" w:color="auto"/>
            <w:bottom w:val="none" w:sz="0" w:space="0" w:color="auto"/>
            <w:right w:val="none" w:sz="0" w:space="0" w:color="auto"/>
          </w:divBdr>
        </w:div>
        <w:div w:id="1753889273">
          <w:marLeft w:val="504"/>
          <w:marRight w:val="0"/>
          <w:marTop w:val="140"/>
          <w:marBottom w:val="0"/>
          <w:divBdr>
            <w:top w:val="none" w:sz="0" w:space="0" w:color="auto"/>
            <w:left w:val="none" w:sz="0" w:space="0" w:color="auto"/>
            <w:bottom w:val="none" w:sz="0" w:space="0" w:color="auto"/>
            <w:right w:val="none" w:sz="0" w:space="0" w:color="auto"/>
          </w:divBdr>
        </w:div>
        <w:div w:id="1169246272">
          <w:marLeft w:val="504"/>
          <w:marRight w:val="0"/>
          <w:marTop w:val="140"/>
          <w:marBottom w:val="0"/>
          <w:divBdr>
            <w:top w:val="none" w:sz="0" w:space="0" w:color="auto"/>
            <w:left w:val="none" w:sz="0" w:space="0" w:color="auto"/>
            <w:bottom w:val="none" w:sz="0" w:space="0" w:color="auto"/>
            <w:right w:val="none" w:sz="0" w:space="0" w:color="auto"/>
          </w:divBdr>
        </w:div>
      </w:divsChild>
    </w:div>
    <w:div w:id="1353266308">
      <w:bodyDiv w:val="1"/>
      <w:marLeft w:val="0"/>
      <w:marRight w:val="0"/>
      <w:marTop w:val="0"/>
      <w:marBottom w:val="0"/>
      <w:divBdr>
        <w:top w:val="none" w:sz="0" w:space="0" w:color="auto"/>
        <w:left w:val="none" w:sz="0" w:space="0" w:color="auto"/>
        <w:bottom w:val="none" w:sz="0" w:space="0" w:color="auto"/>
        <w:right w:val="none" w:sz="0" w:space="0" w:color="auto"/>
      </w:divBdr>
    </w:div>
    <w:div w:id="1745570236">
      <w:bodyDiv w:val="1"/>
      <w:marLeft w:val="0"/>
      <w:marRight w:val="0"/>
      <w:marTop w:val="0"/>
      <w:marBottom w:val="0"/>
      <w:divBdr>
        <w:top w:val="none" w:sz="0" w:space="0" w:color="auto"/>
        <w:left w:val="none" w:sz="0" w:space="0" w:color="auto"/>
        <w:bottom w:val="none" w:sz="0" w:space="0" w:color="auto"/>
        <w:right w:val="none" w:sz="0" w:space="0" w:color="auto"/>
      </w:divBdr>
    </w:div>
    <w:div w:id="1871801347">
      <w:bodyDiv w:val="1"/>
      <w:marLeft w:val="0"/>
      <w:marRight w:val="0"/>
      <w:marTop w:val="0"/>
      <w:marBottom w:val="0"/>
      <w:divBdr>
        <w:top w:val="none" w:sz="0" w:space="0" w:color="auto"/>
        <w:left w:val="none" w:sz="0" w:space="0" w:color="auto"/>
        <w:bottom w:val="none" w:sz="0" w:space="0" w:color="auto"/>
        <w:right w:val="none" w:sz="0" w:space="0" w:color="auto"/>
      </w:divBdr>
    </w:div>
    <w:div w:id="2088184732">
      <w:bodyDiv w:val="1"/>
      <w:marLeft w:val="0"/>
      <w:marRight w:val="0"/>
      <w:marTop w:val="0"/>
      <w:marBottom w:val="0"/>
      <w:divBdr>
        <w:top w:val="none" w:sz="0" w:space="0" w:color="auto"/>
        <w:left w:val="none" w:sz="0" w:space="0" w:color="auto"/>
        <w:bottom w:val="none" w:sz="0" w:space="0" w:color="auto"/>
        <w:right w:val="none" w:sz="0" w:space="0" w:color="auto"/>
      </w:divBdr>
    </w:div>
    <w:div w:id="2096899348">
      <w:bodyDiv w:val="1"/>
      <w:marLeft w:val="0"/>
      <w:marRight w:val="0"/>
      <w:marTop w:val="0"/>
      <w:marBottom w:val="0"/>
      <w:divBdr>
        <w:top w:val="none" w:sz="0" w:space="0" w:color="auto"/>
        <w:left w:val="none" w:sz="0" w:space="0" w:color="auto"/>
        <w:bottom w:val="none" w:sz="0" w:space="0" w:color="auto"/>
        <w:right w:val="none" w:sz="0" w:space="0" w:color="auto"/>
      </w:divBdr>
      <w:divsChild>
        <w:div w:id="475923929">
          <w:marLeft w:val="504"/>
          <w:marRight w:val="0"/>
          <w:marTop w:val="140"/>
          <w:marBottom w:val="0"/>
          <w:divBdr>
            <w:top w:val="none" w:sz="0" w:space="0" w:color="auto"/>
            <w:left w:val="none" w:sz="0" w:space="0" w:color="auto"/>
            <w:bottom w:val="none" w:sz="0" w:space="0" w:color="auto"/>
            <w:right w:val="none" w:sz="0" w:space="0" w:color="auto"/>
          </w:divBdr>
        </w:div>
        <w:div w:id="11804482">
          <w:marLeft w:val="504"/>
          <w:marRight w:val="0"/>
          <w:marTop w:val="140"/>
          <w:marBottom w:val="0"/>
          <w:divBdr>
            <w:top w:val="none" w:sz="0" w:space="0" w:color="auto"/>
            <w:left w:val="none" w:sz="0" w:space="0" w:color="auto"/>
            <w:bottom w:val="none" w:sz="0" w:space="0" w:color="auto"/>
            <w:right w:val="none" w:sz="0" w:space="0" w:color="auto"/>
          </w:divBdr>
        </w:div>
        <w:div w:id="638845008">
          <w:marLeft w:val="504"/>
          <w:marRight w:val="0"/>
          <w:marTop w:val="140"/>
          <w:marBottom w:val="0"/>
          <w:divBdr>
            <w:top w:val="none" w:sz="0" w:space="0" w:color="auto"/>
            <w:left w:val="none" w:sz="0" w:space="0" w:color="auto"/>
            <w:bottom w:val="none" w:sz="0" w:space="0" w:color="auto"/>
            <w:right w:val="none" w:sz="0" w:space="0" w:color="auto"/>
          </w:divBdr>
        </w:div>
        <w:div w:id="2053575807">
          <w:marLeft w:val="504"/>
          <w:marRight w:val="0"/>
          <w:marTop w:val="140"/>
          <w:marBottom w:val="0"/>
          <w:divBdr>
            <w:top w:val="none" w:sz="0" w:space="0" w:color="auto"/>
            <w:left w:val="none" w:sz="0" w:space="0" w:color="auto"/>
            <w:bottom w:val="none" w:sz="0" w:space="0" w:color="auto"/>
            <w:right w:val="none" w:sz="0" w:space="0" w:color="auto"/>
          </w:divBdr>
        </w:div>
        <w:div w:id="566260253">
          <w:marLeft w:val="504"/>
          <w:marRight w:val="0"/>
          <w:marTop w:val="140"/>
          <w:marBottom w:val="0"/>
          <w:divBdr>
            <w:top w:val="none" w:sz="0" w:space="0" w:color="auto"/>
            <w:left w:val="none" w:sz="0" w:space="0" w:color="auto"/>
            <w:bottom w:val="none" w:sz="0" w:space="0" w:color="auto"/>
            <w:right w:val="none" w:sz="0" w:space="0" w:color="auto"/>
          </w:divBdr>
        </w:div>
      </w:divsChild>
    </w:div>
    <w:div w:id="21431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E185C41867F42A7542F700AB855B0" ma:contentTypeVersion="0" ma:contentTypeDescription="Create a new document." ma:contentTypeScope="" ma:versionID="cf457f9f16e8879f6921134920019b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908E9-4F01-4890-BB56-00F9848D4D58}">
  <ds:schemaRefs>
    <ds:schemaRef ds:uri="http://schemas.microsoft.com/sharepoint/v3/contenttype/forms"/>
  </ds:schemaRefs>
</ds:datastoreItem>
</file>

<file path=customXml/itemProps2.xml><?xml version="1.0" encoding="utf-8"?>
<ds:datastoreItem xmlns:ds="http://schemas.openxmlformats.org/officeDocument/2006/customXml" ds:itemID="{F956D876-19A0-486F-AA28-66239C98C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0E48E3-337F-4D04-B230-00EC8FCDD79E}">
  <ds:schemaRef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5734</Words>
  <Characters>32688</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Killian</dc:creator>
  <cp:lastModifiedBy>Authorised User</cp:lastModifiedBy>
  <cp:revision>2</cp:revision>
  <cp:lastPrinted>2015-07-22T14:36:00Z</cp:lastPrinted>
  <dcterms:created xsi:type="dcterms:W3CDTF">2015-11-02T20:13:00Z</dcterms:created>
  <dcterms:modified xsi:type="dcterms:W3CDTF">2015-11-02T20:13:00Z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0x01010077AE185C41867F42A7542F700AB855B0</vt:lpwstr>
  </property>
</Properties>
</file>