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64B4B" w14:textId="77777777" w:rsidR="002C5ECE" w:rsidRDefault="002C5ECE" w:rsidP="00024DFC">
      <w:pPr>
        <w:jc w:val="center"/>
        <w:rPr>
          <w:b/>
        </w:rPr>
      </w:pPr>
      <w:bookmarkStart w:id="0" w:name="_GoBack"/>
      <w:bookmarkEnd w:id="0"/>
    </w:p>
    <w:p w14:paraId="291A36B3" w14:textId="77777777" w:rsidR="00F600EC" w:rsidRDefault="00F600EC" w:rsidP="00024DFC">
      <w:pPr>
        <w:jc w:val="center"/>
        <w:rPr>
          <w:b/>
        </w:rPr>
      </w:pPr>
    </w:p>
    <w:p w14:paraId="50B57542" w14:textId="1F131663" w:rsidR="002B46AA" w:rsidRDefault="002B46AA" w:rsidP="00024DFC">
      <w:pPr>
        <w:jc w:val="center"/>
        <w:rPr>
          <w:b/>
        </w:rPr>
      </w:pPr>
      <w:r>
        <w:rPr>
          <w:noProof/>
        </w:rPr>
        <w:drawing>
          <wp:inline distT="0" distB="0" distL="0" distR="0" wp14:anchorId="3A4E85F1" wp14:editId="71754E4E">
            <wp:extent cx="1717675" cy="1745615"/>
            <wp:effectExtent l="0" t="0" r="0" b="6985"/>
            <wp:docPr id="3" name="Picture 2" descr="Seal of the United States Departmen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of the United States Department of Education&#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7675" cy="1745615"/>
                    </a:xfrm>
                    <a:prstGeom prst="rect">
                      <a:avLst/>
                    </a:prstGeom>
                    <a:noFill/>
                    <a:ln>
                      <a:noFill/>
                    </a:ln>
                  </pic:spPr>
                </pic:pic>
              </a:graphicData>
            </a:graphic>
          </wp:inline>
        </w:drawing>
      </w:r>
    </w:p>
    <w:p w14:paraId="38BF8A28" w14:textId="77777777" w:rsidR="002B46AA" w:rsidRDefault="002B46AA" w:rsidP="00024DFC">
      <w:pPr>
        <w:jc w:val="center"/>
        <w:rPr>
          <w:b/>
        </w:rPr>
      </w:pPr>
    </w:p>
    <w:p w14:paraId="5589642C" w14:textId="77777777" w:rsidR="002B46AA" w:rsidRDefault="002B46AA" w:rsidP="00024DFC">
      <w:pPr>
        <w:jc w:val="center"/>
        <w:rPr>
          <w:b/>
        </w:rPr>
      </w:pPr>
    </w:p>
    <w:p w14:paraId="3B18FE58" w14:textId="46300D13" w:rsidR="002B46AA" w:rsidRDefault="00316FD7" w:rsidP="00316FD7">
      <w:pPr>
        <w:pStyle w:val="Title"/>
        <w:pBdr>
          <w:bottom w:val="single" w:sz="8" w:space="22" w:color="4F81BD" w:themeColor="accent1"/>
        </w:pBdr>
        <w:jc w:val="center"/>
        <w:rPr>
          <w:rFonts w:ascii="Times New Roman" w:hAnsi="Times New Roman"/>
        </w:rPr>
      </w:pPr>
      <w:r>
        <w:rPr>
          <w:rFonts w:ascii="Times New Roman" w:hAnsi="Times New Roman"/>
        </w:rPr>
        <w:t>ESSA Flexibilities</w:t>
      </w:r>
    </w:p>
    <w:p w14:paraId="2884B0B0" w14:textId="77777777" w:rsidR="002B46AA" w:rsidRDefault="002B46AA" w:rsidP="002B46AA">
      <w:pPr>
        <w:jc w:val="center"/>
        <w:rPr>
          <w:sz w:val="52"/>
          <w:szCs w:val="52"/>
        </w:rPr>
      </w:pPr>
    </w:p>
    <w:p w14:paraId="32AB745E" w14:textId="2749CBD2" w:rsidR="00316FD7" w:rsidRDefault="00316FD7" w:rsidP="002B46AA">
      <w:pPr>
        <w:jc w:val="center"/>
        <w:rPr>
          <w:sz w:val="52"/>
          <w:szCs w:val="52"/>
        </w:rPr>
      </w:pPr>
    </w:p>
    <w:p w14:paraId="6EC21919" w14:textId="77777777" w:rsidR="00316FD7" w:rsidRDefault="00316FD7" w:rsidP="002B46AA">
      <w:pPr>
        <w:jc w:val="center"/>
        <w:rPr>
          <w:sz w:val="52"/>
          <w:szCs w:val="52"/>
        </w:rPr>
      </w:pPr>
    </w:p>
    <w:p w14:paraId="00A4EC9A" w14:textId="77777777" w:rsidR="00316FD7" w:rsidRDefault="00316FD7" w:rsidP="002B46AA">
      <w:pPr>
        <w:jc w:val="center"/>
        <w:rPr>
          <w:sz w:val="52"/>
          <w:szCs w:val="52"/>
        </w:rPr>
      </w:pPr>
    </w:p>
    <w:p w14:paraId="057B1BC5" w14:textId="35F7ABBB" w:rsidR="002B46AA" w:rsidRDefault="002B46AA" w:rsidP="00316FD7">
      <w:pPr>
        <w:jc w:val="center"/>
        <w:rPr>
          <w:sz w:val="52"/>
          <w:szCs w:val="52"/>
        </w:rPr>
      </w:pPr>
    </w:p>
    <w:p w14:paraId="5EE50126" w14:textId="77777777" w:rsidR="002B46AA" w:rsidRPr="00AB5890" w:rsidRDefault="002B46AA" w:rsidP="002B46AA">
      <w:pPr>
        <w:jc w:val="center"/>
        <w:rPr>
          <w:sz w:val="40"/>
          <w:szCs w:val="40"/>
        </w:rPr>
      </w:pPr>
      <w:r>
        <w:rPr>
          <w:sz w:val="40"/>
          <w:szCs w:val="40"/>
        </w:rPr>
        <w:t>[Date]</w:t>
      </w:r>
    </w:p>
    <w:p w14:paraId="4FAD543C" w14:textId="77777777" w:rsidR="002B46AA" w:rsidRDefault="002B46AA" w:rsidP="00024DFC">
      <w:pPr>
        <w:jc w:val="center"/>
        <w:rPr>
          <w:b/>
        </w:rPr>
      </w:pPr>
    </w:p>
    <w:p w14:paraId="1A8C14B6" w14:textId="77777777" w:rsidR="002B46AA" w:rsidRDefault="002B46AA" w:rsidP="00024DFC">
      <w:pPr>
        <w:jc w:val="center"/>
        <w:rPr>
          <w:b/>
        </w:rPr>
      </w:pPr>
    </w:p>
    <w:p w14:paraId="7AC1A10A" w14:textId="77777777" w:rsidR="002C5ECE" w:rsidRDefault="002C5ECE" w:rsidP="00024DFC">
      <w:pPr>
        <w:jc w:val="center"/>
        <w:rPr>
          <w:b/>
        </w:rPr>
      </w:pPr>
    </w:p>
    <w:p w14:paraId="6E5EFABF" w14:textId="77777777" w:rsidR="00B67BF3" w:rsidRDefault="00B67BF3" w:rsidP="00B67BF3">
      <w:pPr>
        <w:pStyle w:val="Heading1"/>
        <w:numPr>
          <w:ilvl w:val="0"/>
          <w:numId w:val="0"/>
        </w:numPr>
        <w:spacing w:after="0"/>
      </w:pPr>
    </w:p>
    <w:p w14:paraId="65EE37C7" w14:textId="415A8476" w:rsidR="00C23E6A" w:rsidRPr="00D163C7" w:rsidRDefault="00BE281E" w:rsidP="00024DFC">
      <w:pPr>
        <w:jc w:val="center"/>
        <w:rPr>
          <w:b/>
        </w:rPr>
      </w:pPr>
      <w:r w:rsidRPr="00D163C7">
        <w:rPr>
          <w:b/>
        </w:rPr>
        <w:t>ESSA Flexibilities</w:t>
      </w:r>
    </w:p>
    <w:sdt>
      <w:sdtPr>
        <w:id w:val="-2001421838"/>
        <w:docPartObj>
          <w:docPartGallery w:val="Table of Contents"/>
          <w:docPartUnique/>
        </w:docPartObj>
      </w:sdtPr>
      <w:sdtEndPr>
        <w:rPr>
          <w:b/>
          <w:bCs/>
          <w:noProof/>
        </w:rPr>
      </w:sdtEndPr>
      <w:sdtContent>
        <w:p w14:paraId="5ADFAA70" w14:textId="77777777" w:rsidR="00E97364" w:rsidRDefault="00F70BA7">
          <w:pPr>
            <w:pStyle w:val="TOC1"/>
            <w:tabs>
              <w:tab w:val="left" w:pos="440"/>
              <w:tab w:val="right" w:leader="dot" w:pos="9350"/>
            </w:tabs>
            <w:rPr>
              <w:rFonts w:asciiTheme="minorHAnsi" w:eastAsiaTheme="minorEastAsia" w:hAnsiTheme="minorHAnsi" w:cstheme="minorBidi"/>
              <w:noProof/>
              <w:sz w:val="22"/>
              <w:szCs w:val="22"/>
            </w:rPr>
          </w:pPr>
          <w:r w:rsidRPr="00D522E7">
            <w:fldChar w:fldCharType="begin"/>
          </w:r>
          <w:r w:rsidRPr="00D522E7">
            <w:instrText xml:space="preserve"> TOC \o "1-3" \h \z \u </w:instrText>
          </w:r>
          <w:r w:rsidRPr="00D522E7">
            <w:fldChar w:fldCharType="separate"/>
          </w:r>
          <w:hyperlink w:anchor="_Toc520885457" w:history="1">
            <w:r w:rsidR="00E97364" w:rsidRPr="00DA3423">
              <w:rPr>
                <w:rStyle w:val="Hyperlink"/>
                <w:noProof/>
              </w:rPr>
              <w:t>I.</w:t>
            </w:r>
            <w:r w:rsidR="00E97364">
              <w:rPr>
                <w:rFonts w:asciiTheme="minorHAnsi" w:eastAsiaTheme="minorEastAsia" w:hAnsiTheme="minorHAnsi" w:cstheme="minorBidi"/>
                <w:noProof/>
                <w:sz w:val="22"/>
                <w:szCs w:val="22"/>
              </w:rPr>
              <w:tab/>
            </w:r>
            <w:r w:rsidR="00E97364" w:rsidRPr="00DA3423">
              <w:rPr>
                <w:rStyle w:val="Hyperlink"/>
                <w:noProof/>
              </w:rPr>
              <w:t>State Flexibilities</w:t>
            </w:r>
            <w:r w:rsidR="00E97364">
              <w:rPr>
                <w:noProof/>
                <w:webHidden/>
              </w:rPr>
              <w:tab/>
            </w:r>
            <w:r w:rsidR="00E97364">
              <w:rPr>
                <w:noProof/>
                <w:webHidden/>
              </w:rPr>
              <w:fldChar w:fldCharType="begin"/>
            </w:r>
            <w:r w:rsidR="00E97364">
              <w:rPr>
                <w:noProof/>
                <w:webHidden/>
              </w:rPr>
              <w:instrText xml:space="preserve"> PAGEREF _Toc520885457 \h </w:instrText>
            </w:r>
            <w:r w:rsidR="00E97364">
              <w:rPr>
                <w:noProof/>
                <w:webHidden/>
              </w:rPr>
            </w:r>
            <w:r w:rsidR="00E97364">
              <w:rPr>
                <w:noProof/>
                <w:webHidden/>
              </w:rPr>
              <w:fldChar w:fldCharType="separate"/>
            </w:r>
            <w:r w:rsidR="00E97364">
              <w:rPr>
                <w:noProof/>
                <w:webHidden/>
              </w:rPr>
              <w:t>5</w:t>
            </w:r>
            <w:r w:rsidR="00E97364">
              <w:rPr>
                <w:noProof/>
                <w:webHidden/>
              </w:rPr>
              <w:fldChar w:fldCharType="end"/>
            </w:r>
          </w:hyperlink>
        </w:p>
        <w:p w14:paraId="519A7A8E"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58" w:history="1">
            <w:r w:rsidR="00E97364" w:rsidRPr="00DA3423">
              <w:rPr>
                <w:rStyle w:val="Hyperlink"/>
                <w:noProof/>
              </w:rPr>
              <w:t>A.</w:t>
            </w:r>
            <w:r w:rsidR="00E97364">
              <w:rPr>
                <w:rFonts w:asciiTheme="minorHAnsi" w:eastAsiaTheme="minorEastAsia" w:hAnsiTheme="minorHAnsi" w:cstheme="minorBidi"/>
                <w:noProof/>
                <w:sz w:val="22"/>
                <w:szCs w:val="22"/>
              </w:rPr>
              <w:tab/>
            </w:r>
            <w:r w:rsidR="00E97364" w:rsidRPr="00DA3423">
              <w:rPr>
                <w:rStyle w:val="Hyperlink"/>
                <w:noProof/>
              </w:rPr>
              <w:t>Challenging Academic Standards and Assessments (ESEA section 1111(b))</w:t>
            </w:r>
            <w:r w:rsidR="00E97364">
              <w:rPr>
                <w:noProof/>
                <w:webHidden/>
              </w:rPr>
              <w:tab/>
            </w:r>
            <w:r w:rsidR="00E97364">
              <w:rPr>
                <w:noProof/>
                <w:webHidden/>
              </w:rPr>
              <w:fldChar w:fldCharType="begin"/>
            </w:r>
            <w:r w:rsidR="00E97364">
              <w:rPr>
                <w:noProof/>
                <w:webHidden/>
              </w:rPr>
              <w:instrText xml:space="preserve"> PAGEREF _Toc520885458 \h </w:instrText>
            </w:r>
            <w:r w:rsidR="00E97364">
              <w:rPr>
                <w:noProof/>
                <w:webHidden/>
              </w:rPr>
            </w:r>
            <w:r w:rsidR="00E97364">
              <w:rPr>
                <w:noProof/>
                <w:webHidden/>
              </w:rPr>
              <w:fldChar w:fldCharType="separate"/>
            </w:r>
            <w:r w:rsidR="00E97364">
              <w:rPr>
                <w:noProof/>
                <w:webHidden/>
              </w:rPr>
              <w:t>5</w:t>
            </w:r>
            <w:r w:rsidR="00E97364">
              <w:rPr>
                <w:noProof/>
                <w:webHidden/>
              </w:rPr>
              <w:fldChar w:fldCharType="end"/>
            </w:r>
          </w:hyperlink>
        </w:p>
        <w:p w14:paraId="2E5C7AB2"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59" w:history="1">
            <w:r w:rsidR="00E97364" w:rsidRPr="00DA3423">
              <w:rPr>
                <w:rStyle w:val="Hyperlink"/>
                <w:noProof/>
              </w:rPr>
              <w:t>B.</w:t>
            </w:r>
            <w:r w:rsidR="00E97364">
              <w:rPr>
                <w:rFonts w:asciiTheme="minorHAnsi" w:eastAsiaTheme="minorEastAsia" w:hAnsiTheme="minorHAnsi" w:cstheme="minorBidi"/>
                <w:noProof/>
                <w:sz w:val="22"/>
                <w:szCs w:val="22"/>
              </w:rPr>
              <w:tab/>
            </w:r>
            <w:r w:rsidR="00E97364" w:rsidRPr="00DA3423">
              <w:rPr>
                <w:rStyle w:val="Hyperlink"/>
                <w:noProof/>
              </w:rPr>
              <w:t>Statewide Accountability System (ESEA sections 1111(c)(4)(C))</w:t>
            </w:r>
            <w:r w:rsidR="00E97364">
              <w:rPr>
                <w:noProof/>
                <w:webHidden/>
              </w:rPr>
              <w:tab/>
            </w:r>
            <w:r w:rsidR="00E97364">
              <w:rPr>
                <w:noProof/>
                <w:webHidden/>
              </w:rPr>
              <w:fldChar w:fldCharType="begin"/>
            </w:r>
            <w:r w:rsidR="00E97364">
              <w:rPr>
                <w:noProof/>
                <w:webHidden/>
              </w:rPr>
              <w:instrText xml:space="preserve"> PAGEREF _Toc520885459 \h </w:instrText>
            </w:r>
            <w:r w:rsidR="00E97364">
              <w:rPr>
                <w:noProof/>
                <w:webHidden/>
              </w:rPr>
            </w:r>
            <w:r w:rsidR="00E97364">
              <w:rPr>
                <w:noProof/>
                <w:webHidden/>
              </w:rPr>
              <w:fldChar w:fldCharType="separate"/>
            </w:r>
            <w:r w:rsidR="00E97364">
              <w:rPr>
                <w:noProof/>
                <w:webHidden/>
              </w:rPr>
              <w:t>6</w:t>
            </w:r>
            <w:r w:rsidR="00E97364">
              <w:rPr>
                <w:noProof/>
                <w:webHidden/>
              </w:rPr>
              <w:fldChar w:fldCharType="end"/>
            </w:r>
          </w:hyperlink>
        </w:p>
        <w:p w14:paraId="2CDBC1BA"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60" w:history="1">
            <w:r w:rsidR="00E97364" w:rsidRPr="00DA3423">
              <w:rPr>
                <w:rStyle w:val="Hyperlink"/>
                <w:noProof/>
              </w:rPr>
              <w:t>C.</w:t>
            </w:r>
            <w:r w:rsidR="00E97364">
              <w:rPr>
                <w:rFonts w:asciiTheme="minorHAnsi" w:eastAsiaTheme="minorEastAsia" w:hAnsiTheme="minorHAnsi" w:cstheme="minorBidi"/>
                <w:noProof/>
                <w:sz w:val="22"/>
                <w:szCs w:val="22"/>
              </w:rPr>
              <w:tab/>
            </w:r>
            <w:r w:rsidR="00E97364" w:rsidRPr="00DA3423">
              <w:rPr>
                <w:rStyle w:val="Hyperlink"/>
                <w:noProof/>
              </w:rPr>
              <w:t>School Support and Improvement Activities (ESEA section 1111(d))</w:t>
            </w:r>
            <w:r w:rsidR="00E97364">
              <w:rPr>
                <w:noProof/>
                <w:webHidden/>
              </w:rPr>
              <w:tab/>
            </w:r>
            <w:r w:rsidR="00E97364">
              <w:rPr>
                <w:noProof/>
                <w:webHidden/>
              </w:rPr>
              <w:fldChar w:fldCharType="begin"/>
            </w:r>
            <w:r w:rsidR="00E97364">
              <w:rPr>
                <w:noProof/>
                <w:webHidden/>
              </w:rPr>
              <w:instrText xml:space="preserve"> PAGEREF _Toc520885460 \h </w:instrText>
            </w:r>
            <w:r w:rsidR="00E97364">
              <w:rPr>
                <w:noProof/>
                <w:webHidden/>
              </w:rPr>
            </w:r>
            <w:r w:rsidR="00E97364">
              <w:rPr>
                <w:noProof/>
                <w:webHidden/>
              </w:rPr>
              <w:fldChar w:fldCharType="separate"/>
            </w:r>
            <w:r w:rsidR="00E97364">
              <w:rPr>
                <w:noProof/>
                <w:webHidden/>
              </w:rPr>
              <w:t>8</w:t>
            </w:r>
            <w:r w:rsidR="00E97364">
              <w:rPr>
                <w:noProof/>
                <w:webHidden/>
              </w:rPr>
              <w:fldChar w:fldCharType="end"/>
            </w:r>
          </w:hyperlink>
        </w:p>
        <w:p w14:paraId="05A3C5DB"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61" w:history="1">
            <w:r w:rsidR="00E97364" w:rsidRPr="00DA3423">
              <w:rPr>
                <w:rStyle w:val="Hyperlink"/>
                <w:noProof/>
              </w:rPr>
              <w:t>D.</w:t>
            </w:r>
            <w:r w:rsidR="00E97364">
              <w:rPr>
                <w:rFonts w:asciiTheme="minorHAnsi" w:eastAsiaTheme="minorEastAsia" w:hAnsiTheme="minorHAnsi" w:cstheme="minorBidi"/>
                <w:noProof/>
                <w:sz w:val="22"/>
                <w:szCs w:val="22"/>
              </w:rPr>
              <w:tab/>
            </w:r>
            <w:r w:rsidR="00E97364" w:rsidRPr="00DA3423">
              <w:rPr>
                <w:rStyle w:val="Hyperlink"/>
                <w:noProof/>
              </w:rPr>
              <w:t>Direct Student Services (ESEA section 1003A)</w:t>
            </w:r>
            <w:r w:rsidR="00E97364">
              <w:rPr>
                <w:noProof/>
                <w:webHidden/>
              </w:rPr>
              <w:tab/>
            </w:r>
            <w:r w:rsidR="00E97364">
              <w:rPr>
                <w:noProof/>
                <w:webHidden/>
              </w:rPr>
              <w:fldChar w:fldCharType="begin"/>
            </w:r>
            <w:r w:rsidR="00E97364">
              <w:rPr>
                <w:noProof/>
                <w:webHidden/>
              </w:rPr>
              <w:instrText xml:space="preserve"> PAGEREF _Toc520885461 \h </w:instrText>
            </w:r>
            <w:r w:rsidR="00E97364">
              <w:rPr>
                <w:noProof/>
                <w:webHidden/>
              </w:rPr>
            </w:r>
            <w:r w:rsidR="00E97364">
              <w:rPr>
                <w:noProof/>
                <w:webHidden/>
              </w:rPr>
              <w:fldChar w:fldCharType="separate"/>
            </w:r>
            <w:r w:rsidR="00E97364">
              <w:rPr>
                <w:noProof/>
                <w:webHidden/>
              </w:rPr>
              <w:t>9</w:t>
            </w:r>
            <w:r w:rsidR="00E97364">
              <w:rPr>
                <w:noProof/>
                <w:webHidden/>
              </w:rPr>
              <w:fldChar w:fldCharType="end"/>
            </w:r>
          </w:hyperlink>
        </w:p>
        <w:p w14:paraId="76EA0865" w14:textId="77777777" w:rsidR="00E97364" w:rsidRDefault="00767CA8">
          <w:pPr>
            <w:pStyle w:val="TOC2"/>
            <w:tabs>
              <w:tab w:val="left" w:pos="660"/>
              <w:tab w:val="right" w:leader="dot" w:pos="9350"/>
            </w:tabs>
            <w:rPr>
              <w:rFonts w:asciiTheme="minorHAnsi" w:eastAsiaTheme="minorEastAsia" w:hAnsiTheme="minorHAnsi" w:cstheme="minorBidi"/>
              <w:noProof/>
              <w:sz w:val="22"/>
              <w:szCs w:val="22"/>
            </w:rPr>
          </w:pPr>
          <w:hyperlink w:anchor="_Toc520885462" w:history="1">
            <w:r w:rsidR="00E97364" w:rsidRPr="00DA3423">
              <w:rPr>
                <w:rStyle w:val="Hyperlink"/>
                <w:noProof/>
              </w:rPr>
              <w:t>E.</w:t>
            </w:r>
            <w:r w:rsidR="00E97364">
              <w:rPr>
                <w:rFonts w:asciiTheme="minorHAnsi" w:eastAsiaTheme="minorEastAsia" w:hAnsiTheme="minorHAnsi" w:cstheme="minorBidi"/>
                <w:noProof/>
                <w:sz w:val="22"/>
                <w:szCs w:val="22"/>
              </w:rPr>
              <w:tab/>
            </w:r>
            <w:r w:rsidR="00E97364" w:rsidRPr="00DA3423">
              <w:rPr>
                <w:rStyle w:val="Hyperlink"/>
                <w:noProof/>
              </w:rPr>
              <w:t>Institution-wide Projects under Title I, Part D, Subpart 1 (ESEA section 1416)</w:t>
            </w:r>
            <w:r w:rsidR="00E97364">
              <w:rPr>
                <w:noProof/>
                <w:webHidden/>
              </w:rPr>
              <w:tab/>
            </w:r>
            <w:r w:rsidR="00E97364">
              <w:rPr>
                <w:noProof/>
                <w:webHidden/>
              </w:rPr>
              <w:fldChar w:fldCharType="begin"/>
            </w:r>
            <w:r w:rsidR="00E97364">
              <w:rPr>
                <w:noProof/>
                <w:webHidden/>
              </w:rPr>
              <w:instrText xml:space="preserve"> PAGEREF _Toc520885462 \h </w:instrText>
            </w:r>
            <w:r w:rsidR="00E97364">
              <w:rPr>
                <w:noProof/>
                <w:webHidden/>
              </w:rPr>
            </w:r>
            <w:r w:rsidR="00E97364">
              <w:rPr>
                <w:noProof/>
                <w:webHidden/>
              </w:rPr>
              <w:fldChar w:fldCharType="separate"/>
            </w:r>
            <w:r w:rsidR="00E97364">
              <w:rPr>
                <w:noProof/>
                <w:webHidden/>
              </w:rPr>
              <w:t>10</w:t>
            </w:r>
            <w:r w:rsidR="00E97364">
              <w:rPr>
                <w:noProof/>
                <w:webHidden/>
              </w:rPr>
              <w:fldChar w:fldCharType="end"/>
            </w:r>
          </w:hyperlink>
        </w:p>
        <w:p w14:paraId="0B51007B" w14:textId="77777777" w:rsidR="00E97364" w:rsidRDefault="00767CA8">
          <w:pPr>
            <w:pStyle w:val="TOC2"/>
            <w:tabs>
              <w:tab w:val="left" w:pos="660"/>
              <w:tab w:val="right" w:leader="dot" w:pos="9350"/>
            </w:tabs>
            <w:rPr>
              <w:rFonts w:asciiTheme="minorHAnsi" w:eastAsiaTheme="minorEastAsia" w:hAnsiTheme="minorHAnsi" w:cstheme="minorBidi"/>
              <w:noProof/>
              <w:sz w:val="22"/>
              <w:szCs w:val="22"/>
            </w:rPr>
          </w:pPr>
          <w:hyperlink w:anchor="_Toc520885463" w:history="1">
            <w:r w:rsidR="00E97364" w:rsidRPr="00DA3423">
              <w:rPr>
                <w:rStyle w:val="Hyperlink"/>
                <w:noProof/>
              </w:rPr>
              <w:t>F.</w:t>
            </w:r>
            <w:r w:rsidR="00E97364">
              <w:rPr>
                <w:rFonts w:asciiTheme="minorHAnsi" w:eastAsiaTheme="minorEastAsia" w:hAnsiTheme="minorHAnsi" w:cstheme="minorBidi"/>
                <w:noProof/>
                <w:sz w:val="22"/>
                <w:szCs w:val="22"/>
              </w:rPr>
              <w:tab/>
            </w:r>
            <w:r w:rsidR="00E97364" w:rsidRPr="00DA3423">
              <w:rPr>
                <w:rStyle w:val="Hyperlink"/>
                <w:noProof/>
              </w:rPr>
              <w:t>Charter Schools Program (ESEA section 4301 et seq.)</w:t>
            </w:r>
            <w:r w:rsidR="00E97364">
              <w:rPr>
                <w:noProof/>
                <w:webHidden/>
              </w:rPr>
              <w:tab/>
            </w:r>
            <w:r w:rsidR="00E97364">
              <w:rPr>
                <w:noProof/>
                <w:webHidden/>
              </w:rPr>
              <w:fldChar w:fldCharType="begin"/>
            </w:r>
            <w:r w:rsidR="00E97364">
              <w:rPr>
                <w:noProof/>
                <w:webHidden/>
              </w:rPr>
              <w:instrText xml:space="preserve"> PAGEREF _Toc520885463 \h </w:instrText>
            </w:r>
            <w:r w:rsidR="00E97364">
              <w:rPr>
                <w:noProof/>
                <w:webHidden/>
              </w:rPr>
            </w:r>
            <w:r w:rsidR="00E97364">
              <w:rPr>
                <w:noProof/>
                <w:webHidden/>
              </w:rPr>
              <w:fldChar w:fldCharType="separate"/>
            </w:r>
            <w:r w:rsidR="00E97364">
              <w:rPr>
                <w:noProof/>
                <w:webHidden/>
              </w:rPr>
              <w:t>10</w:t>
            </w:r>
            <w:r w:rsidR="00E97364">
              <w:rPr>
                <w:noProof/>
                <w:webHidden/>
              </w:rPr>
              <w:fldChar w:fldCharType="end"/>
            </w:r>
          </w:hyperlink>
        </w:p>
        <w:p w14:paraId="3D8C36D7"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64" w:history="1">
            <w:r w:rsidR="00E97364" w:rsidRPr="00DA3423">
              <w:rPr>
                <w:rStyle w:val="Hyperlink"/>
                <w:noProof/>
              </w:rPr>
              <w:t>G.</w:t>
            </w:r>
            <w:r w:rsidR="00E97364">
              <w:rPr>
                <w:rFonts w:asciiTheme="minorHAnsi" w:eastAsiaTheme="minorEastAsia" w:hAnsiTheme="minorHAnsi" w:cstheme="minorBidi"/>
                <w:noProof/>
                <w:sz w:val="22"/>
                <w:szCs w:val="22"/>
              </w:rPr>
              <w:tab/>
            </w:r>
            <w:r w:rsidR="00E97364" w:rsidRPr="00DA3423">
              <w:rPr>
                <w:rStyle w:val="Hyperlink"/>
                <w:noProof/>
              </w:rPr>
              <w:t>Funding Transferability for States (ESEA section 5103)</w:t>
            </w:r>
            <w:r w:rsidR="00E97364">
              <w:rPr>
                <w:noProof/>
                <w:webHidden/>
              </w:rPr>
              <w:tab/>
            </w:r>
            <w:r w:rsidR="00E97364">
              <w:rPr>
                <w:noProof/>
                <w:webHidden/>
              </w:rPr>
              <w:fldChar w:fldCharType="begin"/>
            </w:r>
            <w:r w:rsidR="00E97364">
              <w:rPr>
                <w:noProof/>
                <w:webHidden/>
              </w:rPr>
              <w:instrText xml:space="preserve"> PAGEREF _Toc520885464 \h </w:instrText>
            </w:r>
            <w:r w:rsidR="00E97364">
              <w:rPr>
                <w:noProof/>
                <w:webHidden/>
              </w:rPr>
            </w:r>
            <w:r w:rsidR="00E97364">
              <w:rPr>
                <w:noProof/>
                <w:webHidden/>
              </w:rPr>
              <w:fldChar w:fldCharType="separate"/>
            </w:r>
            <w:r w:rsidR="00E97364">
              <w:rPr>
                <w:noProof/>
                <w:webHidden/>
              </w:rPr>
              <w:t>10</w:t>
            </w:r>
            <w:r w:rsidR="00E97364">
              <w:rPr>
                <w:noProof/>
                <w:webHidden/>
              </w:rPr>
              <w:fldChar w:fldCharType="end"/>
            </w:r>
          </w:hyperlink>
        </w:p>
        <w:p w14:paraId="4720ACDF"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65" w:history="1">
            <w:r w:rsidR="00E97364" w:rsidRPr="00DA3423">
              <w:rPr>
                <w:rStyle w:val="Hyperlink"/>
                <w:noProof/>
              </w:rPr>
              <w:t>H.</w:t>
            </w:r>
            <w:r w:rsidR="00E97364">
              <w:rPr>
                <w:rFonts w:asciiTheme="minorHAnsi" w:eastAsiaTheme="minorEastAsia" w:hAnsiTheme="minorHAnsi" w:cstheme="minorBidi"/>
                <w:noProof/>
                <w:sz w:val="22"/>
                <w:szCs w:val="22"/>
              </w:rPr>
              <w:tab/>
            </w:r>
            <w:r w:rsidR="00E97364" w:rsidRPr="00DA3423">
              <w:rPr>
                <w:rStyle w:val="Hyperlink"/>
                <w:noProof/>
              </w:rPr>
              <w:t>Educational Flexibility (Ed-Flex) Program (Education Flexibility Partnership Act of 1999)</w:t>
            </w:r>
            <w:r w:rsidR="00E97364">
              <w:rPr>
                <w:noProof/>
                <w:webHidden/>
              </w:rPr>
              <w:tab/>
            </w:r>
            <w:r w:rsidR="00E97364">
              <w:rPr>
                <w:noProof/>
                <w:webHidden/>
              </w:rPr>
              <w:fldChar w:fldCharType="begin"/>
            </w:r>
            <w:r w:rsidR="00E97364">
              <w:rPr>
                <w:noProof/>
                <w:webHidden/>
              </w:rPr>
              <w:instrText xml:space="preserve"> PAGEREF _Toc520885465 \h </w:instrText>
            </w:r>
            <w:r w:rsidR="00E97364">
              <w:rPr>
                <w:noProof/>
                <w:webHidden/>
              </w:rPr>
            </w:r>
            <w:r w:rsidR="00E97364">
              <w:rPr>
                <w:noProof/>
                <w:webHidden/>
              </w:rPr>
              <w:fldChar w:fldCharType="separate"/>
            </w:r>
            <w:r w:rsidR="00E97364">
              <w:rPr>
                <w:noProof/>
                <w:webHidden/>
              </w:rPr>
              <w:t>11</w:t>
            </w:r>
            <w:r w:rsidR="00E97364">
              <w:rPr>
                <w:noProof/>
                <w:webHidden/>
              </w:rPr>
              <w:fldChar w:fldCharType="end"/>
            </w:r>
          </w:hyperlink>
        </w:p>
        <w:p w14:paraId="4B94CDE3" w14:textId="77777777" w:rsidR="00E97364" w:rsidRDefault="00767CA8">
          <w:pPr>
            <w:pStyle w:val="TOC2"/>
            <w:tabs>
              <w:tab w:val="left" w:pos="660"/>
              <w:tab w:val="right" w:leader="dot" w:pos="9350"/>
            </w:tabs>
            <w:rPr>
              <w:rFonts w:asciiTheme="minorHAnsi" w:eastAsiaTheme="minorEastAsia" w:hAnsiTheme="minorHAnsi" w:cstheme="minorBidi"/>
              <w:noProof/>
              <w:sz w:val="22"/>
              <w:szCs w:val="22"/>
            </w:rPr>
          </w:pPr>
          <w:hyperlink w:anchor="_Toc520885466" w:history="1">
            <w:r w:rsidR="00E97364" w:rsidRPr="00DA3423">
              <w:rPr>
                <w:rStyle w:val="Hyperlink"/>
                <w:noProof/>
              </w:rPr>
              <w:t>I.</w:t>
            </w:r>
            <w:r w:rsidR="00E97364">
              <w:rPr>
                <w:rFonts w:asciiTheme="minorHAnsi" w:eastAsiaTheme="minorEastAsia" w:hAnsiTheme="minorHAnsi" w:cstheme="minorBidi"/>
                <w:noProof/>
                <w:sz w:val="22"/>
                <w:szCs w:val="22"/>
              </w:rPr>
              <w:tab/>
            </w:r>
            <w:r w:rsidR="00E97364" w:rsidRPr="00DA3423">
              <w:rPr>
                <w:rStyle w:val="Hyperlink"/>
                <w:noProof/>
              </w:rPr>
              <w:t>Consolidation of Funds for State Administration (ESEA section 8201(a))</w:t>
            </w:r>
            <w:r w:rsidR="00E97364">
              <w:rPr>
                <w:noProof/>
                <w:webHidden/>
              </w:rPr>
              <w:tab/>
            </w:r>
            <w:r w:rsidR="00E97364">
              <w:rPr>
                <w:noProof/>
                <w:webHidden/>
              </w:rPr>
              <w:fldChar w:fldCharType="begin"/>
            </w:r>
            <w:r w:rsidR="00E97364">
              <w:rPr>
                <w:noProof/>
                <w:webHidden/>
              </w:rPr>
              <w:instrText xml:space="preserve"> PAGEREF _Toc520885466 \h </w:instrText>
            </w:r>
            <w:r w:rsidR="00E97364">
              <w:rPr>
                <w:noProof/>
                <w:webHidden/>
              </w:rPr>
            </w:r>
            <w:r w:rsidR="00E97364">
              <w:rPr>
                <w:noProof/>
                <w:webHidden/>
              </w:rPr>
              <w:fldChar w:fldCharType="separate"/>
            </w:r>
            <w:r w:rsidR="00E97364">
              <w:rPr>
                <w:noProof/>
                <w:webHidden/>
              </w:rPr>
              <w:t>11</w:t>
            </w:r>
            <w:r w:rsidR="00E97364">
              <w:rPr>
                <w:noProof/>
                <w:webHidden/>
              </w:rPr>
              <w:fldChar w:fldCharType="end"/>
            </w:r>
          </w:hyperlink>
        </w:p>
        <w:p w14:paraId="26AB665E" w14:textId="77777777" w:rsidR="00E97364" w:rsidRDefault="00767CA8">
          <w:pPr>
            <w:pStyle w:val="TOC2"/>
            <w:tabs>
              <w:tab w:val="left" w:pos="660"/>
              <w:tab w:val="right" w:leader="dot" w:pos="9350"/>
            </w:tabs>
            <w:rPr>
              <w:rFonts w:asciiTheme="minorHAnsi" w:eastAsiaTheme="minorEastAsia" w:hAnsiTheme="minorHAnsi" w:cstheme="minorBidi"/>
              <w:noProof/>
              <w:sz w:val="22"/>
              <w:szCs w:val="22"/>
            </w:rPr>
          </w:pPr>
          <w:hyperlink w:anchor="_Toc520885467" w:history="1">
            <w:r w:rsidR="00E97364" w:rsidRPr="00DA3423">
              <w:rPr>
                <w:rStyle w:val="Hyperlink"/>
                <w:noProof/>
              </w:rPr>
              <w:t>J.</w:t>
            </w:r>
            <w:r w:rsidR="00E97364">
              <w:rPr>
                <w:rFonts w:asciiTheme="minorHAnsi" w:eastAsiaTheme="minorEastAsia" w:hAnsiTheme="minorHAnsi" w:cstheme="minorBidi"/>
                <w:noProof/>
                <w:sz w:val="22"/>
                <w:szCs w:val="22"/>
              </w:rPr>
              <w:tab/>
            </w:r>
            <w:r w:rsidR="00E97364" w:rsidRPr="00DA3423">
              <w:rPr>
                <w:rStyle w:val="Hyperlink"/>
                <w:noProof/>
              </w:rPr>
              <w:t>Waivers (ESEA section 8401)</w:t>
            </w:r>
            <w:r w:rsidR="00E97364">
              <w:rPr>
                <w:noProof/>
                <w:webHidden/>
              </w:rPr>
              <w:tab/>
            </w:r>
            <w:r w:rsidR="00E97364">
              <w:rPr>
                <w:noProof/>
                <w:webHidden/>
              </w:rPr>
              <w:fldChar w:fldCharType="begin"/>
            </w:r>
            <w:r w:rsidR="00E97364">
              <w:rPr>
                <w:noProof/>
                <w:webHidden/>
              </w:rPr>
              <w:instrText xml:space="preserve"> PAGEREF _Toc520885467 \h </w:instrText>
            </w:r>
            <w:r w:rsidR="00E97364">
              <w:rPr>
                <w:noProof/>
                <w:webHidden/>
              </w:rPr>
            </w:r>
            <w:r w:rsidR="00E97364">
              <w:rPr>
                <w:noProof/>
                <w:webHidden/>
              </w:rPr>
              <w:fldChar w:fldCharType="separate"/>
            </w:r>
            <w:r w:rsidR="00E97364">
              <w:rPr>
                <w:noProof/>
                <w:webHidden/>
              </w:rPr>
              <w:t>11</w:t>
            </w:r>
            <w:r w:rsidR="00E97364">
              <w:rPr>
                <w:noProof/>
                <w:webHidden/>
              </w:rPr>
              <w:fldChar w:fldCharType="end"/>
            </w:r>
          </w:hyperlink>
        </w:p>
        <w:p w14:paraId="1882E304" w14:textId="77777777" w:rsidR="00E97364" w:rsidRDefault="00767CA8">
          <w:pPr>
            <w:pStyle w:val="TOC1"/>
            <w:tabs>
              <w:tab w:val="right" w:leader="dot" w:pos="9350"/>
            </w:tabs>
            <w:rPr>
              <w:rFonts w:asciiTheme="minorHAnsi" w:eastAsiaTheme="minorEastAsia" w:hAnsiTheme="minorHAnsi" w:cstheme="minorBidi"/>
              <w:noProof/>
              <w:sz w:val="22"/>
              <w:szCs w:val="22"/>
            </w:rPr>
          </w:pPr>
          <w:hyperlink w:anchor="_Toc520885468" w:history="1">
            <w:r w:rsidR="00E97364" w:rsidRPr="00DA3423">
              <w:rPr>
                <w:rStyle w:val="Hyperlink"/>
                <w:noProof/>
              </w:rPr>
              <w:t>III. District Flexibilities</w:t>
            </w:r>
            <w:r w:rsidR="00E97364">
              <w:rPr>
                <w:noProof/>
                <w:webHidden/>
              </w:rPr>
              <w:tab/>
            </w:r>
            <w:r w:rsidR="00E97364">
              <w:rPr>
                <w:noProof/>
                <w:webHidden/>
              </w:rPr>
              <w:fldChar w:fldCharType="begin"/>
            </w:r>
            <w:r w:rsidR="00E97364">
              <w:rPr>
                <w:noProof/>
                <w:webHidden/>
              </w:rPr>
              <w:instrText xml:space="preserve"> PAGEREF _Toc520885468 \h </w:instrText>
            </w:r>
            <w:r w:rsidR="00E97364">
              <w:rPr>
                <w:noProof/>
                <w:webHidden/>
              </w:rPr>
            </w:r>
            <w:r w:rsidR="00E97364">
              <w:rPr>
                <w:noProof/>
                <w:webHidden/>
              </w:rPr>
              <w:fldChar w:fldCharType="separate"/>
            </w:r>
            <w:r w:rsidR="00E97364">
              <w:rPr>
                <w:noProof/>
                <w:webHidden/>
              </w:rPr>
              <w:t>12</w:t>
            </w:r>
            <w:r w:rsidR="00E97364">
              <w:rPr>
                <w:noProof/>
                <w:webHidden/>
              </w:rPr>
              <w:fldChar w:fldCharType="end"/>
            </w:r>
          </w:hyperlink>
        </w:p>
        <w:p w14:paraId="704BD323"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69" w:history="1">
            <w:r w:rsidR="00E97364" w:rsidRPr="00DA3423">
              <w:rPr>
                <w:rStyle w:val="Hyperlink"/>
                <w:noProof/>
              </w:rPr>
              <w:t>A.</w:t>
            </w:r>
            <w:r w:rsidR="00E97364">
              <w:rPr>
                <w:rFonts w:asciiTheme="minorHAnsi" w:eastAsiaTheme="minorEastAsia" w:hAnsiTheme="minorHAnsi" w:cstheme="minorBidi"/>
                <w:noProof/>
                <w:sz w:val="22"/>
                <w:szCs w:val="22"/>
              </w:rPr>
              <w:tab/>
            </w:r>
            <w:r w:rsidR="00E97364" w:rsidRPr="00DA3423">
              <w:rPr>
                <w:rStyle w:val="Hyperlink"/>
                <w:noProof/>
              </w:rPr>
              <w:t>Consolidation of Funds for Local Administration (ESEA section 8203)</w:t>
            </w:r>
            <w:r w:rsidR="00E97364">
              <w:rPr>
                <w:noProof/>
                <w:webHidden/>
              </w:rPr>
              <w:tab/>
            </w:r>
            <w:r w:rsidR="00E97364">
              <w:rPr>
                <w:noProof/>
                <w:webHidden/>
              </w:rPr>
              <w:fldChar w:fldCharType="begin"/>
            </w:r>
            <w:r w:rsidR="00E97364">
              <w:rPr>
                <w:noProof/>
                <w:webHidden/>
              </w:rPr>
              <w:instrText xml:space="preserve"> PAGEREF _Toc520885469 \h </w:instrText>
            </w:r>
            <w:r w:rsidR="00E97364">
              <w:rPr>
                <w:noProof/>
                <w:webHidden/>
              </w:rPr>
            </w:r>
            <w:r w:rsidR="00E97364">
              <w:rPr>
                <w:noProof/>
                <w:webHidden/>
              </w:rPr>
              <w:fldChar w:fldCharType="separate"/>
            </w:r>
            <w:r w:rsidR="00E97364">
              <w:rPr>
                <w:noProof/>
                <w:webHidden/>
              </w:rPr>
              <w:t>12</w:t>
            </w:r>
            <w:r w:rsidR="00E97364">
              <w:rPr>
                <w:noProof/>
                <w:webHidden/>
              </w:rPr>
              <w:fldChar w:fldCharType="end"/>
            </w:r>
          </w:hyperlink>
        </w:p>
        <w:p w14:paraId="27EFD8E2"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70" w:history="1">
            <w:r w:rsidR="00E97364" w:rsidRPr="00DA3423">
              <w:rPr>
                <w:rStyle w:val="Hyperlink"/>
                <w:noProof/>
              </w:rPr>
              <w:t>B.</w:t>
            </w:r>
            <w:r w:rsidR="00E97364">
              <w:rPr>
                <w:rFonts w:asciiTheme="minorHAnsi" w:eastAsiaTheme="minorEastAsia" w:hAnsiTheme="minorHAnsi" w:cstheme="minorBidi"/>
                <w:noProof/>
                <w:sz w:val="22"/>
                <w:szCs w:val="22"/>
              </w:rPr>
              <w:tab/>
            </w:r>
            <w:r w:rsidR="00E97364" w:rsidRPr="00DA3423">
              <w:rPr>
                <w:rStyle w:val="Hyperlink"/>
                <w:noProof/>
              </w:rPr>
              <w:t>Student-centered Funding Pilot (ESEA section 1501)</w:t>
            </w:r>
            <w:r w:rsidR="00E97364">
              <w:rPr>
                <w:noProof/>
                <w:webHidden/>
              </w:rPr>
              <w:tab/>
            </w:r>
            <w:r w:rsidR="00E97364">
              <w:rPr>
                <w:noProof/>
                <w:webHidden/>
              </w:rPr>
              <w:fldChar w:fldCharType="begin"/>
            </w:r>
            <w:r w:rsidR="00E97364">
              <w:rPr>
                <w:noProof/>
                <w:webHidden/>
              </w:rPr>
              <w:instrText xml:space="preserve"> PAGEREF _Toc520885470 \h </w:instrText>
            </w:r>
            <w:r w:rsidR="00E97364">
              <w:rPr>
                <w:noProof/>
                <w:webHidden/>
              </w:rPr>
            </w:r>
            <w:r w:rsidR="00E97364">
              <w:rPr>
                <w:noProof/>
                <w:webHidden/>
              </w:rPr>
              <w:fldChar w:fldCharType="separate"/>
            </w:r>
            <w:r w:rsidR="00E97364">
              <w:rPr>
                <w:noProof/>
                <w:webHidden/>
              </w:rPr>
              <w:t>12</w:t>
            </w:r>
            <w:r w:rsidR="00E97364">
              <w:rPr>
                <w:noProof/>
                <w:webHidden/>
              </w:rPr>
              <w:fldChar w:fldCharType="end"/>
            </w:r>
          </w:hyperlink>
        </w:p>
        <w:p w14:paraId="3760109F"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71" w:history="1">
            <w:r w:rsidR="00E97364" w:rsidRPr="00DA3423">
              <w:rPr>
                <w:rStyle w:val="Hyperlink"/>
                <w:noProof/>
              </w:rPr>
              <w:t>C.</w:t>
            </w:r>
            <w:r w:rsidR="00E97364">
              <w:rPr>
                <w:rFonts w:asciiTheme="minorHAnsi" w:eastAsiaTheme="minorEastAsia" w:hAnsiTheme="minorHAnsi" w:cstheme="minorBidi"/>
                <w:noProof/>
                <w:sz w:val="22"/>
                <w:szCs w:val="22"/>
              </w:rPr>
              <w:tab/>
            </w:r>
            <w:r w:rsidR="00E97364" w:rsidRPr="00DA3423">
              <w:rPr>
                <w:rStyle w:val="Hyperlink"/>
                <w:noProof/>
              </w:rPr>
              <w:t>Locally Selected, Nationally Recognized High School Academic Assessments (ESEA section 1111(b)(2)(H); 34 C.F.R. § 200.3)</w:t>
            </w:r>
            <w:r w:rsidR="00E97364">
              <w:rPr>
                <w:noProof/>
                <w:webHidden/>
              </w:rPr>
              <w:tab/>
            </w:r>
            <w:r w:rsidR="00E97364">
              <w:rPr>
                <w:noProof/>
                <w:webHidden/>
              </w:rPr>
              <w:fldChar w:fldCharType="begin"/>
            </w:r>
            <w:r w:rsidR="00E97364">
              <w:rPr>
                <w:noProof/>
                <w:webHidden/>
              </w:rPr>
              <w:instrText xml:space="preserve"> PAGEREF _Toc520885471 \h </w:instrText>
            </w:r>
            <w:r w:rsidR="00E97364">
              <w:rPr>
                <w:noProof/>
                <w:webHidden/>
              </w:rPr>
            </w:r>
            <w:r w:rsidR="00E97364">
              <w:rPr>
                <w:noProof/>
                <w:webHidden/>
              </w:rPr>
              <w:fldChar w:fldCharType="separate"/>
            </w:r>
            <w:r w:rsidR="00E97364">
              <w:rPr>
                <w:noProof/>
                <w:webHidden/>
              </w:rPr>
              <w:t>13</w:t>
            </w:r>
            <w:r w:rsidR="00E97364">
              <w:rPr>
                <w:noProof/>
                <w:webHidden/>
              </w:rPr>
              <w:fldChar w:fldCharType="end"/>
            </w:r>
          </w:hyperlink>
        </w:p>
        <w:p w14:paraId="7B6A7847"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72" w:history="1">
            <w:r w:rsidR="00E97364" w:rsidRPr="00DA3423">
              <w:rPr>
                <w:rStyle w:val="Hyperlink"/>
                <w:noProof/>
              </w:rPr>
              <w:t>D.</w:t>
            </w:r>
            <w:r w:rsidR="00E97364">
              <w:rPr>
                <w:rFonts w:asciiTheme="minorHAnsi" w:eastAsiaTheme="minorEastAsia" w:hAnsiTheme="minorHAnsi" w:cstheme="minorBidi"/>
                <w:noProof/>
                <w:sz w:val="22"/>
                <w:szCs w:val="22"/>
              </w:rPr>
              <w:tab/>
            </w:r>
            <w:r w:rsidR="00E97364" w:rsidRPr="00DA3423">
              <w:rPr>
                <w:rStyle w:val="Hyperlink"/>
                <w:noProof/>
              </w:rPr>
              <w:t>District and School Discretion with Respect to School Improvement Activities (ESEA section 1111(d)(1)(B) and (d)(2)(B))</w:t>
            </w:r>
            <w:r w:rsidR="00E97364">
              <w:rPr>
                <w:noProof/>
                <w:webHidden/>
              </w:rPr>
              <w:tab/>
            </w:r>
            <w:r w:rsidR="00E97364">
              <w:rPr>
                <w:noProof/>
                <w:webHidden/>
              </w:rPr>
              <w:fldChar w:fldCharType="begin"/>
            </w:r>
            <w:r w:rsidR="00E97364">
              <w:rPr>
                <w:noProof/>
                <w:webHidden/>
              </w:rPr>
              <w:instrText xml:space="preserve"> PAGEREF _Toc520885472 \h </w:instrText>
            </w:r>
            <w:r w:rsidR="00E97364">
              <w:rPr>
                <w:noProof/>
                <w:webHidden/>
              </w:rPr>
            </w:r>
            <w:r w:rsidR="00E97364">
              <w:rPr>
                <w:noProof/>
                <w:webHidden/>
              </w:rPr>
              <w:fldChar w:fldCharType="separate"/>
            </w:r>
            <w:r w:rsidR="00E97364">
              <w:rPr>
                <w:noProof/>
                <w:webHidden/>
              </w:rPr>
              <w:t>13</w:t>
            </w:r>
            <w:r w:rsidR="00E97364">
              <w:rPr>
                <w:noProof/>
                <w:webHidden/>
              </w:rPr>
              <w:fldChar w:fldCharType="end"/>
            </w:r>
          </w:hyperlink>
        </w:p>
        <w:p w14:paraId="3E9537CD" w14:textId="77777777" w:rsidR="00E97364" w:rsidRDefault="00767CA8">
          <w:pPr>
            <w:pStyle w:val="TOC2"/>
            <w:tabs>
              <w:tab w:val="left" w:pos="660"/>
              <w:tab w:val="right" w:leader="dot" w:pos="9350"/>
            </w:tabs>
            <w:rPr>
              <w:rFonts w:asciiTheme="minorHAnsi" w:eastAsiaTheme="minorEastAsia" w:hAnsiTheme="minorHAnsi" w:cstheme="minorBidi"/>
              <w:noProof/>
              <w:sz w:val="22"/>
              <w:szCs w:val="22"/>
            </w:rPr>
          </w:pPr>
          <w:hyperlink w:anchor="_Toc520885473" w:history="1">
            <w:r w:rsidR="00E97364" w:rsidRPr="00DA3423">
              <w:rPr>
                <w:rStyle w:val="Hyperlink"/>
                <w:noProof/>
              </w:rPr>
              <w:t>E.</w:t>
            </w:r>
            <w:r w:rsidR="00E97364">
              <w:rPr>
                <w:rFonts w:asciiTheme="minorHAnsi" w:eastAsiaTheme="minorEastAsia" w:hAnsiTheme="minorHAnsi" w:cstheme="minorBidi"/>
                <w:noProof/>
                <w:sz w:val="22"/>
                <w:szCs w:val="22"/>
              </w:rPr>
              <w:tab/>
            </w:r>
            <w:r w:rsidR="00E97364" w:rsidRPr="00DA3423">
              <w:rPr>
                <w:rStyle w:val="Hyperlink"/>
                <w:noProof/>
              </w:rPr>
              <w:t>Public School Choice (ESEA section 1111(d)(1)(D))</w:t>
            </w:r>
            <w:r w:rsidR="00E97364">
              <w:rPr>
                <w:noProof/>
                <w:webHidden/>
              </w:rPr>
              <w:tab/>
            </w:r>
            <w:r w:rsidR="00E97364">
              <w:rPr>
                <w:noProof/>
                <w:webHidden/>
              </w:rPr>
              <w:fldChar w:fldCharType="begin"/>
            </w:r>
            <w:r w:rsidR="00E97364">
              <w:rPr>
                <w:noProof/>
                <w:webHidden/>
              </w:rPr>
              <w:instrText xml:space="preserve"> PAGEREF _Toc520885473 \h </w:instrText>
            </w:r>
            <w:r w:rsidR="00E97364">
              <w:rPr>
                <w:noProof/>
                <w:webHidden/>
              </w:rPr>
            </w:r>
            <w:r w:rsidR="00E97364">
              <w:rPr>
                <w:noProof/>
                <w:webHidden/>
              </w:rPr>
              <w:fldChar w:fldCharType="separate"/>
            </w:r>
            <w:r w:rsidR="00E97364">
              <w:rPr>
                <w:noProof/>
                <w:webHidden/>
              </w:rPr>
              <w:t>14</w:t>
            </w:r>
            <w:r w:rsidR="00E97364">
              <w:rPr>
                <w:noProof/>
                <w:webHidden/>
              </w:rPr>
              <w:fldChar w:fldCharType="end"/>
            </w:r>
          </w:hyperlink>
        </w:p>
        <w:p w14:paraId="7D8A7E9F" w14:textId="77777777" w:rsidR="00E97364" w:rsidRDefault="00767CA8">
          <w:pPr>
            <w:pStyle w:val="TOC2"/>
            <w:tabs>
              <w:tab w:val="left" w:pos="660"/>
              <w:tab w:val="right" w:leader="dot" w:pos="9350"/>
            </w:tabs>
            <w:rPr>
              <w:rFonts w:asciiTheme="minorHAnsi" w:eastAsiaTheme="minorEastAsia" w:hAnsiTheme="minorHAnsi" w:cstheme="minorBidi"/>
              <w:noProof/>
              <w:sz w:val="22"/>
              <w:szCs w:val="22"/>
            </w:rPr>
          </w:pPr>
          <w:hyperlink w:anchor="_Toc520885474" w:history="1">
            <w:r w:rsidR="00E97364" w:rsidRPr="00DA3423">
              <w:rPr>
                <w:rStyle w:val="Hyperlink"/>
                <w:noProof/>
              </w:rPr>
              <w:t>F.</w:t>
            </w:r>
            <w:r w:rsidR="00E97364">
              <w:rPr>
                <w:rFonts w:asciiTheme="minorHAnsi" w:eastAsiaTheme="minorEastAsia" w:hAnsiTheme="minorHAnsi" w:cstheme="minorBidi"/>
                <w:noProof/>
                <w:sz w:val="22"/>
                <w:szCs w:val="22"/>
              </w:rPr>
              <w:tab/>
            </w:r>
            <w:r w:rsidR="00E97364" w:rsidRPr="00DA3423">
              <w:rPr>
                <w:rStyle w:val="Hyperlink"/>
                <w:noProof/>
              </w:rPr>
              <w:t>Supplement Not Supplant (ESEA section 1118(b)(1))</w:t>
            </w:r>
            <w:r w:rsidR="00E97364">
              <w:rPr>
                <w:noProof/>
                <w:webHidden/>
              </w:rPr>
              <w:tab/>
            </w:r>
            <w:r w:rsidR="00E97364">
              <w:rPr>
                <w:noProof/>
                <w:webHidden/>
              </w:rPr>
              <w:fldChar w:fldCharType="begin"/>
            </w:r>
            <w:r w:rsidR="00E97364">
              <w:rPr>
                <w:noProof/>
                <w:webHidden/>
              </w:rPr>
              <w:instrText xml:space="preserve"> PAGEREF _Toc520885474 \h </w:instrText>
            </w:r>
            <w:r w:rsidR="00E97364">
              <w:rPr>
                <w:noProof/>
                <w:webHidden/>
              </w:rPr>
            </w:r>
            <w:r w:rsidR="00E97364">
              <w:rPr>
                <w:noProof/>
                <w:webHidden/>
              </w:rPr>
              <w:fldChar w:fldCharType="separate"/>
            </w:r>
            <w:r w:rsidR="00E97364">
              <w:rPr>
                <w:noProof/>
                <w:webHidden/>
              </w:rPr>
              <w:t>14</w:t>
            </w:r>
            <w:r w:rsidR="00E97364">
              <w:rPr>
                <w:noProof/>
                <w:webHidden/>
              </w:rPr>
              <w:fldChar w:fldCharType="end"/>
            </w:r>
          </w:hyperlink>
        </w:p>
        <w:p w14:paraId="4528A115"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75" w:history="1">
            <w:r w:rsidR="00E97364" w:rsidRPr="00DA3423">
              <w:rPr>
                <w:rStyle w:val="Hyperlink"/>
                <w:noProof/>
              </w:rPr>
              <w:t>G.</w:t>
            </w:r>
            <w:r w:rsidR="00E97364">
              <w:rPr>
                <w:rFonts w:asciiTheme="minorHAnsi" w:eastAsiaTheme="minorEastAsia" w:hAnsiTheme="minorHAnsi" w:cstheme="minorBidi"/>
                <w:noProof/>
                <w:sz w:val="22"/>
                <w:szCs w:val="22"/>
              </w:rPr>
              <w:tab/>
            </w:r>
            <w:r w:rsidR="00E97364" w:rsidRPr="00DA3423">
              <w:rPr>
                <w:rStyle w:val="Hyperlink"/>
                <w:noProof/>
              </w:rPr>
              <w:t>Consolidation of Funds in a Schoolwide Program (ESEA section 1114(a)(1)(A), (3))</w:t>
            </w:r>
            <w:r w:rsidR="00E97364">
              <w:rPr>
                <w:noProof/>
                <w:webHidden/>
              </w:rPr>
              <w:tab/>
            </w:r>
            <w:r w:rsidR="00E97364">
              <w:rPr>
                <w:noProof/>
                <w:webHidden/>
              </w:rPr>
              <w:fldChar w:fldCharType="begin"/>
            </w:r>
            <w:r w:rsidR="00E97364">
              <w:rPr>
                <w:noProof/>
                <w:webHidden/>
              </w:rPr>
              <w:instrText xml:space="preserve"> PAGEREF _Toc520885475 \h </w:instrText>
            </w:r>
            <w:r w:rsidR="00E97364">
              <w:rPr>
                <w:noProof/>
                <w:webHidden/>
              </w:rPr>
            </w:r>
            <w:r w:rsidR="00E97364">
              <w:rPr>
                <w:noProof/>
                <w:webHidden/>
              </w:rPr>
              <w:fldChar w:fldCharType="separate"/>
            </w:r>
            <w:r w:rsidR="00E97364">
              <w:rPr>
                <w:noProof/>
                <w:webHidden/>
              </w:rPr>
              <w:t>14</w:t>
            </w:r>
            <w:r w:rsidR="00E97364">
              <w:rPr>
                <w:noProof/>
                <w:webHidden/>
              </w:rPr>
              <w:fldChar w:fldCharType="end"/>
            </w:r>
          </w:hyperlink>
        </w:p>
        <w:p w14:paraId="42B87E1E" w14:textId="77777777" w:rsidR="00E97364" w:rsidRDefault="00767CA8">
          <w:pPr>
            <w:pStyle w:val="TOC2"/>
            <w:tabs>
              <w:tab w:val="left" w:pos="880"/>
              <w:tab w:val="right" w:leader="dot" w:pos="9350"/>
            </w:tabs>
            <w:rPr>
              <w:rFonts w:asciiTheme="minorHAnsi" w:eastAsiaTheme="minorEastAsia" w:hAnsiTheme="minorHAnsi" w:cstheme="minorBidi"/>
              <w:noProof/>
              <w:sz w:val="22"/>
              <w:szCs w:val="22"/>
            </w:rPr>
          </w:pPr>
          <w:hyperlink w:anchor="_Toc520885476" w:history="1">
            <w:r w:rsidR="00E97364" w:rsidRPr="00DA3423">
              <w:rPr>
                <w:rStyle w:val="Hyperlink"/>
                <w:noProof/>
              </w:rPr>
              <w:t>H.</w:t>
            </w:r>
            <w:r w:rsidR="00E97364">
              <w:rPr>
                <w:rFonts w:asciiTheme="minorHAnsi" w:eastAsiaTheme="minorEastAsia" w:hAnsiTheme="minorHAnsi" w:cstheme="minorBidi"/>
                <w:noProof/>
                <w:sz w:val="22"/>
                <w:szCs w:val="22"/>
              </w:rPr>
              <w:tab/>
            </w:r>
            <w:r w:rsidR="00E97364" w:rsidRPr="00DA3423">
              <w:rPr>
                <w:rStyle w:val="Hyperlink"/>
                <w:noProof/>
              </w:rPr>
              <w:t>Funding Transferability for Districts (ESEA section 5103(b))</w:t>
            </w:r>
            <w:r w:rsidR="00E97364">
              <w:rPr>
                <w:noProof/>
                <w:webHidden/>
              </w:rPr>
              <w:tab/>
            </w:r>
            <w:r w:rsidR="00E97364">
              <w:rPr>
                <w:noProof/>
                <w:webHidden/>
              </w:rPr>
              <w:fldChar w:fldCharType="begin"/>
            </w:r>
            <w:r w:rsidR="00E97364">
              <w:rPr>
                <w:noProof/>
                <w:webHidden/>
              </w:rPr>
              <w:instrText xml:space="preserve"> PAGEREF _Toc520885476 \h </w:instrText>
            </w:r>
            <w:r w:rsidR="00E97364">
              <w:rPr>
                <w:noProof/>
                <w:webHidden/>
              </w:rPr>
            </w:r>
            <w:r w:rsidR="00E97364">
              <w:rPr>
                <w:noProof/>
                <w:webHidden/>
              </w:rPr>
              <w:fldChar w:fldCharType="separate"/>
            </w:r>
            <w:r w:rsidR="00E97364">
              <w:rPr>
                <w:noProof/>
                <w:webHidden/>
              </w:rPr>
              <w:t>15</w:t>
            </w:r>
            <w:r w:rsidR="00E97364">
              <w:rPr>
                <w:noProof/>
                <w:webHidden/>
              </w:rPr>
              <w:fldChar w:fldCharType="end"/>
            </w:r>
          </w:hyperlink>
        </w:p>
        <w:p w14:paraId="3ACB166C" w14:textId="77777777" w:rsidR="00E97364" w:rsidRDefault="00767CA8">
          <w:pPr>
            <w:pStyle w:val="TOC2"/>
            <w:tabs>
              <w:tab w:val="left" w:pos="660"/>
              <w:tab w:val="right" w:leader="dot" w:pos="9350"/>
            </w:tabs>
            <w:rPr>
              <w:rFonts w:asciiTheme="minorHAnsi" w:eastAsiaTheme="minorEastAsia" w:hAnsiTheme="minorHAnsi" w:cstheme="minorBidi"/>
              <w:noProof/>
              <w:sz w:val="22"/>
              <w:szCs w:val="22"/>
            </w:rPr>
          </w:pPr>
          <w:hyperlink w:anchor="_Toc520885477" w:history="1">
            <w:r w:rsidR="00E97364" w:rsidRPr="00DA3423">
              <w:rPr>
                <w:rStyle w:val="Hyperlink"/>
                <w:noProof/>
              </w:rPr>
              <w:t>I.</w:t>
            </w:r>
            <w:r w:rsidR="00E97364">
              <w:rPr>
                <w:rFonts w:asciiTheme="minorHAnsi" w:eastAsiaTheme="minorEastAsia" w:hAnsiTheme="minorHAnsi" w:cstheme="minorBidi"/>
                <w:noProof/>
                <w:sz w:val="22"/>
                <w:szCs w:val="22"/>
              </w:rPr>
              <w:tab/>
            </w:r>
            <w:r w:rsidR="00E97364" w:rsidRPr="00DA3423">
              <w:rPr>
                <w:rStyle w:val="Hyperlink"/>
                <w:noProof/>
              </w:rPr>
              <w:t>Waivers (ESEA section 8401)</w:t>
            </w:r>
            <w:r w:rsidR="00E97364">
              <w:rPr>
                <w:noProof/>
                <w:webHidden/>
              </w:rPr>
              <w:tab/>
            </w:r>
            <w:r w:rsidR="00E97364">
              <w:rPr>
                <w:noProof/>
                <w:webHidden/>
              </w:rPr>
              <w:fldChar w:fldCharType="begin"/>
            </w:r>
            <w:r w:rsidR="00E97364">
              <w:rPr>
                <w:noProof/>
                <w:webHidden/>
              </w:rPr>
              <w:instrText xml:space="preserve"> PAGEREF _Toc520885477 \h </w:instrText>
            </w:r>
            <w:r w:rsidR="00E97364">
              <w:rPr>
                <w:noProof/>
                <w:webHidden/>
              </w:rPr>
            </w:r>
            <w:r w:rsidR="00E97364">
              <w:rPr>
                <w:noProof/>
                <w:webHidden/>
              </w:rPr>
              <w:fldChar w:fldCharType="separate"/>
            </w:r>
            <w:r w:rsidR="00E97364">
              <w:rPr>
                <w:noProof/>
                <w:webHidden/>
              </w:rPr>
              <w:t>15</w:t>
            </w:r>
            <w:r w:rsidR="00E97364">
              <w:rPr>
                <w:noProof/>
                <w:webHidden/>
              </w:rPr>
              <w:fldChar w:fldCharType="end"/>
            </w:r>
          </w:hyperlink>
        </w:p>
        <w:p w14:paraId="1C27F8B1" w14:textId="77777777" w:rsidR="00E97364" w:rsidRDefault="00767CA8">
          <w:pPr>
            <w:pStyle w:val="TOC2"/>
            <w:tabs>
              <w:tab w:val="left" w:pos="660"/>
              <w:tab w:val="right" w:leader="dot" w:pos="9350"/>
            </w:tabs>
            <w:rPr>
              <w:rFonts w:asciiTheme="minorHAnsi" w:eastAsiaTheme="minorEastAsia" w:hAnsiTheme="minorHAnsi" w:cstheme="minorBidi"/>
              <w:noProof/>
              <w:sz w:val="22"/>
              <w:szCs w:val="22"/>
            </w:rPr>
          </w:pPr>
          <w:hyperlink w:anchor="_Toc520885478" w:history="1">
            <w:r w:rsidR="00E97364" w:rsidRPr="00DA3423">
              <w:rPr>
                <w:rStyle w:val="Hyperlink"/>
                <w:noProof/>
              </w:rPr>
              <w:t>J.</w:t>
            </w:r>
            <w:r w:rsidR="00E97364">
              <w:rPr>
                <w:rFonts w:asciiTheme="minorHAnsi" w:eastAsiaTheme="minorEastAsia" w:hAnsiTheme="minorHAnsi" w:cstheme="minorBidi"/>
                <w:noProof/>
                <w:sz w:val="22"/>
                <w:szCs w:val="22"/>
              </w:rPr>
              <w:tab/>
            </w:r>
            <w:r w:rsidR="00E97364" w:rsidRPr="00DA3423">
              <w:rPr>
                <w:rStyle w:val="Hyperlink"/>
                <w:noProof/>
              </w:rPr>
              <w:t>SRSA Alternative Uses of Funds (ESEA section 5211)</w:t>
            </w:r>
            <w:r w:rsidR="00E97364">
              <w:rPr>
                <w:noProof/>
                <w:webHidden/>
              </w:rPr>
              <w:tab/>
            </w:r>
            <w:r w:rsidR="00E97364">
              <w:rPr>
                <w:noProof/>
                <w:webHidden/>
              </w:rPr>
              <w:fldChar w:fldCharType="begin"/>
            </w:r>
            <w:r w:rsidR="00E97364">
              <w:rPr>
                <w:noProof/>
                <w:webHidden/>
              </w:rPr>
              <w:instrText xml:space="preserve"> PAGEREF _Toc520885478 \h </w:instrText>
            </w:r>
            <w:r w:rsidR="00E97364">
              <w:rPr>
                <w:noProof/>
                <w:webHidden/>
              </w:rPr>
            </w:r>
            <w:r w:rsidR="00E97364">
              <w:rPr>
                <w:noProof/>
                <w:webHidden/>
              </w:rPr>
              <w:fldChar w:fldCharType="separate"/>
            </w:r>
            <w:r w:rsidR="00E97364">
              <w:rPr>
                <w:noProof/>
                <w:webHidden/>
              </w:rPr>
              <w:t>15</w:t>
            </w:r>
            <w:r w:rsidR="00E97364">
              <w:rPr>
                <w:noProof/>
                <w:webHidden/>
              </w:rPr>
              <w:fldChar w:fldCharType="end"/>
            </w:r>
          </w:hyperlink>
        </w:p>
        <w:p w14:paraId="46496ED2" w14:textId="32E1E4CD" w:rsidR="00F70BA7" w:rsidRDefault="00F70BA7">
          <w:r w:rsidRPr="00D522E7">
            <w:rPr>
              <w:b/>
              <w:bCs/>
              <w:noProof/>
            </w:rPr>
            <w:fldChar w:fldCharType="end"/>
          </w:r>
        </w:p>
      </w:sdtContent>
    </w:sdt>
    <w:p w14:paraId="6DBD8740" w14:textId="7DD87DF4" w:rsidR="00F70BA7" w:rsidRDefault="00F70BA7" w:rsidP="00024DFC">
      <w:pPr>
        <w:pStyle w:val="ListParagraph"/>
        <w:contextualSpacing w:val="0"/>
      </w:pPr>
    </w:p>
    <w:p w14:paraId="53E0C614" w14:textId="5248BFFE" w:rsidR="00DB0B63" w:rsidRPr="00E97364" w:rsidRDefault="00F70BA7" w:rsidP="00E97364">
      <w:pPr>
        <w:rPr>
          <w:b/>
        </w:rPr>
      </w:pPr>
      <w:r>
        <w:br w:type="page"/>
      </w:r>
      <w:bookmarkStart w:id="1" w:name="_Toc505775568"/>
      <w:bookmarkStart w:id="2" w:name="_Toc505777427"/>
      <w:r w:rsidR="00DB0B63" w:rsidRPr="00E97364">
        <w:rPr>
          <w:b/>
        </w:rPr>
        <w:lastRenderedPageBreak/>
        <w:t xml:space="preserve">Purpose of this Document </w:t>
      </w:r>
    </w:p>
    <w:p w14:paraId="711BE06E" w14:textId="0AD8839A" w:rsidR="00DB0B63" w:rsidRPr="002530ED" w:rsidRDefault="00DB0B63" w:rsidP="00DB0B63">
      <w:pPr>
        <w:pStyle w:val="NormalWeb"/>
        <w:spacing w:line="276" w:lineRule="auto"/>
        <w:rPr>
          <w:color w:val="030A13"/>
          <w:lang w:val="en"/>
        </w:rPr>
      </w:pPr>
      <w:r w:rsidRPr="002530ED">
        <w:t>The Every Student Succeeds Act (ESSA) passed in December 2015 with broad bipartisan support</w:t>
      </w:r>
      <w:r w:rsidR="005017BF">
        <w:t>,</w:t>
      </w:r>
      <w:r w:rsidRPr="002530ED">
        <w:t xml:space="preserve"> reauthorize</w:t>
      </w:r>
      <w:r>
        <w:t>d</w:t>
      </w:r>
      <w:r w:rsidRPr="002530ED">
        <w:t xml:space="preserve"> </w:t>
      </w:r>
      <w:r w:rsidRPr="002530ED">
        <w:rPr>
          <w:color w:val="030A13"/>
          <w:lang w:val="en"/>
        </w:rPr>
        <w:t xml:space="preserve">the Elementary and Secondary Education Act </w:t>
      </w:r>
      <w:r>
        <w:rPr>
          <w:color w:val="030A13"/>
          <w:lang w:val="en"/>
        </w:rPr>
        <w:t xml:space="preserve">of 1965 </w:t>
      </w:r>
      <w:r w:rsidRPr="002530ED">
        <w:rPr>
          <w:color w:val="030A13"/>
          <w:lang w:val="en"/>
        </w:rPr>
        <w:t>(ESEA),</w:t>
      </w:r>
      <w:r w:rsidRPr="002530ED">
        <w:rPr>
          <w:rStyle w:val="FootnoteReference"/>
        </w:rPr>
        <w:footnoteReference w:id="2"/>
      </w:r>
      <w:r w:rsidRPr="002530ED">
        <w:rPr>
          <w:color w:val="030A13"/>
          <w:lang w:val="en"/>
        </w:rPr>
        <w:t xml:space="preserve"> </w:t>
      </w:r>
      <w:r w:rsidR="007C5663">
        <w:rPr>
          <w:color w:val="030A13"/>
          <w:lang w:val="en"/>
        </w:rPr>
        <w:t>as amended</w:t>
      </w:r>
      <w:r w:rsidR="005017BF">
        <w:rPr>
          <w:color w:val="030A13"/>
          <w:lang w:val="en"/>
        </w:rPr>
        <w:t>. The ESEA</w:t>
      </w:r>
      <w:r w:rsidR="00206E0C">
        <w:rPr>
          <w:color w:val="030A13"/>
          <w:lang w:val="en"/>
        </w:rPr>
        <w:t xml:space="preserve"> initially</w:t>
      </w:r>
      <w:r w:rsidRPr="002530ED">
        <w:rPr>
          <w:color w:val="030A13"/>
          <w:lang w:val="en"/>
        </w:rPr>
        <w:t xml:space="preserve"> offered grants to districts serving low-income students, </w:t>
      </w:r>
      <w:r>
        <w:rPr>
          <w:color w:val="030A13"/>
          <w:lang w:val="en"/>
        </w:rPr>
        <w:t>F</w:t>
      </w:r>
      <w:r w:rsidRPr="002530ED">
        <w:rPr>
          <w:color w:val="030A13"/>
          <w:lang w:val="en"/>
        </w:rPr>
        <w:t>ederal grants f</w:t>
      </w:r>
      <w:r w:rsidR="00405CB9">
        <w:rPr>
          <w:color w:val="030A13"/>
          <w:lang w:val="en"/>
        </w:rPr>
        <w:t>or textbooks and library books</w:t>
      </w:r>
      <w:r w:rsidRPr="002530ED">
        <w:rPr>
          <w:color w:val="030A13"/>
          <w:lang w:val="en"/>
        </w:rPr>
        <w:t xml:space="preserve"> and scholarships for low-income college students. Additionally, the law provided </w:t>
      </w:r>
      <w:r>
        <w:rPr>
          <w:color w:val="030A13"/>
          <w:lang w:val="en"/>
        </w:rPr>
        <w:t>F</w:t>
      </w:r>
      <w:r w:rsidRPr="002530ED">
        <w:rPr>
          <w:color w:val="030A13"/>
          <w:lang w:val="en"/>
        </w:rPr>
        <w:t xml:space="preserve">ederal grants to </w:t>
      </w:r>
      <w:r>
        <w:rPr>
          <w:color w:val="030A13"/>
          <w:lang w:val="en"/>
        </w:rPr>
        <w:t>S</w:t>
      </w:r>
      <w:r w:rsidRPr="002530ED">
        <w:rPr>
          <w:color w:val="030A13"/>
          <w:lang w:val="en"/>
        </w:rPr>
        <w:t>tate educational agencies</w:t>
      </w:r>
      <w:r>
        <w:rPr>
          <w:color w:val="030A13"/>
          <w:lang w:val="en"/>
        </w:rPr>
        <w:t xml:space="preserve"> (SEAs)</w:t>
      </w:r>
      <w:r w:rsidRPr="002530ED">
        <w:rPr>
          <w:color w:val="030A13"/>
          <w:lang w:val="en"/>
        </w:rPr>
        <w:t xml:space="preserve"> to improve the quality of elementary and secondary education. The ESEA has been periodically reauthorized by Congress, with the </w:t>
      </w:r>
      <w:r>
        <w:rPr>
          <w:color w:val="030A13"/>
          <w:lang w:val="en"/>
        </w:rPr>
        <w:t xml:space="preserve">last </w:t>
      </w:r>
      <w:r w:rsidRPr="002530ED">
        <w:rPr>
          <w:color w:val="030A13"/>
          <w:lang w:val="en"/>
        </w:rPr>
        <w:t>version</w:t>
      </w:r>
      <w:r>
        <w:rPr>
          <w:color w:val="030A13"/>
          <w:lang w:val="en"/>
        </w:rPr>
        <w:t xml:space="preserve"> prior to the ESSA being</w:t>
      </w:r>
      <w:r w:rsidRPr="002530ED">
        <w:rPr>
          <w:color w:val="030A13"/>
          <w:lang w:val="en"/>
        </w:rPr>
        <w:t xml:space="preserve"> the No Child Left Behind Act</w:t>
      </w:r>
      <w:r>
        <w:rPr>
          <w:color w:val="030A13"/>
          <w:lang w:val="en"/>
        </w:rPr>
        <w:t xml:space="preserve"> of 2001 (NCLB)</w:t>
      </w:r>
      <w:r w:rsidRPr="002530ED">
        <w:rPr>
          <w:color w:val="030A13"/>
          <w:lang w:val="en"/>
        </w:rPr>
        <w:t xml:space="preserve">. </w:t>
      </w:r>
    </w:p>
    <w:p w14:paraId="557DBCC4" w14:textId="2F3D744D" w:rsidR="00DB0B63" w:rsidRPr="002530ED" w:rsidRDefault="00DB0B63" w:rsidP="00DB0B63">
      <w:pPr>
        <w:spacing w:after="0"/>
        <w:rPr>
          <w:color w:val="030A13"/>
          <w:lang w:val="en"/>
        </w:rPr>
      </w:pPr>
      <w:r w:rsidRPr="002530ED">
        <w:rPr>
          <w:color w:val="030A13"/>
          <w:lang w:val="en"/>
        </w:rPr>
        <w:t>The ESEA</w:t>
      </w:r>
      <w:r>
        <w:rPr>
          <w:color w:val="030A13"/>
          <w:lang w:val="en"/>
        </w:rPr>
        <w:t>, as amended by the ESSA,</w:t>
      </w:r>
      <w:r w:rsidRPr="002530ED">
        <w:rPr>
          <w:color w:val="030A13"/>
          <w:lang w:val="en"/>
        </w:rPr>
        <w:t xml:space="preserve"> provides greater flexibility for </w:t>
      </w:r>
      <w:r>
        <w:rPr>
          <w:color w:val="030A13"/>
          <w:lang w:val="en"/>
        </w:rPr>
        <w:t>S</w:t>
      </w:r>
      <w:r w:rsidRPr="002530ED">
        <w:rPr>
          <w:color w:val="030A13"/>
          <w:lang w:val="en"/>
        </w:rPr>
        <w:t xml:space="preserve">tate and local education leaders to do what is best for children while maintaining important protections for </w:t>
      </w:r>
      <w:r w:rsidR="00A821C7">
        <w:rPr>
          <w:color w:val="030A13"/>
          <w:lang w:val="en"/>
        </w:rPr>
        <w:t xml:space="preserve">historically underserved students, including </w:t>
      </w:r>
      <w:r w:rsidRPr="002530ED">
        <w:rPr>
          <w:color w:val="030A13"/>
          <w:lang w:val="en"/>
        </w:rPr>
        <w:t xml:space="preserve">economically disadvantaged students, students with disabilities, and English learners. The law requires </w:t>
      </w:r>
      <w:r>
        <w:rPr>
          <w:color w:val="030A13"/>
          <w:lang w:val="en"/>
        </w:rPr>
        <w:t>S</w:t>
      </w:r>
      <w:r w:rsidRPr="002530ED">
        <w:rPr>
          <w:color w:val="030A13"/>
          <w:lang w:val="en"/>
        </w:rPr>
        <w:t xml:space="preserve">tates to ensure that all students have </w:t>
      </w:r>
      <w:r w:rsidR="002542FE">
        <w:rPr>
          <w:color w:val="030A13"/>
          <w:lang w:val="en"/>
        </w:rPr>
        <w:t xml:space="preserve">equitable </w:t>
      </w:r>
      <w:r w:rsidRPr="002530ED">
        <w:rPr>
          <w:color w:val="030A13"/>
          <w:lang w:val="en"/>
        </w:rPr>
        <w:t xml:space="preserve">access to </w:t>
      </w:r>
      <w:r>
        <w:rPr>
          <w:color w:val="030A13"/>
          <w:lang w:val="en"/>
        </w:rPr>
        <w:t>effective</w:t>
      </w:r>
      <w:r w:rsidRPr="002530ED">
        <w:rPr>
          <w:color w:val="030A13"/>
          <w:lang w:val="en"/>
        </w:rPr>
        <w:t xml:space="preserve"> teachers and </w:t>
      </w:r>
      <w:r>
        <w:rPr>
          <w:color w:val="030A13"/>
          <w:lang w:val="en"/>
        </w:rPr>
        <w:t>safe</w:t>
      </w:r>
      <w:r w:rsidRPr="002530ED">
        <w:rPr>
          <w:color w:val="030A13"/>
          <w:lang w:val="en"/>
        </w:rPr>
        <w:t xml:space="preserve"> learning environments with necessary supports to prepare them for success in college, a career and life. </w:t>
      </w:r>
    </w:p>
    <w:p w14:paraId="79481BA9" w14:textId="77777777" w:rsidR="00DB0B63" w:rsidRDefault="00DB0B63" w:rsidP="00DB0B63">
      <w:pPr>
        <w:spacing w:after="0"/>
        <w:rPr>
          <w:color w:val="030A13"/>
          <w:lang w:val="en"/>
        </w:rPr>
      </w:pPr>
    </w:p>
    <w:p w14:paraId="5E5A1376" w14:textId="726130C4" w:rsidR="00DB0B63" w:rsidRDefault="00DB0B63" w:rsidP="00DB0B63">
      <w:pPr>
        <w:spacing w:after="0"/>
        <w:rPr>
          <w:color w:val="030A13"/>
          <w:lang w:val="en"/>
        </w:rPr>
      </w:pPr>
      <w:r>
        <w:rPr>
          <w:color w:val="030A13"/>
          <w:lang w:val="en"/>
        </w:rPr>
        <w:t xml:space="preserve">In addition to reauthorizing the ESEA, the ESSA reauthorized and amended the Education Flexibility Partnership Act of 1999 (Ed-Flex Act), which provides another potential source of flexibility for States and </w:t>
      </w:r>
      <w:r w:rsidR="007433D2">
        <w:rPr>
          <w:color w:val="030A13"/>
          <w:lang w:val="en"/>
        </w:rPr>
        <w:t>district</w:t>
      </w:r>
      <w:r>
        <w:rPr>
          <w:color w:val="030A13"/>
          <w:lang w:val="en"/>
        </w:rPr>
        <w:t>s.</w:t>
      </w:r>
    </w:p>
    <w:p w14:paraId="40A97374" w14:textId="77777777" w:rsidR="00DB0B63" w:rsidRPr="002530ED" w:rsidRDefault="00DB0B63" w:rsidP="00DB0B63">
      <w:pPr>
        <w:spacing w:after="0"/>
        <w:rPr>
          <w:color w:val="030A13"/>
          <w:lang w:val="en"/>
        </w:rPr>
      </w:pPr>
    </w:p>
    <w:p w14:paraId="3FBEFDF6" w14:textId="4B6A17EF" w:rsidR="00DB0B63" w:rsidRPr="00316FD7" w:rsidRDefault="00DB0B63" w:rsidP="00DB0B63">
      <w:pPr>
        <w:spacing w:after="0"/>
      </w:pPr>
      <w:r>
        <w:t>The purpose of this document is to highlight basic information about key flexibilities in the ESEA and the Ed-Fl</w:t>
      </w:r>
      <w:r w:rsidR="002542FE">
        <w:t>ex Act, as amended by the ESSA.</w:t>
      </w:r>
      <w:r w:rsidR="00024F36">
        <w:t xml:space="preserve"> It does not impose any requirements beyond those included in the ESEA and other applicable laws and regulations. In addition, it does not create or confer any rights for or on any person.</w:t>
      </w:r>
      <w:r>
        <w:t xml:space="preserve"> We encourage </w:t>
      </w:r>
      <w:r w:rsidR="00B63B77">
        <w:t>States</w:t>
      </w:r>
      <w:r>
        <w:t xml:space="preserve"> </w:t>
      </w:r>
      <w:r w:rsidR="00B63B77">
        <w:t>and districts</w:t>
      </w:r>
      <w:r>
        <w:t xml:space="preserve"> to share this information with st</w:t>
      </w:r>
      <w:r w:rsidR="007F6E9A">
        <w:t xml:space="preserve">akeholders and consider how </w:t>
      </w:r>
      <w:r>
        <w:t>to leverage these opportunities to best meet the needs of their</w:t>
      </w:r>
      <w:r w:rsidR="007F6E9A">
        <w:t xml:space="preserve"> students and</w:t>
      </w:r>
      <w:r>
        <w:t xml:space="preserve"> schools. </w:t>
      </w:r>
    </w:p>
    <w:p w14:paraId="1D219186" w14:textId="77777777" w:rsidR="00DB0B63" w:rsidRPr="00316FD7" w:rsidRDefault="00DB0B63" w:rsidP="00DB0B63">
      <w:pPr>
        <w:spacing w:after="0"/>
      </w:pPr>
    </w:p>
    <w:p w14:paraId="2BD87C46" w14:textId="72D75F26" w:rsidR="00DB0B63" w:rsidRPr="00316FD7" w:rsidRDefault="007F6E9A" w:rsidP="00DB0B63">
      <w:pPr>
        <w:spacing w:after="0"/>
      </w:pPr>
      <w:r>
        <w:t xml:space="preserve">When implementing the flexibilities described in this document, </w:t>
      </w:r>
      <w:r w:rsidR="00B63B77">
        <w:t>States and districts</w:t>
      </w:r>
      <w:r w:rsidR="00DB0B63" w:rsidRPr="00316FD7">
        <w:t xml:space="preserve"> must</w:t>
      </w:r>
      <w:r>
        <w:t xml:space="preserve"> continue to</w:t>
      </w:r>
      <w:r w:rsidR="00DB0B63" w:rsidRPr="00316FD7">
        <w:t xml:space="preserve"> comply with Federal civil rights laws that prohibit discrimination based on race, color, national origin, sex, disability, and age. These laws include Title VI of the Civil Rights Act of 1964, Title IX of th</w:t>
      </w:r>
      <w:r w:rsidR="00BB32BD">
        <w:t>e Education Amendments of 1972,</w:t>
      </w:r>
      <w:r w:rsidR="00DB0B63" w:rsidRPr="00316FD7">
        <w:t xml:space="preserve"> Section 504 of the Rehabilitation Act of 1973</w:t>
      </w:r>
      <w:r w:rsidR="00DB0B63">
        <w:t>,</w:t>
      </w:r>
      <w:r w:rsidR="00DB0B63" w:rsidRPr="00316FD7">
        <w:t xml:space="preserve"> </w:t>
      </w:r>
      <w:r w:rsidR="00F600EC">
        <w:t xml:space="preserve">Title II of the Americans with Disabilities </w:t>
      </w:r>
      <w:r w:rsidR="008C65EB">
        <w:t>Act</w:t>
      </w:r>
      <w:proofErr w:type="gramStart"/>
      <w:r w:rsidR="008C65EB">
        <w:t>,</w:t>
      </w:r>
      <w:r w:rsidR="00F600EC">
        <w:t xml:space="preserve"> </w:t>
      </w:r>
      <w:r w:rsidR="00DB0B63" w:rsidRPr="00316FD7">
        <w:t xml:space="preserve"> the</w:t>
      </w:r>
      <w:proofErr w:type="gramEnd"/>
      <w:r w:rsidR="00DB0B63" w:rsidRPr="00316FD7">
        <w:t xml:space="preserve"> Age Discrimination Act of 1975</w:t>
      </w:r>
      <w:r w:rsidR="00F600EC">
        <w:t>, and the Equal Educational Opportunities Act of 1974</w:t>
      </w:r>
      <w:r w:rsidR="00DB0B63" w:rsidRPr="00316FD7">
        <w:t xml:space="preserve">.  </w:t>
      </w:r>
      <w:r w:rsidR="00DB0B63" w:rsidRPr="00316FD7">
        <w:rPr>
          <w:u w:color="000000"/>
        </w:rPr>
        <w:t xml:space="preserve">   </w:t>
      </w:r>
    </w:p>
    <w:p w14:paraId="2B2464EB" w14:textId="77777777" w:rsidR="00DB0B63" w:rsidRPr="00316FD7" w:rsidRDefault="00DB0B63" w:rsidP="00DB0B63">
      <w:pPr>
        <w:tabs>
          <w:tab w:val="left" w:pos="4575"/>
        </w:tabs>
        <w:spacing w:after="0"/>
        <w:ind w:left="1080"/>
      </w:pPr>
      <w:r w:rsidRPr="00316FD7">
        <w:tab/>
      </w:r>
    </w:p>
    <w:p w14:paraId="2E405CE5" w14:textId="77777777" w:rsidR="00DB0B63" w:rsidRDefault="00DB0B63" w:rsidP="00DB0B63">
      <w:pPr>
        <w:spacing w:after="0"/>
      </w:pPr>
    </w:p>
    <w:p w14:paraId="763888A4" w14:textId="77777777" w:rsidR="00DB0B63" w:rsidRDefault="00DB0B63" w:rsidP="00DB0B63">
      <w:pPr>
        <w:spacing w:after="0"/>
      </w:pPr>
    </w:p>
    <w:p w14:paraId="11EC9F27" w14:textId="2D68CF5B" w:rsidR="00DB0B63" w:rsidRDefault="00DB0B63" w:rsidP="00DB0B63">
      <w:pPr>
        <w:spacing w:after="0"/>
      </w:pPr>
      <w:r w:rsidRPr="00316FD7">
        <w:t xml:space="preserve">If you are interested in commenting on this </w:t>
      </w:r>
      <w:r>
        <w:t>document</w:t>
      </w:r>
      <w:r w:rsidRPr="00316FD7">
        <w:t>, please email us your comment</w:t>
      </w:r>
      <w:r w:rsidR="007F6E9A">
        <w:t>s</w:t>
      </w:r>
      <w:r w:rsidRPr="00316FD7">
        <w:t xml:space="preserve"> at </w:t>
      </w:r>
      <w:hyperlink r:id="rId13" w:history="1">
        <w:r w:rsidRPr="003810E7">
          <w:rPr>
            <w:rStyle w:val="Hyperlink"/>
          </w:rPr>
          <w:t>OESE.feedback@ed.gov</w:t>
        </w:r>
      </w:hyperlink>
      <w:r w:rsidRPr="00316FD7">
        <w:t xml:space="preserve"> or write to us at the following address:</w:t>
      </w:r>
    </w:p>
    <w:p w14:paraId="3DA247E7" w14:textId="77777777" w:rsidR="00DB0B63" w:rsidRPr="00316FD7" w:rsidRDefault="00DB0B63" w:rsidP="00DB0B63">
      <w:pPr>
        <w:spacing w:after="0"/>
      </w:pPr>
    </w:p>
    <w:p w14:paraId="15AD2D41" w14:textId="77777777" w:rsidR="00DB0B63" w:rsidRPr="00316FD7" w:rsidRDefault="00DB0B63" w:rsidP="00DB0B63">
      <w:pPr>
        <w:spacing w:after="0"/>
        <w:ind w:left="720"/>
      </w:pPr>
      <w:r w:rsidRPr="00316FD7">
        <w:t>U.S. Department of Education</w:t>
      </w:r>
    </w:p>
    <w:p w14:paraId="2FADE344" w14:textId="77777777" w:rsidR="00DB0B63" w:rsidRPr="00316FD7" w:rsidRDefault="00DB0B63" w:rsidP="00DB0B63">
      <w:pPr>
        <w:spacing w:after="0"/>
        <w:ind w:left="720"/>
      </w:pPr>
      <w:r w:rsidRPr="00316FD7">
        <w:t>Office of Elementary and Secondary Education</w:t>
      </w:r>
    </w:p>
    <w:p w14:paraId="3CF47A93" w14:textId="77777777" w:rsidR="00DB0B63" w:rsidRPr="00316FD7" w:rsidRDefault="00DB0B63" w:rsidP="00DB0B63">
      <w:pPr>
        <w:spacing w:after="0"/>
        <w:ind w:left="720"/>
      </w:pPr>
      <w:r w:rsidRPr="00316FD7">
        <w:t xml:space="preserve">ATTN: </w:t>
      </w:r>
      <w:r>
        <w:t>ESSA Flexibilities</w:t>
      </w:r>
    </w:p>
    <w:p w14:paraId="0A0F2F33" w14:textId="77777777" w:rsidR="00DB0B63" w:rsidRPr="00316FD7" w:rsidRDefault="00DB0B63" w:rsidP="00DB0B63">
      <w:pPr>
        <w:spacing w:after="0"/>
        <w:ind w:left="720"/>
      </w:pPr>
      <w:r>
        <w:t>400 Maryland Avenue, SW</w:t>
      </w:r>
    </w:p>
    <w:p w14:paraId="03926A2F" w14:textId="77777777" w:rsidR="00DB0B63" w:rsidRPr="00316FD7" w:rsidRDefault="00DB0B63" w:rsidP="00DB0B63">
      <w:pPr>
        <w:spacing w:after="0"/>
        <w:ind w:left="720"/>
      </w:pPr>
      <w:r>
        <w:t>Washington, DC</w:t>
      </w:r>
      <w:r w:rsidRPr="00316FD7">
        <w:t xml:space="preserve"> 20202</w:t>
      </w:r>
    </w:p>
    <w:p w14:paraId="52F864C6" w14:textId="77777777" w:rsidR="00DB0B63" w:rsidRDefault="00DB0B63"/>
    <w:p w14:paraId="24931007" w14:textId="77777777" w:rsidR="00DB0B63" w:rsidRDefault="00DB0B63"/>
    <w:p w14:paraId="39B3E07B" w14:textId="77777777" w:rsidR="00DB0B63" w:rsidRDefault="00DB0B63"/>
    <w:p w14:paraId="429A6865" w14:textId="77777777" w:rsidR="00DB0B63" w:rsidRDefault="00DB0B63"/>
    <w:p w14:paraId="3039E431" w14:textId="77777777" w:rsidR="00DB0B63" w:rsidRDefault="00DB0B63"/>
    <w:p w14:paraId="1624A789" w14:textId="77777777" w:rsidR="00DB0B63" w:rsidRDefault="00DB0B63"/>
    <w:p w14:paraId="608B37B0" w14:textId="77777777" w:rsidR="00DB0B63" w:rsidRDefault="00DB0B63"/>
    <w:p w14:paraId="1E897EA3" w14:textId="77777777" w:rsidR="00DB0B63" w:rsidRDefault="00DB0B63"/>
    <w:p w14:paraId="143D8BAF" w14:textId="77777777" w:rsidR="00DB0B63" w:rsidRDefault="00DB0B63"/>
    <w:p w14:paraId="18246E00" w14:textId="77777777" w:rsidR="00DB0B63" w:rsidRDefault="00DB0B63"/>
    <w:p w14:paraId="0EA6549C" w14:textId="77777777" w:rsidR="00DB0B63" w:rsidRDefault="00DB0B63"/>
    <w:p w14:paraId="4412FD54" w14:textId="77777777" w:rsidR="00DB0B63" w:rsidRDefault="00DB0B63"/>
    <w:p w14:paraId="0DFA7D87" w14:textId="77777777" w:rsidR="00DB0B63" w:rsidRDefault="00DB0B63"/>
    <w:p w14:paraId="233AF93E" w14:textId="77777777" w:rsidR="00DB0B63" w:rsidRDefault="00DB0B63"/>
    <w:p w14:paraId="31890E4A" w14:textId="77777777" w:rsidR="00DB0B63" w:rsidRDefault="00DB0B63"/>
    <w:p w14:paraId="4036B4DF" w14:textId="77777777" w:rsidR="00DB0B63" w:rsidRDefault="00DB0B63"/>
    <w:p w14:paraId="6C7EC754" w14:textId="77777777" w:rsidR="00DB0B63" w:rsidRDefault="00DB0B63"/>
    <w:p w14:paraId="2EBA1141" w14:textId="77777777" w:rsidR="00DB0B63" w:rsidRDefault="00DB0B63"/>
    <w:p w14:paraId="6CFC3CA4" w14:textId="77777777" w:rsidR="00DB0B63" w:rsidRDefault="00DB0B63"/>
    <w:p w14:paraId="65EE37C8" w14:textId="2A42ECE9" w:rsidR="00BE281E" w:rsidRPr="00382C6E" w:rsidRDefault="00BE281E" w:rsidP="00024DFC">
      <w:pPr>
        <w:pStyle w:val="Heading1"/>
        <w:spacing w:line="276" w:lineRule="auto"/>
        <w:contextualSpacing w:val="0"/>
        <w:rPr>
          <w:b w:val="0"/>
          <w:u w:val="single"/>
        </w:rPr>
      </w:pPr>
      <w:bookmarkStart w:id="3" w:name="_Toc520885457"/>
      <w:r w:rsidRPr="00024DFC">
        <w:lastRenderedPageBreak/>
        <w:t xml:space="preserve">State </w:t>
      </w:r>
      <w:r w:rsidR="008613D8" w:rsidRPr="00024DFC">
        <w:t>F</w:t>
      </w:r>
      <w:r w:rsidRPr="00024DFC">
        <w:t>lexibilities</w:t>
      </w:r>
      <w:bookmarkEnd w:id="1"/>
      <w:bookmarkEnd w:id="2"/>
      <w:bookmarkEnd w:id="3"/>
    </w:p>
    <w:p w14:paraId="65EE37CA" w14:textId="09CD1499" w:rsidR="00BE281E" w:rsidRPr="006174E1" w:rsidRDefault="00C32EA9" w:rsidP="006174E1">
      <w:pPr>
        <w:pStyle w:val="Heading2"/>
      </w:pPr>
      <w:bookmarkStart w:id="4" w:name="_Toc505772020"/>
      <w:bookmarkStart w:id="5" w:name="_Toc505772046"/>
      <w:bookmarkStart w:id="6" w:name="_Toc505772152"/>
      <w:bookmarkStart w:id="7" w:name="_Toc505775569"/>
      <w:bookmarkStart w:id="8" w:name="_Toc505777428"/>
      <w:bookmarkStart w:id="9" w:name="_Toc520885458"/>
      <w:bookmarkEnd w:id="4"/>
      <w:bookmarkEnd w:id="5"/>
      <w:bookmarkEnd w:id="6"/>
      <w:r w:rsidRPr="006174E1">
        <w:t xml:space="preserve">Challenging Academic Standards </w:t>
      </w:r>
      <w:r w:rsidR="00925D23" w:rsidRPr="006174E1">
        <w:t>and Assessments</w:t>
      </w:r>
      <w:r w:rsidRPr="006174E1">
        <w:t xml:space="preserve"> (ESEA section 1111(b))</w:t>
      </w:r>
      <w:bookmarkEnd w:id="7"/>
      <w:bookmarkEnd w:id="8"/>
      <w:bookmarkEnd w:id="9"/>
    </w:p>
    <w:p w14:paraId="5F3533F1" w14:textId="0157E4B6" w:rsidR="002D0AF0" w:rsidRPr="00024DFC" w:rsidRDefault="008C1FDC" w:rsidP="00024DFC">
      <w:r w:rsidRPr="00024DFC">
        <w:t>The ESEA requires that e</w:t>
      </w:r>
      <w:r w:rsidR="001D38E8" w:rsidRPr="00024DFC">
        <w:t>ach</w:t>
      </w:r>
      <w:r w:rsidR="00297B82" w:rsidRPr="00024DFC">
        <w:t xml:space="preserve"> State </w:t>
      </w:r>
      <w:r w:rsidR="00DF2658">
        <w:t>seeking</w:t>
      </w:r>
      <w:r w:rsidR="00297B82" w:rsidRPr="00024DFC">
        <w:t xml:space="preserve"> </w:t>
      </w:r>
      <w:proofErr w:type="gramStart"/>
      <w:r w:rsidR="00297B82" w:rsidRPr="00024DFC">
        <w:t>funds</w:t>
      </w:r>
      <w:proofErr w:type="gramEnd"/>
      <w:r w:rsidR="00297B82" w:rsidRPr="00024DFC">
        <w:t xml:space="preserve"> under Title I, Part A develop challenging academic content and achievement standards. These standards specify the knowledge, skills, and levels of achievement</w:t>
      </w:r>
      <w:r w:rsidR="001B3B69" w:rsidRPr="00024DFC">
        <w:t xml:space="preserve"> that a State expects of </w:t>
      </w:r>
      <w:r w:rsidR="00297B82" w:rsidRPr="00024DFC">
        <w:t xml:space="preserve">all </w:t>
      </w:r>
      <w:r w:rsidR="001B3B69" w:rsidRPr="00024DFC">
        <w:t xml:space="preserve">its </w:t>
      </w:r>
      <w:r w:rsidR="00297B82" w:rsidRPr="00024DFC">
        <w:t>students</w:t>
      </w:r>
      <w:r w:rsidR="001B3B69" w:rsidRPr="00024DFC">
        <w:t xml:space="preserve">. A </w:t>
      </w:r>
      <w:r w:rsidR="00425280">
        <w:t>State has broad</w:t>
      </w:r>
      <w:r w:rsidR="00297B82" w:rsidRPr="00024DFC">
        <w:t xml:space="preserve"> discretion to establish standards</w:t>
      </w:r>
      <w:r w:rsidR="001B3B69" w:rsidRPr="00024DFC">
        <w:t xml:space="preserve"> that reflect what </w:t>
      </w:r>
      <w:r w:rsidR="00297B82" w:rsidRPr="00024DFC">
        <w:t>the</w:t>
      </w:r>
      <w:r w:rsidR="001B3B69" w:rsidRPr="00024DFC">
        <w:t xml:space="preserve"> State, in consultation with a wide range of stakeholders, </w:t>
      </w:r>
      <w:r w:rsidR="00203593">
        <w:t xml:space="preserve">and with </w:t>
      </w:r>
      <w:r w:rsidR="00C9503E">
        <w:t xml:space="preserve">input from peer reviewers, </w:t>
      </w:r>
      <w:r w:rsidR="001B3B69" w:rsidRPr="00024DFC">
        <w:t xml:space="preserve">determines </w:t>
      </w:r>
      <w:r w:rsidR="001D38E8" w:rsidRPr="00024DFC">
        <w:t>is</w:t>
      </w:r>
      <w:r w:rsidR="001B3B69" w:rsidRPr="00024DFC">
        <w:t xml:space="preserve"> relevant for students in the State. </w:t>
      </w:r>
      <w:r w:rsidR="002A583A" w:rsidRPr="00024DFC">
        <w:t>(ESEA section 1111(b</w:t>
      </w:r>
      <w:proofErr w:type="gramStart"/>
      <w:r w:rsidR="002A583A" w:rsidRPr="00024DFC">
        <w:t>)(</w:t>
      </w:r>
      <w:proofErr w:type="gramEnd"/>
      <w:r w:rsidR="002A583A" w:rsidRPr="00024DFC">
        <w:t xml:space="preserve">1)). </w:t>
      </w:r>
      <w:r w:rsidR="00D14491" w:rsidRPr="00024DFC">
        <w:t xml:space="preserve">The </w:t>
      </w:r>
      <w:r w:rsidR="00807DFD">
        <w:t xml:space="preserve">U.S. </w:t>
      </w:r>
      <w:r w:rsidR="00D14491" w:rsidRPr="00024DFC">
        <w:t>Department</w:t>
      </w:r>
      <w:r w:rsidR="00425280">
        <w:t xml:space="preserve"> of Education (Department)</w:t>
      </w:r>
      <w:r w:rsidR="00D14491" w:rsidRPr="00024DFC">
        <w:t xml:space="preserve"> may not mandate </w:t>
      </w:r>
      <w:r w:rsidR="001B3B69" w:rsidRPr="00024DFC">
        <w:t>State standards</w:t>
      </w:r>
      <w:r w:rsidR="00D14491" w:rsidRPr="00024DFC">
        <w:t xml:space="preserve">, including </w:t>
      </w:r>
      <w:r w:rsidR="001B3B69" w:rsidRPr="00024DFC">
        <w:t>with respect to the Common Core State Standards developed</w:t>
      </w:r>
      <w:r w:rsidR="00203593">
        <w:t xml:space="preserve"> by States</w:t>
      </w:r>
      <w:r w:rsidR="001B3B69" w:rsidRPr="00024DFC">
        <w:t xml:space="preserve"> under the Common Core State Standards Initiative, although </w:t>
      </w:r>
      <w:r w:rsidR="000C30B6" w:rsidRPr="00024DFC">
        <w:t>a</w:t>
      </w:r>
      <w:r w:rsidR="001B3B69" w:rsidRPr="00024DFC">
        <w:t xml:space="preserve"> State may adopt the Common Core standards at its discretion.</w:t>
      </w:r>
      <w:r w:rsidR="00D14491" w:rsidRPr="00024DFC">
        <w:t xml:space="preserve"> (</w:t>
      </w:r>
      <w:r w:rsidR="00D14491" w:rsidRPr="00024DFC">
        <w:rPr>
          <w:i/>
        </w:rPr>
        <w:t xml:space="preserve">See </w:t>
      </w:r>
      <w:r w:rsidR="00D14491" w:rsidRPr="00024DFC">
        <w:t>ESEA section</w:t>
      </w:r>
      <w:r w:rsidR="00DF2658">
        <w:t>s 1111(b</w:t>
      </w:r>
      <w:proofErr w:type="gramStart"/>
      <w:r w:rsidR="00DF2658">
        <w:t>)(</w:t>
      </w:r>
      <w:proofErr w:type="gramEnd"/>
      <w:r w:rsidR="00DF2658">
        <w:t>1)(G);</w:t>
      </w:r>
      <w:r w:rsidR="00D14491" w:rsidRPr="00024DFC">
        <w:t xml:space="preserve"> 8526A(a)).</w:t>
      </w:r>
      <w:r w:rsidR="00297B82" w:rsidRPr="00024DFC">
        <w:t xml:space="preserve"> </w:t>
      </w:r>
    </w:p>
    <w:p w14:paraId="65EE37CD" w14:textId="63A38124" w:rsidR="00C32EA9" w:rsidRPr="00E739F2" w:rsidRDefault="00DF2658" w:rsidP="00024DFC">
      <w:pPr>
        <w:pStyle w:val="ListParagraph"/>
        <w:ind w:left="0"/>
        <w:contextualSpacing w:val="0"/>
      </w:pPr>
      <w:r>
        <w:t>Additionally, the</w:t>
      </w:r>
      <w:r w:rsidR="000E0ADA">
        <w:t xml:space="preserve"> ESEA requires that e</w:t>
      </w:r>
      <w:r w:rsidR="000E0ADA" w:rsidRPr="0079472B">
        <w:t>ach</w:t>
      </w:r>
      <w:r w:rsidR="001D38E8" w:rsidRPr="007F7F25">
        <w:t xml:space="preserve"> State that </w:t>
      </w:r>
      <w:r>
        <w:t>seeks</w:t>
      </w:r>
      <w:r w:rsidR="001D38E8" w:rsidRPr="007F7F25">
        <w:t xml:space="preserve"> Title I, Part A funds </w:t>
      </w:r>
      <w:r w:rsidR="001D38E8" w:rsidRPr="00175027">
        <w:t xml:space="preserve">implement a </w:t>
      </w:r>
      <w:r w:rsidR="00744EF7" w:rsidRPr="008B58AD">
        <w:t xml:space="preserve">statewide </w:t>
      </w:r>
      <w:r w:rsidR="001D38E8" w:rsidRPr="00382C6E">
        <w:t>set of annual academic assessments in mathematics, reading or language arts, a</w:t>
      </w:r>
      <w:r w:rsidR="00425280">
        <w:t>nd science. A State has broad</w:t>
      </w:r>
      <w:r w:rsidR="001D38E8" w:rsidRPr="00382C6E">
        <w:t xml:space="preserve"> discretion to select the assessments </w:t>
      </w:r>
      <w:r w:rsidR="00744EF7" w:rsidRPr="00382C6E">
        <w:t xml:space="preserve">and assessment items </w:t>
      </w:r>
      <w:r w:rsidR="001D38E8" w:rsidRPr="00382C6E">
        <w:t>that are aligned with its</w:t>
      </w:r>
      <w:r w:rsidR="001D38E8">
        <w:t xml:space="preserve"> academic content standards and </w:t>
      </w:r>
      <w:r w:rsidR="00744EF7">
        <w:t>measure</w:t>
      </w:r>
      <w:r w:rsidR="001D38E8">
        <w:t xml:space="preserve"> what the State expects students in the State to know and be able to do. </w:t>
      </w:r>
      <w:r w:rsidR="00744EF7">
        <w:t xml:space="preserve">The Department may not prescribe specific assessments or assessment items. </w:t>
      </w:r>
      <w:r w:rsidR="001D38E8" w:rsidRPr="00E739F2">
        <w:t>(ESEA sections 1111(b</w:t>
      </w:r>
      <w:proofErr w:type="gramStart"/>
      <w:r w:rsidR="001D38E8" w:rsidRPr="00E739F2">
        <w:t>)(</w:t>
      </w:r>
      <w:proofErr w:type="gramEnd"/>
      <w:r w:rsidR="001D38E8" w:rsidRPr="00E739F2">
        <w:t>2)</w:t>
      </w:r>
      <w:r w:rsidR="001D38E8">
        <w:t>; 1111(e)(1)(B)(iii)(II)</w:t>
      </w:r>
      <w:r w:rsidR="001D38E8" w:rsidRPr="00E739F2">
        <w:t>)</w:t>
      </w:r>
      <w:r w:rsidR="000D68DA">
        <w:t>.</w:t>
      </w:r>
      <w:r w:rsidR="00566E93">
        <w:t xml:space="preserve"> A State’s assessment system must include all students, including students with di</w:t>
      </w:r>
      <w:r w:rsidR="000F14A9">
        <w:t>sabilities and English learners (ESEA section 1111(b</w:t>
      </w:r>
      <w:proofErr w:type="gramStart"/>
      <w:r w:rsidR="000F14A9">
        <w:t>)(</w:t>
      </w:r>
      <w:proofErr w:type="gramEnd"/>
      <w:r w:rsidR="000F14A9">
        <w:t>2)(B)(vii)).</w:t>
      </w:r>
      <w:r w:rsidR="00566E93">
        <w:t xml:space="preserve"> </w:t>
      </w:r>
    </w:p>
    <w:p w14:paraId="680D8EF2" w14:textId="6744EFB7" w:rsidR="00744EF7" w:rsidRPr="001D38E8" w:rsidRDefault="00744EF7" w:rsidP="00024DFC">
      <w:pPr>
        <w:pStyle w:val="ListParagraph"/>
        <w:ind w:left="0"/>
        <w:contextualSpacing w:val="0"/>
      </w:pPr>
      <w:r>
        <w:t>The ESEA contains a number of specific areas of flexibility with respect to statewide academic assessments</w:t>
      </w:r>
      <w:r w:rsidR="00A07F02">
        <w:t>:</w:t>
      </w:r>
    </w:p>
    <w:p w14:paraId="02AF9554" w14:textId="1775BBF4" w:rsidR="00744EF7" w:rsidRPr="004E4E98" w:rsidRDefault="00936EFA" w:rsidP="00070F94">
      <w:pPr>
        <w:pStyle w:val="ListParagraph"/>
        <w:numPr>
          <w:ilvl w:val="1"/>
          <w:numId w:val="4"/>
        </w:numPr>
        <w:spacing w:line="240" w:lineRule="auto"/>
        <w:contextualSpacing w:val="0"/>
        <w:rPr>
          <w:b/>
        </w:rPr>
      </w:pPr>
      <w:r>
        <w:rPr>
          <w:b/>
        </w:rPr>
        <w:t>Eighth</w:t>
      </w:r>
      <w:r w:rsidRPr="004E4E98">
        <w:rPr>
          <w:b/>
        </w:rPr>
        <w:t xml:space="preserve"> </w:t>
      </w:r>
      <w:r>
        <w:rPr>
          <w:b/>
        </w:rPr>
        <w:t>G</w:t>
      </w:r>
      <w:r w:rsidR="00660D23" w:rsidRPr="004E4E98">
        <w:rPr>
          <w:b/>
        </w:rPr>
        <w:t xml:space="preserve">rade </w:t>
      </w:r>
      <w:r w:rsidR="00CC2980" w:rsidRPr="004E4E98">
        <w:rPr>
          <w:b/>
        </w:rPr>
        <w:t>Mathematics E</w:t>
      </w:r>
      <w:r w:rsidR="00660D23" w:rsidRPr="004E4E98">
        <w:rPr>
          <w:b/>
        </w:rPr>
        <w:t>xception</w:t>
      </w:r>
      <w:r w:rsidR="00C32EA9" w:rsidRPr="004E4E98">
        <w:rPr>
          <w:b/>
        </w:rPr>
        <w:t xml:space="preserve"> </w:t>
      </w:r>
      <w:r w:rsidR="00166EF7">
        <w:rPr>
          <w:b/>
        </w:rPr>
        <w:t>(ESEA section 1111(b)(2)(C)</w:t>
      </w:r>
      <w:r w:rsidR="00D052C1">
        <w:rPr>
          <w:b/>
        </w:rPr>
        <w:t>)</w:t>
      </w:r>
    </w:p>
    <w:p w14:paraId="65EE37CE" w14:textId="6F152217" w:rsidR="00660D23" w:rsidRDefault="00744EF7" w:rsidP="00024DFC">
      <w:pPr>
        <w:pStyle w:val="ListParagraph"/>
        <w:ind w:left="0"/>
        <w:contextualSpacing w:val="0"/>
      </w:pPr>
      <w:r>
        <w:t>A State may exempt any 8</w:t>
      </w:r>
      <w:r w:rsidRPr="00744EF7">
        <w:rPr>
          <w:vertAlign w:val="superscript"/>
        </w:rPr>
        <w:t>th</w:t>
      </w:r>
      <w:r>
        <w:t xml:space="preserve"> grade student from the mathematics assessment the State administers in 8</w:t>
      </w:r>
      <w:r w:rsidRPr="00744EF7">
        <w:rPr>
          <w:vertAlign w:val="superscript"/>
        </w:rPr>
        <w:t>th</w:t>
      </w:r>
      <w:r>
        <w:t xml:space="preserve"> grade if the student takes the end-of-course mathematics assessment the State typically administers in high school for Federal accountability purposes. This flexibility avoids double testing 8</w:t>
      </w:r>
      <w:r w:rsidRPr="00382C6E">
        <w:rPr>
          <w:vertAlign w:val="superscript"/>
        </w:rPr>
        <w:t>th</w:t>
      </w:r>
      <w:r>
        <w:t xml:space="preserve"> grade students in mathematics. When a student reaches high school, the student</w:t>
      </w:r>
      <w:r w:rsidR="007F6E9A">
        <w:t xml:space="preserve"> must take</w:t>
      </w:r>
      <w:r>
        <w:t xml:space="preserve"> a</w:t>
      </w:r>
      <w:r w:rsidR="00F6479A">
        <w:t xml:space="preserve"> more advanced high school mathematics assessment. </w:t>
      </w:r>
      <w:r w:rsidR="00B14FD6">
        <w:t>(ESEA section 1111(b</w:t>
      </w:r>
      <w:proofErr w:type="gramStart"/>
      <w:r w:rsidR="00B14FD6">
        <w:t>)(</w:t>
      </w:r>
      <w:proofErr w:type="gramEnd"/>
      <w:r w:rsidR="00B14FD6">
        <w:t>2)(C))</w:t>
      </w:r>
      <w:r w:rsidR="008534B5">
        <w:t>.</w:t>
      </w:r>
    </w:p>
    <w:p w14:paraId="20DD2AC6" w14:textId="1FACD668" w:rsidR="00F6479A" w:rsidRPr="004E4E98" w:rsidRDefault="00C32EA9" w:rsidP="00070F94">
      <w:pPr>
        <w:pStyle w:val="ListParagraph"/>
        <w:numPr>
          <w:ilvl w:val="1"/>
          <w:numId w:val="4"/>
        </w:numPr>
        <w:spacing w:line="240" w:lineRule="auto"/>
        <w:contextualSpacing w:val="0"/>
        <w:rPr>
          <w:b/>
        </w:rPr>
      </w:pPr>
      <w:r w:rsidRPr="004E4E98">
        <w:rPr>
          <w:b/>
        </w:rPr>
        <w:t>Locally</w:t>
      </w:r>
      <w:r w:rsidR="00B14FD6" w:rsidRPr="004E4E98">
        <w:rPr>
          <w:b/>
        </w:rPr>
        <w:t xml:space="preserve"> S</w:t>
      </w:r>
      <w:r w:rsidRPr="004E4E98">
        <w:rPr>
          <w:b/>
        </w:rPr>
        <w:t>elected</w:t>
      </w:r>
      <w:r w:rsidR="00B14FD6" w:rsidRPr="004E4E98">
        <w:rPr>
          <w:b/>
        </w:rPr>
        <w:t>, Nationally Recognized High School</w:t>
      </w:r>
      <w:r w:rsidRPr="004E4E98">
        <w:rPr>
          <w:b/>
        </w:rPr>
        <w:t xml:space="preserve"> </w:t>
      </w:r>
      <w:r w:rsidR="004D2849" w:rsidRPr="004E4E98">
        <w:rPr>
          <w:b/>
        </w:rPr>
        <w:t xml:space="preserve">Academic </w:t>
      </w:r>
      <w:r w:rsidRPr="004E4E98">
        <w:rPr>
          <w:b/>
        </w:rPr>
        <w:t>A</w:t>
      </w:r>
      <w:r w:rsidR="007E5CFE" w:rsidRPr="004E4E98">
        <w:rPr>
          <w:b/>
        </w:rPr>
        <w:t>ssessment</w:t>
      </w:r>
      <w:r w:rsidR="00B14FD6" w:rsidRPr="004E4E98">
        <w:rPr>
          <w:b/>
        </w:rPr>
        <w:t>s</w:t>
      </w:r>
      <w:r w:rsidR="007E5CFE" w:rsidRPr="004E4E98">
        <w:rPr>
          <w:b/>
        </w:rPr>
        <w:t xml:space="preserve"> </w:t>
      </w:r>
      <w:r w:rsidR="00166EF7">
        <w:rPr>
          <w:b/>
        </w:rPr>
        <w:t>(ESEA section 1111(b)(2)(H)</w:t>
      </w:r>
      <w:r w:rsidR="00D052C1">
        <w:rPr>
          <w:b/>
        </w:rPr>
        <w:t>)</w:t>
      </w:r>
    </w:p>
    <w:p w14:paraId="65EE37CF" w14:textId="4AB1A995" w:rsidR="007E5CFE" w:rsidRPr="00E739F2" w:rsidRDefault="00F57F0D" w:rsidP="00024DFC">
      <w:pPr>
        <w:pStyle w:val="ListParagraph"/>
        <w:ind w:left="0"/>
        <w:contextualSpacing w:val="0"/>
      </w:pPr>
      <w:r>
        <w:t xml:space="preserve">A State may permit its </w:t>
      </w:r>
      <w:r w:rsidR="007433D2">
        <w:t>district</w:t>
      </w:r>
      <w:r>
        <w:t>s to administer a locally</w:t>
      </w:r>
      <w:r w:rsidR="00F3264B">
        <w:t xml:space="preserve"> </w:t>
      </w:r>
      <w:r>
        <w:t xml:space="preserve">selected, nationally recognized high school </w:t>
      </w:r>
      <w:r w:rsidR="006D56CF">
        <w:t xml:space="preserve">academic </w:t>
      </w:r>
      <w:r>
        <w:t>assessment in place of the</w:t>
      </w:r>
      <w:r w:rsidR="007F6E9A">
        <w:t xml:space="preserve"> high school-level</w:t>
      </w:r>
      <w:r>
        <w:t xml:space="preserve"> </w:t>
      </w:r>
      <w:r w:rsidR="006D56CF">
        <w:t>s</w:t>
      </w:r>
      <w:r>
        <w:t>tate</w:t>
      </w:r>
      <w:r w:rsidR="007433D2">
        <w:t xml:space="preserve">wide academic assessment. </w:t>
      </w:r>
      <w:r w:rsidR="00C9503E">
        <w:t xml:space="preserve">These assessments must be peer reviewed. </w:t>
      </w:r>
      <w:r w:rsidR="007433D2">
        <w:t>A district</w:t>
      </w:r>
      <w:r>
        <w:t xml:space="preserve"> that elects to administer a nationally recognized high school </w:t>
      </w:r>
      <w:r w:rsidR="006D56CF">
        <w:t xml:space="preserve">academic </w:t>
      </w:r>
      <w:r>
        <w:t xml:space="preserve">assessment </w:t>
      </w:r>
      <w:r w:rsidR="007F6E9A">
        <w:t>must make parents aware of its select</w:t>
      </w:r>
      <w:r w:rsidR="005017BF">
        <w:t>ion</w:t>
      </w:r>
      <w:r w:rsidR="007F6E9A">
        <w:t xml:space="preserve"> and administer</w:t>
      </w:r>
      <w:r>
        <w:t xml:space="preserve"> the assessment to all its high school students</w:t>
      </w:r>
      <w:r w:rsidR="007F6E9A">
        <w:t>.</w:t>
      </w:r>
      <w:r>
        <w:t xml:space="preserve"> </w:t>
      </w:r>
      <w:r w:rsidR="006D56CF">
        <w:t xml:space="preserve">A “nationally recognized high school academic assessment” is an assessment of high school students’ knowledge and skills that is administered in multiple States and is recognized by institutions of higher education in those or </w:t>
      </w:r>
      <w:r w:rsidR="006D56CF">
        <w:lastRenderedPageBreak/>
        <w:t xml:space="preserve">other States for the purposes of entrance or placement into courses in postsecondary education or training programs. </w:t>
      </w:r>
      <w:r w:rsidR="007E5CFE" w:rsidRPr="00E739F2">
        <w:t>(ESEA section 1111(b</w:t>
      </w:r>
      <w:proofErr w:type="gramStart"/>
      <w:r w:rsidR="007E5CFE" w:rsidRPr="00E739F2">
        <w:t>)(</w:t>
      </w:r>
      <w:proofErr w:type="gramEnd"/>
      <w:r w:rsidR="007E5CFE" w:rsidRPr="00E739F2">
        <w:t>2)(H)</w:t>
      </w:r>
      <w:r>
        <w:t>; 34 C.F.R. § 200.3</w:t>
      </w:r>
      <w:r w:rsidR="007E5CFE" w:rsidRPr="00E739F2">
        <w:t>)</w:t>
      </w:r>
      <w:r w:rsidR="008534B5">
        <w:t>.</w:t>
      </w:r>
    </w:p>
    <w:p w14:paraId="1E0ABA93" w14:textId="172DC1C9" w:rsidR="006D56CF" w:rsidRPr="004E4E98" w:rsidRDefault="007E5CFE" w:rsidP="00070F94">
      <w:pPr>
        <w:pStyle w:val="ListParagraph"/>
        <w:numPr>
          <w:ilvl w:val="1"/>
          <w:numId w:val="4"/>
        </w:numPr>
        <w:spacing w:line="240" w:lineRule="auto"/>
        <w:contextualSpacing w:val="0"/>
        <w:rPr>
          <w:b/>
        </w:rPr>
      </w:pPr>
      <w:r w:rsidRPr="004E4E98">
        <w:rPr>
          <w:b/>
        </w:rPr>
        <w:t xml:space="preserve">Innovative Assessment and Accountability Demonstration Authority </w:t>
      </w:r>
      <w:r w:rsidR="00166EF7">
        <w:rPr>
          <w:b/>
        </w:rPr>
        <w:t xml:space="preserve">(ESEA section 1204) </w:t>
      </w:r>
    </w:p>
    <w:p w14:paraId="65EE37D0" w14:textId="5263D3D6" w:rsidR="007E5CFE" w:rsidRDefault="006D56CF" w:rsidP="00024DFC">
      <w:pPr>
        <w:pStyle w:val="ListParagraph"/>
        <w:ind w:left="0"/>
        <w:contextualSpacing w:val="0"/>
      </w:pPr>
      <w:r>
        <w:t>A State may apply to the Department to implement an innovative asse</w:t>
      </w:r>
      <w:r w:rsidR="007433D2">
        <w:t>ssment system in some of its district</w:t>
      </w:r>
      <w:r>
        <w:t>s instead of the statewide assessments, with the goal of scaling up the innovative assessment</w:t>
      </w:r>
      <w:r w:rsidR="007F6E9A">
        <w:t xml:space="preserve"> for statewide administration. </w:t>
      </w:r>
      <w:r>
        <w:t xml:space="preserve">Such a system </w:t>
      </w:r>
      <w:r w:rsidR="00BA6D2B">
        <w:t xml:space="preserve">may include competency-based assessments, instructionally embedded assessments, interim assessments, cumulative year-end assessments, or performance-based assessments that combine into an annual summative determination for a student. Innovative assessments </w:t>
      </w:r>
      <w:r w:rsidR="007511F3">
        <w:t xml:space="preserve">may </w:t>
      </w:r>
      <w:r w:rsidR="000F14A9">
        <w:t xml:space="preserve">allow students to </w:t>
      </w:r>
      <w:r w:rsidR="00BA6D2B">
        <w:t>demonstrate mas</w:t>
      </w:r>
      <w:r w:rsidR="00744300">
        <w:t>tery or proficiency and allow a district</w:t>
      </w:r>
      <w:r w:rsidR="00BA6D2B">
        <w:t xml:space="preserve"> to differentiate student support based on individual learning needs. </w:t>
      </w:r>
      <w:proofErr w:type="gramStart"/>
      <w:r w:rsidR="007E5CFE" w:rsidRPr="00E739F2">
        <w:t>(ESEA section 1204</w:t>
      </w:r>
      <w:r w:rsidR="00BA6D2B">
        <w:t>; 34 C.F.R. §§ 200.104-200.108</w:t>
      </w:r>
      <w:r w:rsidR="007E5CFE" w:rsidRPr="00E739F2">
        <w:t>)</w:t>
      </w:r>
      <w:r w:rsidR="008534B5">
        <w:t>.</w:t>
      </w:r>
      <w:proofErr w:type="gramEnd"/>
    </w:p>
    <w:p w14:paraId="66929865" w14:textId="7B1EDB92" w:rsidR="00BA6D2B" w:rsidRPr="004E4E98" w:rsidRDefault="003D41E4" w:rsidP="00070F94">
      <w:pPr>
        <w:pStyle w:val="ListParagraph"/>
        <w:numPr>
          <w:ilvl w:val="1"/>
          <w:numId w:val="4"/>
        </w:numPr>
        <w:spacing w:line="240" w:lineRule="auto"/>
        <w:contextualSpacing w:val="0"/>
        <w:rPr>
          <w:b/>
        </w:rPr>
      </w:pPr>
      <w:r w:rsidRPr="004E4E98">
        <w:rPr>
          <w:b/>
        </w:rPr>
        <w:t xml:space="preserve">Alternate </w:t>
      </w:r>
      <w:r w:rsidR="007B46F8" w:rsidRPr="004E4E98">
        <w:rPr>
          <w:b/>
        </w:rPr>
        <w:t>A</w:t>
      </w:r>
      <w:r w:rsidR="00BA6D2B" w:rsidRPr="004E4E98">
        <w:rPr>
          <w:b/>
        </w:rPr>
        <w:t>cademic</w:t>
      </w:r>
      <w:r w:rsidR="008D06A2" w:rsidRPr="004E4E98">
        <w:rPr>
          <w:b/>
        </w:rPr>
        <w:t xml:space="preserve"> </w:t>
      </w:r>
      <w:r w:rsidR="007B46F8" w:rsidRPr="004E4E98">
        <w:rPr>
          <w:b/>
        </w:rPr>
        <w:t xml:space="preserve">Achievement Standards </w:t>
      </w:r>
      <w:r w:rsidR="008D06A2" w:rsidRPr="004E4E98">
        <w:rPr>
          <w:b/>
        </w:rPr>
        <w:t xml:space="preserve">and </w:t>
      </w:r>
      <w:r w:rsidR="008543A9">
        <w:rPr>
          <w:b/>
        </w:rPr>
        <w:t>A</w:t>
      </w:r>
      <w:r w:rsidR="00F37D8D">
        <w:rPr>
          <w:b/>
        </w:rPr>
        <w:t xml:space="preserve">lternate </w:t>
      </w:r>
      <w:r w:rsidR="007B46F8" w:rsidRPr="004E4E98">
        <w:rPr>
          <w:b/>
        </w:rPr>
        <w:t xml:space="preserve">Assessments </w:t>
      </w:r>
      <w:r w:rsidRPr="004E4E98">
        <w:rPr>
          <w:b/>
        </w:rPr>
        <w:t xml:space="preserve">for </w:t>
      </w:r>
      <w:r w:rsidR="007B46F8" w:rsidRPr="004E4E98">
        <w:rPr>
          <w:b/>
        </w:rPr>
        <w:t xml:space="preserve">Students </w:t>
      </w:r>
      <w:r w:rsidRPr="004E4E98">
        <w:rPr>
          <w:b/>
        </w:rPr>
        <w:t xml:space="preserve">with the </w:t>
      </w:r>
      <w:r w:rsidR="007B46F8" w:rsidRPr="004E4E98">
        <w:rPr>
          <w:b/>
        </w:rPr>
        <w:t>Most Significant Cognitive Disabilities</w:t>
      </w:r>
      <w:r w:rsidR="00F37D8D">
        <w:rPr>
          <w:b/>
        </w:rPr>
        <w:t>(AA-AAAS)</w:t>
      </w:r>
      <w:r w:rsidR="007B46F8" w:rsidRPr="004E4E98">
        <w:rPr>
          <w:b/>
        </w:rPr>
        <w:t xml:space="preserve"> </w:t>
      </w:r>
      <w:r w:rsidR="00166EF7">
        <w:rPr>
          <w:b/>
        </w:rPr>
        <w:t>(ESEA sections 1111(b)(1)(E), 1111(b)(2)(D))</w:t>
      </w:r>
    </w:p>
    <w:p w14:paraId="6B7F5EDC" w14:textId="3906B293" w:rsidR="003D41E4" w:rsidRDefault="00BA6D2B" w:rsidP="00024DFC">
      <w:pPr>
        <w:pStyle w:val="ListParagraph"/>
        <w:ind w:left="0"/>
        <w:contextualSpacing w:val="0"/>
      </w:pPr>
      <w:r>
        <w:t>A State may adopt alternate academic achievement standards and aligned alternate assessments for students with the most significant cognitive disabilities</w:t>
      </w:r>
      <w:r w:rsidR="00F37D8D">
        <w:t>, as permitted under section 1111(b</w:t>
      </w:r>
      <w:proofErr w:type="gramStart"/>
      <w:r w:rsidR="00F37D8D">
        <w:t>)(</w:t>
      </w:r>
      <w:proofErr w:type="gramEnd"/>
      <w:r w:rsidR="00F37D8D">
        <w:t>1)(E) of the ESEA</w:t>
      </w:r>
      <w:r>
        <w:t xml:space="preserve">. Alternate academic achievement standards </w:t>
      </w:r>
      <w:r w:rsidR="00F37D8D">
        <w:t xml:space="preserve">must be </w:t>
      </w:r>
      <w:r w:rsidR="00042FE8">
        <w:t>aligned with the State’s challenging academic content standards, promote access to the general education curriculum,</w:t>
      </w:r>
      <w:r w:rsidR="000F14A9">
        <w:t xml:space="preserve"> and</w:t>
      </w:r>
      <w:r w:rsidR="00042FE8">
        <w:t xml:space="preserve"> reflect professional judgment as to the highest possible standards achievable by such students</w:t>
      </w:r>
      <w:r w:rsidR="000F14A9">
        <w:t>. Alternate academic achievement standards</w:t>
      </w:r>
      <w:r w:rsidR="00042FE8">
        <w:t xml:space="preserve"> </w:t>
      </w:r>
      <w:r w:rsidR="00F37D8D">
        <w:t xml:space="preserve">are </w:t>
      </w:r>
      <w:r w:rsidR="00042FE8">
        <w:t xml:space="preserve">designated in each student’s individualized education program, and </w:t>
      </w:r>
      <w:r w:rsidR="00F37D8D">
        <w:t xml:space="preserve">are aligned to </w:t>
      </w:r>
      <w:r w:rsidR="00042FE8">
        <w:t xml:space="preserve">ensure that a student </w:t>
      </w:r>
      <w:r w:rsidR="00F37D8D">
        <w:t xml:space="preserve">who meets those standards </w:t>
      </w:r>
      <w:r w:rsidR="00042FE8">
        <w:t xml:space="preserve">is on track to pursue postsecondary education or competitive integrated employment. </w:t>
      </w:r>
      <w:r w:rsidR="00FF631E">
        <w:t xml:space="preserve">A State may assess </w:t>
      </w:r>
      <w:r w:rsidR="007F6E9A">
        <w:t xml:space="preserve">up to </w:t>
      </w:r>
      <w:r w:rsidR="00263DC1">
        <w:t>one</w:t>
      </w:r>
      <w:r w:rsidR="00FF631E">
        <w:t xml:space="preserve"> percent of its tested population with an alternate assessment. </w:t>
      </w:r>
      <w:r w:rsidR="0068402B">
        <w:t>(ESEA sections 1111(b</w:t>
      </w:r>
      <w:proofErr w:type="gramStart"/>
      <w:r w:rsidR="0068402B">
        <w:t>)(</w:t>
      </w:r>
      <w:proofErr w:type="gramEnd"/>
      <w:r w:rsidR="0068402B">
        <w:t>1)(E), 1111(b)(2)(D); 34 C.F.R. §§ 200.2(b)(3)(ii)(B)(</w:t>
      </w:r>
      <w:r w:rsidR="0068402B" w:rsidRPr="00925D23">
        <w:t>2</w:t>
      </w:r>
      <w:r w:rsidR="0068402B">
        <w:t>), 200.6(c</w:t>
      </w:r>
      <w:r w:rsidR="00FF631E">
        <w:t>)-</w:t>
      </w:r>
      <w:r w:rsidR="00425280">
        <w:t>(</w:t>
      </w:r>
      <w:r w:rsidR="0068402B">
        <w:t>d))</w:t>
      </w:r>
      <w:r w:rsidR="008534B5">
        <w:t>.</w:t>
      </w:r>
    </w:p>
    <w:p w14:paraId="61DAACE7" w14:textId="54B3FAC4" w:rsidR="00BA6D2B" w:rsidRPr="004E4E98" w:rsidRDefault="003D41E4" w:rsidP="00070F94">
      <w:pPr>
        <w:pStyle w:val="ListParagraph"/>
        <w:numPr>
          <w:ilvl w:val="1"/>
          <w:numId w:val="4"/>
        </w:numPr>
        <w:spacing w:line="240" w:lineRule="auto"/>
        <w:contextualSpacing w:val="0"/>
        <w:rPr>
          <w:b/>
        </w:rPr>
      </w:pPr>
      <w:r w:rsidRPr="004E4E98">
        <w:rPr>
          <w:b/>
        </w:rPr>
        <w:t xml:space="preserve">Adaptive </w:t>
      </w:r>
      <w:r w:rsidR="007B46F8" w:rsidRPr="004E4E98">
        <w:rPr>
          <w:b/>
        </w:rPr>
        <w:t xml:space="preserve">Testing </w:t>
      </w:r>
      <w:r w:rsidR="00166EF7">
        <w:rPr>
          <w:b/>
        </w:rPr>
        <w:t>(ESEA section 1111(b)(2)(J))</w:t>
      </w:r>
    </w:p>
    <w:p w14:paraId="6E85E2A0" w14:textId="0EFFC751" w:rsidR="003D41E4" w:rsidRPr="00E739F2" w:rsidRDefault="00527BBA" w:rsidP="00024DFC">
      <w:pPr>
        <w:pStyle w:val="ListParagraph"/>
        <w:ind w:left="0"/>
        <w:contextualSpacing w:val="0"/>
      </w:pPr>
      <w:r>
        <w:t xml:space="preserve">The ESEA allows a State to administer </w:t>
      </w:r>
      <w:r w:rsidR="00263DC1">
        <w:t xml:space="preserve">its statewide assessments in the form of computer-adaptive assessments. A computer-adaptive assessment may measure a student’s academic proficiency and growth using items above or below the student’s grade level provided it also measures the student’s academic proficiency based on the standards for the grade in which the student is enrolled. </w:t>
      </w:r>
      <w:r w:rsidR="003D41E4">
        <w:t>(ESEA section 1111(b</w:t>
      </w:r>
      <w:proofErr w:type="gramStart"/>
      <w:r w:rsidR="003D41E4">
        <w:t>)(</w:t>
      </w:r>
      <w:proofErr w:type="gramEnd"/>
      <w:r w:rsidR="003D41E4">
        <w:t>2)(J)</w:t>
      </w:r>
      <w:r w:rsidR="00237079">
        <w:t>; 34 C.F.R. § 200.2(c)</w:t>
      </w:r>
      <w:r w:rsidR="003D41E4">
        <w:t>)</w:t>
      </w:r>
      <w:r w:rsidR="008534B5">
        <w:t>.</w:t>
      </w:r>
    </w:p>
    <w:p w14:paraId="65EE37D1" w14:textId="34118C66" w:rsidR="007E5CFE" w:rsidRPr="00024DFC" w:rsidRDefault="007E5CFE" w:rsidP="006174E1">
      <w:pPr>
        <w:pStyle w:val="Heading2"/>
      </w:pPr>
      <w:bookmarkStart w:id="10" w:name="_Toc505775570"/>
      <w:bookmarkStart w:id="11" w:name="_Toc505777429"/>
      <w:bookmarkStart w:id="12" w:name="_Toc520885459"/>
      <w:r w:rsidRPr="00024DFC">
        <w:t>Statewide Accountability System</w:t>
      </w:r>
      <w:bookmarkEnd w:id="10"/>
      <w:bookmarkEnd w:id="11"/>
      <w:r w:rsidR="00166EF7">
        <w:t xml:space="preserve"> (ESEA sections 1111(c</w:t>
      </w:r>
      <w:proofErr w:type="gramStart"/>
      <w:r w:rsidR="00166EF7">
        <w:t>)(</w:t>
      </w:r>
      <w:proofErr w:type="gramEnd"/>
      <w:r w:rsidR="00166EF7">
        <w:t>4)(C))</w:t>
      </w:r>
      <w:bookmarkEnd w:id="12"/>
    </w:p>
    <w:p w14:paraId="28FF50EB" w14:textId="04F8455D" w:rsidR="00E51250" w:rsidRDefault="00DF2658" w:rsidP="00024DFC">
      <w:r>
        <w:t>T</w:t>
      </w:r>
      <w:r w:rsidR="00C3458E">
        <w:t xml:space="preserve">he ESEA </w:t>
      </w:r>
      <w:r>
        <w:t xml:space="preserve">requires each State </w:t>
      </w:r>
      <w:r w:rsidR="001928D1" w:rsidRPr="00BE6CC6">
        <w:t xml:space="preserve">to develop a statewide system of </w:t>
      </w:r>
      <w:r w:rsidR="00BE6CC6" w:rsidRPr="004A416D">
        <w:t>accountability for</w:t>
      </w:r>
      <w:r w:rsidR="001928D1" w:rsidRPr="00BE6CC6" w:rsidDel="00BE6CC6">
        <w:t xml:space="preserve"> a</w:t>
      </w:r>
      <w:r w:rsidR="001928D1" w:rsidRPr="00BE6CC6">
        <w:t xml:space="preserve">ll public </w:t>
      </w:r>
      <w:r w:rsidR="00BE6CC6">
        <w:t xml:space="preserve">elementary and secondary </w:t>
      </w:r>
      <w:r w:rsidR="001928D1" w:rsidRPr="00BE6CC6">
        <w:t>schools to improve student academic achievement and school success</w:t>
      </w:r>
      <w:r>
        <w:t>, but provides broad discretion to a State in the design of the accountability system</w:t>
      </w:r>
      <w:r w:rsidR="008534B5">
        <w:t>.</w:t>
      </w:r>
      <w:r w:rsidR="001928D1" w:rsidRPr="00BE6CC6">
        <w:t xml:space="preserve"> </w:t>
      </w:r>
      <w:proofErr w:type="gramStart"/>
      <w:r w:rsidR="00C3458E" w:rsidRPr="004A416D">
        <w:t>(ESEA section 1111(c)).</w:t>
      </w:r>
      <w:proofErr w:type="gramEnd"/>
      <w:r w:rsidR="001928D1" w:rsidRPr="004A416D">
        <w:t xml:space="preserve"> </w:t>
      </w:r>
      <w:r w:rsidR="00425280">
        <w:t xml:space="preserve">A State’s system includes indicators that measure academic achievement, </w:t>
      </w:r>
      <w:r>
        <w:t xml:space="preserve">another </w:t>
      </w:r>
      <w:r>
        <w:lastRenderedPageBreak/>
        <w:t>academic measure</w:t>
      </w:r>
      <w:r w:rsidR="00564D46">
        <w:t xml:space="preserve">, </w:t>
      </w:r>
      <w:r w:rsidR="00425280">
        <w:t xml:space="preserve">graduation rates, </w:t>
      </w:r>
      <w:r w:rsidR="009069AC">
        <w:t xml:space="preserve">the </w:t>
      </w:r>
      <w:r w:rsidR="00425280">
        <w:t xml:space="preserve">progress of English learners in achieving English </w:t>
      </w:r>
      <w:r w:rsidR="005232F5">
        <w:t xml:space="preserve">language </w:t>
      </w:r>
      <w:r w:rsidR="00425280">
        <w:t xml:space="preserve">proficiency, and school quality or </w:t>
      </w:r>
      <w:r w:rsidR="00CC7103">
        <w:t xml:space="preserve">student </w:t>
      </w:r>
      <w:r w:rsidR="00425280">
        <w:t xml:space="preserve">success. </w:t>
      </w:r>
      <w:r w:rsidR="003B4A2F">
        <w:t>While the ESEA lays out some specifics for State accountability system</w:t>
      </w:r>
      <w:r w:rsidR="003F260A">
        <w:t>s</w:t>
      </w:r>
      <w:r w:rsidR="003B4A2F">
        <w:t xml:space="preserve">, </w:t>
      </w:r>
      <w:r w:rsidR="003F260A">
        <w:t xml:space="preserve">each </w:t>
      </w:r>
      <w:r w:rsidR="003B4A2F">
        <w:t xml:space="preserve">State has discretion to determine how </w:t>
      </w:r>
      <w:r w:rsidR="00564D46">
        <w:t xml:space="preserve">certain </w:t>
      </w:r>
      <w:r w:rsidR="003B4A2F">
        <w:t>measures are calculated and how many measures to include</w:t>
      </w:r>
      <w:r w:rsidR="009069AC">
        <w:t xml:space="preserve"> in order </w:t>
      </w:r>
      <w:proofErr w:type="gramStart"/>
      <w:r w:rsidR="009069AC">
        <w:t>to evaluate</w:t>
      </w:r>
      <w:proofErr w:type="gramEnd"/>
      <w:r w:rsidR="009069AC">
        <w:t xml:space="preserve"> school performance. </w:t>
      </w:r>
      <w:r w:rsidR="00902A80">
        <w:t>Specifically</w:t>
      </w:r>
      <w:r w:rsidR="00341E12">
        <w:t>, each State has discretion to determine a valid and reliable other academic indicator</w:t>
      </w:r>
      <w:r w:rsidR="00BF72EE">
        <w:t xml:space="preserve"> (e.g.</w:t>
      </w:r>
      <w:r w:rsidR="005A49AE">
        <w:t>,</w:t>
      </w:r>
      <w:r w:rsidR="00BF72EE">
        <w:t xml:space="preserve"> student growth) </w:t>
      </w:r>
      <w:r w:rsidR="00341E12">
        <w:t>as well as discretion to determine how many indicators of school quality or student success</w:t>
      </w:r>
      <w:r w:rsidR="00BF72EE">
        <w:t xml:space="preserve"> (e.g.</w:t>
      </w:r>
      <w:r w:rsidR="005A49AE">
        <w:t>,</w:t>
      </w:r>
      <w:r w:rsidR="00BF72EE">
        <w:t xml:space="preserve"> educator engagement) </w:t>
      </w:r>
      <w:r w:rsidR="00341E12">
        <w:t xml:space="preserve">it will include in its system and what those indicators will be. </w:t>
      </w:r>
    </w:p>
    <w:p w14:paraId="6B6754BA" w14:textId="6BD59B14" w:rsidR="001928D1" w:rsidRPr="001928D1" w:rsidRDefault="00296DF0" w:rsidP="00024DFC">
      <w:r w:rsidRPr="004A416D">
        <w:t>A</w:t>
      </w:r>
      <w:r>
        <w:t xml:space="preserve"> State’s</w:t>
      </w:r>
      <w:r w:rsidR="001928D1" w:rsidRPr="00BE6CC6">
        <w:t xml:space="preserve"> </w:t>
      </w:r>
      <w:r w:rsidR="00425280">
        <w:t xml:space="preserve">accountability </w:t>
      </w:r>
      <w:r w:rsidR="001928D1" w:rsidRPr="00BE6CC6">
        <w:t>system</w:t>
      </w:r>
      <w:r>
        <w:t xml:space="preserve"> </w:t>
      </w:r>
      <w:r w:rsidR="001928D1" w:rsidRPr="00BE6CC6">
        <w:t>must be used to identify schools for comprehensive</w:t>
      </w:r>
      <w:r w:rsidR="00C9503E">
        <w:t xml:space="preserve">, targeted, and additional targeted support and improvement, </w:t>
      </w:r>
      <w:r w:rsidR="00341E12">
        <w:t>but a State has discretion to determine precisely how it will design its system, including how it will combine all of the indicators, to identify schools</w:t>
      </w:r>
      <w:r w:rsidR="004A416D">
        <w:t xml:space="preserve"> (ESEA section</w:t>
      </w:r>
      <w:r w:rsidR="00425280">
        <w:t>s</w:t>
      </w:r>
      <w:r w:rsidR="004A416D">
        <w:t xml:space="preserve"> 1111(c)(4)</w:t>
      </w:r>
      <w:r w:rsidR="00425280">
        <w:t>(C),</w:t>
      </w:r>
      <w:r w:rsidR="000F14A9">
        <w:t xml:space="preserve"> </w:t>
      </w:r>
      <w:r w:rsidR="004A416D">
        <w:t>(D)</w:t>
      </w:r>
      <w:r w:rsidR="00425280">
        <w:t>; 1111(d)(2)</w:t>
      </w:r>
      <w:r w:rsidR="004A416D">
        <w:t>)</w:t>
      </w:r>
      <w:r w:rsidR="001928D1" w:rsidRPr="004A416D">
        <w:t>.</w:t>
      </w:r>
      <w:r w:rsidR="001928D1" w:rsidRPr="00BE6CC6">
        <w:t xml:space="preserve"> </w:t>
      </w:r>
    </w:p>
    <w:p w14:paraId="29991AF5" w14:textId="2C9C5292" w:rsidR="00925D23" w:rsidRPr="001D38E8" w:rsidRDefault="00925D23" w:rsidP="00925D23">
      <w:pPr>
        <w:pStyle w:val="ListParagraph"/>
        <w:ind w:left="0"/>
        <w:contextualSpacing w:val="0"/>
      </w:pPr>
      <w:r>
        <w:t xml:space="preserve">The ESEA contains a number of specific areas of flexibility with respect to </w:t>
      </w:r>
      <w:r w:rsidR="00425280">
        <w:t>statewide accountability systems:</w:t>
      </w:r>
    </w:p>
    <w:p w14:paraId="65EE37D2" w14:textId="5826A586" w:rsidR="007E5CFE" w:rsidRPr="004E4E98" w:rsidRDefault="007E5CFE" w:rsidP="00070F94">
      <w:pPr>
        <w:pStyle w:val="ListParagraph"/>
        <w:numPr>
          <w:ilvl w:val="0"/>
          <w:numId w:val="22"/>
        </w:numPr>
        <w:spacing w:line="240" w:lineRule="auto"/>
        <w:contextualSpacing w:val="0"/>
        <w:rPr>
          <w:b/>
        </w:rPr>
      </w:pPr>
      <w:r w:rsidRPr="004E4E98">
        <w:rPr>
          <w:b/>
        </w:rPr>
        <w:t>Exception for Recently Arrived English Learners (ESEA section 1111(b)(3)</w:t>
      </w:r>
      <w:r w:rsidR="00725B68" w:rsidRPr="004E4E98">
        <w:rPr>
          <w:b/>
        </w:rPr>
        <w:t>(A)</w:t>
      </w:r>
      <w:r w:rsidRPr="004E4E98">
        <w:rPr>
          <w:b/>
        </w:rPr>
        <w:t>)</w:t>
      </w:r>
    </w:p>
    <w:p w14:paraId="42E6C37F" w14:textId="176A6245" w:rsidR="001928D1" w:rsidRDefault="009E4F5D" w:rsidP="00024DFC">
      <w:r>
        <w:t xml:space="preserve">A State has the flexibility to </w:t>
      </w:r>
      <w:r w:rsidR="0077794E">
        <w:t xml:space="preserve">determine </w:t>
      </w:r>
      <w:r w:rsidR="001928D1">
        <w:t>how to include</w:t>
      </w:r>
      <w:r w:rsidR="008B3AD6">
        <w:t xml:space="preserve"> in its </w:t>
      </w:r>
      <w:r w:rsidR="00DD176F">
        <w:t>s</w:t>
      </w:r>
      <w:r w:rsidR="008B3AD6">
        <w:t>tatewide accountability</w:t>
      </w:r>
      <w:r w:rsidR="001928D1">
        <w:t xml:space="preserve"> </w:t>
      </w:r>
      <w:r w:rsidR="008B3AD6">
        <w:t xml:space="preserve">system </w:t>
      </w:r>
      <w:r w:rsidR="001928D1">
        <w:t xml:space="preserve">recently </w:t>
      </w:r>
      <w:proofErr w:type="gramStart"/>
      <w:r w:rsidR="001928D1">
        <w:t>arrived</w:t>
      </w:r>
      <w:proofErr w:type="gramEnd"/>
      <w:r w:rsidR="001928D1">
        <w:t xml:space="preserve"> English learners </w:t>
      </w:r>
      <w:r w:rsidR="004A2583">
        <w:t>who</w:t>
      </w:r>
      <w:r w:rsidR="001928D1">
        <w:t xml:space="preserve"> have been enrolled in a school in</w:t>
      </w:r>
      <w:r w:rsidR="000F14A9">
        <w:t xml:space="preserve"> one of the 50 States in</w:t>
      </w:r>
      <w:r w:rsidR="001928D1">
        <w:t xml:space="preserve"> the United States or the District of Columbia for less than 12 mo</w:t>
      </w:r>
      <w:r w:rsidR="00FB380A">
        <w:t>nths. This flexibility allows a</w:t>
      </w:r>
      <w:r w:rsidR="00DB0B63">
        <w:t xml:space="preserve"> State </w:t>
      </w:r>
      <w:r w:rsidR="001928D1">
        <w:t xml:space="preserve">to choose </w:t>
      </w:r>
      <w:r w:rsidR="0077794E">
        <w:t xml:space="preserve">either </w:t>
      </w:r>
      <w:r w:rsidR="005A49AE">
        <w:t xml:space="preserve">to </w:t>
      </w:r>
      <w:r w:rsidR="0077794E">
        <w:t xml:space="preserve">include recently arrived English learners </w:t>
      </w:r>
      <w:r w:rsidR="000F14A9">
        <w:t xml:space="preserve">in its accountability system </w:t>
      </w:r>
      <w:r w:rsidR="0077794E">
        <w:t>like all other English learners or to choose among three exceptions</w:t>
      </w:r>
      <w:r w:rsidR="001928D1">
        <w:t xml:space="preserve">: </w:t>
      </w:r>
    </w:p>
    <w:p w14:paraId="29E6AC2A" w14:textId="3BE5238D" w:rsidR="001928D1" w:rsidRDefault="001928D1" w:rsidP="00024DFC">
      <w:pPr>
        <w:pStyle w:val="ListParagraph"/>
        <w:numPr>
          <w:ilvl w:val="0"/>
          <w:numId w:val="7"/>
        </w:numPr>
        <w:contextualSpacing w:val="0"/>
      </w:pPr>
      <w:r>
        <w:t>Exclude a recently arrived English learner from one administration of the statewide reading or language arts assessment and</w:t>
      </w:r>
      <w:r w:rsidR="007D5759">
        <w:t>,</w:t>
      </w:r>
      <w:r>
        <w:t xml:space="preserve"> for any other required statewide assessment, report the results of that student but do not include the results of that student in the </w:t>
      </w:r>
      <w:r w:rsidR="00DD176F">
        <w:t>s</w:t>
      </w:r>
      <w:r>
        <w:t>tat</w:t>
      </w:r>
      <w:r w:rsidR="008146C1">
        <w:t>ewide</w:t>
      </w:r>
      <w:r>
        <w:t xml:space="preserve"> accountability system; OR</w:t>
      </w:r>
    </w:p>
    <w:p w14:paraId="1167969C" w14:textId="2ED0A76E" w:rsidR="001928D1" w:rsidRDefault="001928D1" w:rsidP="00024DFC">
      <w:pPr>
        <w:pStyle w:val="ListParagraph"/>
        <w:numPr>
          <w:ilvl w:val="0"/>
          <w:numId w:val="7"/>
        </w:numPr>
        <w:contextualSpacing w:val="0"/>
      </w:pPr>
      <w:r>
        <w:t>Assess and repor</w:t>
      </w:r>
      <w:r w:rsidR="000F14A9">
        <w:t xml:space="preserve">t the performance of a recently </w:t>
      </w:r>
      <w:r>
        <w:t>arrived English learner on the reading or language arts and mathematics assessments</w:t>
      </w:r>
      <w:r w:rsidR="00D93F24">
        <w:t xml:space="preserve"> beginning in the first year</w:t>
      </w:r>
      <w:r>
        <w:t xml:space="preserve"> of the student’s enrollment in a school</w:t>
      </w:r>
      <w:r w:rsidR="0070010C">
        <w:t>, and,</w:t>
      </w:r>
      <w:r w:rsidDel="0070010C">
        <w:t xml:space="preserve"> </w:t>
      </w:r>
      <w:r>
        <w:t>in the second year, include a measure of student growth</w:t>
      </w:r>
      <w:r w:rsidR="0070010C">
        <w:t xml:space="preserve"> (but not proficiency)</w:t>
      </w:r>
      <w:r>
        <w:t xml:space="preserve"> on the reading or language arts and</w:t>
      </w:r>
      <w:r w:rsidDel="0070010C">
        <w:t xml:space="preserve"> </w:t>
      </w:r>
      <w:r>
        <w:t>mathematics</w:t>
      </w:r>
      <w:r w:rsidR="0070010C">
        <w:t xml:space="preserve"> assessments</w:t>
      </w:r>
      <w:r>
        <w:t xml:space="preserve"> in the </w:t>
      </w:r>
      <w:r w:rsidR="00A325A8">
        <w:t>s</w:t>
      </w:r>
      <w:r>
        <w:t>tate</w:t>
      </w:r>
      <w:r w:rsidR="008146C1">
        <w:t>wide</w:t>
      </w:r>
      <w:r>
        <w:t xml:space="preserve"> accountability system; OR</w:t>
      </w:r>
    </w:p>
    <w:p w14:paraId="58AECB89" w14:textId="56994798" w:rsidR="001928D1" w:rsidRPr="001928D1" w:rsidRDefault="0077794E" w:rsidP="00024DFC">
      <w:pPr>
        <w:pStyle w:val="ListParagraph"/>
        <w:numPr>
          <w:ilvl w:val="0"/>
          <w:numId w:val="7"/>
        </w:numPr>
        <w:contextualSpacing w:val="0"/>
      </w:pPr>
      <w:r>
        <w:t>Apply</w:t>
      </w:r>
      <w:r w:rsidR="001928D1" w:rsidRPr="001928D1">
        <w:t xml:space="preserve"> both exceptions and</w:t>
      </w:r>
      <w:r w:rsidR="007D5759">
        <w:t>,</w:t>
      </w:r>
      <w:r w:rsidR="001928D1" w:rsidRPr="001928D1">
        <w:t xml:space="preserve"> in the State plan, describe how the</w:t>
      </w:r>
      <w:r w:rsidR="00DB0B63">
        <w:t xml:space="preserve"> State</w:t>
      </w:r>
      <w:r w:rsidR="001928D1" w:rsidRPr="001928D1">
        <w:t xml:space="preserve"> will apply each exception to recently arrived English learners across the State. </w:t>
      </w:r>
      <w:r w:rsidR="009E4F5D">
        <w:t>(ESEA section 1111(b</w:t>
      </w:r>
      <w:proofErr w:type="gramStart"/>
      <w:r w:rsidR="009E4F5D">
        <w:t>)(</w:t>
      </w:r>
      <w:proofErr w:type="gramEnd"/>
      <w:r w:rsidR="009E4F5D">
        <w:t>3)(A))</w:t>
      </w:r>
      <w:r w:rsidR="00116A57">
        <w:t>.</w:t>
      </w:r>
    </w:p>
    <w:p w14:paraId="5E6E0078" w14:textId="003D9633" w:rsidR="00725B68" w:rsidRPr="004E4E98" w:rsidRDefault="00725B68" w:rsidP="00070F94">
      <w:pPr>
        <w:pStyle w:val="ListParagraph"/>
        <w:numPr>
          <w:ilvl w:val="0"/>
          <w:numId w:val="22"/>
        </w:numPr>
        <w:spacing w:line="240" w:lineRule="auto"/>
        <w:contextualSpacing w:val="0"/>
        <w:rPr>
          <w:b/>
        </w:rPr>
      </w:pPr>
      <w:r w:rsidRPr="004E4E98">
        <w:rPr>
          <w:b/>
        </w:rPr>
        <w:t>English Learner Subgroup (Former English Learners) (ESEA section 1111(b)(3)(B))</w:t>
      </w:r>
    </w:p>
    <w:p w14:paraId="77443DB5" w14:textId="5A323E4D" w:rsidR="001928D1" w:rsidRPr="008D652B" w:rsidRDefault="000F207E" w:rsidP="00024DFC">
      <w:r>
        <w:lastRenderedPageBreak/>
        <w:t>A</w:t>
      </w:r>
      <w:r w:rsidR="001928D1" w:rsidRPr="008D652B">
        <w:t xml:space="preserve"> S</w:t>
      </w:r>
      <w:r>
        <w:t>tate also has the flexibility</w:t>
      </w:r>
      <w:r w:rsidR="001928D1" w:rsidRPr="008D652B">
        <w:t xml:space="preserve"> to include </w:t>
      </w:r>
      <w:r w:rsidR="004F5BA5">
        <w:t xml:space="preserve">the results of </w:t>
      </w:r>
      <w:r w:rsidR="001928D1" w:rsidRPr="008D652B">
        <w:t xml:space="preserve">students </w:t>
      </w:r>
      <w:r w:rsidR="00902A80">
        <w:t>who</w:t>
      </w:r>
      <w:r w:rsidR="001928D1" w:rsidRPr="008D652B">
        <w:t xml:space="preserve"> were previously identified as English learners and have exited English learner status</w:t>
      </w:r>
      <w:r w:rsidR="004F5BA5">
        <w:t xml:space="preserve"> on the statewide reading or language arts and mathematics assessments</w:t>
      </w:r>
      <w:r w:rsidR="001928D1" w:rsidRPr="008D652B">
        <w:t xml:space="preserve"> in the English learner student subgroup for no more than four years in the State-determined system of annual meaningful differentiation. This allows a </w:t>
      </w:r>
      <w:r w:rsidR="004F5BA5">
        <w:t>State to determine the number of years (up to four) that a former English learner who has already achieved English language proficiency will have his or her scores on the reading or language arts and mathematics assessments count for purposes of determining the performance of the English learner subgroup in a school within the statewide accountability system</w:t>
      </w:r>
      <w:r w:rsidR="001928D1" w:rsidRPr="008D652B">
        <w:t xml:space="preserve">. </w:t>
      </w:r>
      <w:r>
        <w:t>(ESEA section 1111(b</w:t>
      </w:r>
      <w:proofErr w:type="gramStart"/>
      <w:r>
        <w:t>)(</w:t>
      </w:r>
      <w:proofErr w:type="gramEnd"/>
      <w:r>
        <w:t>3)(B))</w:t>
      </w:r>
      <w:r w:rsidR="00116A57">
        <w:t>.</w:t>
      </w:r>
    </w:p>
    <w:p w14:paraId="65EE37D4" w14:textId="2E97223E" w:rsidR="007E5CFE" w:rsidRPr="00024DFC" w:rsidRDefault="007E5CFE" w:rsidP="006174E1">
      <w:pPr>
        <w:pStyle w:val="Heading2"/>
      </w:pPr>
      <w:bookmarkStart w:id="13" w:name="_Toc505772024"/>
      <w:bookmarkStart w:id="14" w:name="_Toc505772050"/>
      <w:bookmarkStart w:id="15" w:name="_Toc505772156"/>
      <w:bookmarkStart w:id="16" w:name="_Toc505775571"/>
      <w:bookmarkStart w:id="17" w:name="_Toc505777430"/>
      <w:bookmarkStart w:id="18" w:name="_Toc520885460"/>
      <w:bookmarkEnd w:id="13"/>
      <w:bookmarkEnd w:id="14"/>
      <w:bookmarkEnd w:id="15"/>
      <w:r w:rsidRPr="00FC2FE0">
        <w:t xml:space="preserve">School Support and Improvement </w:t>
      </w:r>
      <w:r w:rsidRPr="00024DFC">
        <w:t>Activities (ESEA section 1111(d))</w:t>
      </w:r>
      <w:bookmarkEnd w:id="16"/>
      <w:bookmarkEnd w:id="17"/>
      <w:bookmarkEnd w:id="18"/>
    </w:p>
    <w:p w14:paraId="65EE37D5" w14:textId="6BFEED46" w:rsidR="007E5CFE" w:rsidRPr="004E4E98" w:rsidRDefault="00DB0B63" w:rsidP="00070F94">
      <w:pPr>
        <w:pStyle w:val="ListParagraph"/>
        <w:numPr>
          <w:ilvl w:val="0"/>
          <w:numId w:val="23"/>
        </w:numPr>
        <w:spacing w:line="240" w:lineRule="auto"/>
        <w:contextualSpacing w:val="0"/>
        <w:rPr>
          <w:b/>
        </w:rPr>
      </w:pPr>
      <w:r>
        <w:rPr>
          <w:b/>
        </w:rPr>
        <w:t>State</w:t>
      </w:r>
      <w:r w:rsidR="007E5CFE" w:rsidRPr="004E4E98">
        <w:rPr>
          <w:b/>
        </w:rPr>
        <w:t xml:space="preserve"> Discretion with Respect to </w:t>
      </w:r>
      <w:r w:rsidR="002F606C" w:rsidRPr="004E4E98">
        <w:rPr>
          <w:b/>
        </w:rPr>
        <w:t xml:space="preserve">Alternative </w:t>
      </w:r>
      <w:r w:rsidR="007E5CFE" w:rsidRPr="004E4E98">
        <w:rPr>
          <w:b/>
        </w:rPr>
        <w:t>High Schools (ESEA section 1111(d)(1)(C))</w:t>
      </w:r>
    </w:p>
    <w:p w14:paraId="1F031000" w14:textId="129E33BF" w:rsidR="00E51250" w:rsidRDefault="00DB0B63" w:rsidP="00024DFC">
      <w:r>
        <w:t>A State</w:t>
      </w:r>
      <w:r w:rsidR="00200BE7">
        <w:t xml:space="preserve"> </w:t>
      </w:r>
      <w:r w:rsidR="005A7B44">
        <w:t>has</w:t>
      </w:r>
      <w:r w:rsidR="00200BE7">
        <w:t xml:space="preserve"> significant flexibility with respect to the improvement activities </w:t>
      </w:r>
      <w:r w:rsidR="005A7B44">
        <w:t>it</w:t>
      </w:r>
      <w:r w:rsidR="00200BE7">
        <w:t xml:space="preserve"> </w:t>
      </w:r>
      <w:r w:rsidR="00BB32BD">
        <w:t>may permit</w:t>
      </w:r>
      <w:r w:rsidR="00200BE7">
        <w:t xml:space="preserve"> to be implemented in </w:t>
      </w:r>
      <w:r w:rsidR="00C3461F">
        <w:t xml:space="preserve">certain </w:t>
      </w:r>
      <w:r>
        <w:t xml:space="preserve">high schools that the State </w:t>
      </w:r>
      <w:r w:rsidR="00200BE7">
        <w:t>identifies for comprehensive support and improvement based on the schools’ fail</w:t>
      </w:r>
      <w:r w:rsidR="00731EFB">
        <w:t>ure</w:t>
      </w:r>
      <w:r w:rsidR="00200BE7">
        <w:t xml:space="preserve"> to graduate one-third or more of their students.</w:t>
      </w:r>
      <w:r w:rsidR="00D95C44">
        <w:t xml:space="preserve"> </w:t>
      </w:r>
      <w:r w:rsidR="005A7B44">
        <w:t>(ESEA s</w:t>
      </w:r>
      <w:r w:rsidR="005A7B44" w:rsidRPr="00200BE7">
        <w:t>ectio</w:t>
      </w:r>
      <w:r w:rsidR="005A7B44">
        <w:t>n 1111(d</w:t>
      </w:r>
      <w:proofErr w:type="gramStart"/>
      <w:r w:rsidR="005A7B44">
        <w:t>)(</w:t>
      </w:r>
      <w:proofErr w:type="gramEnd"/>
      <w:r w:rsidR="005A7B44">
        <w:t>1)(C)(</w:t>
      </w:r>
      <w:proofErr w:type="spellStart"/>
      <w:r w:rsidR="005A7B44">
        <w:t>i</w:t>
      </w:r>
      <w:proofErr w:type="spellEnd"/>
      <w:r w:rsidR="005A7B44">
        <w:t xml:space="preserve">)). </w:t>
      </w:r>
      <w:r w:rsidR="00D95C44">
        <w:t xml:space="preserve">In particular, </w:t>
      </w:r>
      <w:r w:rsidR="00DE4440">
        <w:t>a</w:t>
      </w:r>
      <w:r>
        <w:t xml:space="preserve"> State</w:t>
      </w:r>
      <w:r w:rsidR="00DE4440">
        <w:t xml:space="preserve"> </w:t>
      </w:r>
      <w:r w:rsidR="00B26D41">
        <w:t>may</w:t>
      </w:r>
      <w:r w:rsidR="00DE4440">
        <w:t xml:space="preserve"> </w:t>
      </w:r>
      <w:r w:rsidR="00526FAE">
        <w:t>allow</w:t>
      </w:r>
      <w:r w:rsidR="00DE4440">
        <w:t xml:space="preserve"> differentiated improvement activities </w:t>
      </w:r>
      <w:r w:rsidR="00D95C44">
        <w:t>for high schools</w:t>
      </w:r>
      <w:r w:rsidR="002C5EC3">
        <w:t xml:space="preserve"> that are identified based on their graduation rate and</w:t>
      </w:r>
      <w:r w:rsidR="00D95C44">
        <w:t xml:space="preserve"> that </w:t>
      </w:r>
      <w:r w:rsidR="003D26E9">
        <w:t xml:space="preserve">predominantly serve students who are returning to education after having left school without a regular high school diploma </w:t>
      </w:r>
      <w:r w:rsidR="003D26E9" w:rsidRPr="00B67F30">
        <w:t>(i.e.</w:t>
      </w:r>
      <w:r w:rsidR="003D26E9">
        <w:t>, dropout recovery schools)</w:t>
      </w:r>
      <w:r w:rsidR="00731EFB">
        <w:t>,</w:t>
      </w:r>
      <w:r w:rsidR="003D26E9">
        <w:t xml:space="preserve"> </w:t>
      </w:r>
      <w:r w:rsidR="00DE4440">
        <w:t xml:space="preserve">as well as </w:t>
      </w:r>
      <w:r w:rsidR="00362837">
        <w:t xml:space="preserve">for </w:t>
      </w:r>
      <w:r w:rsidR="00DE4440">
        <w:t>those</w:t>
      </w:r>
      <w:r w:rsidR="003D26E9">
        <w:t xml:space="preserve"> that predominantly serve students who, based on their grade or age, are significantly off track to accumulate sufficient academic credits to meet the State’s high school graduation requirements (</w:t>
      </w:r>
      <w:r w:rsidR="008146C1" w:rsidRPr="00B67F30">
        <w:t>e.g</w:t>
      </w:r>
      <w:r w:rsidR="003D26E9" w:rsidRPr="00B67F30">
        <w:t>.</w:t>
      </w:r>
      <w:r w:rsidR="003D26E9">
        <w:t>, credit recovery programs)</w:t>
      </w:r>
      <w:r w:rsidR="00DE4440">
        <w:t xml:space="preserve">. </w:t>
      </w:r>
      <w:r w:rsidR="00B26D41">
        <w:t>(ESEA section 1111(d</w:t>
      </w:r>
      <w:proofErr w:type="gramStart"/>
      <w:r w:rsidR="00B26D41">
        <w:t>)(</w:t>
      </w:r>
      <w:proofErr w:type="gramEnd"/>
      <w:r w:rsidR="00B26D41">
        <w:t>1)(C))</w:t>
      </w:r>
      <w:r w:rsidR="00116A57">
        <w:t>.</w:t>
      </w:r>
      <w:r w:rsidR="00B26D41">
        <w:t xml:space="preserve"> </w:t>
      </w:r>
    </w:p>
    <w:p w14:paraId="0530A2B4" w14:textId="2C351E09" w:rsidR="00200BE7" w:rsidRPr="00200BE7" w:rsidRDefault="00362837" w:rsidP="00024DFC">
      <w:r>
        <w:t>In addition</w:t>
      </w:r>
      <w:r w:rsidR="00DE4440">
        <w:t xml:space="preserve">, </w:t>
      </w:r>
      <w:r w:rsidR="00DB0B63">
        <w:t>a State</w:t>
      </w:r>
      <w:r w:rsidR="00DE4440">
        <w:t xml:space="preserve"> </w:t>
      </w:r>
      <w:r w:rsidR="00343A25">
        <w:t>may</w:t>
      </w:r>
      <w:r w:rsidR="00744300">
        <w:t xml:space="preserve"> permit a district</w:t>
      </w:r>
      <w:r w:rsidR="00DE4440">
        <w:t xml:space="preserve"> to completely forego the implementation of improvement activities that would otherwise be required in the case of any dropout recovery or credit recovery high school that is identified for comprehensive support and improvement based o</w:t>
      </w:r>
      <w:r w:rsidR="000F14A9">
        <w:t>n failing to graduate</w:t>
      </w:r>
      <w:r w:rsidR="00DE4440">
        <w:t xml:space="preserve"> one-third or more of its students and has a total enrollment of less than 100 students.</w:t>
      </w:r>
      <w:r w:rsidR="003D26E9">
        <w:t xml:space="preserve"> </w:t>
      </w:r>
      <w:r w:rsidR="00343A25">
        <w:t>(</w:t>
      </w:r>
      <w:r w:rsidR="00343A25">
        <w:rPr>
          <w:i/>
        </w:rPr>
        <w:t xml:space="preserve">See </w:t>
      </w:r>
      <w:r w:rsidR="00343A25">
        <w:t>ESEA section 1111(d</w:t>
      </w:r>
      <w:proofErr w:type="gramStart"/>
      <w:r w:rsidR="00343A25">
        <w:t>)(</w:t>
      </w:r>
      <w:proofErr w:type="gramEnd"/>
      <w:r w:rsidR="00343A25">
        <w:t>1)(C)(ii))</w:t>
      </w:r>
      <w:r w:rsidR="00116A57">
        <w:t>.</w:t>
      </w:r>
    </w:p>
    <w:p w14:paraId="4E65E24B" w14:textId="108478B6" w:rsidR="003D41E4" w:rsidRPr="004E4E98" w:rsidRDefault="0035489C" w:rsidP="00070F94">
      <w:pPr>
        <w:pStyle w:val="ListParagraph"/>
        <w:numPr>
          <w:ilvl w:val="0"/>
          <w:numId w:val="23"/>
        </w:numPr>
        <w:spacing w:line="240" w:lineRule="auto"/>
        <w:contextualSpacing w:val="0"/>
        <w:rPr>
          <w:b/>
        </w:rPr>
      </w:pPr>
      <w:r w:rsidRPr="004E4E98">
        <w:rPr>
          <w:b/>
        </w:rPr>
        <w:t xml:space="preserve">School Improvement Funds (ESEA section </w:t>
      </w:r>
      <w:r w:rsidR="003D41E4" w:rsidRPr="004E4E98">
        <w:rPr>
          <w:b/>
        </w:rPr>
        <w:t>1003</w:t>
      </w:r>
      <w:r w:rsidRPr="004E4E98">
        <w:rPr>
          <w:b/>
        </w:rPr>
        <w:t>)</w:t>
      </w:r>
    </w:p>
    <w:p w14:paraId="625FD344" w14:textId="161E9BF9" w:rsidR="00E51250" w:rsidRDefault="0007514C" w:rsidP="00024DFC">
      <w:r>
        <w:t>A</w:t>
      </w:r>
      <w:r w:rsidR="00DB0B63">
        <w:t xml:space="preserve"> State</w:t>
      </w:r>
      <w:r w:rsidR="00B835B8">
        <w:t xml:space="preserve"> </w:t>
      </w:r>
      <w:r>
        <w:t>has</w:t>
      </w:r>
      <w:r w:rsidR="00B835B8">
        <w:t xml:space="preserve"> significant discretion with respect to the funds that it must reserve </w:t>
      </w:r>
      <w:r w:rsidR="00526FAE">
        <w:t xml:space="preserve">to support </w:t>
      </w:r>
      <w:r w:rsidR="00B835B8">
        <w:t xml:space="preserve">school improvement activities in schools identified for comprehensive or targeted support and improvement and for the </w:t>
      </w:r>
      <w:r w:rsidR="00DB0B63">
        <w:t>State’s</w:t>
      </w:r>
      <w:r w:rsidR="00B835B8">
        <w:t xml:space="preserve"> statewide system of technical assistance and support</w:t>
      </w:r>
      <w:r>
        <w:t xml:space="preserve"> under ESEA section 1003</w:t>
      </w:r>
      <w:r w:rsidR="00B835B8">
        <w:t>.</w:t>
      </w:r>
      <w:r w:rsidR="004810F7">
        <w:t xml:space="preserve"> </w:t>
      </w:r>
    </w:p>
    <w:p w14:paraId="61B299DB" w14:textId="7D6BC4CF" w:rsidR="00E51250" w:rsidRDefault="00E51250" w:rsidP="00F72B4F">
      <w:r>
        <w:t>First,</w:t>
      </w:r>
      <w:r w:rsidR="004810F7">
        <w:t xml:space="preserve"> </w:t>
      </w:r>
      <w:r w:rsidR="00C21447">
        <w:t>a</w:t>
      </w:r>
      <w:r w:rsidR="00DB0B63">
        <w:t xml:space="preserve"> State</w:t>
      </w:r>
      <w:r w:rsidR="00C21447">
        <w:t xml:space="preserve"> </w:t>
      </w:r>
      <w:r w:rsidR="00002B69">
        <w:t>has</w:t>
      </w:r>
      <w:r w:rsidR="00C21447">
        <w:t xml:space="preserve"> </w:t>
      </w:r>
      <w:r w:rsidR="004810F7">
        <w:t>the flexibility to decide whether to distribute those funds on a formula or competitive basis.</w:t>
      </w:r>
      <w:r w:rsidR="00D93A3D">
        <w:t xml:space="preserve"> </w:t>
      </w:r>
      <w:proofErr w:type="gramStart"/>
      <w:r w:rsidR="00002B69">
        <w:t>(ESEA section 1003(b))</w:t>
      </w:r>
      <w:r w:rsidR="00116A57">
        <w:t>.</w:t>
      </w:r>
      <w:proofErr w:type="gramEnd"/>
      <w:r w:rsidR="00002B69">
        <w:t xml:space="preserve"> </w:t>
      </w:r>
    </w:p>
    <w:p w14:paraId="7DC3E528" w14:textId="2A6A3189" w:rsidR="00E51250" w:rsidRDefault="00E51250" w:rsidP="00F72B4F">
      <w:r>
        <w:t>Second</w:t>
      </w:r>
      <w:r w:rsidR="00C21447">
        <w:t xml:space="preserve">, </w:t>
      </w:r>
      <w:r w:rsidR="00D93A3D">
        <w:t>a</w:t>
      </w:r>
      <w:r w:rsidR="00DB0B63">
        <w:t xml:space="preserve"> State</w:t>
      </w:r>
      <w:r w:rsidR="00D93A3D">
        <w:t xml:space="preserve"> </w:t>
      </w:r>
      <w:r w:rsidR="00002B69">
        <w:t>has</w:t>
      </w:r>
      <w:r w:rsidR="00C21447">
        <w:t xml:space="preserve"> the</w:t>
      </w:r>
      <w:r w:rsidR="00D93A3D">
        <w:t xml:space="preserve"> discretion to determine the length of the </w:t>
      </w:r>
      <w:proofErr w:type="spellStart"/>
      <w:r w:rsidR="00D93A3D">
        <w:t>subgrants</w:t>
      </w:r>
      <w:proofErr w:type="spellEnd"/>
      <w:r w:rsidR="00D93A3D">
        <w:t xml:space="preserve"> it awards, up to a period of four years. </w:t>
      </w:r>
      <w:proofErr w:type="gramStart"/>
      <w:r w:rsidR="00002B69">
        <w:t>(ESEA section 1003(c))</w:t>
      </w:r>
      <w:r w:rsidR="00116A57">
        <w:t>.</w:t>
      </w:r>
      <w:proofErr w:type="gramEnd"/>
      <w:r w:rsidR="00D93A3D">
        <w:t xml:space="preserve"> </w:t>
      </w:r>
    </w:p>
    <w:p w14:paraId="5CDBA294" w14:textId="65358F58" w:rsidR="00C21447" w:rsidRDefault="00DB0B63" w:rsidP="00F72B4F">
      <w:r>
        <w:lastRenderedPageBreak/>
        <w:t>Third, a State</w:t>
      </w:r>
      <w:r w:rsidR="00C21447">
        <w:t xml:space="preserve"> has the discretion to determine the information it will require in </w:t>
      </w:r>
      <w:r w:rsidR="00744300">
        <w:t>a district’s</w:t>
      </w:r>
      <w:r w:rsidR="00C21447">
        <w:t xml:space="preserve"> application for school improvement funds beyond the minimal information required by </w:t>
      </w:r>
      <w:r w:rsidR="00E527FB">
        <w:t>statute</w:t>
      </w:r>
      <w:r w:rsidR="00C21447">
        <w:t xml:space="preserve">. </w:t>
      </w:r>
      <w:proofErr w:type="gramStart"/>
      <w:r w:rsidR="00E527FB">
        <w:t>(ESEA section 1003(e)).</w:t>
      </w:r>
      <w:proofErr w:type="gramEnd"/>
      <w:r w:rsidR="00C21447">
        <w:t xml:space="preserve"> If a</w:t>
      </w:r>
      <w:r>
        <w:t xml:space="preserve"> State</w:t>
      </w:r>
      <w:r w:rsidR="00C21447">
        <w:t xml:space="preserve"> determines that the amount of funds it res</w:t>
      </w:r>
      <w:r w:rsidR="004E1E5F">
        <w:t>erves under ESEA section 1003</w:t>
      </w:r>
      <w:r w:rsidR="00C21447">
        <w:t xml:space="preserve"> is greater than the amount needed to serve schools identified for comprehensive or targeted support and improvement, the </w:t>
      </w:r>
      <w:r>
        <w:t>State</w:t>
      </w:r>
      <w:r w:rsidR="00C21447">
        <w:t xml:space="preserve"> must a</w:t>
      </w:r>
      <w:r w:rsidR="00744300">
        <w:t>llocate the excess amount to districts</w:t>
      </w:r>
      <w:r w:rsidR="00C21447">
        <w:t xml:space="preserve">, but has the flexibility to make that allocation either based on the relative allocations </w:t>
      </w:r>
      <w:r>
        <w:t>of Title I, Part A funds the State</w:t>
      </w:r>
      <w:r w:rsidR="00744300">
        <w:t xml:space="preserve"> made to district</w:t>
      </w:r>
      <w:r w:rsidR="00C21447">
        <w:t xml:space="preserve">s for that fiscal year, or in accordance with any other criteria established by </w:t>
      </w:r>
      <w:r>
        <w:t>the State</w:t>
      </w:r>
      <w:r w:rsidR="00F04F07">
        <w:t>.</w:t>
      </w:r>
      <w:r w:rsidR="00C21447">
        <w:t xml:space="preserve"> </w:t>
      </w:r>
      <w:proofErr w:type="gramStart"/>
      <w:r w:rsidR="00C21447">
        <w:t>(ESEA section 1003(g))</w:t>
      </w:r>
      <w:r w:rsidR="00116A57">
        <w:t>.</w:t>
      </w:r>
      <w:proofErr w:type="gramEnd"/>
    </w:p>
    <w:p w14:paraId="65EE37D7" w14:textId="16874AAA" w:rsidR="00AF292F" w:rsidRDefault="00AF292F" w:rsidP="006174E1">
      <w:pPr>
        <w:pStyle w:val="Heading2"/>
      </w:pPr>
      <w:bookmarkStart w:id="19" w:name="_Toc505775572"/>
      <w:bookmarkStart w:id="20" w:name="_Toc505777431"/>
      <w:bookmarkStart w:id="21" w:name="_Toc520885461"/>
      <w:r w:rsidRPr="00FC2FE0">
        <w:t>Direct Student Services (ESEA section 1003A)</w:t>
      </w:r>
      <w:bookmarkEnd w:id="19"/>
      <w:bookmarkEnd w:id="20"/>
      <w:bookmarkEnd w:id="21"/>
    </w:p>
    <w:p w14:paraId="4AEA2767" w14:textId="13F67E00" w:rsidR="00BF72EE" w:rsidRPr="00BF72EE" w:rsidRDefault="00BF72EE" w:rsidP="00BF72EE">
      <w:pPr>
        <w:ind w:left="360"/>
        <w:rPr>
          <w:i/>
        </w:rPr>
      </w:pPr>
      <w:r>
        <w:rPr>
          <w:i/>
        </w:rPr>
        <w:t xml:space="preserve">State Flexibilities </w:t>
      </w:r>
    </w:p>
    <w:p w14:paraId="3167F592" w14:textId="4CFC40DB" w:rsidR="00D765DC" w:rsidRDefault="00997356" w:rsidP="00024DFC">
      <w:r>
        <w:t>A</w:t>
      </w:r>
      <w:r w:rsidR="00DB0B63">
        <w:t xml:space="preserve"> State</w:t>
      </w:r>
      <w:r w:rsidR="00D765DC">
        <w:t xml:space="preserve"> </w:t>
      </w:r>
      <w:r>
        <w:t>has the</w:t>
      </w:r>
      <w:r w:rsidR="00D765DC">
        <w:t xml:space="preserve"> flexibility to determine whether to reserve a portion </w:t>
      </w:r>
      <w:r w:rsidR="003124EC">
        <w:t xml:space="preserve">(up to three percent) </w:t>
      </w:r>
      <w:r w:rsidR="00D765DC">
        <w:t>of its Title I, Part A funds to support direct student services.</w:t>
      </w:r>
      <w:r w:rsidR="009A62FD">
        <w:t xml:space="preserve"> </w:t>
      </w:r>
      <w:proofErr w:type="gramStart"/>
      <w:r w:rsidR="003124EC">
        <w:t>(ESEA section 1003A)</w:t>
      </w:r>
      <w:r w:rsidR="00D765DC">
        <w:t>.</w:t>
      </w:r>
      <w:proofErr w:type="gramEnd"/>
      <w:r w:rsidR="009A62FD">
        <w:t xml:space="preserve"> Consistent with the general parameters established in ESEA section </w:t>
      </w:r>
      <w:proofErr w:type="gramStart"/>
      <w:r w:rsidR="009A62FD">
        <w:t>1003A(</w:t>
      </w:r>
      <w:proofErr w:type="gramEnd"/>
      <w:r w:rsidR="009A62FD">
        <w:t>b)(2) for how awards are to be prioritized, a</w:t>
      </w:r>
      <w:r w:rsidR="00DB0B63">
        <w:t xml:space="preserve"> State</w:t>
      </w:r>
      <w:r w:rsidR="009A62FD">
        <w:t xml:space="preserve"> has discretion to determine how it will award any funds that it does choose to reserve under this provision. To that end, under </w:t>
      </w:r>
      <w:r w:rsidR="00DB0B63">
        <w:t xml:space="preserve">ESEA section </w:t>
      </w:r>
      <w:proofErr w:type="gramStart"/>
      <w:r w:rsidR="00DB0B63">
        <w:t>1003A(</w:t>
      </w:r>
      <w:proofErr w:type="gramEnd"/>
      <w:r w:rsidR="00DB0B63">
        <w:t xml:space="preserve">d), a State </w:t>
      </w:r>
      <w:r w:rsidR="009A62FD">
        <w:t>has the discretion to determine the information i</w:t>
      </w:r>
      <w:r w:rsidR="00744300">
        <w:t>t will require in a district</w:t>
      </w:r>
      <w:r w:rsidR="009A62FD">
        <w:t>’s application for funds for direct student services, beyond the minimal information required by that provision</w:t>
      </w:r>
      <w:r w:rsidR="008826BC">
        <w:t>.</w:t>
      </w:r>
      <w:r w:rsidR="009A62FD">
        <w:t xml:space="preserve"> Further, under ESEA secti</w:t>
      </w:r>
      <w:r w:rsidR="00744300">
        <w:t>on 1</w:t>
      </w:r>
      <w:r w:rsidR="004E1E5F">
        <w:t xml:space="preserve">003A(c) and </w:t>
      </w:r>
      <w:proofErr w:type="gramStart"/>
      <w:r w:rsidR="004E1E5F">
        <w:t>1003A(</w:t>
      </w:r>
      <w:proofErr w:type="gramEnd"/>
      <w:r w:rsidR="004E1E5F">
        <w:t>d), a distric</w:t>
      </w:r>
      <w:r w:rsidR="00744300">
        <w:t>t</w:t>
      </w:r>
      <w:r w:rsidR="009A62FD">
        <w:t xml:space="preserve"> has discretion to determine</w:t>
      </w:r>
      <w:r w:rsidR="00D765DC">
        <w:t xml:space="preserve"> </w:t>
      </w:r>
      <w:r w:rsidR="009A62FD">
        <w:t>whether it will apply for these funds and, if so, the direct student services for which it will seek the funds.</w:t>
      </w:r>
    </w:p>
    <w:p w14:paraId="6CC088F9" w14:textId="0450E8DB" w:rsidR="00947DDD" w:rsidRDefault="005315DC" w:rsidP="00024DFC">
      <w:r>
        <w:t>If a State chooses to take advantage of this flexibility</w:t>
      </w:r>
      <w:r w:rsidR="004E1E5F">
        <w:t>,</w:t>
      </w:r>
      <w:r>
        <w:t xml:space="preserve"> a</w:t>
      </w:r>
      <w:r w:rsidR="00744300">
        <w:t xml:space="preserve"> district</w:t>
      </w:r>
      <w:r w:rsidR="00947DDD">
        <w:t xml:space="preserve"> may use up to one percent of its award under section 1003A for outreach and communications to parents about available di</w:t>
      </w:r>
      <w:r w:rsidR="00744300">
        <w:t>rect student services in the district</w:t>
      </w:r>
      <w:r w:rsidR="00947DDD">
        <w:t xml:space="preserve"> and State, and up to two percent of its award for administrative costs related to such direct student services. </w:t>
      </w:r>
      <w:r w:rsidR="002C5EC3">
        <w:t>(ESEA section 1003A(c</w:t>
      </w:r>
      <w:proofErr w:type="gramStart"/>
      <w:r w:rsidR="002C5EC3">
        <w:t>)(</w:t>
      </w:r>
      <w:proofErr w:type="gramEnd"/>
      <w:r w:rsidR="002C5EC3">
        <w:t>1), (2))</w:t>
      </w:r>
      <w:r w:rsidR="00116A57">
        <w:t>.</w:t>
      </w:r>
    </w:p>
    <w:p w14:paraId="724C88D5" w14:textId="5BF7CB53" w:rsidR="00BF72EE" w:rsidRPr="00BF72EE" w:rsidRDefault="00BF72EE" w:rsidP="00024DFC">
      <w:pPr>
        <w:rPr>
          <w:i/>
        </w:rPr>
      </w:pPr>
      <w:r>
        <w:tab/>
      </w:r>
      <w:r>
        <w:rPr>
          <w:i/>
        </w:rPr>
        <w:t xml:space="preserve">District Flexibilities </w:t>
      </w:r>
    </w:p>
    <w:p w14:paraId="7E2BDAD4" w14:textId="2F01BE20" w:rsidR="00E51250" w:rsidRDefault="00744300" w:rsidP="00024DFC">
      <w:r>
        <w:t>A district</w:t>
      </w:r>
      <w:r w:rsidR="00947DDD">
        <w:t xml:space="preserve"> may support different student services in different schools based on the needs of the students in each school. </w:t>
      </w:r>
      <w:r w:rsidR="00E51250">
        <w:t xml:space="preserve">Examples of direct student services include: credit recovery, enrollment in academic courses not otherwise available in a particular school, academic acceleration courses, </w:t>
      </w:r>
      <w:r w:rsidR="00144CA7">
        <w:t xml:space="preserve">components of a personalized learning approach, </w:t>
      </w:r>
      <w:r w:rsidR="00947DDD">
        <w:t xml:space="preserve">and </w:t>
      </w:r>
      <w:r w:rsidR="00E51250">
        <w:t>assistance for A</w:t>
      </w:r>
      <w:r w:rsidR="00DD27D9">
        <w:t xml:space="preserve">dvanced </w:t>
      </w:r>
      <w:r w:rsidR="00E51250">
        <w:t>P</w:t>
      </w:r>
      <w:r w:rsidR="00DD27D9">
        <w:t>lacement</w:t>
      </w:r>
      <w:r w:rsidR="00E51250">
        <w:t xml:space="preserve"> and </w:t>
      </w:r>
      <w:r w:rsidR="00DD27D9">
        <w:t>International Baccalaureate</w:t>
      </w:r>
      <w:r w:rsidR="00947DDD">
        <w:t xml:space="preserve"> exam fees.</w:t>
      </w:r>
      <w:r w:rsidR="002C5EC3">
        <w:t xml:space="preserve"> (ESEA section 1003A(c</w:t>
      </w:r>
      <w:proofErr w:type="gramStart"/>
      <w:r w:rsidR="002C5EC3">
        <w:t>)(</w:t>
      </w:r>
      <w:proofErr w:type="gramEnd"/>
      <w:r w:rsidR="002C5EC3">
        <w:t>3))</w:t>
      </w:r>
      <w:r w:rsidR="004E1E5F">
        <w:t>.</w:t>
      </w:r>
    </w:p>
    <w:p w14:paraId="73089D15" w14:textId="30B36F6E" w:rsidR="00947DDD" w:rsidRDefault="00744300" w:rsidP="00024DFC">
      <w:r>
        <w:t>A district</w:t>
      </w:r>
      <w:r w:rsidR="00947DDD">
        <w:t xml:space="preserve"> may</w:t>
      </w:r>
      <w:r w:rsidR="00DB706E">
        <w:t xml:space="preserve"> also</w:t>
      </w:r>
      <w:r w:rsidR="00947DDD">
        <w:t xml:space="preserve"> use section 1003A funds for the costs of transportation to allow a student enrolled in a school identified by the State for comprehensive support and improvement to transfer to another public school (which may include a charter school) that has not been identified by the State for comprehensive support and improvement</w:t>
      </w:r>
      <w:r>
        <w:t xml:space="preserve"> if the district</w:t>
      </w:r>
      <w:r w:rsidR="00015670">
        <w:t xml:space="preserve"> is not reserving funds under ESEA section 1111(d</w:t>
      </w:r>
      <w:proofErr w:type="gramStart"/>
      <w:r w:rsidR="00015670">
        <w:t>)(</w:t>
      </w:r>
      <w:proofErr w:type="gramEnd"/>
      <w:r w:rsidR="00015670">
        <w:t>1)(D)(v) for this purpose</w:t>
      </w:r>
      <w:r w:rsidR="00947DDD">
        <w:t>.</w:t>
      </w:r>
      <w:r w:rsidR="00015670">
        <w:t xml:space="preserve"> (ESEA section 1003A(c</w:t>
      </w:r>
      <w:proofErr w:type="gramStart"/>
      <w:r w:rsidR="00015670">
        <w:t>)(</w:t>
      </w:r>
      <w:proofErr w:type="gramEnd"/>
      <w:r w:rsidR="00015670">
        <w:t>3)(E))</w:t>
      </w:r>
      <w:r w:rsidR="00116A57">
        <w:t>.</w:t>
      </w:r>
      <w:r w:rsidR="00947DDD">
        <w:t xml:space="preserve"> </w:t>
      </w:r>
    </w:p>
    <w:p w14:paraId="6E539A89" w14:textId="61956489" w:rsidR="00FB380A" w:rsidRDefault="00FB380A" w:rsidP="00FB380A">
      <w:pPr>
        <w:pStyle w:val="Heading2"/>
      </w:pPr>
      <w:bookmarkStart w:id="22" w:name="_Toc510611306"/>
      <w:bookmarkStart w:id="23" w:name="_Toc520885462"/>
      <w:bookmarkStart w:id="24" w:name="_Toc505775573"/>
      <w:bookmarkStart w:id="25" w:name="_Toc505777432"/>
      <w:r>
        <w:lastRenderedPageBreak/>
        <w:t>Institution-wide Projects under Title I, Part D, Subpart 1</w:t>
      </w:r>
      <w:bookmarkEnd w:id="22"/>
      <w:r w:rsidR="00166EF7">
        <w:t xml:space="preserve"> (ESEA section 1416)</w:t>
      </w:r>
      <w:bookmarkEnd w:id="23"/>
      <w:r w:rsidR="00166EF7">
        <w:t xml:space="preserve"> </w:t>
      </w:r>
    </w:p>
    <w:p w14:paraId="1B61059A" w14:textId="2F5DB245" w:rsidR="00FB380A" w:rsidRDefault="00FB380A" w:rsidP="00FB380A">
      <w:r>
        <w:t xml:space="preserve">A State agency that provides free public education for children and youth in an institution for neglected or delinquent children and youth (other than an adult correctional institution) or attending a community day program for such children and youth may use funds received under Title I, Part D, Subpart I of the ESEA to operate an institution-wide project. (ESEA section 1416). An institution-wide project serves all children in, and upgrades the entire educational effort of, the institution or program. If a State agency wishes to implement an institution-wide project, the ESEA requires that the State agency develop, and the </w:t>
      </w:r>
      <w:r w:rsidR="00DB0B63">
        <w:t>State</w:t>
      </w:r>
      <w:r>
        <w:t xml:space="preserve"> approve, a comprehensive plan that meets the requirements of ESEA section 1416.</w:t>
      </w:r>
    </w:p>
    <w:p w14:paraId="18946161" w14:textId="374AAEC3" w:rsidR="002F606C" w:rsidRPr="004A416D" w:rsidRDefault="002F606C" w:rsidP="006174E1">
      <w:pPr>
        <w:pStyle w:val="Heading2"/>
      </w:pPr>
      <w:bookmarkStart w:id="26" w:name="_Toc520885463"/>
      <w:proofErr w:type="gramStart"/>
      <w:r w:rsidRPr="00FC2FE0">
        <w:t>Charter School</w:t>
      </w:r>
      <w:r w:rsidR="008467FD">
        <w:t>s</w:t>
      </w:r>
      <w:r w:rsidRPr="00FC2FE0">
        <w:t xml:space="preserve"> Program (ESEA section 4301 et seq.)</w:t>
      </w:r>
      <w:bookmarkEnd w:id="24"/>
      <w:bookmarkEnd w:id="25"/>
      <w:bookmarkEnd w:id="26"/>
      <w:proofErr w:type="gramEnd"/>
    </w:p>
    <w:p w14:paraId="6A0E1E55" w14:textId="3CF52DB4" w:rsidR="006B4314" w:rsidRDefault="006B4314" w:rsidP="00024DFC">
      <w:r>
        <w:t>The Expanding Opportunity Through Quality Charter Schools Program (CSP) authorizes the Department to award grants to various eligible entities (</w:t>
      </w:r>
      <w:r w:rsidRPr="004A28B1">
        <w:t>i.e.,</w:t>
      </w:r>
      <w:r w:rsidR="002F7EA2">
        <w:t xml:space="preserve"> specific State entities</w:t>
      </w:r>
      <w:r>
        <w:t>, charter</w:t>
      </w:r>
      <w:r w:rsidR="002F7EA2">
        <w:t xml:space="preserve"> management organizations</w:t>
      </w:r>
      <w:r>
        <w:t>, and charter school developers) to support the creation of new charter schools as well as the replication and expansion of high-quality charter schools. Grantees an</w:t>
      </w:r>
      <w:r w:rsidR="005315DC">
        <w:t xml:space="preserve">d </w:t>
      </w:r>
      <w:proofErr w:type="spellStart"/>
      <w:r w:rsidR="005315DC">
        <w:t>subgrantees</w:t>
      </w:r>
      <w:proofErr w:type="spellEnd"/>
      <w:r w:rsidR="005315DC">
        <w:t xml:space="preserve"> may exercise</w:t>
      </w:r>
      <w:r>
        <w:t xml:space="preserve"> flexibility in developing their charter school programs</w:t>
      </w:r>
      <w:r w:rsidR="005315DC">
        <w:t>.</w:t>
      </w:r>
    </w:p>
    <w:p w14:paraId="239F8E0D" w14:textId="7ACF3209" w:rsidR="006B4314" w:rsidRDefault="006B4314" w:rsidP="00F70BA7">
      <w:r>
        <w:t xml:space="preserve">Another key area in which CSP grantees and </w:t>
      </w:r>
      <w:proofErr w:type="spellStart"/>
      <w:r>
        <w:t>subgrantees</w:t>
      </w:r>
      <w:proofErr w:type="spellEnd"/>
      <w:r>
        <w:t xml:space="preserve"> have flexibility relates to waivers. Under </w:t>
      </w:r>
      <w:r w:rsidR="00807DFD">
        <w:t>ESEA section 4303(d)(5)</w:t>
      </w:r>
      <w:r>
        <w:t>, eligible entities may include in their applications requests for waivers of any statutory or regulatory requirement over which the Secretary exercises administrative authority, except requirements related to the definition of “charter school” in section 4310(2) of the ESEA.</w:t>
      </w:r>
      <w:r w:rsidR="00795B48">
        <w:t xml:space="preserve"> These waivers are subject to the Secretary’s approval. </w:t>
      </w:r>
    </w:p>
    <w:p w14:paraId="65EE37D8" w14:textId="6E401B40" w:rsidR="00AF292F" w:rsidRPr="00382C6E" w:rsidRDefault="00AF292F" w:rsidP="006174E1">
      <w:pPr>
        <w:pStyle w:val="Heading2"/>
      </w:pPr>
      <w:bookmarkStart w:id="27" w:name="_Toc505775574"/>
      <w:bookmarkStart w:id="28" w:name="_Toc505777433"/>
      <w:bookmarkStart w:id="29" w:name="_Toc520885464"/>
      <w:r w:rsidRPr="00F758CE">
        <w:t xml:space="preserve">Funding Transferability for </w:t>
      </w:r>
      <w:r w:rsidR="00DB0B63">
        <w:t>States</w:t>
      </w:r>
      <w:bookmarkEnd w:id="27"/>
      <w:bookmarkEnd w:id="28"/>
      <w:r w:rsidR="00166EF7">
        <w:t xml:space="preserve"> (ESEA section 5103)</w:t>
      </w:r>
      <w:bookmarkEnd w:id="29"/>
      <w:r w:rsidR="00166EF7">
        <w:t xml:space="preserve"> </w:t>
      </w:r>
    </w:p>
    <w:p w14:paraId="62EDF4B0" w14:textId="17E4EA47" w:rsidR="003733AE" w:rsidRDefault="00744300" w:rsidP="00024DFC">
      <w:pPr>
        <w:rPr>
          <w:rFonts w:eastAsia="Times New Roman"/>
        </w:rPr>
      </w:pPr>
      <w:r>
        <w:t>States and district</w:t>
      </w:r>
      <w:r w:rsidR="00955A84" w:rsidRPr="00473953">
        <w:t xml:space="preserve">s </w:t>
      </w:r>
      <w:r w:rsidR="00E81A87">
        <w:t>have</w:t>
      </w:r>
      <w:r w:rsidR="00955A84" w:rsidRPr="00473953">
        <w:t xml:space="preserve"> broad flexibility </w:t>
      </w:r>
      <w:r w:rsidR="00E81A87">
        <w:t xml:space="preserve">under the ESEA </w:t>
      </w:r>
      <w:r w:rsidR="00955A84" w:rsidRPr="00473953">
        <w:t>to transfer some or all of their funds under certain ESEA programs to other eligible ESEA programs</w:t>
      </w:r>
      <w:r w:rsidR="00C13851">
        <w:t xml:space="preserve"> in order to better meet S</w:t>
      </w:r>
      <w:r w:rsidR="00955A84" w:rsidRPr="00473953">
        <w:t xml:space="preserve">tate and local needs. </w:t>
      </w:r>
      <w:r w:rsidR="00E81A87">
        <w:t>(</w:t>
      </w:r>
      <w:r w:rsidR="00E81A87">
        <w:rPr>
          <w:i/>
        </w:rPr>
        <w:t xml:space="preserve">See </w:t>
      </w:r>
      <w:r w:rsidR="00E81A87">
        <w:t xml:space="preserve">ESEA section 5103). </w:t>
      </w:r>
      <w:r w:rsidR="00955A84" w:rsidRPr="00473953">
        <w:rPr>
          <w:rFonts w:eastAsia="Times New Roman"/>
        </w:rPr>
        <w:t xml:space="preserve">Transferability does not affect the overall amount of </w:t>
      </w:r>
      <w:r w:rsidR="005E7340">
        <w:rPr>
          <w:rFonts w:eastAsia="Times New Roman"/>
        </w:rPr>
        <w:t xml:space="preserve">ESEA </w:t>
      </w:r>
      <w:r w:rsidR="00955A84" w:rsidRPr="00473953">
        <w:rPr>
          <w:rFonts w:eastAsia="Times New Roman"/>
        </w:rPr>
        <w:t>funds a</w:t>
      </w:r>
      <w:r w:rsidR="00DB0B63">
        <w:rPr>
          <w:rFonts w:eastAsia="Times New Roman"/>
        </w:rPr>
        <w:t xml:space="preserve"> State</w:t>
      </w:r>
      <w:r w:rsidR="00955A84" w:rsidRPr="00473953">
        <w:rPr>
          <w:rFonts w:eastAsia="Times New Roman"/>
        </w:rPr>
        <w:t xml:space="preserve"> or </w:t>
      </w:r>
      <w:r w:rsidR="00DB0B63">
        <w:rPr>
          <w:rFonts w:eastAsia="Times New Roman"/>
        </w:rPr>
        <w:t xml:space="preserve">district </w:t>
      </w:r>
      <w:r w:rsidR="00955A84" w:rsidRPr="00473953">
        <w:rPr>
          <w:rFonts w:eastAsia="Times New Roman"/>
        </w:rPr>
        <w:t xml:space="preserve">receives, but </w:t>
      </w:r>
      <w:r w:rsidR="005E7340">
        <w:rPr>
          <w:rFonts w:eastAsia="Times New Roman"/>
        </w:rPr>
        <w:t xml:space="preserve">it </w:t>
      </w:r>
      <w:r w:rsidR="00955A84" w:rsidRPr="00473953">
        <w:rPr>
          <w:rFonts w:eastAsia="Times New Roman"/>
        </w:rPr>
        <w:t xml:space="preserve">provides greater flexibility in using </w:t>
      </w:r>
      <w:r w:rsidR="004E1E5F">
        <w:rPr>
          <w:rFonts w:eastAsia="Times New Roman"/>
        </w:rPr>
        <w:t xml:space="preserve">some of those </w:t>
      </w:r>
      <w:r w:rsidR="00955A84" w:rsidRPr="00473953">
        <w:rPr>
          <w:rFonts w:eastAsia="Times New Roman"/>
        </w:rPr>
        <w:t xml:space="preserve">funds. </w:t>
      </w:r>
      <w:r w:rsidR="00DB0B63">
        <w:rPr>
          <w:rFonts w:eastAsia="Times New Roman"/>
        </w:rPr>
        <w:t>States and districts</w:t>
      </w:r>
      <w:r w:rsidR="009D4452">
        <w:rPr>
          <w:rFonts w:eastAsia="Times New Roman"/>
        </w:rPr>
        <w:t xml:space="preserve"> do not need prior approval from the Department to exercise this authority provided they comply with the requirements described in ESEA section 5103.</w:t>
      </w:r>
      <w:r w:rsidR="004E1E5F">
        <w:rPr>
          <w:rFonts w:eastAsia="Times New Roman"/>
        </w:rPr>
        <w:t xml:space="preserve"> Under ESEA section 5103(e</w:t>
      </w:r>
      <w:proofErr w:type="gramStart"/>
      <w:r w:rsidR="00795B48">
        <w:rPr>
          <w:rFonts w:eastAsia="Times New Roman"/>
        </w:rPr>
        <w:t>)</w:t>
      </w:r>
      <w:r w:rsidR="004E1E5F">
        <w:rPr>
          <w:rFonts w:eastAsia="Times New Roman"/>
        </w:rPr>
        <w:t>(</w:t>
      </w:r>
      <w:proofErr w:type="gramEnd"/>
      <w:r w:rsidR="004E1E5F">
        <w:rPr>
          <w:rFonts w:eastAsia="Times New Roman"/>
        </w:rPr>
        <w:t>2)</w:t>
      </w:r>
      <w:r w:rsidR="00795B48">
        <w:rPr>
          <w:rFonts w:eastAsia="Times New Roman"/>
        </w:rPr>
        <w:t xml:space="preserve">, before a State or district can transfer funds from a program subject to equitable services requirements, it must engage in timely and meaningful consultation with appropriate private school officials. </w:t>
      </w:r>
    </w:p>
    <w:p w14:paraId="76D29EC2" w14:textId="3DBFAC1E" w:rsidR="00955A84" w:rsidRPr="00473953" w:rsidRDefault="00955A84" w:rsidP="00024DFC">
      <w:pPr>
        <w:rPr>
          <w:rFonts w:eastAsia="Times New Roman"/>
        </w:rPr>
      </w:pPr>
      <w:r w:rsidRPr="00473953">
        <w:rPr>
          <w:rFonts w:eastAsia="Times New Roman"/>
        </w:rPr>
        <w:t xml:space="preserve">For more information, see the “Transferability” section in the Fiscal Changes and Equitable Services Requirements under the ESEA non-regulatory guidance, available at </w:t>
      </w:r>
      <w:hyperlink r:id="rId14" w:history="1">
        <w:r w:rsidRPr="00473953">
          <w:rPr>
            <w:rStyle w:val="Hyperlink"/>
            <w:rFonts w:eastAsia="Times New Roman"/>
          </w:rPr>
          <w:t>https://www2.ed.gov/policy/elsec/leg/essa/essaguidance160477.pdf</w:t>
        </w:r>
      </w:hyperlink>
      <w:r w:rsidRPr="00473953">
        <w:rPr>
          <w:rFonts w:eastAsia="Times New Roman"/>
        </w:rPr>
        <w:t xml:space="preserve">, and the Guidance on the Transferability Authority, which remains applicable except as modified by the Fiscal Changes guidance, available at </w:t>
      </w:r>
      <w:hyperlink r:id="rId15" w:history="1">
        <w:r w:rsidR="00A17E61" w:rsidRPr="00A17E61">
          <w:rPr>
            <w:rStyle w:val="Hyperlink"/>
            <w:rFonts w:eastAsia="Times New Roman"/>
          </w:rPr>
          <w:t>www2.ed.gov/programs/transferability/finalsummary04.doc</w:t>
        </w:r>
      </w:hyperlink>
      <w:r w:rsidRPr="00382C6E">
        <w:rPr>
          <w:rFonts w:eastAsia="Times New Roman"/>
        </w:rPr>
        <w:t>.</w:t>
      </w:r>
      <w:r w:rsidRPr="00473953">
        <w:rPr>
          <w:rFonts w:eastAsia="Times New Roman"/>
        </w:rPr>
        <w:t xml:space="preserve"> </w:t>
      </w:r>
    </w:p>
    <w:p w14:paraId="65EE37DA" w14:textId="46D78750" w:rsidR="003B4119" w:rsidRPr="00024DFC" w:rsidRDefault="003B4119" w:rsidP="006174E1">
      <w:pPr>
        <w:pStyle w:val="Heading2"/>
      </w:pPr>
      <w:bookmarkStart w:id="30" w:name="_Toc505775575"/>
      <w:bookmarkStart w:id="31" w:name="_Toc505777434"/>
      <w:bookmarkStart w:id="32" w:name="_Toc520885465"/>
      <w:r w:rsidRPr="002B5581">
        <w:lastRenderedPageBreak/>
        <w:t>Education</w:t>
      </w:r>
      <w:r w:rsidR="00FB380A">
        <w:t>al</w:t>
      </w:r>
      <w:r w:rsidRPr="002B5581">
        <w:t xml:space="preserve"> Flexibility (E</w:t>
      </w:r>
      <w:r w:rsidR="00007A87" w:rsidRPr="00024DFC">
        <w:t>d</w:t>
      </w:r>
      <w:r w:rsidRPr="00024DFC">
        <w:t xml:space="preserve">-Flex) </w:t>
      </w:r>
      <w:r w:rsidR="00FB380A">
        <w:t xml:space="preserve">Program </w:t>
      </w:r>
      <w:r w:rsidRPr="00024DFC">
        <w:t>(</w:t>
      </w:r>
      <w:r w:rsidR="00A65C0F" w:rsidRPr="00024DFC">
        <w:t>Education Flexibility Partnership Act of 1999</w:t>
      </w:r>
      <w:r w:rsidRPr="00024DFC">
        <w:t>)</w:t>
      </w:r>
      <w:bookmarkEnd w:id="30"/>
      <w:bookmarkEnd w:id="31"/>
      <w:bookmarkEnd w:id="32"/>
    </w:p>
    <w:p w14:paraId="547D6AE7" w14:textId="26D4AA9F" w:rsidR="00FB5F9F" w:rsidRPr="006D4F7A" w:rsidRDefault="00007A87" w:rsidP="00024DFC">
      <w:pPr>
        <w:pStyle w:val="NormalWeb"/>
        <w:spacing w:before="0" w:beforeAutospacing="0" w:after="200" w:afterAutospacing="0" w:line="276" w:lineRule="auto"/>
        <w:rPr>
          <w:color w:val="000000"/>
        </w:rPr>
      </w:pPr>
      <w:r>
        <w:rPr>
          <w:color w:val="000000"/>
        </w:rPr>
        <w:t xml:space="preserve">The Education Flexibility Partnership Act of 1999, which was most recently amended by the ESSA, authorizes the </w:t>
      </w:r>
      <w:r w:rsidR="00FB5F9F" w:rsidRPr="006D4F7A">
        <w:rPr>
          <w:color w:val="000000"/>
        </w:rPr>
        <w:t>Department to delegate to States with strong accountability safeguards the authority to waive certain Federal education requirements that may, in particular instances, impede local efforts to reform and improve educatio</w:t>
      </w:r>
      <w:r w:rsidRPr="00435CBB">
        <w:rPr>
          <w:color w:val="000000"/>
        </w:rPr>
        <w:t xml:space="preserve">n. </w:t>
      </w:r>
      <w:proofErr w:type="gramStart"/>
      <w:r w:rsidR="00B30588">
        <w:rPr>
          <w:color w:val="000000"/>
        </w:rPr>
        <w:t xml:space="preserve">(20 U.S.C. </w:t>
      </w:r>
      <w:r w:rsidR="00B30588" w:rsidRPr="00B30588">
        <w:rPr>
          <w:color w:val="000000"/>
        </w:rPr>
        <w:t>5891</w:t>
      </w:r>
      <w:r w:rsidR="00B30588">
        <w:rPr>
          <w:color w:val="000000"/>
        </w:rPr>
        <w:t>a</w:t>
      </w:r>
      <w:r w:rsidR="005E7C0E" w:rsidRPr="00382C6E">
        <w:rPr>
          <w:color w:val="000000"/>
        </w:rPr>
        <w:t>-</w:t>
      </w:r>
      <w:r w:rsidR="00B30588" w:rsidRPr="00B30588">
        <w:rPr>
          <w:color w:val="000000"/>
        </w:rPr>
        <w:t>b</w:t>
      </w:r>
      <w:r w:rsidR="00B30588">
        <w:rPr>
          <w:color w:val="000000"/>
        </w:rPr>
        <w:t>)</w:t>
      </w:r>
      <w:r w:rsidR="005C1E6F">
        <w:rPr>
          <w:color w:val="000000"/>
        </w:rPr>
        <w:t>.</w:t>
      </w:r>
      <w:proofErr w:type="gramEnd"/>
      <w:r w:rsidR="00B30588" w:rsidRPr="00B30588">
        <w:rPr>
          <w:color w:val="000000"/>
        </w:rPr>
        <w:t xml:space="preserve"> </w:t>
      </w:r>
      <w:r>
        <w:rPr>
          <w:color w:val="000000"/>
        </w:rPr>
        <w:t>The Ed-Flex program</w:t>
      </w:r>
      <w:r w:rsidRPr="00435CBB">
        <w:rPr>
          <w:color w:val="000000"/>
        </w:rPr>
        <w:t xml:space="preserve"> is designed to help </w:t>
      </w:r>
      <w:r w:rsidR="00744300">
        <w:rPr>
          <w:color w:val="000000"/>
        </w:rPr>
        <w:t>district</w:t>
      </w:r>
      <w:r w:rsidR="00FB5F9F" w:rsidRPr="006D4F7A">
        <w:rPr>
          <w:color w:val="000000"/>
        </w:rPr>
        <w:t>s, edu</w:t>
      </w:r>
      <w:r w:rsidRPr="00435CBB">
        <w:rPr>
          <w:color w:val="000000"/>
        </w:rPr>
        <w:t>cational service agencies</w:t>
      </w:r>
      <w:r w:rsidR="00FB5F9F" w:rsidRPr="006D4F7A">
        <w:rPr>
          <w:color w:val="000000"/>
        </w:rPr>
        <w:t xml:space="preserve">, and schools carry out educational reforms and raise the achievement levels of all children by providing increased flexibility in the implementation of Federal education programs in exchange for enhanced accountability for the performance of students. </w:t>
      </w:r>
      <w:r w:rsidR="007C0237">
        <w:rPr>
          <w:color w:val="000000"/>
        </w:rPr>
        <w:t>T</w:t>
      </w:r>
      <w:r w:rsidR="00C45C33">
        <w:rPr>
          <w:color w:val="000000"/>
        </w:rPr>
        <w:t xml:space="preserve">he </w:t>
      </w:r>
      <w:r w:rsidR="00382C6E">
        <w:rPr>
          <w:color w:val="000000"/>
        </w:rPr>
        <w:t>Department</w:t>
      </w:r>
      <w:r w:rsidR="006B213A">
        <w:rPr>
          <w:color w:val="000000"/>
        </w:rPr>
        <w:t xml:space="preserve"> intends to </w:t>
      </w:r>
      <w:r w:rsidR="007C0237">
        <w:rPr>
          <w:color w:val="000000"/>
        </w:rPr>
        <w:t xml:space="preserve">continue to </w:t>
      </w:r>
      <w:r w:rsidR="006B213A">
        <w:rPr>
          <w:color w:val="000000"/>
        </w:rPr>
        <w:t xml:space="preserve">make this flexibility available </w:t>
      </w:r>
      <w:r w:rsidR="00AA7980">
        <w:rPr>
          <w:color w:val="000000"/>
        </w:rPr>
        <w:t xml:space="preserve">through an application process for </w:t>
      </w:r>
      <w:r w:rsidR="00835AD4">
        <w:rPr>
          <w:color w:val="000000"/>
        </w:rPr>
        <w:t xml:space="preserve">any interested </w:t>
      </w:r>
      <w:r w:rsidR="00DB0B63">
        <w:rPr>
          <w:color w:val="000000"/>
        </w:rPr>
        <w:t>States</w:t>
      </w:r>
      <w:r w:rsidR="00AA7980">
        <w:rPr>
          <w:color w:val="000000"/>
        </w:rPr>
        <w:t xml:space="preserve"> </w:t>
      </w:r>
      <w:r w:rsidR="00FB380A">
        <w:rPr>
          <w:color w:val="000000"/>
        </w:rPr>
        <w:t>during the 2018-</w:t>
      </w:r>
      <w:r w:rsidR="00DD27D9">
        <w:rPr>
          <w:color w:val="000000"/>
        </w:rPr>
        <w:t xml:space="preserve">19 school </w:t>
      </w:r>
      <w:proofErr w:type="gramStart"/>
      <w:r w:rsidR="00DD27D9">
        <w:rPr>
          <w:color w:val="000000"/>
        </w:rPr>
        <w:t>year</w:t>
      </w:r>
      <w:proofErr w:type="gramEnd"/>
      <w:r w:rsidR="00784CE2">
        <w:rPr>
          <w:color w:val="000000"/>
        </w:rPr>
        <w:t xml:space="preserve">. </w:t>
      </w:r>
      <w:r w:rsidR="000E43CD">
        <w:rPr>
          <w:color w:val="000000"/>
        </w:rPr>
        <w:t xml:space="preserve"> </w:t>
      </w:r>
    </w:p>
    <w:p w14:paraId="75175B5F" w14:textId="7A271D6E" w:rsidR="00340036" w:rsidRPr="00382C6E" w:rsidRDefault="008467FD" w:rsidP="006174E1">
      <w:pPr>
        <w:pStyle w:val="Heading2"/>
      </w:pPr>
      <w:bookmarkStart w:id="33" w:name="_Toc505772034"/>
      <w:bookmarkStart w:id="34" w:name="_Toc505772060"/>
      <w:bookmarkStart w:id="35" w:name="_Toc505772166"/>
      <w:bookmarkStart w:id="36" w:name="_Toc520885466"/>
      <w:bookmarkEnd w:id="33"/>
      <w:bookmarkEnd w:id="34"/>
      <w:bookmarkEnd w:id="35"/>
      <w:r>
        <w:t xml:space="preserve">Consolidation of </w:t>
      </w:r>
      <w:r w:rsidR="00C758D3">
        <w:t>Funds for State Administration</w:t>
      </w:r>
      <w:r w:rsidR="00166EF7">
        <w:t xml:space="preserve"> (ESEA section 8201(a))</w:t>
      </w:r>
      <w:bookmarkEnd w:id="36"/>
    </w:p>
    <w:p w14:paraId="3B16638C" w14:textId="4AADD89B" w:rsidR="001A25F2" w:rsidRDefault="000253B5" w:rsidP="00024DFC">
      <w:r>
        <w:t>A</w:t>
      </w:r>
      <w:r w:rsidR="00DB0B63">
        <w:t xml:space="preserve"> State</w:t>
      </w:r>
      <w:r w:rsidR="00071016">
        <w:t xml:space="preserve"> </w:t>
      </w:r>
      <w:r w:rsidR="001A25F2">
        <w:t xml:space="preserve">that </w:t>
      </w:r>
      <w:r w:rsidR="001A25F2" w:rsidRPr="001A25F2">
        <w:t>can demonstrate that the majority of its resources are derived from non-Federal sources</w:t>
      </w:r>
      <w:r w:rsidR="001A25F2">
        <w:t xml:space="preserve"> </w:t>
      </w:r>
      <w:r>
        <w:t xml:space="preserve">has the flexibility </w:t>
      </w:r>
      <w:r w:rsidR="001A25F2">
        <w:t xml:space="preserve">to </w:t>
      </w:r>
      <w:r w:rsidR="001A25F2" w:rsidRPr="001A25F2">
        <w:t>consolidate funds specifi</w:t>
      </w:r>
      <w:r w:rsidR="009B3189">
        <w:t>cally made available to it for S</w:t>
      </w:r>
      <w:r w:rsidR="001A25F2" w:rsidRPr="001A25F2">
        <w:t>tate administration under any ESEA program, as well as other programs that the Secretary may designate.</w:t>
      </w:r>
      <w:r w:rsidR="00071016">
        <w:t xml:space="preserve"> </w:t>
      </w:r>
      <w:proofErr w:type="gramStart"/>
      <w:r>
        <w:t>(ESEA section 8201</w:t>
      </w:r>
      <w:r w:rsidR="00C758D3">
        <w:t>(a)</w:t>
      </w:r>
      <w:r>
        <w:t>).</w:t>
      </w:r>
      <w:proofErr w:type="gramEnd"/>
      <w:r w:rsidR="00A31931">
        <w:t xml:space="preserve"> A State that consolidates funds is not required to keep separate records for each individual program included in the consolidation to account for costs related to the administration of the consolidated programs. </w:t>
      </w:r>
      <w:r w:rsidR="00071016">
        <w:t>The</w:t>
      </w:r>
      <w:r w:rsidR="00071016" w:rsidRPr="00071016">
        <w:t xml:space="preserve"> consolidated State administrative funds </w:t>
      </w:r>
      <w:r w:rsidR="0041753D">
        <w:t xml:space="preserve">may be used </w:t>
      </w:r>
      <w:r w:rsidR="00071016" w:rsidRPr="00071016">
        <w:t>to administer the programs inc</w:t>
      </w:r>
      <w:r w:rsidR="00071016">
        <w:t xml:space="preserve">luded in the consolidation, carry out </w:t>
      </w:r>
      <w:r w:rsidR="00071016" w:rsidRPr="00071016">
        <w:t xml:space="preserve">activities designed to enhance the effective and coordinated use </w:t>
      </w:r>
      <w:r w:rsidR="00071016">
        <w:t>of funds under those programs</w:t>
      </w:r>
      <w:r w:rsidR="007959FA">
        <w:t xml:space="preserve"> such as the examples provided in section 8201(b)(2)</w:t>
      </w:r>
      <w:r w:rsidR="00822EDB">
        <w:t xml:space="preserve"> of the ESEA</w:t>
      </w:r>
      <w:r w:rsidR="00071016">
        <w:t xml:space="preserve">, and </w:t>
      </w:r>
      <w:r w:rsidR="00071016" w:rsidRPr="00071016">
        <w:t>develop the standards and assessments required under Title I.</w:t>
      </w:r>
      <w:r w:rsidR="00071016">
        <w:t xml:space="preserve"> </w:t>
      </w:r>
      <w:r w:rsidR="002B6E32">
        <w:t xml:space="preserve">(ESEA section 8201(b)). </w:t>
      </w:r>
      <w:r w:rsidR="0041753D">
        <w:t>I</w:t>
      </w:r>
      <w:r w:rsidR="00071016" w:rsidRPr="00071016">
        <w:t xml:space="preserve">f </w:t>
      </w:r>
      <w:r w:rsidR="00071016">
        <w:t>the</w:t>
      </w:r>
      <w:r w:rsidR="00DB0B63">
        <w:t xml:space="preserve"> State</w:t>
      </w:r>
      <w:r w:rsidR="00071016" w:rsidRPr="00071016">
        <w:t xml:space="preserve"> does not use all of </w:t>
      </w:r>
      <w:r w:rsidR="00A13C74" w:rsidRPr="00071016">
        <w:t>the</w:t>
      </w:r>
      <w:r w:rsidR="00A13C74">
        <w:t xml:space="preserve"> funds</w:t>
      </w:r>
      <w:r w:rsidR="00071016" w:rsidRPr="00071016">
        <w:t xml:space="preserve"> </w:t>
      </w:r>
      <w:r w:rsidR="00822EDB">
        <w:t>that it consolidated</w:t>
      </w:r>
      <w:r w:rsidR="003025F6">
        <w:t xml:space="preserve"> for a particular year</w:t>
      </w:r>
      <w:r w:rsidR="00A13C74">
        <w:t xml:space="preserve"> for administration</w:t>
      </w:r>
      <w:r w:rsidR="00071016" w:rsidRPr="00071016">
        <w:t xml:space="preserve">, </w:t>
      </w:r>
      <w:r w:rsidR="0041753D">
        <w:t>a</w:t>
      </w:r>
      <w:r w:rsidR="00DB0B63">
        <w:t xml:space="preserve"> State</w:t>
      </w:r>
      <w:r w:rsidR="00071016" w:rsidRPr="00071016">
        <w:t xml:space="preserve"> </w:t>
      </w:r>
      <w:r w:rsidR="0041753D">
        <w:t>may</w:t>
      </w:r>
      <w:r w:rsidR="00822EDB">
        <w:t xml:space="preserve"> </w:t>
      </w:r>
      <w:r w:rsidR="008D242F">
        <w:t>use those funds</w:t>
      </w:r>
      <w:r w:rsidR="00071016" w:rsidRPr="00071016">
        <w:t xml:space="preserve"> during the applicable period of availability as funds available under one or more of the programs included in the consolidation.</w:t>
      </w:r>
      <w:r w:rsidR="00822EDB">
        <w:t xml:space="preserve"> </w:t>
      </w:r>
      <w:proofErr w:type="gramStart"/>
      <w:r w:rsidR="0041753D">
        <w:t>(ESEA section 820</w:t>
      </w:r>
      <w:r w:rsidR="002C53B4">
        <w:t>1</w:t>
      </w:r>
      <w:r w:rsidR="0041753D">
        <w:t>(e)).</w:t>
      </w:r>
      <w:proofErr w:type="gramEnd"/>
      <w:r w:rsidR="00DB0B63">
        <w:t xml:space="preserve"> </w:t>
      </w:r>
    </w:p>
    <w:p w14:paraId="65EE37DD" w14:textId="2580D460" w:rsidR="00AF292F" w:rsidRPr="00024DFC" w:rsidRDefault="00AF292F" w:rsidP="006174E1">
      <w:pPr>
        <w:pStyle w:val="Heading2"/>
      </w:pPr>
      <w:bookmarkStart w:id="37" w:name="_Toc505775577"/>
      <w:bookmarkStart w:id="38" w:name="_Toc505777436"/>
      <w:bookmarkStart w:id="39" w:name="_Toc520885467"/>
      <w:r w:rsidRPr="00AB7A4C">
        <w:t>Waivers</w:t>
      </w:r>
      <w:bookmarkEnd w:id="37"/>
      <w:bookmarkEnd w:id="38"/>
      <w:r w:rsidR="002B6E32">
        <w:t xml:space="preserve"> (ESEA section 8401)</w:t>
      </w:r>
      <w:bookmarkEnd w:id="39"/>
    </w:p>
    <w:p w14:paraId="6AA91D8E" w14:textId="1950668E" w:rsidR="00DD27D9" w:rsidRDefault="00955A84" w:rsidP="00DD27D9">
      <w:r w:rsidRPr="00473953">
        <w:t>Section 8401 of the ESEA authorizes the Secretary to waive certain statutory and regulatory requirements for ESEA programs. Waiver requests may be submitted by a</w:t>
      </w:r>
      <w:r w:rsidR="00DB0B63">
        <w:t xml:space="preserve"> State</w:t>
      </w:r>
      <w:r w:rsidRPr="00473953">
        <w:t xml:space="preserve"> on its ow</w:t>
      </w:r>
      <w:r w:rsidR="00744300">
        <w:t xml:space="preserve">n behalf or on behalf of a district </w:t>
      </w:r>
      <w:r w:rsidRPr="00473953">
        <w:t xml:space="preserve">or school. </w:t>
      </w:r>
      <w:proofErr w:type="gramStart"/>
      <w:r w:rsidRPr="00473953">
        <w:t>(</w:t>
      </w:r>
      <w:r w:rsidR="00FB380A">
        <w:t>ESEA s</w:t>
      </w:r>
      <w:r w:rsidRPr="00473953">
        <w:t>ection 8401(a)).</w:t>
      </w:r>
      <w:proofErr w:type="gramEnd"/>
      <w:r w:rsidRPr="00473953">
        <w:t xml:space="preserve"> </w:t>
      </w:r>
      <w:r w:rsidR="00FF1E22" w:rsidRPr="00473953">
        <w:t>The ESEA outli</w:t>
      </w:r>
      <w:r w:rsidR="00DB0B63">
        <w:t>nes the information that the State</w:t>
      </w:r>
      <w:r w:rsidR="00FF1E22" w:rsidRPr="00473953">
        <w:t xml:space="preserve"> must include when it submits waiver requests to the Secretary (</w:t>
      </w:r>
      <w:r w:rsidR="00FF1E22">
        <w:t xml:space="preserve">ESEA </w:t>
      </w:r>
      <w:r w:rsidR="00FF1E22" w:rsidRPr="00473953">
        <w:t>section 8401(b)(</w:t>
      </w:r>
      <w:r w:rsidR="00DB0B63">
        <w:t>1)) and the manner in which States and district</w:t>
      </w:r>
      <w:r w:rsidR="00FF1E22" w:rsidRPr="00473953">
        <w:t>s seeking waivers must provide notice and opportunity to comment to the public and affected agencies (</w:t>
      </w:r>
      <w:r w:rsidR="00FF1E22">
        <w:t xml:space="preserve">ESEA </w:t>
      </w:r>
      <w:r w:rsidR="00FF1E22" w:rsidRPr="00473953">
        <w:t xml:space="preserve">section 8401(b)(3)). </w:t>
      </w:r>
      <w:bookmarkStart w:id="40" w:name="_Toc505775578"/>
      <w:bookmarkStart w:id="41" w:name="_Toc505777437"/>
      <w:r w:rsidR="00DD27D9">
        <w:t xml:space="preserve">This includes a description of: </w:t>
      </w:r>
    </w:p>
    <w:p w14:paraId="74DFC27A" w14:textId="6838A6E1" w:rsidR="00DD27D9" w:rsidRDefault="00DD27D9" w:rsidP="00DD27D9">
      <w:pPr>
        <w:pStyle w:val="ListParagraph"/>
        <w:numPr>
          <w:ilvl w:val="0"/>
          <w:numId w:val="27"/>
        </w:numPr>
      </w:pPr>
      <w:r>
        <w:t>The Federal statutor</w:t>
      </w:r>
      <w:r w:rsidR="002B6E32">
        <w:t>y or regulatory requirements</w:t>
      </w:r>
      <w:r>
        <w:t xml:space="preserve"> to be waived; </w:t>
      </w:r>
    </w:p>
    <w:p w14:paraId="4734AE24" w14:textId="77777777" w:rsidR="00DD27D9" w:rsidRDefault="00DD27D9" w:rsidP="00DD27D9">
      <w:pPr>
        <w:pStyle w:val="ListParagraph"/>
        <w:numPr>
          <w:ilvl w:val="0"/>
          <w:numId w:val="27"/>
        </w:numPr>
      </w:pPr>
      <w:r>
        <w:t xml:space="preserve">How the waiving of such requirements will advance student academic achievement; </w:t>
      </w:r>
    </w:p>
    <w:p w14:paraId="470A93B2" w14:textId="079D2EB1" w:rsidR="00DD27D9" w:rsidRDefault="00DD27D9" w:rsidP="003025F6">
      <w:pPr>
        <w:pStyle w:val="ListParagraph"/>
        <w:numPr>
          <w:ilvl w:val="0"/>
          <w:numId w:val="27"/>
        </w:numPr>
      </w:pPr>
      <w:r>
        <w:lastRenderedPageBreak/>
        <w:t xml:space="preserve">The methods the </w:t>
      </w:r>
      <w:r w:rsidR="00DB0B63">
        <w:t>State</w:t>
      </w:r>
      <w:r>
        <w:t xml:space="preserve">, </w:t>
      </w:r>
      <w:r w:rsidR="002B6E32">
        <w:t>d</w:t>
      </w:r>
      <w:r w:rsidR="00DB0B63">
        <w:t>istrict</w:t>
      </w:r>
      <w:r>
        <w:t xml:space="preserve">, school, or Indian tribe will use to monitor and regularly evaluate the effectiveness of the implementation of the plan; </w:t>
      </w:r>
    </w:p>
    <w:p w14:paraId="7BD0EAF4" w14:textId="2C782593" w:rsidR="00DD27D9" w:rsidRDefault="00DD27D9" w:rsidP="00DD27D9">
      <w:pPr>
        <w:pStyle w:val="ListParagraph"/>
        <w:numPr>
          <w:ilvl w:val="0"/>
          <w:numId w:val="27"/>
        </w:numPr>
      </w:pPr>
      <w:r>
        <w:t>If the waiver relates to provisions of assessmen</w:t>
      </w:r>
      <w:r w:rsidR="00DB0B63">
        <w:t>ts (ESEA section 1111(b)) or State</w:t>
      </w:r>
      <w:r>
        <w:t xml:space="preserve"> or </w:t>
      </w:r>
      <w:r w:rsidR="00DB0B63">
        <w:t>district</w:t>
      </w:r>
      <w:r>
        <w:t xml:space="preserve"> report cards (ESEA section 1111(h)), how the </w:t>
      </w:r>
      <w:r w:rsidR="00DB0B63">
        <w:t>State</w:t>
      </w:r>
      <w:r>
        <w:t xml:space="preserve">, </w:t>
      </w:r>
      <w:r w:rsidR="00DB0B63">
        <w:t>district</w:t>
      </w:r>
      <w:r>
        <w:t>, school, or Indian tribe will maintain or improve transparency in reporting to parents and the public on student achievement and school performance, including the achievement of the subgroups of students</w:t>
      </w:r>
      <w:r w:rsidR="00481E6B">
        <w:t>;</w:t>
      </w:r>
      <w:r>
        <w:t xml:space="preserve"> and</w:t>
      </w:r>
    </w:p>
    <w:p w14:paraId="18D283EF" w14:textId="7E338D0F" w:rsidR="00DD27D9" w:rsidRDefault="00DD27D9" w:rsidP="00DD27D9">
      <w:pPr>
        <w:pStyle w:val="ListParagraph"/>
        <w:numPr>
          <w:ilvl w:val="0"/>
          <w:numId w:val="27"/>
        </w:numPr>
      </w:pPr>
      <w:r>
        <w:t>The notice and comment process, including by submitting the comments and input to the Secretary, with a description of how the State addressed the comments and input</w:t>
      </w:r>
      <w:r w:rsidR="00481E6B">
        <w:t>.</w:t>
      </w:r>
    </w:p>
    <w:p w14:paraId="5F1C33E0" w14:textId="0A5B8196" w:rsidR="00DD27D9" w:rsidRDefault="00DD27D9" w:rsidP="00DD27D9">
      <w:r>
        <w:t xml:space="preserve">Upon receiving a waiver request, the </w:t>
      </w:r>
      <w:proofErr w:type="gramStart"/>
      <w:r w:rsidR="007C0237">
        <w:t xml:space="preserve">Secretary </w:t>
      </w:r>
      <w:r>
        <w:t xml:space="preserve"> has</w:t>
      </w:r>
      <w:proofErr w:type="gramEnd"/>
      <w:r>
        <w:t xml:space="preserve"> 120 days to review and issue a determination regarding the request. </w:t>
      </w:r>
      <w:r w:rsidRPr="00063BDB">
        <w:t>If the waiver is not approved</w:t>
      </w:r>
      <w:r w:rsidR="00835AD4">
        <w:t>,</w:t>
      </w:r>
      <w:r w:rsidR="00B63B77">
        <w:t xml:space="preserve"> a State </w:t>
      </w:r>
      <w:r w:rsidRPr="00063BDB">
        <w:t xml:space="preserve">has 60 days to revise and re-submit the waiver. </w:t>
      </w:r>
      <w:r w:rsidR="00E94760">
        <w:t>(ESEA section 8401(b</w:t>
      </w:r>
      <w:proofErr w:type="gramStart"/>
      <w:r w:rsidR="00E94760">
        <w:t>)(</w:t>
      </w:r>
      <w:proofErr w:type="gramEnd"/>
      <w:r w:rsidR="00E94760">
        <w:t xml:space="preserve">4)). </w:t>
      </w:r>
    </w:p>
    <w:p w14:paraId="3892714B" w14:textId="06D0D6F9" w:rsidR="005B7431" w:rsidRDefault="00844F1F">
      <w:r w:rsidRPr="0059355D">
        <w:t xml:space="preserve">States may apply for a waiver via email or </w:t>
      </w:r>
      <w:r w:rsidR="00E94760">
        <w:t>mail</w:t>
      </w:r>
      <w:r w:rsidRPr="0059355D">
        <w:t xml:space="preserve">. Typically, the Department will receive a waiver request sooner if it is submitted </w:t>
      </w:r>
      <w:r w:rsidR="0059355D">
        <w:t xml:space="preserve">via email through the appropriate </w:t>
      </w:r>
      <w:r w:rsidR="00D23349">
        <w:t xml:space="preserve">State </w:t>
      </w:r>
      <w:r w:rsidR="00715D85">
        <w:t xml:space="preserve">mailbox. The </w:t>
      </w:r>
      <w:r w:rsidR="005B4175">
        <w:t>State</w:t>
      </w:r>
      <w:r w:rsidR="00715D85">
        <w:t xml:space="preserve"> mailbox email address is </w:t>
      </w:r>
      <w:hyperlink r:id="rId16" w:history="1">
        <w:r w:rsidR="00715D85" w:rsidRPr="00715D85">
          <w:rPr>
            <w:rStyle w:val="Hyperlink"/>
          </w:rPr>
          <w:t>OSS.[State]</w:t>
        </w:r>
        <w:r w:rsidR="00715D85" w:rsidRPr="00A0793B">
          <w:rPr>
            <w:rStyle w:val="Hyperlink"/>
          </w:rPr>
          <w:t>@ed.gov</w:t>
        </w:r>
      </w:hyperlink>
      <w:r w:rsidR="00715D85">
        <w:t xml:space="preserve"> (for example </w:t>
      </w:r>
      <w:hyperlink r:id="rId17" w:history="1">
        <w:r w:rsidR="00715D85" w:rsidRPr="00523CF8">
          <w:rPr>
            <w:rStyle w:val="Hyperlink"/>
          </w:rPr>
          <w:t>OSS.Maine@ed.gov</w:t>
        </w:r>
      </w:hyperlink>
      <w:r w:rsidR="00715D85">
        <w:t xml:space="preserve">). </w:t>
      </w:r>
    </w:p>
    <w:p w14:paraId="358D969D" w14:textId="3B23C8E4" w:rsidR="00766836" w:rsidRDefault="00766836">
      <w:pPr>
        <w:rPr>
          <w:b/>
        </w:rPr>
      </w:pPr>
    </w:p>
    <w:p w14:paraId="35E9AC31" w14:textId="4DA2AB16" w:rsidR="00955A84" w:rsidRPr="00382C6E" w:rsidRDefault="00E702E4" w:rsidP="00E97364">
      <w:pPr>
        <w:pStyle w:val="Heading1"/>
        <w:numPr>
          <w:ilvl w:val="0"/>
          <w:numId w:val="4"/>
        </w:numPr>
      </w:pPr>
      <w:bookmarkStart w:id="42" w:name="_Toc520885468"/>
      <w:r>
        <w:t>District</w:t>
      </w:r>
      <w:r w:rsidR="006C36A5" w:rsidRPr="00024DFC">
        <w:t xml:space="preserve"> F</w:t>
      </w:r>
      <w:r w:rsidR="007C5235" w:rsidRPr="00024DFC">
        <w:t>lexibilities</w:t>
      </w:r>
      <w:bookmarkEnd w:id="40"/>
      <w:bookmarkEnd w:id="41"/>
      <w:bookmarkEnd w:id="42"/>
    </w:p>
    <w:p w14:paraId="4E96D6F9" w14:textId="0815514C" w:rsidR="00AF2265" w:rsidRPr="00024DFC" w:rsidRDefault="00AF2265" w:rsidP="006174E1">
      <w:pPr>
        <w:pStyle w:val="Heading2"/>
        <w:numPr>
          <w:ilvl w:val="0"/>
          <w:numId w:val="21"/>
        </w:numPr>
      </w:pPr>
      <w:bookmarkStart w:id="43" w:name="_Toc505775579"/>
      <w:bookmarkStart w:id="44" w:name="_Toc505777438"/>
      <w:bookmarkStart w:id="45" w:name="_Toc520885469"/>
      <w:r w:rsidRPr="00024DFC">
        <w:t>Consolidation of Funds for Local Administration (ESEA section 8203)</w:t>
      </w:r>
      <w:bookmarkEnd w:id="43"/>
      <w:bookmarkEnd w:id="44"/>
      <w:bookmarkEnd w:id="45"/>
    </w:p>
    <w:p w14:paraId="6262E3FD" w14:textId="3F5A476A" w:rsidR="00DF3BAC" w:rsidRPr="00024DFC" w:rsidRDefault="00602542" w:rsidP="00024DFC">
      <w:r w:rsidRPr="004A416D">
        <w:t>A</w:t>
      </w:r>
      <w:r w:rsidR="00DB0B63">
        <w:t xml:space="preserve"> district</w:t>
      </w:r>
      <w:r w:rsidR="00DF3BAC">
        <w:t>, with the approval of its S</w:t>
      </w:r>
      <w:r w:rsidR="00DB0B63">
        <w:t>tate</w:t>
      </w:r>
      <w:r w:rsidR="00DF3BAC">
        <w:t xml:space="preserve">, </w:t>
      </w:r>
      <w:r>
        <w:t xml:space="preserve">has the flexibility </w:t>
      </w:r>
      <w:r w:rsidR="00DF3BAC">
        <w:t>to</w:t>
      </w:r>
      <w:r w:rsidR="00DF3BAC" w:rsidRPr="00DF3BAC">
        <w:t xml:space="preserve"> consolidate and use for the administration of one or more programs under the ESEA </w:t>
      </w:r>
      <w:r w:rsidR="008B0A53">
        <w:t xml:space="preserve">an amount equal to or less than </w:t>
      </w:r>
      <w:r w:rsidR="00DF3BAC" w:rsidRPr="00DF3BAC">
        <w:t>the percentage, established in each program, of</w:t>
      </w:r>
      <w:r w:rsidR="00C44870">
        <w:t xml:space="preserve"> the total available t</w:t>
      </w:r>
      <w:r w:rsidR="00E702E4">
        <w:t>o the district</w:t>
      </w:r>
      <w:r w:rsidR="00DF3BAC" w:rsidRPr="00DF3BAC">
        <w:t xml:space="preserve"> for administration </w:t>
      </w:r>
      <w:r w:rsidR="00E34E10">
        <w:t>of</w:t>
      </w:r>
      <w:r w:rsidR="00DF3BAC" w:rsidRPr="00DF3BAC">
        <w:t xml:space="preserve"> those programs.</w:t>
      </w:r>
      <w:r w:rsidR="008B0A53">
        <w:t xml:space="preserve"> </w:t>
      </w:r>
      <w:proofErr w:type="gramStart"/>
      <w:r>
        <w:t>(ESEA section 8203</w:t>
      </w:r>
      <w:r w:rsidR="00807DFD">
        <w:t>(a)</w:t>
      </w:r>
      <w:r>
        <w:t>).</w:t>
      </w:r>
      <w:proofErr w:type="gramEnd"/>
      <w:r w:rsidR="008B0A53">
        <w:t xml:space="preserve"> </w:t>
      </w:r>
      <w:r w:rsidR="00E702E4">
        <w:t>A district</w:t>
      </w:r>
      <w:r w:rsidR="004975D2">
        <w:t xml:space="preserve"> that consolidates funds is not required to keep separate records for each individual program included in the consolidation to account for costs related to the administration of the consolidated programs. </w:t>
      </w:r>
      <w:proofErr w:type="gramStart"/>
      <w:r w:rsidR="00807DFD">
        <w:t>(ESEA section 8203(e)).</w:t>
      </w:r>
      <w:proofErr w:type="gramEnd"/>
      <w:r w:rsidR="00807DFD">
        <w:t xml:space="preserve"> </w:t>
      </w:r>
      <w:r w:rsidR="009B3189">
        <w:t xml:space="preserve">For </w:t>
      </w:r>
      <w:r w:rsidR="00E702E4">
        <w:t>example, a district</w:t>
      </w:r>
      <w:r w:rsidR="00346B12">
        <w:t xml:space="preserve"> that has a consolidated pool of administrative funds that includes Title III, Part A in the consolidation may use any of the consolidated funds to administer its Title III, Part A program, even though section 3115(b) of the ESEA limits the amount of Title III, Part A funds that may </w:t>
      </w:r>
      <w:r w:rsidR="00C44870">
        <w:t xml:space="preserve">be </w:t>
      </w:r>
      <w:r w:rsidR="00346B12">
        <w:t>contribute</w:t>
      </w:r>
      <w:r w:rsidR="00C44870">
        <w:t>d</w:t>
      </w:r>
      <w:r w:rsidR="00346B12">
        <w:t xml:space="preserve"> to the consolidat</w:t>
      </w:r>
      <w:r w:rsidR="00E702E4">
        <w:t>ed pool to two percent of a district</w:t>
      </w:r>
      <w:r w:rsidR="00346B12">
        <w:t xml:space="preserve">’s Title III, Part A allocation. </w:t>
      </w:r>
      <w:r w:rsidR="0050039D" w:rsidRPr="004A416D">
        <w:t>T</w:t>
      </w:r>
      <w:r w:rsidR="008B0A53" w:rsidRPr="004A416D">
        <w:t>he</w:t>
      </w:r>
      <w:r w:rsidR="00DB0B63">
        <w:t xml:space="preserve"> ESEA requires a State</w:t>
      </w:r>
      <w:r w:rsidR="008B0A53">
        <w:t xml:space="preserve">, </w:t>
      </w:r>
      <w:r w:rsidR="008B0A53" w:rsidRPr="008B0A53">
        <w:t xml:space="preserve">in collaboration with </w:t>
      </w:r>
      <w:r w:rsidR="008C0179">
        <w:t>districts</w:t>
      </w:r>
      <w:r w:rsidR="008B0A53" w:rsidRPr="008B0A53">
        <w:t xml:space="preserve"> in the State, </w:t>
      </w:r>
      <w:r w:rsidR="008B0A53">
        <w:t>to</w:t>
      </w:r>
      <w:r w:rsidR="008B0A53" w:rsidRPr="008B0A53">
        <w:t xml:space="preserve"> establish procedures for responding to</w:t>
      </w:r>
      <w:r w:rsidR="008C0179">
        <w:t xml:space="preserve"> district</w:t>
      </w:r>
      <w:r w:rsidR="008B0A53" w:rsidRPr="008B0A53">
        <w:t xml:space="preserve"> requests to consolidate administrative funds and for establishing limitations on the amount of funds under those programs that can be used for administration on a consolidated basis</w:t>
      </w:r>
      <w:r w:rsidR="00F56A8A">
        <w:t>.</w:t>
      </w:r>
      <w:r w:rsidR="007752EF">
        <w:t xml:space="preserve"> </w:t>
      </w:r>
      <w:proofErr w:type="gramStart"/>
      <w:r w:rsidR="007752EF">
        <w:t>(</w:t>
      </w:r>
      <w:r w:rsidR="00F56A8A">
        <w:t xml:space="preserve">ESEA </w:t>
      </w:r>
      <w:r w:rsidR="007752EF">
        <w:t>section 8203(b)</w:t>
      </w:r>
      <w:r w:rsidR="00B77CB4">
        <w:t>)</w:t>
      </w:r>
      <w:r w:rsidR="000901E2">
        <w:t>.</w:t>
      </w:r>
      <w:proofErr w:type="gramEnd"/>
    </w:p>
    <w:p w14:paraId="5A76D26F" w14:textId="7C15AC89" w:rsidR="00AF292F" w:rsidRPr="00024DFC" w:rsidRDefault="005440B5" w:rsidP="006174E1">
      <w:pPr>
        <w:pStyle w:val="Heading2"/>
        <w:numPr>
          <w:ilvl w:val="0"/>
          <w:numId w:val="21"/>
        </w:numPr>
      </w:pPr>
      <w:bookmarkStart w:id="46" w:name="_Toc505775580"/>
      <w:bookmarkStart w:id="47" w:name="_Toc505777439"/>
      <w:bookmarkStart w:id="48" w:name="_Toc520885470"/>
      <w:r w:rsidRPr="00FC2FE0">
        <w:t xml:space="preserve">Student-centered </w:t>
      </w:r>
      <w:r w:rsidR="00725B68" w:rsidRPr="004A416D">
        <w:t xml:space="preserve">Funding </w:t>
      </w:r>
      <w:r w:rsidRPr="00024DFC">
        <w:t xml:space="preserve">Pilot </w:t>
      </w:r>
      <w:r w:rsidR="00725B68" w:rsidRPr="00024DFC">
        <w:t>(ESEA section 1501)</w:t>
      </w:r>
      <w:bookmarkEnd w:id="46"/>
      <w:bookmarkEnd w:id="47"/>
      <w:bookmarkEnd w:id="48"/>
    </w:p>
    <w:p w14:paraId="5490AD2E" w14:textId="7B4AFC0D" w:rsidR="005440B5" w:rsidRPr="004D2849" w:rsidRDefault="00E702E4" w:rsidP="00024DFC">
      <w:r>
        <w:t>A district</w:t>
      </w:r>
      <w:r w:rsidR="005440B5" w:rsidRPr="00382C6E">
        <w:t xml:space="preserve"> may apply for extensive flexibility from </w:t>
      </w:r>
      <w:r w:rsidR="00FA74C1">
        <w:t>many</w:t>
      </w:r>
      <w:r w:rsidR="007E52EB">
        <w:t xml:space="preserve"> </w:t>
      </w:r>
      <w:r>
        <w:t>district</w:t>
      </w:r>
      <w:r w:rsidR="005440B5" w:rsidRPr="00382C6E">
        <w:t>-level program and fiscal requirements related to elig</w:t>
      </w:r>
      <w:r>
        <w:t>ible Federal programs if the district</w:t>
      </w:r>
      <w:r w:rsidR="005440B5" w:rsidRPr="00382C6E">
        <w:t xml:space="preserve"> wishes to combine those eligible Federal funds with State and local funds in order to allocate resources to schools based on the </w:t>
      </w:r>
      <w:r w:rsidR="005440B5" w:rsidRPr="00382C6E">
        <w:lastRenderedPageBreak/>
        <w:t>number of students and the</w:t>
      </w:r>
      <w:r w:rsidR="003025F6">
        <w:t>ir</w:t>
      </w:r>
      <w:r w:rsidR="005440B5" w:rsidRPr="00382C6E">
        <w:t xml:space="preserve"> corresponding levels of</w:t>
      </w:r>
      <w:r w:rsidR="003025F6">
        <w:t xml:space="preserve"> educational</w:t>
      </w:r>
      <w:r w:rsidR="005440B5" w:rsidRPr="00382C6E">
        <w:t xml:space="preserve"> need</w:t>
      </w:r>
      <w:r w:rsidR="003025F6">
        <w:t xml:space="preserve"> as determined by the district</w:t>
      </w:r>
      <w:r w:rsidR="005440B5" w:rsidRPr="00382C6E">
        <w:t>. Specifically, a</w:t>
      </w:r>
      <w:r>
        <w:t xml:space="preserve"> district</w:t>
      </w:r>
      <w:r w:rsidR="005440B5" w:rsidRPr="00382C6E">
        <w:t xml:space="preserve"> may include funds under any of the following programs authorized under the ESEA: Title I</w:t>
      </w:r>
      <w:r w:rsidR="00D940BF">
        <w:t>, Part</w:t>
      </w:r>
      <w:r w:rsidR="00E06A0E">
        <w:t>s</w:t>
      </w:r>
      <w:r w:rsidR="00D940BF">
        <w:t xml:space="preserve"> A, C, and D</w:t>
      </w:r>
      <w:r w:rsidR="005440B5" w:rsidRPr="00382C6E">
        <w:t xml:space="preserve">; Title II; Title III; Title IV, Part A; </w:t>
      </w:r>
      <w:r w:rsidR="00631D9C">
        <w:t xml:space="preserve">and </w:t>
      </w:r>
      <w:r w:rsidR="005440B5" w:rsidRPr="00382C6E">
        <w:t xml:space="preserve">Title V, Part B. </w:t>
      </w:r>
      <w:r w:rsidR="00E34E10">
        <w:t xml:space="preserve">(ESEA section 1501(1). </w:t>
      </w:r>
      <w:r w:rsidR="005440B5" w:rsidRPr="00382C6E">
        <w:t>A</w:t>
      </w:r>
      <w:r>
        <w:t xml:space="preserve"> district</w:t>
      </w:r>
      <w:r w:rsidR="005440B5" w:rsidRPr="00382C6E">
        <w:t xml:space="preserve"> taking advantage of the flexibility would need to design and implement a system that uses weights to provide substantially more funding to students from low-income families, English learners, and any other educationally disadvantage</w:t>
      </w:r>
      <w:r w:rsidR="00E34E10">
        <w:t>d</w:t>
      </w:r>
      <w:r w:rsidR="005440B5" w:rsidRPr="00382C6E">
        <w:t xml:space="preserve"> student group</w:t>
      </w:r>
      <w:r w:rsidR="00E34E10">
        <w:t>s</w:t>
      </w:r>
      <w:r w:rsidR="005440B5" w:rsidRPr="00382C6E">
        <w:t xml:space="preserve"> identified by the </w:t>
      </w:r>
      <w:r>
        <w:t>district</w:t>
      </w:r>
      <w:r w:rsidR="005440B5" w:rsidRPr="00382C6E">
        <w:t xml:space="preserve">. Notably, the flexibility does not relieve an approved </w:t>
      </w:r>
      <w:r>
        <w:t>district</w:t>
      </w:r>
      <w:r w:rsidR="005440B5" w:rsidRPr="00382C6E">
        <w:t xml:space="preserve"> of any State-level requirements</w:t>
      </w:r>
      <w:r w:rsidR="009A4C52">
        <w:t xml:space="preserve">. </w:t>
      </w:r>
      <w:r w:rsidR="00F12C81">
        <w:t>Provided a</w:t>
      </w:r>
      <w:r>
        <w:t xml:space="preserve"> district</w:t>
      </w:r>
      <w:r w:rsidR="00F12C81">
        <w:t xml:space="preserve"> meets all requirements of the program, it would re</w:t>
      </w:r>
      <w:r w:rsidR="00FF7661">
        <w:t>ceive substantial relief from both fiscal requirements (such as separately tracking Federal funds) and programmatic require</w:t>
      </w:r>
      <w:r>
        <w:t>ments for those programs the district</w:t>
      </w:r>
      <w:r w:rsidR="00FF7661">
        <w:t xml:space="preserve"> includes in the weighted funding system. Additional information, including an application, is available at </w:t>
      </w:r>
      <w:hyperlink r:id="rId18" w:history="1">
        <w:r w:rsidR="00FF7661" w:rsidRPr="00EA22D3">
          <w:rPr>
            <w:rStyle w:val="Hyperlink"/>
          </w:rPr>
          <w:t>https://www2.ed.gov/policy/elsec/leg/essa/scfp/studentcentered.html</w:t>
        </w:r>
      </w:hyperlink>
      <w:r w:rsidR="00FF7661">
        <w:t xml:space="preserve">. </w:t>
      </w:r>
    </w:p>
    <w:p w14:paraId="65EE37E1" w14:textId="25EDE0A8" w:rsidR="00725B68" w:rsidRPr="00F70BA7" w:rsidRDefault="00725B68" w:rsidP="006174E1">
      <w:pPr>
        <w:pStyle w:val="Heading2"/>
        <w:numPr>
          <w:ilvl w:val="0"/>
          <w:numId w:val="21"/>
        </w:numPr>
      </w:pPr>
      <w:bookmarkStart w:id="49" w:name="_Toc505772043"/>
      <w:bookmarkStart w:id="50" w:name="_Toc505772069"/>
      <w:bookmarkStart w:id="51" w:name="_Toc505772175"/>
      <w:bookmarkStart w:id="52" w:name="_Toc505775581"/>
      <w:bookmarkStart w:id="53" w:name="_Toc505777440"/>
      <w:bookmarkStart w:id="54" w:name="_Toc520885471"/>
      <w:bookmarkEnd w:id="49"/>
      <w:bookmarkEnd w:id="50"/>
      <w:bookmarkEnd w:id="51"/>
      <w:r w:rsidRPr="00F70BA7">
        <w:t>Locally</w:t>
      </w:r>
      <w:r w:rsidR="00C72F2C" w:rsidRPr="00F70BA7">
        <w:t xml:space="preserve"> </w:t>
      </w:r>
      <w:r w:rsidR="003D41E4" w:rsidRPr="00F70BA7">
        <w:t>S</w:t>
      </w:r>
      <w:r w:rsidRPr="00F70BA7">
        <w:t>elected</w:t>
      </w:r>
      <w:r w:rsidR="00C72F2C" w:rsidRPr="00F70BA7">
        <w:t>, Nationally Recognized High School</w:t>
      </w:r>
      <w:r w:rsidRPr="00F70BA7">
        <w:t xml:space="preserve"> </w:t>
      </w:r>
      <w:r w:rsidR="000D6471" w:rsidRPr="00F70BA7">
        <w:t xml:space="preserve">Academic </w:t>
      </w:r>
      <w:r w:rsidRPr="00F70BA7">
        <w:t>Assessment</w:t>
      </w:r>
      <w:r w:rsidR="00C72F2C" w:rsidRPr="00F70BA7">
        <w:t>s</w:t>
      </w:r>
      <w:bookmarkEnd w:id="52"/>
      <w:bookmarkEnd w:id="53"/>
      <w:r w:rsidRPr="00F70BA7">
        <w:t xml:space="preserve"> </w:t>
      </w:r>
      <w:r w:rsidR="00C56D08">
        <w:t>(ESEA</w:t>
      </w:r>
      <w:r w:rsidR="00EE16FA">
        <w:t xml:space="preserve"> section 1111(b</w:t>
      </w:r>
      <w:proofErr w:type="gramStart"/>
      <w:r w:rsidR="00EE16FA">
        <w:t>)(</w:t>
      </w:r>
      <w:proofErr w:type="gramEnd"/>
      <w:r w:rsidR="00EE16FA">
        <w:t>2)(H); 34 C.F.R. § 200.3)</w:t>
      </w:r>
      <w:bookmarkEnd w:id="54"/>
    </w:p>
    <w:p w14:paraId="24ED479E" w14:textId="6DDE438F" w:rsidR="00237079" w:rsidRPr="00E739F2" w:rsidRDefault="00263DC1" w:rsidP="00024DFC">
      <w:pPr>
        <w:pStyle w:val="ListParagraph"/>
        <w:ind w:left="0"/>
        <w:contextualSpacing w:val="0"/>
      </w:pPr>
      <w:r>
        <w:t>If permitted by the State, a</w:t>
      </w:r>
      <w:r w:rsidR="00E702E4">
        <w:t xml:space="preserve"> district</w:t>
      </w:r>
      <w:r>
        <w:t xml:space="preserve"> may administer a nationally recognized high school academic assessment in place of the statewide academic assessment in any subject. A</w:t>
      </w:r>
      <w:r w:rsidR="00E702E4">
        <w:t xml:space="preserve"> district</w:t>
      </w:r>
      <w:r>
        <w:t xml:space="preserve"> that elects to administer a nationally recognized high school academic assessment </w:t>
      </w:r>
      <w:r w:rsidR="00855CE2">
        <w:t>must make parents aware of its selection and administer</w:t>
      </w:r>
      <w:r>
        <w:t xml:space="preserve"> the assessment to all its high school students</w:t>
      </w:r>
      <w:r w:rsidR="00855CE2">
        <w:t>.</w:t>
      </w:r>
      <w:r>
        <w:t xml:space="preserve"> A “nationally recognized high school academic assessment” is an assessment of high school students’ knowledge and skills that is administered in multiple States and is recognized by institutions of higher education in those or other States for the purposes of entrance or placement into courses in postsecondary education or training programs. </w:t>
      </w:r>
      <w:r w:rsidR="000D6471" w:rsidRPr="00E739F2">
        <w:t>(ESEA section 1111(b</w:t>
      </w:r>
      <w:proofErr w:type="gramStart"/>
      <w:r w:rsidR="000D6471" w:rsidRPr="00E739F2">
        <w:t>)(</w:t>
      </w:r>
      <w:proofErr w:type="gramEnd"/>
      <w:r w:rsidR="000D6471" w:rsidRPr="00E739F2">
        <w:t>2)(H)</w:t>
      </w:r>
      <w:r w:rsidR="000D6471">
        <w:t>; 34 C.F.R. § 200.3</w:t>
      </w:r>
      <w:r w:rsidR="000D6471" w:rsidRPr="00E739F2">
        <w:t>)</w:t>
      </w:r>
    </w:p>
    <w:p w14:paraId="3F02729A" w14:textId="561DFDBF" w:rsidR="00A17E61" w:rsidRPr="00BA6356" w:rsidRDefault="00E702E4" w:rsidP="005E642C">
      <w:pPr>
        <w:pStyle w:val="Heading2"/>
        <w:numPr>
          <w:ilvl w:val="0"/>
          <w:numId w:val="21"/>
        </w:numPr>
      </w:pPr>
      <w:bookmarkStart w:id="55" w:name="_Toc520885472"/>
      <w:r>
        <w:t>District</w:t>
      </w:r>
      <w:r w:rsidR="00A17E61" w:rsidRPr="00BA6356">
        <w:t xml:space="preserve"> and School Discretion with Respect to School Improvement Activities (ESEA section 1111(d</w:t>
      </w:r>
      <w:proofErr w:type="gramStart"/>
      <w:r w:rsidR="00A17E61" w:rsidRPr="00BA6356">
        <w:t>)(</w:t>
      </w:r>
      <w:proofErr w:type="gramEnd"/>
      <w:r w:rsidR="00A17E61" w:rsidRPr="00BA6356">
        <w:t>1)(B) and (d)(2)(B))</w:t>
      </w:r>
      <w:bookmarkEnd w:id="55"/>
    </w:p>
    <w:p w14:paraId="49F658C6" w14:textId="451FB652" w:rsidR="00A17E61" w:rsidRDefault="00855CE2" w:rsidP="00A13C74">
      <w:r>
        <w:t>A</w:t>
      </w:r>
      <w:r w:rsidR="00E702E4">
        <w:t xml:space="preserve"> district</w:t>
      </w:r>
      <w:r w:rsidR="00A17E61">
        <w:t xml:space="preserve"> has the flexibility to determine the evidence-based interventions it will include in each comprehensive support and improvement plan it develops for its schools</w:t>
      </w:r>
      <w:r w:rsidR="005C6596">
        <w:t>.</w:t>
      </w:r>
      <w:r w:rsidR="00A17E61">
        <w:t xml:space="preserve"> (ESEA section 1111(d</w:t>
      </w:r>
      <w:proofErr w:type="gramStart"/>
      <w:r w:rsidR="00A17E61">
        <w:t>)(</w:t>
      </w:r>
      <w:proofErr w:type="gramEnd"/>
      <w:r w:rsidR="00A17E61">
        <w:t>1)(B)). Similarly, a school that is i</w:t>
      </w:r>
      <w:r w:rsidR="00E97364">
        <w:t>mplementing a</w:t>
      </w:r>
      <w:r w:rsidR="00A17E61">
        <w:t xml:space="preserve"> targeted support and improvement </w:t>
      </w:r>
      <w:r w:rsidR="00E97364">
        <w:t xml:space="preserve">plan </w:t>
      </w:r>
      <w:r w:rsidR="00A17E61">
        <w:t xml:space="preserve">has the flexibility to determine the evidence-based interventions it will include in its school </w:t>
      </w:r>
      <w:r w:rsidR="00E34E10">
        <w:t xml:space="preserve">support and </w:t>
      </w:r>
      <w:r w:rsidR="00A17E61">
        <w:t>improvement plan</w:t>
      </w:r>
      <w:r w:rsidR="005C6596">
        <w:t>.</w:t>
      </w:r>
      <w:r w:rsidR="00A17E61">
        <w:t xml:space="preserve"> (ESEA sect</w:t>
      </w:r>
      <w:r w:rsidR="00E702E4">
        <w:t>ion 1111(d</w:t>
      </w:r>
      <w:proofErr w:type="gramStart"/>
      <w:r w:rsidR="00E702E4">
        <w:t>)(</w:t>
      </w:r>
      <w:proofErr w:type="gramEnd"/>
      <w:r w:rsidR="00E702E4">
        <w:t xml:space="preserve">2)(B)). </w:t>
      </w:r>
      <w:bookmarkStart w:id="56" w:name="_Toc505775582"/>
      <w:bookmarkStart w:id="57" w:name="_Toc505777441"/>
      <w:r w:rsidR="00A17E61" w:rsidRPr="00024DFC">
        <w:t>School Improve</w:t>
      </w:r>
      <w:r w:rsidR="00E34E10">
        <w:t>ment Funds (ESEA section 1003</w:t>
      </w:r>
      <w:r w:rsidR="00A17E61" w:rsidRPr="00024DFC">
        <w:t>)</w:t>
      </w:r>
      <w:bookmarkEnd w:id="56"/>
      <w:bookmarkEnd w:id="57"/>
    </w:p>
    <w:p w14:paraId="2ADCAB71" w14:textId="400C5FBF" w:rsidR="002D5060" w:rsidRDefault="002D5060" w:rsidP="00A17E61">
      <w:r>
        <w:t xml:space="preserve">Any </w:t>
      </w:r>
      <w:r w:rsidR="00E34E10">
        <w:t xml:space="preserve">district with one or more schools </w:t>
      </w:r>
      <w:r>
        <w:t>identified for comprehensive support and improvement under ESEA section 1111(c)(4)(D)(</w:t>
      </w:r>
      <w:proofErr w:type="spellStart"/>
      <w:r>
        <w:t>i</w:t>
      </w:r>
      <w:proofErr w:type="spellEnd"/>
      <w:r>
        <w:t xml:space="preserve">) or implementing a targeted support and improvement plan under ESEA section 1111(d)(2) is eligible to </w:t>
      </w:r>
      <w:r w:rsidR="00E06A0E">
        <w:t xml:space="preserve">apply to the State for </w:t>
      </w:r>
      <w:r>
        <w:t xml:space="preserve">school improvement funds. </w:t>
      </w:r>
    </w:p>
    <w:p w14:paraId="0AB88F15" w14:textId="61688493" w:rsidR="00A17E61" w:rsidRDefault="00A17E61" w:rsidP="00A17E61">
      <w:r w:rsidRPr="005C5DBE">
        <w:t xml:space="preserve">The ESEA provides significant flexibility to </w:t>
      </w:r>
      <w:r w:rsidR="00E702E4">
        <w:t>district</w:t>
      </w:r>
      <w:r w:rsidRPr="005C5DBE">
        <w:t>s regarding school improvement funds reserved under section 1003 of the ESEA</w:t>
      </w:r>
      <w:r w:rsidRPr="00382C6E">
        <w:t xml:space="preserve"> </w:t>
      </w:r>
      <w:r w:rsidR="00E34E10">
        <w:t>for</w:t>
      </w:r>
      <w:r w:rsidRPr="005C5DBE">
        <w:t xml:space="preserve"> schools identified for comprehensive or t</w:t>
      </w:r>
      <w:r w:rsidR="009D1456">
        <w:t xml:space="preserve">argeted support and improvement, </w:t>
      </w:r>
      <w:r w:rsidRPr="005C5DBE">
        <w:t xml:space="preserve">including discretion to determine how much school improvement </w:t>
      </w:r>
      <w:r w:rsidRPr="005C5DBE">
        <w:lastRenderedPageBreak/>
        <w:t>funding it will seek, the schools for which it will seek such funding (</w:t>
      </w:r>
      <w:r w:rsidRPr="00B67F30">
        <w:t>e.g.</w:t>
      </w:r>
      <w:r w:rsidRPr="005C5DBE">
        <w:t xml:space="preserve">, all identified schools or only those identified for comprehensive support and improvement), and whether </w:t>
      </w:r>
      <w:r w:rsidR="00E702E4">
        <w:t>to seek any funding for district</w:t>
      </w:r>
      <w:r w:rsidRPr="005C5DBE">
        <w:t>-level activities</w:t>
      </w:r>
      <w:r>
        <w:t>.</w:t>
      </w:r>
    </w:p>
    <w:p w14:paraId="384F3A42" w14:textId="786D2E52" w:rsidR="002D5060" w:rsidRDefault="002D5060" w:rsidP="00A17E61">
      <w:r>
        <w:t>Possible activities that a</w:t>
      </w:r>
      <w:r w:rsidR="00E702E4">
        <w:t xml:space="preserve"> district</w:t>
      </w:r>
      <w:r>
        <w:t xml:space="preserve"> may carry out using school improvement funds include the following: family and community engagement, rigorous review of external providers, recruit</w:t>
      </w:r>
      <w:r w:rsidR="00500293">
        <w:t>ing and hiring</w:t>
      </w:r>
      <w:r>
        <w:t xml:space="preserve"> staff, instructional programs, and profess</w:t>
      </w:r>
      <w:r w:rsidR="00F510A6">
        <w:t xml:space="preserve">ional development and support. </w:t>
      </w:r>
      <w:r w:rsidR="00500293">
        <w:t>A district may also use the funds to support other allowable activities, including those that are part of a plan for comprehensive or targeted support and improvement, which must include one or more evidenced-based interventions.</w:t>
      </w:r>
    </w:p>
    <w:p w14:paraId="7465EC1B" w14:textId="2DF1969B" w:rsidR="000A4CB4" w:rsidRPr="000A4CB4" w:rsidRDefault="000A4CB4" w:rsidP="00720D34">
      <w:pPr>
        <w:pStyle w:val="Heading2"/>
        <w:numPr>
          <w:ilvl w:val="0"/>
          <w:numId w:val="21"/>
        </w:numPr>
      </w:pPr>
      <w:bookmarkStart w:id="58" w:name="_Toc520885473"/>
      <w:r w:rsidRPr="000A4CB4">
        <w:t>Public School Choice (ESEA section 1111(d</w:t>
      </w:r>
      <w:proofErr w:type="gramStart"/>
      <w:r w:rsidRPr="000A4CB4">
        <w:t>)(</w:t>
      </w:r>
      <w:proofErr w:type="gramEnd"/>
      <w:r w:rsidRPr="000A4CB4">
        <w:t>1)(D))</w:t>
      </w:r>
      <w:bookmarkEnd w:id="58"/>
    </w:p>
    <w:p w14:paraId="051FB030" w14:textId="78B32E7B" w:rsidR="000A4CB4" w:rsidRPr="00BB5A53" w:rsidRDefault="00987842" w:rsidP="000A4CB4">
      <w:r>
        <w:t>A district</w:t>
      </w:r>
      <w:r w:rsidR="000A4CB4">
        <w:t xml:space="preserve"> has the discretion to offer students enrolled in a school that is identified by the State for comprehensive support and improvement with the option to transfer to another</w:t>
      </w:r>
      <w:r>
        <w:t xml:space="preserve"> public school served by the district</w:t>
      </w:r>
      <w:r w:rsidR="001F1CCD">
        <w:t>.</w:t>
      </w:r>
      <w:r w:rsidR="000A4CB4">
        <w:t xml:space="preserve"> (ESEA section 1111(d</w:t>
      </w:r>
      <w:proofErr w:type="gramStart"/>
      <w:r w:rsidR="000A4CB4">
        <w:t>)(</w:t>
      </w:r>
      <w:proofErr w:type="gramEnd"/>
      <w:r w:rsidR="000A4CB4">
        <w:t>1)(</w:t>
      </w:r>
      <w:r w:rsidR="00D67574">
        <w:t>D</w:t>
      </w:r>
      <w:r w:rsidR="000A4CB4">
        <w:t>)(</w:t>
      </w:r>
      <w:proofErr w:type="spellStart"/>
      <w:r w:rsidR="000A4CB4">
        <w:t>i</w:t>
      </w:r>
      <w:proofErr w:type="spellEnd"/>
      <w:r w:rsidR="000A4CB4">
        <w:t>)). Furthermore, a</w:t>
      </w:r>
      <w:r>
        <w:t xml:space="preserve"> district</w:t>
      </w:r>
      <w:r w:rsidR="000A4CB4">
        <w:t xml:space="preserve"> may use up to five percent of its Title I, Part A funds to pay for transportation for students who take advantage of this public school choice option</w:t>
      </w:r>
      <w:r w:rsidR="00687B7D">
        <w:t>.</w:t>
      </w:r>
      <w:r w:rsidR="000A4CB4">
        <w:t xml:space="preserve"> (ESEA sect</w:t>
      </w:r>
      <w:r>
        <w:t>ion 1111(d</w:t>
      </w:r>
      <w:proofErr w:type="gramStart"/>
      <w:r>
        <w:t>)(</w:t>
      </w:r>
      <w:proofErr w:type="gramEnd"/>
      <w:r>
        <w:t>1)(D)(v)). If a district</w:t>
      </w:r>
      <w:r w:rsidR="000A4CB4">
        <w:t xml:space="preserve"> chooses to offer this option to its student</w:t>
      </w:r>
      <w:r w:rsidR="00015670">
        <w:t>s</w:t>
      </w:r>
      <w:r w:rsidR="000A4CB4">
        <w:t>, ESEA section 1111(d</w:t>
      </w:r>
      <w:proofErr w:type="gramStart"/>
      <w:r w:rsidR="000A4CB4">
        <w:t>)(</w:t>
      </w:r>
      <w:proofErr w:type="gramEnd"/>
      <w:r w:rsidR="000A4CB4">
        <w:t>1)(D)(ii)-(iv) outlines the require</w:t>
      </w:r>
      <w:r w:rsidR="009D1456">
        <w:t xml:space="preserve">ments for implementation. Note that any public school choice option provided by a district under these provisions must be consistent with State law. </w:t>
      </w:r>
      <w:r w:rsidR="00D67574">
        <w:t>(ESEA section 1111(d</w:t>
      </w:r>
      <w:proofErr w:type="gramStart"/>
      <w:r w:rsidR="00D67574">
        <w:t>)(</w:t>
      </w:r>
      <w:proofErr w:type="gramEnd"/>
      <w:r w:rsidR="00D67574">
        <w:t>1)(D)(</w:t>
      </w:r>
      <w:proofErr w:type="spellStart"/>
      <w:r w:rsidR="00D67574">
        <w:t>i</w:t>
      </w:r>
      <w:proofErr w:type="spellEnd"/>
      <w:r w:rsidR="00D67574">
        <w:t>)).</w:t>
      </w:r>
    </w:p>
    <w:p w14:paraId="41F93DD9" w14:textId="30AA44B8" w:rsidR="000D6471" w:rsidRPr="004A416D" w:rsidRDefault="00725B68" w:rsidP="006174E1">
      <w:pPr>
        <w:pStyle w:val="Heading2"/>
        <w:numPr>
          <w:ilvl w:val="0"/>
          <w:numId w:val="21"/>
        </w:numPr>
      </w:pPr>
      <w:bookmarkStart w:id="59" w:name="_Toc505775583"/>
      <w:bookmarkStart w:id="60" w:name="_Toc505777442"/>
      <w:bookmarkStart w:id="61" w:name="_Toc520885474"/>
      <w:r w:rsidRPr="004A416D">
        <w:t>Sup</w:t>
      </w:r>
      <w:r w:rsidR="00BE281E" w:rsidRPr="00382C6E">
        <w:t>plement</w:t>
      </w:r>
      <w:r w:rsidRPr="00382C6E">
        <w:t xml:space="preserve"> </w:t>
      </w:r>
      <w:r w:rsidR="006F1997">
        <w:t>N</w:t>
      </w:r>
      <w:r w:rsidR="00BE281E" w:rsidRPr="00382C6E">
        <w:t xml:space="preserve">ot </w:t>
      </w:r>
      <w:r w:rsidRPr="00382C6E">
        <w:t>S</w:t>
      </w:r>
      <w:r w:rsidR="00BE281E" w:rsidRPr="00382C6E">
        <w:t xml:space="preserve">upplant </w:t>
      </w:r>
      <w:r w:rsidR="00C72F2C" w:rsidRPr="00382C6E">
        <w:t>(</w:t>
      </w:r>
      <w:r w:rsidR="008174E1">
        <w:t>ESEA section 1118(b</w:t>
      </w:r>
      <w:proofErr w:type="gramStart"/>
      <w:r w:rsidR="008174E1">
        <w:t>)(</w:t>
      </w:r>
      <w:proofErr w:type="gramEnd"/>
      <w:r w:rsidR="008174E1">
        <w:t>1)</w:t>
      </w:r>
      <w:r w:rsidR="00C72F2C" w:rsidRPr="00382C6E">
        <w:t>)</w:t>
      </w:r>
      <w:bookmarkEnd w:id="59"/>
      <w:bookmarkEnd w:id="60"/>
      <w:bookmarkEnd w:id="61"/>
      <w:r w:rsidR="00C72F2C" w:rsidRPr="00382C6E">
        <w:t xml:space="preserve"> </w:t>
      </w:r>
    </w:p>
    <w:p w14:paraId="65EE37E2" w14:textId="4FDD8021" w:rsidR="00AF292F" w:rsidRPr="00E739F2" w:rsidRDefault="00987842" w:rsidP="00024DFC">
      <w:pPr>
        <w:pStyle w:val="ListParagraph"/>
        <w:ind w:left="0"/>
        <w:contextualSpacing w:val="0"/>
      </w:pPr>
      <w:r>
        <w:t>A district</w:t>
      </w:r>
      <w:r w:rsidR="00263DC1">
        <w:t xml:space="preserve"> may demonstrate compliance with the Title I, Part A supplement not supplant requirement by using a methodology to allocate State and local funds to each Title I school that ensures that each school receives all the State and local funds it would otherwise receive if it were not </w:t>
      </w:r>
      <w:r>
        <w:t xml:space="preserve">receiving Title I funds. </w:t>
      </w:r>
      <w:r w:rsidR="00A5546A">
        <w:t xml:space="preserve">The district’s methodology must be Title I neutral. </w:t>
      </w:r>
      <w:r>
        <w:t>The district</w:t>
      </w:r>
      <w:r w:rsidR="00263DC1">
        <w:t xml:space="preserve"> is not required to identify that an individual cost or service supported with Title I, Part A funds is supplemental or provide services through a particular instructional method or setting. This provision applies to both schoolwide programs and targeted assistance schools. </w:t>
      </w:r>
      <w:proofErr w:type="gramStart"/>
      <w:r w:rsidR="00725B68" w:rsidRPr="00E739F2">
        <w:t>(ESEA section 1118(b))</w:t>
      </w:r>
      <w:r w:rsidR="006F1997">
        <w:t>.</w:t>
      </w:r>
      <w:proofErr w:type="gramEnd"/>
    </w:p>
    <w:p w14:paraId="70652092" w14:textId="43D9C426" w:rsidR="007D68F3" w:rsidRPr="00382C6E" w:rsidRDefault="007D68F3" w:rsidP="006174E1">
      <w:pPr>
        <w:pStyle w:val="Heading2"/>
        <w:numPr>
          <w:ilvl w:val="0"/>
          <w:numId w:val="21"/>
        </w:numPr>
      </w:pPr>
      <w:bookmarkStart w:id="62" w:name="_Toc505775584"/>
      <w:bookmarkStart w:id="63" w:name="_Toc505777443"/>
      <w:bookmarkStart w:id="64" w:name="_Toc520885475"/>
      <w:r w:rsidRPr="00382C6E">
        <w:t>Consolidation of Funds in a Schoolwide Program (ESEA section 1114(a</w:t>
      </w:r>
      <w:proofErr w:type="gramStart"/>
      <w:r w:rsidRPr="00382C6E">
        <w:t>)(</w:t>
      </w:r>
      <w:proofErr w:type="gramEnd"/>
      <w:r w:rsidRPr="00382C6E">
        <w:t>1)(A), (3))</w:t>
      </w:r>
      <w:bookmarkEnd w:id="62"/>
      <w:bookmarkEnd w:id="63"/>
      <w:bookmarkEnd w:id="64"/>
    </w:p>
    <w:p w14:paraId="0310EC5C" w14:textId="1A438C0B" w:rsidR="00444D12" w:rsidRDefault="00A13C74" w:rsidP="00024DFC">
      <w:r w:rsidRPr="00A13C74">
        <w:t>A Title I schoolwide program is a comprehensive reform strategy designed to upgrade the entire educational program in a Title I school in order to improve the achievement of the lowest-achieving students by coordinating services funded from a variety of sources into a comprehensive framework</w:t>
      </w:r>
      <w:r>
        <w:t xml:space="preserve">. </w:t>
      </w:r>
      <w:r w:rsidR="007959FA" w:rsidRPr="00A13C74">
        <w:t xml:space="preserve">Title I schools that have a poverty percentage of at least 40 percent </w:t>
      </w:r>
      <w:r w:rsidR="005A6F79" w:rsidRPr="00A13C74">
        <w:t>have significant flexibilities available to them through the</w:t>
      </w:r>
      <w:r w:rsidR="007959FA" w:rsidRPr="00A13C74">
        <w:t xml:space="preserve"> operat</w:t>
      </w:r>
      <w:r w:rsidR="005A6F79" w:rsidRPr="00A13C74">
        <w:t>ion of</w:t>
      </w:r>
      <w:r w:rsidR="007959FA" w:rsidRPr="00A13C74">
        <w:t xml:space="preserve"> a schoolwide program. </w:t>
      </w:r>
      <w:r w:rsidR="005A6F79" w:rsidRPr="00A13C74">
        <w:t>(ESEA section 1114(a</w:t>
      </w:r>
      <w:proofErr w:type="gramStart"/>
      <w:r w:rsidR="005A6F79" w:rsidRPr="00A13C74">
        <w:t>)(</w:t>
      </w:r>
      <w:proofErr w:type="gramEnd"/>
      <w:r w:rsidR="005A6F79" w:rsidRPr="00A13C74">
        <w:t xml:space="preserve">1)(a)). </w:t>
      </w:r>
      <w:r w:rsidR="00D67F4B" w:rsidRPr="00A13C74">
        <w:t>In addition, a State</w:t>
      </w:r>
      <w:r w:rsidR="008979D7" w:rsidRPr="00A13C74">
        <w:t xml:space="preserve"> </w:t>
      </w:r>
      <w:r w:rsidR="00DC2908" w:rsidRPr="00A13C74">
        <w:t>may</w:t>
      </w:r>
      <w:r w:rsidR="008979D7" w:rsidRPr="00A13C74">
        <w:t xml:space="preserve"> grant a waiver </w:t>
      </w:r>
      <w:r w:rsidR="006F1997" w:rsidRPr="00A13C74">
        <w:t xml:space="preserve">for </w:t>
      </w:r>
      <w:r w:rsidR="008979D7" w:rsidRPr="00A13C74">
        <w:t>a Title I school with a poverty percentage below 40</w:t>
      </w:r>
      <w:r w:rsidR="009D1456" w:rsidRPr="00A13C74">
        <w:t>-</w:t>
      </w:r>
      <w:r w:rsidR="008979D7" w:rsidRPr="00A13C74">
        <w:t xml:space="preserve"> percent to operate a schoolwide program after considering how a schoolwide program will best serve the needs of students in the school who are failing, or at risk of failing, to meet the challenging State academic standards.</w:t>
      </w:r>
      <w:r w:rsidR="007959FA" w:rsidRPr="00A13C74">
        <w:t xml:space="preserve"> </w:t>
      </w:r>
      <w:r w:rsidR="00DC2908" w:rsidRPr="00A13C74">
        <w:t>(ESEA section 1114(a</w:t>
      </w:r>
      <w:proofErr w:type="gramStart"/>
      <w:r w:rsidR="00DC2908" w:rsidRPr="00A13C74">
        <w:t>)(</w:t>
      </w:r>
      <w:proofErr w:type="gramEnd"/>
      <w:r w:rsidR="00DC2908" w:rsidRPr="00A13C74">
        <w:t>1)(B))</w:t>
      </w:r>
      <w:r w:rsidR="00687B7D" w:rsidRPr="00A13C74">
        <w:t>.</w:t>
      </w:r>
      <w:r w:rsidR="00DC2908" w:rsidRPr="00A13C74">
        <w:t xml:space="preserve"> </w:t>
      </w:r>
      <w:r w:rsidR="007959FA" w:rsidRPr="007959FA">
        <w:t xml:space="preserve">To </w:t>
      </w:r>
      <w:r w:rsidR="007959FA" w:rsidRPr="007959FA">
        <w:lastRenderedPageBreak/>
        <w:t xml:space="preserve">encourage this approach and better leverage all available funding, a schoolwide program school </w:t>
      </w:r>
      <w:r w:rsidR="00544975">
        <w:t xml:space="preserve">has </w:t>
      </w:r>
      <w:r w:rsidR="007959FA" w:rsidRPr="007959FA">
        <w:t>the flexibility to consolidate funds from Title I and other Federal education programs with State and local funds.</w:t>
      </w:r>
      <w:r w:rsidR="006F1997">
        <w:t xml:space="preserve"> (</w:t>
      </w:r>
      <w:r w:rsidR="00D67574">
        <w:t xml:space="preserve">ESEA section </w:t>
      </w:r>
      <w:r w:rsidR="006F1997">
        <w:t>1114(a</w:t>
      </w:r>
      <w:proofErr w:type="gramStart"/>
      <w:r w:rsidR="006F1997">
        <w:t>)(</w:t>
      </w:r>
      <w:proofErr w:type="gramEnd"/>
      <w:r w:rsidR="006F1997">
        <w:t>1)(A</w:t>
      </w:r>
      <w:r w:rsidR="008404FE">
        <w:t>), (3)).</w:t>
      </w:r>
      <w:r w:rsidR="007959FA">
        <w:t xml:space="preserve"> </w:t>
      </w:r>
      <w:r w:rsidR="007C3525">
        <w:t xml:space="preserve">Consolidating Federal, State and local funds in a schoolwide program offers significant flexibility to a school to use all of its funds to meet the specific needs of its students identified through a needs assessment and included in the schoolwide plan. </w:t>
      </w:r>
    </w:p>
    <w:p w14:paraId="65EE37E3" w14:textId="78A4A9DF" w:rsidR="00AF292F" w:rsidRPr="00E739F2" w:rsidRDefault="007959FA" w:rsidP="00024DFC">
      <w:r>
        <w:t xml:space="preserve">For more information on schoolwide programs in general and </w:t>
      </w:r>
      <w:r w:rsidR="009A0C78">
        <w:t xml:space="preserve">the advantages of consolidation </w:t>
      </w:r>
      <w:r>
        <w:t xml:space="preserve">funds in particular, see the ESEA non-regulatory </w:t>
      </w:r>
      <w:r w:rsidR="008979D7">
        <w:t xml:space="preserve">guidance on schoolwide programs, available at </w:t>
      </w:r>
      <w:hyperlink r:id="rId19" w:history="1">
        <w:r w:rsidR="006F1997" w:rsidRPr="004031B1">
          <w:rPr>
            <w:rStyle w:val="Hyperlink"/>
          </w:rPr>
          <w:t>https://www2.ed.gov/policy/elsec/leg/essa/essaswpguidance9192016.pdf</w:t>
        </w:r>
      </w:hyperlink>
      <w:r w:rsidR="008979D7">
        <w:t>.</w:t>
      </w:r>
      <w:r>
        <w:t xml:space="preserve"> </w:t>
      </w:r>
    </w:p>
    <w:p w14:paraId="65EE37E5" w14:textId="4F2C5AC3" w:rsidR="00E739F2" w:rsidRPr="00EA7D4C" w:rsidRDefault="00E739F2" w:rsidP="006174E1">
      <w:pPr>
        <w:pStyle w:val="Heading2"/>
        <w:numPr>
          <w:ilvl w:val="0"/>
          <w:numId w:val="21"/>
        </w:numPr>
      </w:pPr>
      <w:bookmarkStart w:id="65" w:name="_Toc505775585"/>
      <w:bookmarkStart w:id="66" w:name="_Toc505777444"/>
      <w:bookmarkStart w:id="67" w:name="_Toc520885476"/>
      <w:r w:rsidRPr="00EA7D4C">
        <w:t xml:space="preserve">Funding Transferability for </w:t>
      </w:r>
      <w:r w:rsidR="00D67F4B">
        <w:t>Districts</w:t>
      </w:r>
      <w:r w:rsidRPr="00EA7D4C">
        <w:t xml:space="preserve"> (ESEA section 5103(b))</w:t>
      </w:r>
      <w:bookmarkEnd w:id="65"/>
      <w:bookmarkEnd w:id="66"/>
      <w:bookmarkEnd w:id="67"/>
    </w:p>
    <w:p w14:paraId="505BBB35" w14:textId="52C8B1B7" w:rsidR="00F40FD0" w:rsidRPr="002977BC" w:rsidRDefault="00F40FD0" w:rsidP="00024DFC">
      <w:r w:rsidRPr="004A4020">
        <w:t xml:space="preserve">For information on the transferability provisions, please see section </w:t>
      </w:r>
      <w:r w:rsidR="00D86ED0">
        <w:t>I.</w:t>
      </w:r>
      <w:r w:rsidR="00916CBF">
        <w:t>G</w:t>
      </w:r>
      <w:r w:rsidR="00D86ED0">
        <w:t>.</w:t>
      </w:r>
      <w:r w:rsidRPr="00382C6E">
        <w:t>,</w:t>
      </w:r>
      <w:r w:rsidRPr="004A4020">
        <w:t xml:space="preserve"> which covers transferability</w:t>
      </w:r>
      <w:r w:rsidR="00D67F4B">
        <w:t xml:space="preserve"> for both States</w:t>
      </w:r>
      <w:r w:rsidRPr="004A4020">
        <w:t xml:space="preserve"> and </w:t>
      </w:r>
      <w:r w:rsidR="00D67F4B">
        <w:t>districts</w:t>
      </w:r>
      <w:r w:rsidRPr="004A4020">
        <w:t>.</w:t>
      </w:r>
    </w:p>
    <w:p w14:paraId="618118CB" w14:textId="7E2B4B34" w:rsidR="00D94CF7" w:rsidRPr="00382C6E" w:rsidRDefault="00D94CF7" w:rsidP="006174E1">
      <w:pPr>
        <w:pStyle w:val="Heading2"/>
        <w:numPr>
          <w:ilvl w:val="0"/>
          <w:numId w:val="21"/>
        </w:numPr>
      </w:pPr>
      <w:bookmarkStart w:id="68" w:name="_Toc505775586"/>
      <w:bookmarkStart w:id="69" w:name="_Toc505777445"/>
      <w:bookmarkStart w:id="70" w:name="_Toc520885477"/>
      <w:r w:rsidRPr="00382C6E">
        <w:t>Waivers (ESEA section 8401)</w:t>
      </w:r>
      <w:bookmarkEnd w:id="68"/>
      <w:bookmarkEnd w:id="69"/>
      <w:bookmarkEnd w:id="70"/>
    </w:p>
    <w:p w14:paraId="29A11F97" w14:textId="0D641AFB" w:rsidR="00C02268" w:rsidRPr="002977BC" w:rsidRDefault="00987842" w:rsidP="00024DFC">
      <w:r>
        <w:t>District</w:t>
      </w:r>
      <w:r w:rsidR="00C02268" w:rsidRPr="004A4020">
        <w:t xml:space="preserve">s may apply for waivers of Federal ESEA program requirements by applying through their </w:t>
      </w:r>
      <w:r w:rsidR="00D67F4B">
        <w:t>State</w:t>
      </w:r>
      <w:r w:rsidR="00EC0C07">
        <w:t>.</w:t>
      </w:r>
      <w:r w:rsidR="00C02268" w:rsidRPr="004A4020">
        <w:t xml:space="preserve"> (ESEA section 8401(b</w:t>
      </w:r>
      <w:proofErr w:type="gramStart"/>
      <w:r w:rsidR="00C02268" w:rsidRPr="004A4020">
        <w:t>)(</w:t>
      </w:r>
      <w:proofErr w:type="gramEnd"/>
      <w:r w:rsidR="00C02268" w:rsidRPr="004A4020">
        <w:t xml:space="preserve">3)(B)). For information on the waiver authority generally, please see section </w:t>
      </w:r>
      <w:r w:rsidR="00D86ED0">
        <w:t>I.</w:t>
      </w:r>
      <w:r w:rsidR="00D67574">
        <w:t>J</w:t>
      </w:r>
      <w:r w:rsidR="00C02268" w:rsidRPr="004A4020">
        <w:t xml:space="preserve">, which discusses waivers for both </w:t>
      </w:r>
      <w:r w:rsidR="00D67F4B">
        <w:t xml:space="preserve">States and districts. </w:t>
      </w:r>
    </w:p>
    <w:p w14:paraId="04414E7C" w14:textId="05F43287" w:rsidR="00340036" w:rsidRPr="00EA7D4C" w:rsidRDefault="00340036" w:rsidP="006174E1">
      <w:pPr>
        <w:pStyle w:val="Heading2"/>
        <w:numPr>
          <w:ilvl w:val="0"/>
          <w:numId w:val="21"/>
        </w:numPr>
      </w:pPr>
      <w:bookmarkStart w:id="71" w:name="_Toc505775588"/>
      <w:bookmarkStart w:id="72" w:name="_Toc505777447"/>
      <w:bookmarkStart w:id="73" w:name="_Toc520885478"/>
      <w:r w:rsidRPr="00EA7D4C">
        <w:t>SRSA Alternative Uses of Funds (ESEA section 5211)</w:t>
      </w:r>
      <w:bookmarkEnd w:id="71"/>
      <w:bookmarkEnd w:id="72"/>
      <w:bookmarkEnd w:id="73"/>
    </w:p>
    <w:p w14:paraId="345A861D" w14:textId="7BB7C189" w:rsidR="004B34CE" w:rsidRDefault="00987842" w:rsidP="00024DFC">
      <w:r>
        <w:t>District</w:t>
      </w:r>
      <w:r w:rsidR="00263DC1" w:rsidRPr="00730BDE">
        <w:t xml:space="preserve">s eligible for </w:t>
      </w:r>
      <w:r w:rsidR="00263DC1" w:rsidRPr="00763BB3">
        <w:t>the Small, Rural School Achievement (SRSA) program</w:t>
      </w:r>
      <w:r w:rsidR="00263DC1" w:rsidRPr="00263DC1">
        <w:t xml:space="preserve"> </w:t>
      </w:r>
      <w:r w:rsidR="00263DC1" w:rsidRPr="001C6754">
        <w:t>under Title V, Part B of the ESEA (ESEA section 5211(b)) have</w:t>
      </w:r>
      <w:r w:rsidR="009D1456">
        <w:t xml:space="preserve"> considerable</w:t>
      </w:r>
      <w:r w:rsidR="00263DC1" w:rsidRPr="001C6754">
        <w:t xml:space="preserve"> </w:t>
      </w:r>
      <w:r w:rsidR="00263DC1" w:rsidRPr="00382C6E">
        <w:t>flexibility in using the formula grant funds they receive under certain State-administered ESEA programs. This flexibility, referred to as the Alternative Fund Use Authority (AFUA)</w:t>
      </w:r>
      <w:r w:rsidR="00263DC1" w:rsidRPr="00730BDE">
        <w:t>,</w:t>
      </w:r>
      <w:r w:rsidR="009D1456">
        <w:t xml:space="preserve"> allows </w:t>
      </w:r>
      <w:r>
        <w:t>eligible district</w:t>
      </w:r>
      <w:r w:rsidR="00263DC1" w:rsidRPr="001C6754">
        <w:t xml:space="preserve">s </w:t>
      </w:r>
      <w:r w:rsidR="009D1456">
        <w:t xml:space="preserve">to </w:t>
      </w:r>
      <w:r w:rsidR="00263DC1" w:rsidRPr="001C6754">
        <w:t>use the formula funds they receive</w:t>
      </w:r>
      <w:r w:rsidR="00263DC1" w:rsidRPr="00E94789">
        <w:t xml:space="preserve"> under Title II, Part A and Title IV, Part A for</w:t>
      </w:r>
      <w:r w:rsidR="009D1456">
        <w:t xml:space="preserve"> any</w:t>
      </w:r>
      <w:r w:rsidR="00263DC1" w:rsidRPr="00E94789">
        <w:t xml:space="preserve"> </w:t>
      </w:r>
      <w:r w:rsidR="00263DC1" w:rsidRPr="00382C6E">
        <w:t xml:space="preserve">activities authorized under Title I, Part A; Title II, Part A; Title III; or Title IV, Parts A or B. </w:t>
      </w:r>
      <w:r w:rsidR="0030125A" w:rsidRPr="00382C6E">
        <w:t xml:space="preserve">Before exercising AFUA, </w:t>
      </w:r>
      <w:r w:rsidR="00FD6894" w:rsidRPr="00382C6E">
        <w:t xml:space="preserve">section </w:t>
      </w:r>
      <w:r w:rsidR="00D86ED0">
        <w:t>5211(a</w:t>
      </w:r>
      <w:proofErr w:type="gramStart"/>
      <w:r w:rsidR="00D86ED0">
        <w:t>)(</w:t>
      </w:r>
      <w:proofErr w:type="gramEnd"/>
      <w:r w:rsidR="00D86ED0">
        <w:t>2)</w:t>
      </w:r>
      <w:r w:rsidR="00D86ED0" w:rsidRPr="00382C6E">
        <w:t xml:space="preserve"> </w:t>
      </w:r>
      <w:r w:rsidR="00FD6894">
        <w:t xml:space="preserve">of the ESEA requires </w:t>
      </w:r>
      <w:r w:rsidR="009436D5">
        <w:t>an eligible district</w:t>
      </w:r>
      <w:r w:rsidR="0030125A" w:rsidRPr="00C841F9">
        <w:t xml:space="preserve"> </w:t>
      </w:r>
      <w:r w:rsidR="00FD6894" w:rsidRPr="00382C6E">
        <w:t>to</w:t>
      </w:r>
      <w:r w:rsidR="00B63B77">
        <w:t xml:space="preserve"> annually notify its State</w:t>
      </w:r>
      <w:r w:rsidR="0030125A" w:rsidRPr="00C841F9">
        <w:t xml:space="preserve"> of its intent to do so by the notification</w:t>
      </w:r>
      <w:r w:rsidR="00B63B77">
        <w:t xml:space="preserve"> deadline established by the State</w:t>
      </w:r>
      <w:r w:rsidR="0030125A" w:rsidRPr="00C841F9">
        <w:t>.</w:t>
      </w:r>
    </w:p>
    <w:p w14:paraId="5C14E7AD" w14:textId="08E4C434" w:rsidR="008B4B2F" w:rsidRDefault="00C93B11" w:rsidP="008B4B2F">
      <w:r>
        <w:t xml:space="preserve">Appendix A </w:t>
      </w:r>
      <w:r w:rsidR="00A0793B">
        <w:t>compares the AFUA and transferability aut</w:t>
      </w:r>
      <w:r w:rsidR="009436D5">
        <w:t>horities for district</w:t>
      </w:r>
      <w:r w:rsidR="00A0793B">
        <w:t>s eligible for either SRSA or the Rural and Low-Income School (RLIS) program, the other formula grant program under Title V, Part B of the ESEA, the Rural Education Achievement Program (REAP).</w:t>
      </w:r>
    </w:p>
    <w:p w14:paraId="715EAFE5" w14:textId="77777777" w:rsidR="008B4B2F" w:rsidRDefault="008B4B2F" w:rsidP="008B4B2F"/>
    <w:p w14:paraId="4C312DC5" w14:textId="77777777" w:rsidR="008B4B2F" w:rsidRDefault="008B4B2F" w:rsidP="008B4B2F">
      <w:pPr>
        <w:sectPr w:rsidR="008B4B2F" w:rsidSect="008B4B2F">
          <w:footerReference w:type="default" r:id="rId20"/>
          <w:type w:val="continuous"/>
          <w:pgSz w:w="12240" w:h="15840"/>
          <w:pgMar w:top="1440" w:right="1440" w:bottom="1440" w:left="1440" w:header="720" w:footer="720" w:gutter="0"/>
          <w:cols w:space="720"/>
          <w:docGrid w:linePitch="360"/>
        </w:sectPr>
      </w:pPr>
    </w:p>
    <w:p w14:paraId="2908C445" w14:textId="6D38AEE4" w:rsidR="008B4B2F" w:rsidRDefault="00C93B11" w:rsidP="00697FC4">
      <w:pPr>
        <w:jc w:val="center"/>
        <w:rPr>
          <w:b/>
        </w:rPr>
      </w:pPr>
      <w:r>
        <w:rPr>
          <w:b/>
        </w:rPr>
        <w:lastRenderedPageBreak/>
        <w:t xml:space="preserve">Appendix A: </w:t>
      </w:r>
      <w:r w:rsidR="00697FC4">
        <w:rPr>
          <w:b/>
        </w:rPr>
        <w:t>AFUA and Transferability Guidelines</w:t>
      </w:r>
      <w:r w:rsidR="00D67574">
        <w:rPr>
          <w:b/>
        </w:rPr>
        <w:t xml:space="preserve"> for REAP Districts</w:t>
      </w:r>
      <w:r w:rsidR="00697FC4">
        <w:rPr>
          <w:b/>
        </w:rPr>
        <w:t xml:space="preserve"> </w:t>
      </w:r>
    </w:p>
    <w:p w14:paraId="1F5FC34B" w14:textId="3C7943E4" w:rsidR="0071287B" w:rsidRDefault="00D67574" w:rsidP="0071287B">
      <w:pPr>
        <w:spacing w:after="0" w:line="240" w:lineRule="auto"/>
      </w:pPr>
      <w:r>
        <w:t>Districts</w:t>
      </w:r>
      <w:r w:rsidR="0071287B">
        <w:t xml:space="preserve"> eligible for SRSA have great flexibility in using the formula grant funds they receive under certain State-administered Federal programs. This flexibility, referred to as AFUA, is similar to the f</w:t>
      </w:r>
      <w:r>
        <w:t>lexibility available to all districts</w:t>
      </w:r>
      <w:r w:rsidR="00DC2030">
        <w:t>—</w:t>
      </w:r>
      <w:r w:rsidR="0071287B">
        <w:t xml:space="preserve">not just SRSA-eligible </w:t>
      </w:r>
      <w:r>
        <w:t>districts</w:t>
      </w:r>
      <w:r w:rsidR="00DC2030">
        <w:t>—</w:t>
      </w:r>
      <w:r w:rsidR="0071287B">
        <w:t xml:space="preserve"> under the transferability provisions at section 5103(b) of the ESEA. Under the transferability authority, all </w:t>
      </w:r>
      <w:r>
        <w:t>districts</w:t>
      </w:r>
      <w:r w:rsidR="0071287B">
        <w:t xml:space="preserve"> have the authority to transfer funds from certain ESEA formula programs to ot</w:t>
      </w:r>
      <w:r>
        <w:t>hers. Unlike AFUA, however, district</w:t>
      </w:r>
      <w:r w:rsidR="0071287B">
        <w:t>s exercising their transferability authority actually transfer the funds from one program’s allocation into another program’s allocation, and those funds become funds of the program to which they are transferred and are subject to all of the rules and requirements of that program.</w:t>
      </w:r>
    </w:p>
    <w:p w14:paraId="37D3C506" w14:textId="77777777" w:rsidR="0071287B" w:rsidRDefault="0071287B" w:rsidP="0071287B">
      <w:pPr>
        <w:spacing w:after="0" w:line="240" w:lineRule="auto"/>
      </w:pPr>
    </w:p>
    <w:p w14:paraId="523A5A89" w14:textId="132E46D7" w:rsidR="0071287B" w:rsidRDefault="0071287B" w:rsidP="0071287B">
      <w:pPr>
        <w:spacing w:after="0" w:line="240" w:lineRule="auto"/>
      </w:pPr>
      <w:r>
        <w:t>The chart below compares the AFUA and tra</w:t>
      </w:r>
      <w:r w:rsidR="00D67574">
        <w:t>nsferability authorities for district</w:t>
      </w:r>
      <w:r>
        <w:t xml:space="preserve">s eligible for either SRSA or RLIS. </w:t>
      </w:r>
      <w:r w:rsidR="00D67574">
        <w:t xml:space="preserve">Please note that while </w:t>
      </w:r>
      <w:r>
        <w:t xml:space="preserve">the information in the transferability column </w:t>
      </w:r>
      <w:r w:rsidR="00D67574">
        <w:t>is correct as applied to all district</w:t>
      </w:r>
      <w:r>
        <w:t xml:space="preserve">s, not just REAP-eligible </w:t>
      </w:r>
      <w:r w:rsidR="00D67574">
        <w:t>district</w:t>
      </w:r>
      <w:r>
        <w:t>s, the information provided is tailored for REAP grantees.</w:t>
      </w:r>
      <w:r w:rsidR="00D67574">
        <w:t xml:space="preserve"> Also note that this chart discusses the transferability authority available to districts, not the transferability authority available to States, which is discussed above in section</w:t>
      </w:r>
      <w:r w:rsidR="00BB32BD">
        <w:t>s</w:t>
      </w:r>
      <w:r w:rsidR="00D67574">
        <w:t xml:space="preserve"> </w:t>
      </w:r>
      <w:r w:rsidR="00BB32BD">
        <w:t xml:space="preserve">I and </w:t>
      </w:r>
      <w:r w:rsidR="00D67574">
        <w:t xml:space="preserve">G. </w:t>
      </w:r>
    </w:p>
    <w:p w14:paraId="34EA6635" w14:textId="77777777" w:rsidR="0071287B" w:rsidRPr="00697FC4" w:rsidRDefault="0071287B" w:rsidP="00697FC4">
      <w:pPr>
        <w:jc w:val="center"/>
        <w:rPr>
          <w:b/>
        </w:rPr>
      </w:pPr>
    </w:p>
    <w:p w14:paraId="505E5E89" w14:textId="77777777" w:rsidR="008B4B2F" w:rsidRDefault="008B4B2F" w:rsidP="008B4B2F">
      <w:pPr>
        <w:spacing w:after="0" w:line="240" w:lineRule="auto"/>
      </w:pPr>
    </w:p>
    <w:tbl>
      <w:tblPr>
        <w:tblStyle w:val="TableGrid"/>
        <w:tblW w:w="0" w:type="auto"/>
        <w:tblLayout w:type="fixed"/>
        <w:tblLook w:val="04A0" w:firstRow="1" w:lastRow="0" w:firstColumn="1" w:lastColumn="0" w:noHBand="0" w:noVBand="1"/>
      </w:tblPr>
      <w:tblGrid>
        <w:gridCol w:w="2088"/>
        <w:gridCol w:w="5202"/>
        <w:gridCol w:w="5886"/>
      </w:tblGrid>
      <w:tr w:rsidR="008B4B2F" w14:paraId="559685BD" w14:textId="77777777" w:rsidTr="00697FC4">
        <w:tc>
          <w:tcPr>
            <w:tcW w:w="2088" w:type="dxa"/>
          </w:tcPr>
          <w:p w14:paraId="4F5D94F2" w14:textId="77777777" w:rsidR="008B4B2F" w:rsidRPr="00697FC4" w:rsidRDefault="008B4B2F" w:rsidP="00F61BC8">
            <w:pPr>
              <w:rPr>
                <w:rFonts w:ascii="Times New Roman" w:hAnsi="Times New Roman" w:cs="Times New Roman"/>
                <w:sz w:val="24"/>
                <w:szCs w:val="24"/>
              </w:rPr>
            </w:pPr>
          </w:p>
        </w:tc>
        <w:tc>
          <w:tcPr>
            <w:tcW w:w="5202" w:type="dxa"/>
          </w:tcPr>
          <w:p w14:paraId="5427E653" w14:textId="77777777" w:rsidR="008B4B2F" w:rsidRPr="00697FC4" w:rsidRDefault="008B4B2F" w:rsidP="00F61BC8">
            <w:pPr>
              <w:jc w:val="center"/>
              <w:rPr>
                <w:rFonts w:ascii="Times New Roman" w:hAnsi="Times New Roman" w:cs="Times New Roman"/>
                <w:b/>
                <w:sz w:val="24"/>
                <w:szCs w:val="24"/>
              </w:rPr>
            </w:pPr>
            <w:r w:rsidRPr="00697FC4">
              <w:rPr>
                <w:rFonts w:ascii="Times New Roman" w:hAnsi="Times New Roman" w:cs="Times New Roman"/>
                <w:b/>
                <w:sz w:val="24"/>
                <w:szCs w:val="24"/>
              </w:rPr>
              <w:t>AFUA</w:t>
            </w:r>
          </w:p>
        </w:tc>
        <w:tc>
          <w:tcPr>
            <w:tcW w:w="5886" w:type="dxa"/>
          </w:tcPr>
          <w:p w14:paraId="19BBD2E6" w14:textId="77777777" w:rsidR="008B4B2F" w:rsidRPr="00697FC4" w:rsidRDefault="008B4B2F" w:rsidP="00F61BC8">
            <w:pPr>
              <w:jc w:val="center"/>
              <w:rPr>
                <w:rFonts w:ascii="Times New Roman" w:hAnsi="Times New Roman" w:cs="Times New Roman"/>
                <w:b/>
                <w:sz w:val="24"/>
                <w:szCs w:val="24"/>
              </w:rPr>
            </w:pPr>
            <w:r w:rsidRPr="00697FC4">
              <w:rPr>
                <w:rFonts w:ascii="Times New Roman" w:hAnsi="Times New Roman" w:cs="Times New Roman"/>
                <w:b/>
                <w:sz w:val="24"/>
                <w:szCs w:val="24"/>
              </w:rPr>
              <w:t>Transferability</w:t>
            </w:r>
          </w:p>
        </w:tc>
      </w:tr>
      <w:tr w:rsidR="008B4B2F" w14:paraId="345BAD84" w14:textId="77777777" w:rsidTr="00697FC4">
        <w:tc>
          <w:tcPr>
            <w:tcW w:w="2088" w:type="dxa"/>
          </w:tcPr>
          <w:p w14:paraId="0A9588BE" w14:textId="77777777" w:rsidR="008B4B2F" w:rsidRPr="00697FC4" w:rsidRDefault="008B4B2F" w:rsidP="008B4B2F">
            <w:pPr>
              <w:pStyle w:val="ListParagraph"/>
              <w:numPr>
                <w:ilvl w:val="0"/>
                <w:numId w:val="29"/>
              </w:numPr>
              <w:rPr>
                <w:rFonts w:ascii="Times New Roman" w:hAnsi="Times New Roman" w:cs="Times New Roman"/>
                <w:b/>
                <w:sz w:val="24"/>
                <w:szCs w:val="24"/>
              </w:rPr>
            </w:pPr>
            <w:r w:rsidRPr="00697FC4">
              <w:rPr>
                <w:rFonts w:ascii="Times New Roman" w:hAnsi="Times New Roman" w:cs="Times New Roman"/>
                <w:b/>
                <w:sz w:val="24"/>
                <w:szCs w:val="24"/>
              </w:rPr>
              <w:t>Summary</w:t>
            </w:r>
          </w:p>
        </w:tc>
        <w:tc>
          <w:tcPr>
            <w:tcW w:w="5202" w:type="dxa"/>
          </w:tcPr>
          <w:p w14:paraId="25AB95C6" w14:textId="69E50DC0" w:rsidR="008B4B2F" w:rsidRPr="00697FC4" w:rsidRDefault="008B4B2F" w:rsidP="00F61BC8">
            <w:pPr>
              <w:rPr>
                <w:rFonts w:ascii="Times New Roman" w:hAnsi="Times New Roman" w:cs="Times New Roman"/>
                <w:sz w:val="24"/>
                <w:szCs w:val="24"/>
              </w:rPr>
            </w:pPr>
            <w:r w:rsidRPr="00697FC4">
              <w:rPr>
                <w:rFonts w:ascii="Times New Roman" w:hAnsi="Times New Roman" w:cs="Times New Roman"/>
                <w:sz w:val="24"/>
                <w:szCs w:val="24"/>
              </w:rPr>
              <w:t xml:space="preserve">Eligible </w:t>
            </w:r>
            <w:r w:rsidR="009436D5">
              <w:rPr>
                <w:rFonts w:ascii="Times New Roman" w:hAnsi="Times New Roman" w:cs="Times New Roman"/>
                <w:sz w:val="24"/>
                <w:szCs w:val="24"/>
              </w:rPr>
              <w:t>district</w:t>
            </w:r>
            <w:r w:rsidRPr="00697FC4">
              <w:rPr>
                <w:rFonts w:ascii="Times New Roman" w:hAnsi="Times New Roman" w:cs="Times New Roman"/>
                <w:sz w:val="24"/>
                <w:szCs w:val="24"/>
              </w:rPr>
              <w:t>s are given flexibility in the use of certain Federal formula funds; funds are not actually transferred from one program to another. While the eligible funding may be used for local activities authorized under other ESEA programs, it is not subject to all of the rules and requirements of those programs.</w:t>
            </w:r>
          </w:p>
        </w:tc>
        <w:tc>
          <w:tcPr>
            <w:tcW w:w="5886" w:type="dxa"/>
          </w:tcPr>
          <w:p w14:paraId="429DA1F9" w14:textId="5332B5A7" w:rsidR="008B4B2F" w:rsidRPr="00697FC4" w:rsidRDefault="009436D5" w:rsidP="009436D5">
            <w:pPr>
              <w:rPr>
                <w:rFonts w:ascii="Times New Roman" w:hAnsi="Times New Roman" w:cs="Times New Roman"/>
                <w:sz w:val="24"/>
                <w:szCs w:val="24"/>
              </w:rPr>
            </w:pPr>
            <w:r>
              <w:rPr>
                <w:rFonts w:ascii="Times New Roman" w:hAnsi="Times New Roman" w:cs="Times New Roman"/>
                <w:sz w:val="24"/>
                <w:szCs w:val="24"/>
              </w:rPr>
              <w:t>District</w:t>
            </w:r>
            <w:r w:rsidR="008B4B2F" w:rsidRPr="00697FC4">
              <w:rPr>
                <w:rFonts w:ascii="Times New Roman" w:hAnsi="Times New Roman" w:cs="Times New Roman"/>
                <w:sz w:val="24"/>
                <w:szCs w:val="24"/>
              </w:rPr>
              <w:t xml:space="preserve">s may transfer all or a portion of the funds they receive by formula under certain programs to other programs to better address local needs. When </w:t>
            </w:r>
            <w:r>
              <w:rPr>
                <w:rFonts w:ascii="Times New Roman" w:hAnsi="Times New Roman" w:cs="Times New Roman"/>
                <w:sz w:val="24"/>
                <w:szCs w:val="24"/>
              </w:rPr>
              <w:t>a district</w:t>
            </w:r>
            <w:r w:rsidR="008B4B2F" w:rsidRPr="00697FC4">
              <w:rPr>
                <w:rFonts w:ascii="Times New Roman" w:hAnsi="Times New Roman" w:cs="Times New Roman"/>
                <w:sz w:val="24"/>
                <w:szCs w:val="24"/>
              </w:rPr>
              <w:t xml:space="preserve"> transfers funds, those funds become funds of the program to which they are transferred and are subject to the rules and requirements of the program.</w:t>
            </w:r>
          </w:p>
        </w:tc>
      </w:tr>
      <w:tr w:rsidR="008B4B2F" w14:paraId="151D4B60" w14:textId="77777777" w:rsidTr="00697FC4">
        <w:tc>
          <w:tcPr>
            <w:tcW w:w="2088" w:type="dxa"/>
          </w:tcPr>
          <w:p w14:paraId="3C1C758C" w14:textId="2C74633B" w:rsidR="008B4B2F" w:rsidRPr="00697FC4" w:rsidRDefault="009436D5" w:rsidP="008B4B2F">
            <w:pPr>
              <w:pStyle w:val="ListParagraph"/>
              <w:numPr>
                <w:ilvl w:val="0"/>
                <w:numId w:val="29"/>
              </w:numPr>
              <w:rPr>
                <w:rFonts w:ascii="Times New Roman" w:hAnsi="Times New Roman" w:cs="Times New Roman"/>
                <w:b/>
                <w:sz w:val="24"/>
                <w:szCs w:val="24"/>
              </w:rPr>
            </w:pPr>
            <w:r>
              <w:rPr>
                <w:rFonts w:ascii="Times New Roman" w:hAnsi="Times New Roman" w:cs="Times New Roman"/>
                <w:b/>
                <w:sz w:val="24"/>
                <w:szCs w:val="24"/>
              </w:rPr>
              <w:t>Which district</w:t>
            </w:r>
            <w:r w:rsidR="008B4B2F" w:rsidRPr="00697FC4">
              <w:rPr>
                <w:rFonts w:ascii="Times New Roman" w:hAnsi="Times New Roman" w:cs="Times New Roman"/>
                <w:b/>
                <w:sz w:val="24"/>
                <w:szCs w:val="24"/>
              </w:rPr>
              <w:t>s can exercise this authority?</w:t>
            </w:r>
          </w:p>
        </w:tc>
        <w:tc>
          <w:tcPr>
            <w:tcW w:w="5202" w:type="dxa"/>
          </w:tcPr>
          <w:p w14:paraId="2AD65879" w14:textId="4A3AB03F" w:rsidR="008B4B2F" w:rsidRPr="00697FC4" w:rsidRDefault="009436D5" w:rsidP="009436D5">
            <w:pPr>
              <w:rPr>
                <w:rFonts w:ascii="Times New Roman" w:hAnsi="Times New Roman" w:cs="Times New Roman"/>
                <w:sz w:val="24"/>
                <w:szCs w:val="24"/>
              </w:rPr>
            </w:pPr>
            <w:r>
              <w:rPr>
                <w:rFonts w:ascii="Times New Roman" w:hAnsi="Times New Roman" w:cs="Times New Roman"/>
                <w:sz w:val="24"/>
                <w:szCs w:val="24"/>
                <w:u w:val="single"/>
              </w:rPr>
              <w:t>District</w:t>
            </w:r>
            <w:r w:rsidR="008B4B2F" w:rsidRPr="00697FC4">
              <w:rPr>
                <w:rFonts w:ascii="Times New Roman" w:hAnsi="Times New Roman" w:cs="Times New Roman"/>
                <w:sz w:val="24"/>
                <w:szCs w:val="24"/>
                <w:u w:val="single"/>
              </w:rPr>
              <w:t>s eligible for SRSA</w:t>
            </w:r>
            <w:r w:rsidR="008B4B2F" w:rsidRPr="00697FC4">
              <w:rPr>
                <w:rFonts w:ascii="Times New Roman" w:hAnsi="Times New Roman" w:cs="Times New Roman"/>
                <w:sz w:val="24"/>
                <w:szCs w:val="24"/>
              </w:rPr>
              <w:t xml:space="preserve">. </w:t>
            </w:r>
            <w:r>
              <w:rPr>
                <w:rFonts w:ascii="Times New Roman" w:hAnsi="Times New Roman" w:cs="Times New Roman"/>
                <w:sz w:val="24"/>
                <w:szCs w:val="24"/>
              </w:rPr>
              <w:t>Only district</w:t>
            </w:r>
            <w:r w:rsidR="00FF1E22" w:rsidRPr="00697FC4">
              <w:rPr>
                <w:rFonts w:ascii="Times New Roman" w:hAnsi="Times New Roman" w:cs="Times New Roman"/>
                <w:sz w:val="24"/>
                <w:szCs w:val="24"/>
              </w:rPr>
              <w:t xml:space="preserve">s eligible for the SRSA program may exercise AFUA. This does not mean that the </w:t>
            </w:r>
            <w:r>
              <w:rPr>
                <w:rFonts w:ascii="Times New Roman" w:hAnsi="Times New Roman" w:cs="Times New Roman"/>
                <w:sz w:val="24"/>
                <w:szCs w:val="24"/>
              </w:rPr>
              <w:t>district</w:t>
            </w:r>
            <w:r w:rsidR="00FF1E22" w:rsidRPr="00697FC4">
              <w:rPr>
                <w:rFonts w:ascii="Times New Roman" w:hAnsi="Times New Roman" w:cs="Times New Roman"/>
                <w:sz w:val="24"/>
                <w:szCs w:val="24"/>
              </w:rPr>
              <w:t xml:space="preserve"> must receive an SRSA gr</w:t>
            </w:r>
            <w:r>
              <w:rPr>
                <w:rFonts w:ascii="Times New Roman" w:hAnsi="Times New Roman" w:cs="Times New Roman"/>
                <w:sz w:val="24"/>
                <w:szCs w:val="24"/>
              </w:rPr>
              <w:t xml:space="preserve">ant award, but only that the district </w:t>
            </w:r>
            <w:r w:rsidR="00FF1E22" w:rsidRPr="00697FC4">
              <w:rPr>
                <w:rFonts w:ascii="Times New Roman" w:hAnsi="Times New Roman" w:cs="Times New Roman"/>
                <w:sz w:val="24"/>
                <w:szCs w:val="24"/>
              </w:rPr>
              <w:t xml:space="preserve">must meet the statutory eligibility criteria for the SRSA program. </w:t>
            </w:r>
            <w:r>
              <w:rPr>
                <w:rFonts w:ascii="Times New Roman" w:hAnsi="Times New Roman" w:cs="Times New Roman"/>
                <w:sz w:val="24"/>
                <w:szCs w:val="24"/>
              </w:rPr>
              <w:t>For example, a district</w:t>
            </w:r>
            <w:r w:rsidR="00FF1E22" w:rsidRPr="00697FC4">
              <w:rPr>
                <w:rFonts w:ascii="Times New Roman" w:hAnsi="Times New Roman" w:cs="Times New Roman"/>
                <w:sz w:val="24"/>
                <w:szCs w:val="24"/>
              </w:rPr>
              <w:t xml:space="preserve"> that is eligible for an SRSA award but receives a $0 allocation may exercise AFUA. For more information about SRSA eligibility, see </w:t>
            </w:r>
            <w:hyperlink r:id="rId21" w:history="1">
              <w:r w:rsidR="00FF1E22" w:rsidRPr="00697FC4">
                <w:rPr>
                  <w:rStyle w:val="Hyperlink"/>
                  <w:rFonts w:ascii="Times New Roman" w:hAnsi="Times New Roman" w:cs="Times New Roman"/>
                  <w:sz w:val="24"/>
                  <w:szCs w:val="24"/>
                </w:rPr>
                <w:t xml:space="preserve">the SRSA program website:  </w:t>
              </w:r>
            </w:hyperlink>
            <w:r w:rsidR="00FF1E22" w:rsidRPr="00697FC4">
              <w:rPr>
                <w:rFonts w:ascii="Times New Roman" w:hAnsi="Times New Roman" w:cs="Times New Roman"/>
                <w:sz w:val="24"/>
                <w:szCs w:val="24"/>
              </w:rPr>
              <w:t xml:space="preserve">www2.ed.gov/programs/reapsrsa/eligibility.html. </w:t>
            </w:r>
            <w:r>
              <w:rPr>
                <w:rFonts w:ascii="Times New Roman" w:hAnsi="Times New Roman" w:cs="Times New Roman"/>
                <w:sz w:val="24"/>
                <w:szCs w:val="24"/>
              </w:rPr>
              <w:lastRenderedPageBreak/>
              <w:t>However, district</w:t>
            </w:r>
            <w:r w:rsidR="008B4B2F" w:rsidRPr="00697FC4">
              <w:rPr>
                <w:rFonts w:ascii="Times New Roman" w:hAnsi="Times New Roman" w:cs="Times New Roman"/>
                <w:sz w:val="24"/>
                <w:szCs w:val="24"/>
              </w:rPr>
              <w:t>s that are eligible for SRSA Hold Harmless awards under section 5212(b</w:t>
            </w:r>
            <w:proofErr w:type="gramStart"/>
            <w:r w:rsidR="008B4B2F" w:rsidRPr="00697FC4">
              <w:rPr>
                <w:rFonts w:ascii="Times New Roman" w:hAnsi="Times New Roman" w:cs="Times New Roman"/>
                <w:sz w:val="24"/>
                <w:szCs w:val="24"/>
              </w:rPr>
              <w:t>)(</w:t>
            </w:r>
            <w:proofErr w:type="gramEnd"/>
            <w:r w:rsidR="008B4B2F" w:rsidRPr="00697FC4">
              <w:rPr>
                <w:rFonts w:ascii="Times New Roman" w:hAnsi="Times New Roman" w:cs="Times New Roman"/>
                <w:sz w:val="24"/>
                <w:szCs w:val="24"/>
              </w:rPr>
              <w:t>4) of the ESEA may not exercise AFUA.</w:t>
            </w:r>
          </w:p>
        </w:tc>
        <w:tc>
          <w:tcPr>
            <w:tcW w:w="5886" w:type="dxa"/>
          </w:tcPr>
          <w:p w14:paraId="7C0CE0E9" w14:textId="716064BE" w:rsidR="008B4B2F" w:rsidRPr="00697FC4" w:rsidRDefault="009436D5" w:rsidP="009436D5">
            <w:pPr>
              <w:rPr>
                <w:rFonts w:ascii="Times New Roman" w:hAnsi="Times New Roman" w:cs="Times New Roman"/>
                <w:sz w:val="24"/>
                <w:szCs w:val="24"/>
              </w:rPr>
            </w:pPr>
            <w:r>
              <w:rPr>
                <w:rFonts w:ascii="Times New Roman" w:hAnsi="Times New Roman" w:cs="Times New Roman"/>
                <w:sz w:val="24"/>
                <w:szCs w:val="24"/>
                <w:u w:val="single"/>
              </w:rPr>
              <w:lastRenderedPageBreak/>
              <w:t>All district</w:t>
            </w:r>
            <w:r w:rsidR="00FF1E22" w:rsidRPr="00697FC4">
              <w:rPr>
                <w:rFonts w:ascii="Times New Roman" w:hAnsi="Times New Roman" w:cs="Times New Roman"/>
                <w:sz w:val="24"/>
                <w:szCs w:val="24"/>
                <w:u w:val="single"/>
              </w:rPr>
              <w:t>s</w:t>
            </w:r>
            <w:r w:rsidR="00FF1E22" w:rsidRPr="00697FC4">
              <w:rPr>
                <w:rFonts w:ascii="Times New Roman" w:hAnsi="Times New Roman" w:cs="Times New Roman"/>
                <w:sz w:val="24"/>
                <w:szCs w:val="24"/>
              </w:rPr>
              <w:t xml:space="preserve">. All </w:t>
            </w:r>
            <w:r>
              <w:rPr>
                <w:rFonts w:ascii="Times New Roman" w:hAnsi="Times New Roman" w:cs="Times New Roman"/>
                <w:sz w:val="24"/>
                <w:szCs w:val="24"/>
              </w:rPr>
              <w:t>district</w:t>
            </w:r>
            <w:r w:rsidR="00FF1E22" w:rsidRPr="00697FC4">
              <w:rPr>
                <w:rFonts w:ascii="Times New Roman" w:hAnsi="Times New Roman" w:cs="Times New Roman"/>
                <w:sz w:val="24"/>
                <w:szCs w:val="24"/>
              </w:rPr>
              <w:t xml:space="preserve">s, including both SRSA- and RLIS-eligible </w:t>
            </w:r>
            <w:r>
              <w:rPr>
                <w:rFonts w:ascii="Times New Roman" w:hAnsi="Times New Roman" w:cs="Times New Roman"/>
                <w:sz w:val="24"/>
                <w:szCs w:val="24"/>
              </w:rPr>
              <w:t>district</w:t>
            </w:r>
            <w:r w:rsidR="00FF1E22" w:rsidRPr="00697FC4">
              <w:rPr>
                <w:rFonts w:ascii="Times New Roman" w:hAnsi="Times New Roman" w:cs="Times New Roman"/>
                <w:sz w:val="24"/>
                <w:szCs w:val="24"/>
              </w:rPr>
              <w:t xml:space="preserve">s, </w:t>
            </w:r>
            <w:r w:rsidR="0071287B">
              <w:rPr>
                <w:rFonts w:ascii="Times New Roman" w:hAnsi="Times New Roman" w:cs="Times New Roman"/>
                <w:sz w:val="24"/>
                <w:szCs w:val="24"/>
              </w:rPr>
              <w:t xml:space="preserve">as well as districts that are not eligible for REAP, </w:t>
            </w:r>
            <w:r w:rsidR="00FF1E22" w:rsidRPr="00697FC4">
              <w:rPr>
                <w:rFonts w:ascii="Times New Roman" w:hAnsi="Times New Roman" w:cs="Times New Roman"/>
                <w:sz w:val="24"/>
                <w:szCs w:val="24"/>
              </w:rPr>
              <w:t>may exercise transferability. However, a</w:t>
            </w:r>
            <w:r>
              <w:rPr>
                <w:rFonts w:ascii="Times New Roman" w:hAnsi="Times New Roman" w:cs="Times New Roman"/>
                <w:sz w:val="24"/>
                <w:szCs w:val="24"/>
              </w:rPr>
              <w:t xml:space="preserve"> district</w:t>
            </w:r>
            <w:r w:rsidR="00FF1E22" w:rsidRPr="00697FC4">
              <w:rPr>
                <w:rFonts w:ascii="Times New Roman" w:hAnsi="Times New Roman" w:cs="Times New Roman"/>
                <w:sz w:val="24"/>
                <w:szCs w:val="24"/>
              </w:rPr>
              <w:t xml:space="preserve"> may only transfer eligible funds into a program for which that </w:t>
            </w:r>
            <w:r>
              <w:rPr>
                <w:rFonts w:ascii="Times New Roman" w:hAnsi="Times New Roman" w:cs="Times New Roman"/>
                <w:sz w:val="24"/>
                <w:szCs w:val="24"/>
              </w:rPr>
              <w:t>district</w:t>
            </w:r>
            <w:r w:rsidR="00FF1E22" w:rsidRPr="00697FC4">
              <w:rPr>
                <w:rFonts w:ascii="Times New Roman" w:hAnsi="Times New Roman" w:cs="Times New Roman"/>
                <w:sz w:val="24"/>
                <w:szCs w:val="24"/>
              </w:rPr>
              <w:t xml:space="preserve"> receives an allocation in a particular fiscal year. </w:t>
            </w:r>
            <w:r w:rsidR="008B4B2F" w:rsidRPr="00697FC4">
              <w:rPr>
                <w:rFonts w:ascii="Times New Roman" w:hAnsi="Times New Roman" w:cs="Times New Roman"/>
                <w:sz w:val="24"/>
                <w:szCs w:val="24"/>
              </w:rPr>
              <w:t xml:space="preserve">This means that only </w:t>
            </w:r>
            <w:r>
              <w:rPr>
                <w:rFonts w:ascii="Times New Roman" w:hAnsi="Times New Roman" w:cs="Times New Roman"/>
                <w:sz w:val="24"/>
                <w:szCs w:val="24"/>
              </w:rPr>
              <w:t>district</w:t>
            </w:r>
            <w:r w:rsidR="008B4B2F" w:rsidRPr="00697FC4">
              <w:rPr>
                <w:rFonts w:ascii="Times New Roman" w:hAnsi="Times New Roman" w:cs="Times New Roman"/>
                <w:sz w:val="24"/>
                <w:szCs w:val="24"/>
              </w:rPr>
              <w:t>s that receive REAP funds</w:t>
            </w:r>
            <w:r w:rsidR="008D5F30">
              <w:rPr>
                <w:rFonts w:ascii="Times New Roman" w:hAnsi="Times New Roman" w:cs="Times New Roman"/>
                <w:sz w:val="24"/>
                <w:szCs w:val="24"/>
              </w:rPr>
              <w:t>—</w:t>
            </w:r>
            <w:r w:rsidR="008B4B2F" w:rsidRPr="00697FC4">
              <w:rPr>
                <w:rFonts w:ascii="Times New Roman" w:hAnsi="Times New Roman" w:cs="Times New Roman"/>
                <w:sz w:val="24"/>
                <w:szCs w:val="24"/>
              </w:rPr>
              <w:t>either SRSA or RLIS</w:t>
            </w:r>
            <w:r w:rsidR="008D5F30">
              <w:rPr>
                <w:rFonts w:ascii="Times New Roman" w:hAnsi="Times New Roman" w:cs="Times New Roman"/>
                <w:sz w:val="24"/>
                <w:szCs w:val="24"/>
              </w:rPr>
              <w:t>—</w:t>
            </w:r>
            <w:r w:rsidR="008B4B2F" w:rsidRPr="00697FC4">
              <w:rPr>
                <w:rFonts w:ascii="Times New Roman" w:hAnsi="Times New Roman" w:cs="Times New Roman"/>
                <w:sz w:val="24"/>
                <w:szCs w:val="24"/>
              </w:rPr>
              <w:t xml:space="preserve"> may transfer funds into their REAP allocation in a particular fiscal year.</w:t>
            </w:r>
          </w:p>
        </w:tc>
      </w:tr>
      <w:tr w:rsidR="008B4B2F" w14:paraId="74619C70" w14:textId="77777777" w:rsidTr="00697FC4">
        <w:tc>
          <w:tcPr>
            <w:tcW w:w="2088" w:type="dxa"/>
          </w:tcPr>
          <w:p w14:paraId="1FE1579A" w14:textId="77777777" w:rsidR="008B4B2F" w:rsidRPr="00697FC4" w:rsidRDefault="008B4B2F" w:rsidP="008B4B2F">
            <w:pPr>
              <w:pStyle w:val="ListParagraph"/>
              <w:numPr>
                <w:ilvl w:val="0"/>
                <w:numId w:val="29"/>
              </w:numPr>
              <w:rPr>
                <w:rFonts w:ascii="Times New Roman" w:hAnsi="Times New Roman" w:cs="Times New Roman"/>
                <w:b/>
                <w:sz w:val="24"/>
                <w:szCs w:val="24"/>
              </w:rPr>
            </w:pPr>
            <w:r w:rsidRPr="00697FC4">
              <w:rPr>
                <w:rFonts w:ascii="Times New Roman" w:hAnsi="Times New Roman" w:cs="Times New Roman"/>
                <w:b/>
                <w:sz w:val="24"/>
                <w:szCs w:val="24"/>
              </w:rPr>
              <w:lastRenderedPageBreak/>
              <w:t>Which funds are eligible for this flexibility?</w:t>
            </w:r>
          </w:p>
        </w:tc>
        <w:tc>
          <w:tcPr>
            <w:tcW w:w="5202" w:type="dxa"/>
          </w:tcPr>
          <w:p w14:paraId="22EA6B7D" w14:textId="64A3D1D4" w:rsidR="008B4B2F" w:rsidRPr="00697FC4" w:rsidRDefault="00FF1E22" w:rsidP="002D683C">
            <w:pPr>
              <w:rPr>
                <w:rFonts w:ascii="Times New Roman" w:hAnsi="Times New Roman" w:cs="Times New Roman"/>
                <w:sz w:val="24"/>
                <w:szCs w:val="24"/>
              </w:rPr>
            </w:pPr>
            <w:r w:rsidRPr="00697FC4">
              <w:rPr>
                <w:rFonts w:ascii="Times New Roman" w:hAnsi="Times New Roman" w:cs="Times New Roman"/>
                <w:sz w:val="24"/>
                <w:szCs w:val="24"/>
                <w:u w:val="single"/>
              </w:rPr>
              <w:t>Title II, Part A and Title IV, Part A</w:t>
            </w:r>
            <w:r w:rsidRPr="00697FC4">
              <w:rPr>
                <w:rFonts w:ascii="Times New Roman" w:hAnsi="Times New Roman" w:cs="Times New Roman"/>
                <w:sz w:val="24"/>
                <w:szCs w:val="24"/>
              </w:rPr>
              <w:t>.</w:t>
            </w:r>
            <w:r w:rsidRPr="00697FC4">
              <w:rPr>
                <w:rFonts w:ascii="Times New Roman" w:hAnsi="Times New Roman" w:cs="Times New Roman"/>
                <w:b/>
                <w:sz w:val="24"/>
                <w:szCs w:val="24"/>
              </w:rPr>
              <w:t xml:space="preserve"> </w:t>
            </w:r>
            <w:r w:rsidRPr="00697FC4">
              <w:rPr>
                <w:rFonts w:ascii="Times New Roman" w:hAnsi="Times New Roman" w:cs="Times New Roman"/>
                <w:sz w:val="24"/>
                <w:szCs w:val="24"/>
              </w:rPr>
              <w:t xml:space="preserve">Eligible </w:t>
            </w:r>
            <w:r w:rsidR="009436D5">
              <w:rPr>
                <w:rFonts w:ascii="Times New Roman" w:hAnsi="Times New Roman" w:cs="Times New Roman"/>
                <w:sz w:val="24"/>
                <w:szCs w:val="24"/>
              </w:rPr>
              <w:t>district</w:t>
            </w:r>
            <w:r w:rsidRPr="00697FC4">
              <w:rPr>
                <w:rFonts w:ascii="Times New Roman" w:hAnsi="Times New Roman" w:cs="Times New Roman"/>
                <w:sz w:val="24"/>
                <w:szCs w:val="24"/>
              </w:rPr>
              <w:t xml:space="preserve">s may use some or all of their formula Title II-A and IV-A funds for activities authorized under certain other Federal programs (see Question 4). </w:t>
            </w:r>
            <w:r w:rsidR="008B4B2F" w:rsidRPr="00697FC4">
              <w:rPr>
                <w:rFonts w:ascii="Times New Roman" w:hAnsi="Times New Roman" w:cs="Times New Roman"/>
                <w:sz w:val="24"/>
                <w:szCs w:val="24"/>
              </w:rPr>
              <w:t>Please note that in order to receive its funds under Titles II-A or IV-A, a</w:t>
            </w:r>
            <w:r w:rsidR="002D683C">
              <w:rPr>
                <w:rFonts w:ascii="Times New Roman" w:hAnsi="Times New Roman" w:cs="Times New Roman"/>
                <w:sz w:val="24"/>
                <w:szCs w:val="24"/>
              </w:rPr>
              <w:t xml:space="preserve"> district</w:t>
            </w:r>
            <w:r w:rsidR="008B4B2F" w:rsidRPr="00697FC4">
              <w:rPr>
                <w:rFonts w:ascii="Times New Roman" w:hAnsi="Times New Roman" w:cs="Times New Roman"/>
                <w:sz w:val="24"/>
                <w:szCs w:val="24"/>
              </w:rPr>
              <w:t xml:space="preserve"> must meet the relevant application and eligibility requirements, regardless of whether it intends to use the funds for alternative uses under AFUA.</w:t>
            </w:r>
          </w:p>
        </w:tc>
        <w:tc>
          <w:tcPr>
            <w:tcW w:w="5886" w:type="dxa"/>
          </w:tcPr>
          <w:p w14:paraId="162A6B43" w14:textId="24F5D733" w:rsidR="008B4B2F" w:rsidRPr="00697FC4" w:rsidRDefault="00FF1E22" w:rsidP="00590EE5">
            <w:pPr>
              <w:rPr>
                <w:rFonts w:ascii="Times New Roman" w:hAnsi="Times New Roman" w:cs="Times New Roman"/>
                <w:sz w:val="24"/>
                <w:szCs w:val="24"/>
                <w:u w:val="single"/>
              </w:rPr>
            </w:pPr>
            <w:r w:rsidRPr="00697FC4">
              <w:rPr>
                <w:rFonts w:ascii="Times New Roman" w:hAnsi="Times New Roman" w:cs="Times New Roman"/>
                <w:sz w:val="24"/>
                <w:szCs w:val="24"/>
                <w:u w:val="single"/>
              </w:rPr>
              <w:t>Title II, Part A and Title IV, Part A</w:t>
            </w:r>
            <w:r w:rsidRPr="00697FC4">
              <w:rPr>
                <w:rFonts w:ascii="Times New Roman" w:hAnsi="Times New Roman" w:cs="Times New Roman"/>
                <w:sz w:val="24"/>
                <w:szCs w:val="24"/>
              </w:rPr>
              <w:t>.</w:t>
            </w:r>
            <w:r w:rsidRPr="00697FC4">
              <w:rPr>
                <w:rFonts w:ascii="Times New Roman" w:hAnsi="Times New Roman" w:cs="Times New Roman"/>
                <w:b/>
                <w:sz w:val="24"/>
                <w:szCs w:val="24"/>
              </w:rPr>
              <w:t xml:space="preserve"> </w:t>
            </w:r>
            <w:r w:rsidRPr="00697FC4">
              <w:rPr>
                <w:rFonts w:ascii="Times New Roman" w:hAnsi="Times New Roman" w:cs="Times New Roman"/>
                <w:sz w:val="24"/>
                <w:szCs w:val="24"/>
              </w:rPr>
              <w:t xml:space="preserve">All </w:t>
            </w:r>
            <w:r w:rsidR="002D683C">
              <w:rPr>
                <w:rFonts w:ascii="Times New Roman" w:hAnsi="Times New Roman" w:cs="Times New Roman"/>
                <w:sz w:val="24"/>
                <w:szCs w:val="24"/>
              </w:rPr>
              <w:t>district</w:t>
            </w:r>
            <w:r w:rsidRPr="00697FC4">
              <w:rPr>
                <w:rFonts w:ascii="Times New Roman" w:hAnsi="Times New Roman" w:cs="Times New Roman"/>
                <w:sz w:val="24"/>
                <w:szCs w:val="24"/>
              </w:rPr>
              <w:t xml:space="preserve">s may choose to transfer their formula Title II-A or IV-A funds into their allocations under certain other Federal programs (see Question 4). Please note that in order to receive its funds under one of these </w:t>
            </w:r>
            <w:proofErr w:type="gramStart"/>
            <w:r w:rsidRPr="00697FC4">
              <w:rPr>
                <w:rFonts w:ascii="Times New Roman" w:hAnsi="Times New Roman" w:cs="Times New Roman"/>
                <w:sz w:val="24"/>
                <w:szCs w:val="24"/>
              </w:rPr>
              <w:t>programs,</w:t>
            </w:r>
            <w:proofErr w:type="gramEnd"/>
            <w:r w:rsidRPr="00697FC4">
              <w:rPr>
                <w:rFonts w:ascii="Times New Roman" w:hAnsi="Times New Roman" w:cs="Times New Roman"/>
                <w:sz w:val="24"/>
                <w:szCs w:val="24"/>
              </w:rPr>
              <w:t xml:space="preserve"> a</w:t>
            </w:r>
            <w:r w:rsidR="002D683C">
              <w:rPr>
                <w:rFonts w:ascii="Times New Roman" w:hAnsi="Times New Roman" w:cs="Times New Roman"/>
                <w:sz w:val="24"/>
                <w:szCs w:val="24"/>
              </w:rPr>
              <w:t xml:space="preserve"> district</w:t>
            </w:r>
            <w:r w:rsidRPr="00697FC4">
              <w:rPr>
                <w:rFonts w:ascii="Times New Roman" w:hAnsi="Times New Roman" w:cs="Times New Roman"/>
                <w:sz w:val="24"/>
                <w:szCs w:val="24"/>
              </w:rPr>
              <w:t xml:space="preserve"> must meet the relevant application and eligibility requirements, regardless of whether it intends to transfer those funds to other program allocations. </w:t>
            </w:r>
          </w:p>
        </w:tc>
      </w:tr>
      <w:tr w:rsidR="008B4B2F" w14:paraId="6B81F9B7" w14:textId="77777777" w:rsidTr="00697FC4">
        <w:tc>
          <w:tcPr>
            <w:tcW w:w="2088" w:type="dxa"/>
          </w:tcPr>
          <w:p w14:paraId="5FBB703E" w14:textId="006B88D7" w:rsidR="008B4B2F" w:rsidRPr="00697FC4" w:rsidRDefault="00FF1E22" w:rsidP="002D683C">
            <w:pPr>
              <w:pStyle w:val="ListParagraph"/>
              <w:numPr>
                <w:ilvl w:val="0"/>
                <w:numId w:val="29"/>
              </w:numPr>
              <w:rPr>
                <w:rFonts w:ascii="Times New Roman" w:hAnsi="Times New Roman" w:cs="Times New Roman"/>
                <w:b/>
                <w:sz w:val="24"/>
                <w:szCs w:val="24"/>
              </w:rPr>
            </w:pPr>
            <w:r w:rsidRPr="00697FC4">
              <w:rPr>
                <w:rFonts w:ascii="Times New Roman" w:hAnsi="Times New Roman" w:cs="Times New Roman"/>
                <w:b/>
                <w:sz w:val="24"/>
                <w:szCs w:val="24"/>
              </w:rPr>
              <w:t xml:space="preserve">How </w:t>
            </w:r>
            <w:proofErr w:type="spellStart"/>
            <w:r w:rsidRPr="00697FC4">
              <w:rPr>
                <w:rFonts w:ascii="Times New Roman" w:hAnsi="Times New Roman" w:cs="Times New Roman"/>
                <w:b/>
                <w:sz w:val="24"/>
                <w:szCs w:val="24"/>
              </w:rPr>
              <w:t>may</w:t>
            </w:r>
            <w:proofErr w:type="spellEnd"/>
            <w:r w:rsidRPr="00697FC4">
              <w:rPr>
                <w:rFonts w:ascii="Times New Roman" w:hAnsi="Times New Roman" w:cs="Times New Roman"/>
                <w:b/>
                <w:sz w:val="24"/>
                <w:szCs w:val="24"/>
              </w:rPr>
              <w:t xml:space="preserve"> </w:t>
            </w:r>
            <w:r w:rsidR="002D683C">
              <w:rPr>
                <w:rFonts w:ascii="Times New Roman" w:hAnsi="Times New Roman" w:cs="Times New Roman"/>
                <w:b/>
                <w:sz w:val="24"/>
                <w:szCs w:val="24"/>
              </w:rPr>
              <w:t>district</w:t>
            </w:r>
            <w:r w:rsidRPr="00697FC4">
              <w:rPr>
                <w:rFonts w:ascii="Times New Roman" w:hAnsi="Times New Roman" w:cs="Times New Roman"/>
                <w:b/>
                <w:sz w:val="24"/>
                <w:szCs w:val="24"/>
              </w:rPr>
              <w:t xml:space="preserve">s exercising this flexibility spend the eligible funds? </w:t>
            </w:r>
          </w:p>
        </w:tc>
        <w:tc>
          <w:tcPr>
            <w:tcW w:w="5202" w:type="dxa"/>
          </w:tcPr>
          <w:p w14:paraId="34CDE898" w14:textId="0C673395" w:rsidR="008B4B2F" w:rsidRPr="00697FC4" w:rsidRDefault="00FF1E22" w:rsidP="00F61BC8">
            <w:pPr>
              <w:rPr>
                <w:rFonts w:ascii="Times New Roman" w:hAnsi="Times New Roman" w:cs="Times New Roman"/>
                <w:sz w:val="24"/>
                <w:szCs w:val="24"/>
              </w:rPr>
            </w:pPr>
            <w:r w:rsidRPr="00697FC4">
              <w:rPr>
                <w:rFonts w:ascii="Times New Roman" w:hAnsi="Times New Roman" w:cs="Times New Roman"/>
                <w:sz w:val="24"/>
                <w:szCs w:val="24"/>
                <w:u w:val="single"/>
              </w:rPr>
              <w:t>On local activities authorized under eligible ESEA programs</w:t>
            </w:r>
            <w:r w:rsidRPr="00697FC4">
              <w:rPr>
                <w:rFonts w:ascii="Times New Roman" w:hAnsi="Times New Roman" w:cs="Times New Roman"/>
                <w:sz w:val="24"/>
                <w:szCs w:val="24"/>
              </w:rPr>
              <w:t xml:space="preserve">. </w:t>
            </w:r>
            <w:r w:rsidR="008B4B2F" w:rsidRPr="00697FC4">
              <w:rPr>
                <w:rFonts w:ascii="Times New Roman" w:hAnsi="Times New Roman" w:cs="Times New Roman"/>
                <w:sz w:val="24"/>
                <w:szCs w:val="24"/>
              </w:rPr>
              <w:t xml:space="preserve">An eligible </w:t>
            </w:r>
            <w:r w:rsidR="002D683C">
              <w:rPr>
                <w:rFonts w:ascii="Times New Roman" w:hAnsi="Times New Roman" w:cs="Times New Roman"/>
                <w:sz w:val="24"/>
                <w:szCs w:val="24"/>
              </w:rPr>
              <w:t>district</w:t>
            </w:r>
            <w:r w:rsidR="008B4B2F" w:rsidRPr="00697FC4">
              <w:rPr>
                <w:rFonts w:ascii="Times New Roman" w:hAnsi="Times New Roman" w:cs="Times New Roman"/>
                <w:sz w:val="24"/>
                <w:szCs w:val="24"/>
              </w:rPr>
              <w:t xml:space="preserve"> may spend some or all of its formula Title II-A or IV-A funds on local activities authorized under one or more of these ESEA programs:</w:t>
            </w:r>
          </w:p>
          <w:p w14:paraId="5A60E28A" w14:textId="77777777" w:rsidR="008B4B2F" w:rsidRPr="00697FC4" w:rsidRDefault="008B4B2F" w:rsidP="008B4B2F">
            <w:pPr>
              <w:pStyle w:val="ListParagraph"/>
              <w:numPr>
                <w:ilvl w:val="0"/>
                <w:numId w:val="28"/>
              </w:numPr>
              <w:rPr>
                <w:rFonts w:ascii="Times New Roman" w:hAnsi="Times New Roman" w:cs="Times New Roman"/>
                <w:sz w:val="24"/>
                <w:szCs w:val="24"/>
              </w:rPr>
            </w:pPr>
            <w:r w:rsidRPr="00697FC4">
              <w:rPr>
                <w:rFonts w:ascii="Times New Roman" w:hAnsi="Times New Roman" w:cs="Times New Roman"/>
                <w:sz w:val="24"/>
                <w:szCs w:val="24"/>
              </w:rPr>
              <w:t>Part A of Title I</w:t>
            </w:r>
          </w:p>
          <w:p w14:paraId="51DFA15F" w14:textId="77777777" w:rsidR="008B4B2F" w:rsidRPr="00697FC4" w:rsidRDefault="008B4B2F" w:rsidP="008B4B2F">
            <w:pPr>
              <w:pStyle w:val="ListParagraph"/>
              <w:numPr>
                <w:ilvl w:val="0"/>
                <w:numId w:val="28"/>
              </w:numPr>
              <w:rPr>
                <w:rFonts w:ascii="Times New Roman" w:hAnsi="Times New Roman" w:cs="Times New Roman"/>
                <w:sz w:val="24"/>
                <w:szCs w:val="24"/>
              </w:rPr>
            </w:pPr>
            <w:r w:rsidRPr="00697FC4">
              <w:rPr>
                <w:rFonts w:ascii="Times New Roman" w:hAnsi="Times New Roman" w:cs="Times New Roman"/>
                <w:sz w:val="24"/>
                <w:szCs w:val="24"/>
              </w:rPr>
              <w:t>Part A of Title II</w:t>
            </w:r>
          </w:p>
          <w:p w14:paraId="0B3EA02B" w14:textId="77777777" w:rsidR="008B4B2F" w:rsidRPr="00697FC4" w:rsidRDefault="008B4B2F" w:rsidP="008B4B2F">
            <w:pPr>
              <w:pStyle w:val="ListParagraph"/>
              <w:numPr>
                <w:ilvl w:val="0"/>
                <w:numId w:val="28"/>
              </w:numPr>
              <w:rPr>
                <w:rFonts w:ascii="Times New Roman" w:hAnsi="Times New Roman" w:cs="Times New Roman"/>
                <w:sz w:val="24"/>
                <w:szCs w:val="24"/>
              </w:rPr>
            </w:pPr>
            <w:r w:rsidRPr="00697FC4">
              <w:rPr>
                <w:rFonts w:ascii="Times New Roman" w:hAnsi="Times New Roman" w:cs="Times New Roman"/>
                <w:sz w:val="24"/>
                <w:szCs w:val="24"/>
              </w:rPr>
              <w:t>Title III</w:t>
            </w:r>
          </w:p>
          <w:p w14:paraId="7C933F40" w14:textId="77777777" w:rsidR="008B4B2F" w:rsidRPr="00697FC4" w:rsidRDefault="008B4B2F" w:rsidP="008B4B2F">
            <w:pPr>
              <w:pStyle w:val="ListParagraph"/>
              <w:numPr>
                <w:ilvl w:val="0"/>
                <w:numId w:val="28"/>
              </w:numPr>
              <w:rPr>
                <w:rFonts w:ascii="Times New Roman" w:hAnsi="Times New Roman" w:cs="Times New Roman"/>
                <w:sz w:val="24"/>
                <w:szCs w:val="24"/>
              </w:rPr>
            </w:pPr>
            <w:r w:rsidRPr="00697FC4">
              <w:rPr>
                <w:rFonts w:ascii="Times New Roman" w:hAnsi="Times New Roman" w:cs="Times New Roman"/>
                <w:sz w:val="24"/>
                <w:szCs w:val="24"/>
              </w:rPr>
              <w:t>Parts A or B of Title IV</w:t>
            </w:r>
          </w:p>
          <w:p w14:paraId="37EE6BD8" w14:textId="12FE97A6" w:rsidR="008B4B2F" w:rsidRPr="00697FC4" w:rsidRDefault="00FF1E22" w:rsidP="00F61BC8">
            <w:pPr>
              <w:rPr>
                <w:rFonts w:ascii="Times New Roman" w:hAnsi="Times New Roman" w:cs="Times New Roman"/>
                <w:sz w:val="24"/>
                <w:szCs w:val="24"/>
              </w:rPr>
            </w:pPr>
            <w:r w:rsidRPr="00697FC4">
              <w:rPr>
                <w:rFonts w:ascii="Times New Roman" w:hAnsi="Times New Roman" w:cs="Times New Roman"/>
                <w:sz w:val="24"/>
                <w:szCs w:val="24"/>
              </w:rPr>
              <w:t xml:space="preserve">While Title II, Part A or Title IV, Part A funds may be used for local activities authorized under these programs, those funds are not subject to all of the rules and requirements of these programs. </w:t>
            </w:r>
            <w:r w:rsidR="008B4B2F" w:rsidRPr="00697FC4">
              <w:rPr>
                <w:rFonts w:ascii="Times New Roman" w:hAnsi="Times New Roman" w:cs="Times New Roman"/>
                <w:sz w:val="24"/>
                <w:szCs w:val="24"/>
              </w:rPr>
              <w:t>For example, these funds would not be subject to the set-aside requirements of those programs, such as the requirement that a</w:t>
            </w:r>
            <w:r w:rsidR="002D683C">
              <w:rPr>
                <w:rFonts w:ascii="Times New Roman" w:hAnsi="Times New Roman" w:cs="Times New Roman"/>
                <w:sz w:val="24"/>
                <w:szCs w:val="24"/>
              </w:rPr>
              <w:t xml:space="preserve"> district</w:t>
            </w:r>
            <w:r w:rsidR="008B4B2F" w:rsidRPr="00697FC4">
              <w:rPr>
                <w:rFonts w:ascii="Times New Roman" w:hAnsi="Times New Roman" w:cs="Times New Roman"/>
                <w:sz w:val="24"/>
                <w:szCs w:val="24"/>
              </w:rPr>
              <w:t xml:space="preserve"> receiving $30,000 or more of Title IV-A funds use not less than 20% to support well-rounded education; 20% to support safe and healthy students; and a portion to support the effective use of technology (ESEA section 4106(e</w:t>
            </w:r>
            <w:proofErr w:type="gramStart"/>
            <w:r w:rsidR="008B4B2F" w:rsidRPr="00697FC4">
              <w:rPr>
                <w:rFonts w:ascii="Times New Roman" w:hAnsi="Times New Roman" w:cs="Times New Roman"/>
                <w:sz w:val="24"/>
                <w:szCs w:val="24"/>
              </w:rPr>
              <w:t>)(</w:t>
            </w:r>
            <w:proofErr w:type="gramEnd"/>
            <w:r w:rsidR="008B4B2F" w:rsidRPr="00697FC4">
              <w:rPr>
                <w:rFonts w:ascii="Times New Roman" w:hAnsi="Times New Roman" w:cs="Times New Roman"/>
                <w:sz w:val="24"/>
                <w:szCs w:val="24"/>
              </w:rPr>
              <w:t>2)(C)-(E)).</w:t>
            </w:r>
            <w:r w:rsidR="008B4B2F" w:rsidRPr="00697FC4">
              <w:rPr>
                <w:rFonts w:ascii="Times New Roman" w:hAnsi="Times New Roman" w:cs="Times New Roman"/>
                <w:b/>
                <w:sz w:val="24"/>
                <w:szCs w:val="24"/>
              </w:rPr>
              <w:t xml:space="preserve">  </w:t>
            </w:r>
          </w:p>
          <w:p w14:paraId="50ABFF08" w14:textId="77777777" w:rsidR="008B4B2F" w:rsidRPr="00697FC4" w:rsidRDefault="008B4B2F" w:rsidP="00F61BC8">
            <w:pPr>
              <w:rPr>
                <w:rFonts w:ascii="Times New Roman" w:hAnsi="Times New Roman" w:cs="Times New Roman"/>
                <w:sz w:val="24"/>
                <w:szCs w:val="24"/>
              </w:rPr>
            </w:pPr>
          </w:p>
          <w:p w14:paraId="221D5A9E" w14:textId="50FC272F" w:rsidR="008B4B2F" w:rsidRDefault="00FF1E22" w:rsidP="00F61BC8">
            <w:pPr>
              <w:rPr>
                <w:rFonts w:ascii="Times New Roman" w:hAnsi="Times New Roman" w:cs="Times New Roman"/>
                <w:bCs/>
                <w:sz w:val="24"/>
                <w:szCs w:val="24"/>
              </w:rPr>
            </w:pPr>
            <w:r w:rsidRPr="00697FC4">
              <w:rPr>
                <w:rFonts w:ascii="Times New Roman" w:hAnsi="Times New Roman" w:cs="Times New Roman"/>
                <w:bCs/>
                <w:sz w:val="24"/>
                <w:szCs w:val="24"/>
              </w:rPr>
              <w:t>Additionally, a</w:t>
            </w:r>
            <w:r w:rsidR="002D683C">
              <w:rPr>
                <w:rFonts w:ascii="Times New Roman" w:hAnsi="Times New Roman" w:cs="Times New Roman"/>
                <w:bCs/>
                <w:sz w:val="24"/>
                <w:szCs w:val="24"/>
              </w:rPr>
              <w:t xml:space="preserve"> district</w:t>
            </w:r>
            <w:r w:rsidRPr="00697FC4">
              <w:rPr>
                <w:rFonts w:ascii="Times New Roman" w:hAnsi="Times New Roman" w:cs="Times New Roman"/>
                <w:bCs/>
                <w:sz w:val="24"/>
                <w:szCs w:val="24"/>
              </w:rPr>
              <w:t xml:space="preserve"> does not have to receive funds under one of these programs in order to spend its Title II-A or IV-A funds on an allowable local activity under this program. </w:t>
            </w:r>
            <w:r w:rsidR="008B4B2F" w:rsidRPr="00697FC4">
              <w:rPr>
                <w:rFonts w:ascii="Times New Roman" w:hAnsi="Times New Roman" w:cs="Times New Roman"/>
                <w:bCs/>
                <w:sz w:val="24"/>
                <w:szCs w:val="24"/>
              </w:rPr>
              <w:t>For example, a</w:t>
            </w:r>
            <w:r w:rsidR="002D683C">
              <w:rPr>
                <w:rFonts w:ascii="Times New Roman" w:hAnsi="Times New Roman" w:cs="Times New Roman"/>
                <w:bCs/>
                <w:sz w:val="24"/>
                <w:szCs w:val="24"/>
              </w:rPr>
              <w:t xml:space="preserve"> district</w:t>
            </w:r>
            <w:r w:rsidR="008B4B2F" w:rsidRPr="00697FC4">
              <w:rPr>
                <w:rFonts w:ascii="Times New Roman" w:hAnsi="Times New Roman" w:cs="Times New Roman"/>
                <w:bCs/>
                <w:sz w:val="24"/>
                <w:szCs w:val="24"/>
              </w:rPr>
              <w:t xml:space="preserve"> exercising AFUA that does not receive funds under Part A of Title I may nonetheless use its formula Title II-A or IV-A funds for Title I activities.</w:t>
            </w:r>
          </w:p>
          <w:p w14:paraId="7163AD45" w14:textId="5B9C49FA" w:rsidR="00BF2CF6" w:rsidRPr="00697FC4" w:rsidRDefault="00BF2CF6" w:rsidP="00F61BC8">
            <w:pPr>
              <w:rPr>
                <w:rFonts w:ascii="Times New Roman" w:hAnsi="Times New Roman" w:cs="Times New Roman"/>
                <w:sz w:val="24"/>
                <w:szCs w:val="24"/>
              </w:rPr>
            </w:pPr>
          </w:p>
        </w:tc>
        <w:tc>
          <w:tcPr>
            <w:tcW w:w="5886" w:type="dxa"/>
          </w:tcPr>
          <w:p w14:paraId="17FB2854" w14:textId="43B815D1" w:rsidR="008B4B2F" w:rsidRPr="00697FC4" w:rsidRDefault="00FF1E22" w:rsidP="00F61BC8">
            <w:pPr>
              <w:rPr>
                <w:rFonts w:ascii="Times New Roman" w:hAnsi="Times New Roman" w:cs="Times New Roman"/>
                <w:sz w:val="24"/>
                <w:szCs w:val="24"/>
              </w:rPr>
            </w:pPr>
            <w:r w:rsidRPr="00697FC4">
              <w:rPr>
                <w:rFonts w:ascii="Times New Roman" w:hAnsi="Times New Roman" w:cs="Times New Roman"/>
                <w:sz w:val="24"/>
                <w:szCs w:val="24"/>
                <w:u w:val="single"/>
              </w:rPr>
              <w:lastRenderedPageBreak/>
              <w:t xml:space="preserve">Under eligible ESEA programs into which the </w:t>
            </w:r>
            <w:r w:rsidR="002D683C">
              <w:rPr>
                <w:rFonts w:ascii="Times New Roman" w:hAnsi="Times New Roman" w:cs="Times New Roman"/>
                <w:sz w:val="24"/>
                <w:szCs w:val="24"/>
                <w:u w:val="single"/>
              </w:rPr>
              <w:t>district</w:t>
            </w:r>
            <w:r w:rsidRPr="00697FC4">
              <w:rPr>
                <w:rFonts w:ascii="Times New Roman" w:hAnsi="Times New Roman" w:cs="Times New Roman"/>
                <w:sz w:val="24"/>
                <w:szCs w:val="24"/>
                <w:u w:val="single"/>
              </w:rPr>
              <w:t xml:space="preserve"> has transferred funds</w:t>
            </w:r>
            <w:r w:rsidRPr="00697FC4">
              <w:rPr>
                <w:rFonts w:ascii="Times New Roman" w:hAnsi="Times New Roman" w:cs="Times New Roman"/>
                <w:sz w:val="24"/>
                <w:szCs w:val="24"/>
              </w:rPr>
              <w:t xml:space="preserve">. </w:t>
            </w:r>
            <w:r w:rsidR="008B4B2F" w:rsidRPr="00697FC4">
              <w:rPr>
                <w:rFonts w:ascii="Times New Roman" w:hAnsi="Times New Roman" w:cs="Times New Roman"/>
                <w:sz w:val="24"/>
                <w:szCs w:val="24"/>
              </w:rPr>
              <w:t>A</w:t>
            </w:r>
            <w:r w:rsidR="002D683C">
              <w:rPr>
                <w:rFonts w:ascii="Times New Roman" w:hAnsi="Times New Roman" w:cs="Times New Roman"/>
                <w:sz w:val="24"/>
                <w:szCs w:val="24"/>
              </w:rPr>
              <w:t xml:space="preserve"> district</w:t>
            </w:r>
            <w:r w:rsidR="008B4B2F" w:rsidRPr="00697FC4">
              <w:rPr>
                <w:rFonts w:ascii="Times New Roman" w:hAnsi="Times New Roman" w:cs="Times New Roman"/>
                <w:sz w:val="24"/>
                <w:szCs w:val="24"/>
              </w:rPr>
              <w:t xml:space="preserve"> may transfer some or all of its formula Title II-A or IV-A funds into its allocation under one or more of these ESEA programs:</w:t>
            </w:r>
          </w:p>
          <w:p w14:paraId="1946E686" w14:textId="77777777" w:rsidR="008B4B2F" w:rsidRPr="00697FC4" w:rsidRDefault="008B4B2F" w:rsidP="008B4B2F">
            <w:pPr>
              <w:pStyle w:val="ListParagraph"/>
              <w:numPr>
                <w:ilvl w:val="0"/>
                <w:numId w:val="28"/>
              </w:numPr>
              <w:rPr>
                <w:rFonts w:ascii="Times New Roman" w:hAnsi="Times New Roman" w:cs="Times New Roman"/>
                <w:sz w:val="24"/>
                <w:szCs w:val="24"/>
              </w:rPr>
            </w:pPr>
            <w:r w:rsidRPr="00697FC4">
              <w:rPr>
                <w:rFonts w:ascii="Times New Roman" w:hAnsi="Times New Roman" w:cs="Times New Roman"/>
                <w:sz w:val="24"/>
                <w:szCs w:val="24"/>
              </w:rPr>
              <w:t>Parts A, C, or D of Title I</w:t>
            </w:r>
          </w:p>
          <w:p w14:paraId="50066B82" w14:textId="77777777" w:rsidR="008B4B2F" w:rsidRPr="00697FC4" w:rsidRDefault="008B4B2F" w:rsidP="008B4B2F">
            <w:pPr>
              <w:pStyle w:val="ListParagraph"/>
              <w:numPr>
                <w:ilvl w:val="0"/>
                <w:numId w:val="28"/>
              </w:numPr>
              <w:rPr>
                <w:rFonts w:ascii="Times New Roman" w:hAnsi="Times New Roman" w:cs="Times New Roman"/>
                <w:sz w:val="24"/>
                <w:szCs w:val="24"/>
              </w:rPr>
            </w:pPr>
            <w:r w:rsidRPr="00697FC4">
              <w:rPr>
                <w:rFonts w:ascii="Times New Roman" w:hAnsi="Times New Roman" w:cs="Times New Roman"/>
                <w:sz w:val="24"/>
                <w:szCs w:val="24"/>
              </w:rPr>
              <w:t>Part A of Title II</w:t>
            </w:r>
          </w:p>
          <w:p w14:paraId="21574959" w14:textId="77777777" w:rsidR="008B4B2F" w:rsidRPr="00697FC4" w:rsidRDefault="008B4B2F" w:rsidP="008B4B2F">
            <w:pPr>
              <w:pStyle w:val="ListParagraph"/>
              <w:numPr>
                <w:ilvl w:val="0"/>
                <w:numId w:val="28"/>
              </w:numPr>
              <w:rPr>
                <w:rFonts w:ascii="Times New Roman" w:hAnsi="Times New Roman" w:cs="Times New Roman"/>
                <w:sz w:val="24"/>
                <w:szCs w:val="24"/>
              </w:rPr>
            </w:pPr>
            <w:r w:rsidRPr="00697FC4">
              <w:rPr>
                <w:rFonts w:ascii="Times New Roman" w:hAnsi="Times New Roman" w:cs="Times New Roman"/>
                <w:sz w:val="24"/>
                <w:szCs w:val="24"/>
              </w:rPr>
              <w:t>Part A of Title III</w:t>
            </w:r>
          </w:p>
          <w:p w14:paraId="2CA59D1F" w14:textId="15396BB6" w:rsidR="008B4B2F" w:rsidRPr="00697FC4" w:rsidRDefault="008B4B2F" w:rsidP="008B4B2F">
            <w:pPr>
              <w:pStyle w:val="ListParagraph"/>
              <w:numPr>
                <w:ilvl w:val="0"/>
                <w:numId w:val="28"/>
              </w:numPr>
              <w:rPr>
                <w:rFonts w:ascii="Times New Roman" w:hAnsi="Times New Roman" w:cs="Times New Roman"/>
                <w:sz w:val="24"/>
                <w:szCs w:val="24"/>
              </w:rPr>
            </w:pPr>
            <w:r w:rsidRPr="00697FC4">
              <w:rPr>
                <w:rFonts w:ascii="Times New Roman" w:hAnsi="Times New Roman" w:cs="Times New Roman"/>
                <w:sz w:val="24"/>
                <w:szCs w:val="24"/>
              </w:rPr>
              <w:t>Part A of Title IV</w:t>
            </w:r>
          </w:p>
          <w:p w14:paraId="6889742B" w14:textId="77777777" w:rsidR="008B4B2F" w:rsidRPr="00697FC4" w:rsidRDefault="008B4B2F" w:rsidP="008B4B2F">
            <w:pPr>
              <w:pStyle w:val="ListParagraph"/>
              <w:numPr>
                <w:ilvl w:val="0"/>
                <w:numId w:val="28"/>
              </w:numPr>
              <w:rPr>
                <w:rFonts w:ascii="Times New Roman" w:hAnsi="Times New Roman" w:cs="Times New Roman"/>
                <w:sz w:val="24"/>
                <w:szCs w:val="24"/>
              </w:rPr>
            </w:pPr>
            <w:r w:rsidRPr="00697FC4">
              <w:rPr>
                <w:rFonts w:ascii="Times New Roman" w:hAnsi="Times New Roman" w:cs="Times New Roman"/>
                <w:sz w:val="24"/>
                <w:szCs w:val="24"/>
              </w:rPr>
              <w:t>Part B of Title V</w:t>
            </w:r>
          </w:p>
          <w:p w14:paraId="4DEABF7C" w14:textId="77777777" w:rsidR="00D67574" w:rsidRDefault="00FF1E22" w:rsidP="00F61BC8">
            <w:pPr>
              <w:rPr>
                <w:rFonts w:ascii="Times New Roman" w:hAnsi="Times New Roman" w:cs="Times New Roman"/>
                <w:sz w:val="24"/>
                <w:szCs w:val="24"/>
              </w:rPr>
            </w:pPr>
            <w:r w:rsidRPr="00697FC4">
              <w:rPr>
                <w:rFonts w:ascii="Times New Roman" w:hAnsi="Times New Roman" w:cs="Times New Roman"/>
                <w:sz w:val="24"/>
                <w:szCs w:val="24"/>
              </w:rPr>
              <w:t>When a</w:t>
            </w:r>
            <w:r w:rsidR="002D683C">
              <w:rPr>
                <w:rFonts w:ascii="Times New Roman" w:hAnsi="Times New Roman" w:cs="Times New Roman"/>
                <w:sz w:val="24"/>
                <w:szCs w:val="24"/>
              </w:rPr>
              <w:t xml:space="preserve"> district</w:t>
            </w:r>
            <w:r w:rsidRPr="00697FC4">
              <w:rPr>
                <w:rFonts w:ascii="Times New Roman" w:hAnsi="Times New Roman" w:cs="Times New Roman"/>
                <w:sz w:val="24"/>
                <w:szCs w:val="24"/>
              </w:rPr>
              <w:t xml:space="preserve"> transfers funds, those funds become funds of the program to which they are transferred and are subject to all of the rules and requirements of that program. For example, a</w:t>
            </w:r>
            <w:r w:rsidR="002D683C">
              <w:rPr>
                <w:rFonts w:ascii="Times New Roman" w:hAnsi="Times New Roman" w:cs="Times New Roman"/>
                <w:sz w:val="24"/>
                <w:szCs w:val="24"/>
              </w:rPr>
              <w:t xml:space="preserve"> district</w:t>
            </w:r>
            <w:r w:rsidRPr="00697FC4">
              <w:rPr>
                <w:rFonts w:ascii="Times New Roman" w:hAnsi="Times New Roman" w:cs="Times New Roman"/>
                <w:sz w:val="24"/>
                <w:szCs w:val="24"/>
              </w:rPr>
              <w:t xml:space="preserve"> that receives RLIS funds could transfer all of its Title II-A funds into its Title V-B allocation. Those funds would then be considered RLIS funds and would be subject to the rules and requirements of the RLIS program. </w:t>
            </w:r>
            <w:r w:rsidR="008B4B2F" w:rsidRPr="00697FC4">
              <w:rPr>
                <w:rFonts w:ascii="Times New Roman" w:hAnsi="Times New Roman" w:cs="Times New Roman"/>
                <w:sz w:val="24"/>
                <w:szCs w:val="24"/>
              </w:rPr>
              <w:t>For more information about</w:t>
            </w:r>
            <w:r w:rsidR="00D67574">
              <w:rPr>
                <w:rFonts w:ascii="Times New Roman" w:hAnsi="Times New Roman" w:cs="Times New Roman"/>
                <w:sz w:val="24"/>
                <w:szCs w:val="24"/>
              </w:rPr>
              <w:t xml:space="preserve"> RLIS allowable activities, see</w:t>
            </w:r>
          </w:p>
          <w:p w14:paraId="7C3A8184" w14:textId="1B91968A" w:rsidR="008B4B2F" w:rsidRPr="00697FC4" w:rsidRDefault="006F0A5A" w:rsidP="00F61BC8">
            <w:pPr>
              <w:rPr>
                <w:rFonts w:ascii="Times New Roman" w:hAnsi="Times New Roman" w:cs="Times New Roman"/>
                <w:sz w:val="24"/>
                <w:szCs w:val="24"/>
              </w:rPr>
            </w:pPr>
            <w:r w:rsidRPr="006F0A5A">
              <w:rPr>
                <w:rFonts w:ascii="Times New Roman" w:hAnsi="Times New Roman" w:cs="Times New Roman"/>
                <w:sz w:val="24"/>
                <w:szCs w:val="24"/>
              </w:rPr>
              <w:t>https://www2.ed.gov/programs/reaprlisp/index.html</w:t>
            </w:r>
          </w:p>
          <w:p w14:paraId="6B87945F" w14:textId="77777777" w:rsidR="008B4B2F" w:rsidRPr="00697FC4" w:rsidRDefault="008B4B2F" w:rsidP="00F61BC8">
            <w:pPr>
              <w:rPr>
                <w:rFonts w:ascii="Times New Roman" w:hAnsi="Times New Roman" w:cs="Times New Roman"/>
                <w:sz w:val="24"/>
                <w:szCs w:val="24"/>
              </w:rPr>
            </w:pPr>
          </w:p>
          <w:p w14:paraId="4B53DE3F" w14:textId="3B48E381" w:rsidR="008B4B2F" w:rsidRPr="00697FC4" w:rsidRDefault="00FF1E22" w:rsidP="002D683C">
            <w:pPr>
              <w:rPr>
                <w:rFonts w:ascii="Times New Roman" w:hAnsi="Times New Roman" w:cs="Times New Roman"/>
                <w:sz w:val="24"/>
                <w:szCs w:val="24"/>
              </w:rPr>
            </w:pPr>
            <w:r w:rsidRPr="00697FC4">
              <w:rPr>
                <w:rFonts w:ascii="Times New Roman" w:hAnsi="Times New Roman" w:cs="Times New Roman"/>
                <w:sz w:val="24"/>
                <w:szCs w:val="24"/>
              </w:rPr>
              <w:t>A</w:t>
            </w:r>
            <w:r w:rsidR="002D683C">
              <w:rPr>
                <w:rFonts w:ascii="Times New Roman" w:hAnsi="Times New Roman" w:cs="Times New Roman"/>
                <w:sz w:val="24"/>
                <w:szCs w:val="24"/>
              </w:rPr>
              <w:t xml:space="preserve"> district</w:t>
            </w:r>
            <w:r w:rsidRPr="00697FC4">
              <w:rPr>
                <w:rFonts w:ascii="Times New Roman" w:hAnsi="Times New Roman" w:cs="Times New Roman"/>
                <w:sz w:val="24"/>
                <w:szCs w:val="24"/>
              </w:rPr>
              <w:t xml:space="preserve"> must receive an allocation in a particular fiscal </w:t>
            </w:r>
            <w:r w:rsidRPr="00697FC4">
              <w:rPr>
                <w:rFonts w:ascii="Times New Roman" w:hAnsi="Times New Roman" w:cs="Times New Roman"/>
                <w:sz w:val="24"/>
                <w:szCs w:val="24"/>
              </w:rPr>
              <w:lastRenderedPageBreak/>
              <w:t xml:space="preserve">year in order to transfer its Title II-A or IV-A funds </w:t>
            </w:r>
            <w:r w:rsidR="00D67574">
              <w:rPr>
                <w:rFonts w:ascii="Times New Roman" w:hAnsi="Times New Roman" w:cs="Times New Roman"/>
                <w:sz w:val="24"/>
                <w:szCs w:val="24"/>
              </w:rPr>
              <w:t xml:space="preserve">for that fiscal year </w:t>
            </w:r>
            <w:r w:rsidRPr="00697FC4">
              <w:rPr>
                <w:rFonts w:ascii="Times New Roman" w:hAnsi="Times New Roman" w:cs="Times New Roman"/>
                <w:sz w:val="24"/>
                <w:szCs w:val="24"/>
              </w:rPr>
              <w:t xml:space="preserve">into that program. </w:t>
            </w:r>
            <w:r w:rsidR="008B4B2F" w:rsidRPr="00697FC4">
              <w:rPr>
                <w:rFonts w:ascii="Times New Roman" w:hAnsi="Times New Roman" w:cs="Times New Roman"/>
                <w:sz w:val="24"/>
                <w:szCs w:val="24"/>
              </w:rPr>
              <w:t xml:space="preserve">For example, only </w:t>
            </w:r>
            <w:r w:rsidR="002D683C">
              <w:rPr>
                <w:rFonts w:ascii="Times New Roman" w:hAnsi="Times New Roman" w:cs="Times New Roman"/>
                <w:sz w:val="24"/>
                <w:szCs w:val="24"/>
              </w:rPr>
              <w:t>district</w:t>
            </w:r>
            <w:r w:rsidR="008B4B2F" w:rsidRPr="00697FC4">
              <w:rPr>
                <w:rFonts w:ascii="Times New Roman" w:hAnsi="Times New Roman" w:cs="Times New Roman"/>
                <w:sz w:val="24"/>
                <w:szCs w:val="24"/>
              </w:rPr>
              <w:t>s that receive REAP funds (Title V, Part B) may transfer funds into an SRSA or RLIS allocation.</w:t>
            </w:r>
          </w:p>
        </w:tc>
      </w:tr>
      <w:tr w:rsidR="008B4B2F" w14:paraId="187C140D" w14:textId="77777777" w:rsidTr="00697FC4">
        <w:tc>
          <w:tcPr>
            <w:tcW w:w="2088" w:type="dxa"/>
          </w:tcPr>
          <w:p w14:paraId="7455D1B8" w14:textId="77777777" w:rsidR="008B4B2F" w:rsidRPr="00697FC4" w:rsidRDefault="008B4B2F" w:rsidP="008B4B2F">
            <w:pPr>
              <w:pStyle w:val="ListParagraph"/>
              <w:numPr>
                <w:ilvl w:val="0"/>
                <w:numId w:val="29"/>
              </w:numPr>
              <w:rPr>
                <w:rFonts w:ascii="Times New Roman" w:hAnsi="Times New Roman" w:cs="Times New Roman"/>
                <w:b/>
                <w:sz w:val="24"/>
                <w:szCs w:val="24"/>
              </w:rPr>
            </w:pPr>
            <w:r w:rsidRPr="00697FC4">
              <w:rPr>
                <w:rFonts w:ascii="Times New Roman" w:hAnsi="Times New Roman" w:cs="Times New Roman"/>
                <w:b/>
                <w:sz w:val="24"/>
                <w:szCs w:val="24"/>
              </w:rPr>
              <w:lastRenderedPageBreak/>
              <w:t>What rules apply to the funds?</w:t>
            </w:r>
          </w:p>
        </w:tc>
        <w:tc>
          <w:tcPr>
            <w:tcW w:w="5202" w:type="dxa"/>
          </w:tcPr>
          <w:p w14:paraId="1B5B83CC" w14:textId="12F94032" w:rsidR="008B4B2F" w:rsidRPr="00697FC4" w:rsidRDefault="00FF1E22" w:rsidP="00F61BC8">
            <w:pPr>
              <w:rPr>
                <w:rFonts w:ascii="Times New Roman" w:hAnsi="Times New Roman" w:cs="Times New Roman"/>
                <w:sz w:val="24"/>
                <w:szCs w:val="24"/>
              </w:rPr>
            </w:pPr>
            <w:r w:rsidRPr="00697FC4">
              <w:rPr>
                <w:rFonts w:ascii="Times New Roman" w:hAnsi="Times New Roman" w:cs="Times New Roman"/>
                <w:sz w:val="24"/>
                <w:szCs w:val="24"/>
                <w:u w:val="single"/>
              </w:rPr>
              <w:t>Eligible funds are not subject to all rules and requirements of the programs that authorize the activities for which funds are spent</w:t>
            </w:r>
            <w:r w:rsidRPr="00697FC4">
              <w:rPr>
                <w:rFonts w:ascii="Times New Roman" w:hAnsi="Times New Roman" w:cs="Times New Roman"/>
                <w:sz w:val="24"/>
                <w:szCs w:val="24"/>
              </w:rPr>
              <w:t>. If a</w:t>
            </w:r>
            <w:r w:rsidR="002D683C">
              <w:rPr>
                <w:rFonts w:ascii="Times New Roman" w:hAnsi="Times New Roman" w:cs="Times New Roman"/>
                <w:sz w:val="24"/>
                <w:szCs w:val="24"/>
              </w:rPr>
              <w:t xml:space="preserve"> district</w:t>
            </w:r>
            <w:r w:rsidRPr="00697FC4">
              <w:rPr>
                <w:rFonts w:ascii="Times New Roman" w:hAnsi="Times New Roman" w:cs="Times New Roman"/>
                <w:sz w:val="24"/>
                <w:szCs w:val="24"/>
              </w:rPr>
              <w:t xml:space="preserve"> exercises AFUA with </w:t>
            </w:r>
            <w:r w:rsidR="00D67574">
              <w:rPr>
                <w:rFonts w:ascii="Times New Roman" w:hAnsi="Times New Roman" w:cs="Times New Roman"/>
                <w:sz w:val="24"/>
                <w:szCs w:val="24"/>
              </w:rPr>
              <w:t xml:space="preserve">respect to </w:t>
            </w:r>
            <w:r w:rsidRPr="00697FC4">
              <w:rPr>
                <w:rFonts w:ascii="Times New Roman" w:hAnsi="Times New Roman" w:cs="Times New Roman"/>
                <w:sz w:val="24"/>
                <w:szCs w:val="24"/>
              </w:rPr>
              <w:t xml:space="preserve">its Titles II-A or IV-A funds, those funds may be spent on local activities authorized under the programs </w:t>
            </w:r>
            <w:r w:rsidR="00D67574">
              <w:rPr>
                <w:rFonts w:ascii="Times New Roman" w:hAnsi="Times New Roman" w:cs="Times New Roman"/>
                <w:sz w:val="24"/>
                <w:szCs w:val="24"/>
              </w:rPr>
              <w:t xml:space="preserve">listed </w:t>
            </w:r>
            <w:r w:rsidRPr="00697FC4">
              <w:rPr>
                <w:rFonts w:ascii="Times New Roman" w:hAnsi="Times New Roman" w:cs="Times New Roman"/>
                <w:sz w:val="24"/>
                <w:szCs w:val="24"/>
              </w:rPr>
              <w:t xml:space="preserve">in </w:t>
            </w:r>
            <w:r w:rsidR="00F51592">
              <w:rPr>
                <w:rFonts w:ascii="Times New Roman" w:hAnsi="Times New Roman" w:cs="Times New Roman"/>
                <w:sz w:val="24"/>
                <w:szCs w:val="24"/>
              </w:rPr>
              <w:t>Question</w:t>
            </w:r>
            <w:r w:rsidR="00F51592" w:rsidRPr="00697FC4">
              <w:rPr>
                <w:rFonts w:ascii="Times New Roman" w:hAnsi="Times New Roman" w:cs="Times New Roman"/>
                <w:sz w:val="24"/>
                <w:szCs w:val="24"/>
              </w:rPr>
              <w:t xml:space="preserve"> </w:t>
            </w:r>
            <w:r w:rsidRPr="00697FC4">
              <w:rPr>
                <w:rFonts w:ascii="Times New Roman" w:hAnsi="Times New Roman" w:cs="Times New Roman"/>
                <w:sz w:val="24"/>
                <w:szCs w:val="24"/>
              </w:rPr>
              <w:t xml:space="preserve">4, but those funds are not subject to all of the rules and requirements of those programs. See Question 4 for more information and examples. </w:t>
            </w:r>
            <w:r w:rsidR="008B4B2F" w:rsidRPr="00697FC4">
              <w:rPr>
                <w:rFonts w:ascii="Times New Roman" w:hAnsi="Times New Roman" w:cs="Times New Roman"/>
                <w:sz w:val="24"/>
                <w:szCs w:val="24"/>
              </w:rPr>
              <w:t xml:space="preserve">This means, for example, that an eligible </w:t>
            </w:r>
            <w:r w:rsidR="002D683C">
              <w:rPr>
                <w:rFonts w:ascii="Times New Roman" w:hAnsi="Times New Roman" w:cs="Times New Roman"/>
                <w:sz w:val="24"/>
                <w:szCs w:val="24"/>
              </w:rPr>
              <w:t>district</w:t>
            </w:r>
            <w:r w:rsidR="008B4B2F" w:rsidRPr="00697FC4">
              <w:rPr>
                <w:rFonts w:ascii="Times New Roman" w:hAnsi="Times New Roman" w:cs="Times New Roman"/>
                <w:sz w:val="24"/>
                <w:szCs w:val="24"/>
              </w:rPr>
              <w:t xml:space="preserve"> exercising AFUA </w:t>
            </w:r>
            <w:r w:rsidR="00D67574">
              <w:rPr>
                <w:rFonts w:ascii="Times New Roman" w:hAnsi="Times New Roman" w:cs="Times New Roman"/>
                <w:sz w:val="24"/>
                <w:szCs w:val="24"/>
              </w:rPr>
              <w:t xml:space="preserve">with respect to </w:t>
            </w:r>
            <w:r w:rsidR="008B4B2F" w:rsidRPr="00697FC4">
              <w:rPr>
                <w:rFonts w:ascii="Times New Roman" w:hAnsi="Times New Roman" w:cs="Times New Roman"/>
                <w:sz w:val="24"/>
                <w:szCs w:val="24"/>
              </w:rPr>
              <w:t>its formula Title IV-A funds may use those funds for any allowable activity under Title IV-A; it does not need to meet the requirements under Title IV-A that certain percentages of Title IV-A funds be spent on specific types of activities.</w:t>
            </w:r>
          </w:p>
          <w:p w14:paraId="20DBD7A4" w14:textId="77777777" w:rsidR="008B4B2F" w:rsidRPr="00697FC4" w:rsidRDefault="008B4B2F" w:rsidP="00F61BC8">
            <w:pPr>
              <w:rPr>
                <w:rFonts w:ascii="Times New Roman" w:hAnsi="Times New Roman" w:cs="Times New Roman"/>
                <w:sz w:val="24"/>
                <w:szCs w:val="24"/>
              </w:rPr>
            </w:pPr>
          </w:p>
          <w:p w14:paraId="2CEC80B3" w14:textId="65D2F893" w:rsidR="008B4B2F" w:rsidRPr="00697FC4" w:rsidRDefault="008B4B2F" w:rsidP="002D683C">
            <w:pPr>
              <w:rPr>
                <w:rFonts w:ascii="Times New Roman" w:hAnsi="Times New Roman" w:cs="Times New Roman"/>
                <w:sz w:val="24"/>
                <w:szCs w:val="24"/>
              </w:rPr>
            </w:pPr>
            <w:r w:rsidRPr="00697FC4">
              <w:rPr>
                <w:rFonts w:ascii="Times New Roman" w:hAnsi="Times New Roman" w:cs="Times New Roman"/>
                <w:sz w:val="24"/>
                <w:szCs w:val="24"/>
              </w:rPr>
              <w:t>When completing financial reports, a</w:t>
            </w:r>
            <w:r w:rsidR="002D683C">
              <w:rPr>
                <w:rFonts w:ascii="Times New Roman" w:hAnsi="Times New Roman" w:cs="Times New Roman"/>
                <w:sz w:val="24"/>
                <w:szCs w:val="24"/>
              </w:rPr>
              <w:t xml:space="preserve"> district</w:t>
            </w:r>
            <w:r w:rsidRPr="00697FC4">
              <w:rPr>
                <w:rFonts w:ascii="Times New Roman" w:hAnsi="Times New Roman" w:cs="Times New Roman"/>
                <w:sz w:val="24"/>
                <w:szCs w:val="24"/>
              </w:rPr>
              <w:t xml:space="preserve"> should report its Titles II-A and IV-A funds as expenditures under those programs, even if it exercises AFUA to spend those funds on authorized activities under other programs listed under Question 4.</w:t>
            </w:r>
          </w:p>
        </w:tc>
        <w:tc>
          <w:tcPr>
            <w:tcW w:w="5886" w:type="dxa"/>
          </w:tcPr>
          <w:p w14:paraId="08122FDE" w14:textId="4FFE8EF5" w:rsidR="008B4B2F" w:rsidRPr="00697FC4" w:rsidRDefault="00FF1E22" w:rsidP="00F61BC8">
            <w:pPr>
              <w:rPr>
                <w:rFonts w:ascii="Times New Roman" w:hAnsi="Times New Roman" w:cs="Times New Roman"/>
                <w:sz w:val="24"/>
                <w:szCs w:val="24"/>
              </w:rPr>
            </w:pPr>
            <w:r w:rsidRPr="00697FC4">
              <w:rPr>
                <w:rFonts w:ascii="Times New Roman" w:hAnsi="Times New Roman" w:cs="Times New Roman"/>
                <w:sz w:val="24"/>
                <w:szCs w:val="24"/>
                <w:u w:val="single"/>
              </w:rPr>
              <w:t>Rules and requirements of programs into which funds are transferred apply</w:t>
            </w:r>
            <w:r w:rsidRPr="00697FC4">
              <w:rPr>
                <w:rFonts w:ascii="Times New Roman" w:hAnsi="Times New Roman" w:cs="Times New Roman"/>
                <w:sz w:val="24"/>
                <w:szCs w:val="24"/>
              </w:rPr>
              <w:t xml:space="preserve">. The rules and requirements of the programs into which funds are transferred apply to the transferred funds. </w:t>
            </w:r>
            <w:r w:rsidR="008B4B2F" w:rsidRPr="00697FC4">
              <w:rPr>
                <w:rFonts w:ascii="Times New Roman" w:hAnsi="Times New Roman" w:cs="Times New Roman"/>
                <w:sz w:val="24"/>
                <w:szCs w:val="24"/>
              </w:rPr>
              <w:t xml:space="preserve">See </w:t>
            </w:r>
            <w:r w:rsidR="00F51592">
              <w:rPr>
                <w:rFonts w:ascii="Times New Roman" w:hAnsi="Times New Roman" w:cs="Times New Roman"/>
                <w:sz w:val="24"/>
                <w:szCs w:val="24"/>
              </w:rPr>
              <w:t>Question</w:t>
            </w:r>
            <w:r w:rsidR="00F51592" w:rsidRPr="00697FC4">
              <w:rPr>
                <w:rFonts w:ascii="Times New Roman" w:hAnsi="Times New Roman" w:cs="Times New Roman"/>
                <w:sz w:val="24"/>
                <w:szCs w:val="24"/>
              </w:rPr>
              <w:t xml:space="preserve"> </w:t>
            </w:r>
            <w:r w:rsidR="008B4B2F" w:rsidRPr="00697FC4">
              <w:rPr>
                <w:rFonts w:ascii="Times New Roman" w:hAnsi="Times New Roman" w:cs="Times New Roman"/>
                <w:sz w:val="24"/>
                <w:szCs w:val="24"/>
              </w:rPr>
              <w:t>4 for more information and examples.</w:t>
            </w:r>
          </w:p>
          <w:p w14:paraId="3CC30D26" w14:textId="77777777" w:rsidR="008B4B2F" w:rsidRPr="00697FC4" w:rsidRDefault="008B4B2F" w:rsidP="00F61BC8">
            <w:pPr>
              <w:rPr>
                <w:rFonts w:ascii="Times New Roman" w:hAnsi="Times New Roman" w:cs="Times New Roman"/>
                <w:sz w:val="24"/>
                <w:szCs w:val="24"/>
              </w:rPr>
            </w:pPr>
          </w:p>
          <w:p w14:paraId="21DC38CF" w14:textId="5C5EC92B" w:rsidR="008B4B2F" w:rsidRPr="00697FC4" w:rsidRDefault="008B4B2F" w:rsidP="002D683C">
            <w:pPr>
              <w:rPr>
                <w:rFonts w:ascii="Times New Roman" w:hAnsi="Times New Roman" w:cs="Times New Roman"/>
                <w:sz w:val="24"/>
                <w:szCs w:val="24"/>
              </w:rPr>
            </w:pPr>
            <w:r w:rsidRPr="00697FC4">
              <w:rPr>
                <w:rFonts w:ascii="Times New Roman" w:hAnsi="Times New Roman" w:cs="Times New Roman"/>
                <w:sz w:val="24"/>
                <w:szCs w:val="24"/>
              </w:rPr>
              <w:t>When completing financial reports, a</w:t>
            </w:r>
            <w:r w:rsidR="002D683C">
              <w:rPr>
                <w:rFonts w:ascii="Times New Roman" w:hAnsi="Times New Roman" w:cs="Times New Roman"/>
                <w:sz w:val="24"/>
                <w:szCs w:val="24"/>
              </w:rPr>
              <w:t xml:space="preserve"> district</w:t>
            </w:r>
            <w:r w:rsidRPr="00697FC4">
              <w:rPr>
                <w:rFonts w:ascii="Times New Roman" w:hAnsi="Times New Roman" w:cs="Times New Roman"/>
                <w:sz w:val="24"/>
                <w:szCs w:val="24"/>
              </w:rPr>
              <w:t xml:space="preserve"> should report any transferred funds as expenditures under the programs to which funds are transferred.</w:t>
            </w:r>
          </w:p>
        </w:tc>
      </w:tr>
      <w:tr w:rsidR="008B4B2F" w14:paraId="56B9628A" w14:textId="77777777" w:rsidTr="00697FC4">
        <w:tc>
          <w:tcPr>
            <w:tcW w:w="2088" w:type="dxa"/>
          </w:tcPr>
          <w:p w14:paraId="6B19E8B3" w14:textId="1AD1C988" w:rsidR="008B4B2F" w:rsidRPr="00697FC4" w:rsidRDefault="008B4B2F" w:rsidP="002D683C">
            <w:pPr>
              <w:pStyle w:val="ListParagraph"/>
              <w:numPr>
                <w:ilvl w:val="0"/>
                <w:numId w:val="29"/>
              </w:numPr>
              <w:rPr>
                <w:rFonts w:ascii="Times New Roman" w:hAnsi="Times New Roman" w:cs="Times New Roman"/>
                <w:b/>
                <w:sz w:val="24"/>
                <w:szCs w:val="24"/>
              </w:rPr>
            </w:pPr>
            <w:r w:rsidRPr="00697FC4">
              <w:rPr>
                <w:rFonts w:ascii="Times New Roman" w:hAnsi="Times New Roman" w:cs="Times New Roman"/>
                <w:b/>
                <w:sz w:val="24"/>
                <w:szCs w:val="24"/>
              </w:rPr>
              <w:lastRenderedPageBreak/>
              <w:t>Does a</w:t>
            </w:r>
            <w:r w:rsidR="002D683C">
              <w:rPr>
                <w:rFonts w:ascii="Times New Roman" w:hAnsi="Times New Roman" w:cs="Times New Roman"/>
                <w:b/>
                <w:sz w:val="24"/>
                <w:szCs w:val="24"/>
              </w:rPr>
              <w:t xml:space="preserve"> district</w:t>
            </w:r>
            <w:r w:rsidRPr="00697FC4">
              <w:rPr>
                <w:rFonts w:ascii="Times New Roman" w:hAnsi="Times New Roman" w:cs="Times New Roman"/>
                <w:b/>
                <w:sz w:val="24"/>
                <w:szCs w:val="24"/>
              </w:rPr>
              <w:t xml:space="preserve"> need to receive funds under a given program in order to spend eligible funds under that program?</w:t>
            </w:r>
          </w:p>
        </w:tc>
        <w:tc>
          <w:tcPr>
            <w:tcW w:w="5202" w:type="dxa"/>
          </w:tcPr>
          <w:p w14:paraId="15CEE7F2" w14:textId="115EC982" w:rsidR="008B4B2F" w:rsidRDefault="00FF1E22" w:rsidP="00F61BC8">
            <w:pPr>
              <w:rPr>
                <w:rFonts w:ascii="Times New Roman" w:hAnsi="Times New Roman" w:cs="Times New Roman"/>
                <w:bCs/>
                <w:sz w:val="24"/>
                <w:szCs w:val="24"/>
              </w:rPr>
            </w:pPr>
            <w:r w:rsidRPr="00697FC4">
              <w:rPr>
                <w:rFonts w:ascii="Times New Roman" w:hAnsi="Times New Roman" w:cs="Times New Roman"/>
                <w:sz w:val="24"/>
                <w:szCs w:val="24"/>
                <w:u w:val="single"/>
              </w:rPr>
              <w:t>No</w:t>
            </w:r>
            <w:r w:rsidRPr="00697FC4">
              <w:rPr>
                <w:rFonts w:ascii="Times New Roman" w:hAnsi="Times New Roman" w:cs="Times New Roman"/>
                <w:sz w:val="24"/>
                <w:szCs w:val="24"/>
              </w:rPr>
              <w:t xml:space="preserve">. </w:t>
            </w:r>
            <w:r w:rsidRPr="00697FC4">
              <w:rPr>
                <w:rFonts w:ascii="Times New Roman" w:hAnsi="Times New Roman" w:cs="Times New Roman"/>
                <w:bCs/>
                <w:sz w:val="24"/>
                <w:szCs w:val="24"/>
              </w:rPr>
              <w:t xml:space="preserve">An eligible </w:t>
            </w:r>
            <w:r w:rsidR="002D683C">
              <w:rPr>
                <w:rFonts w:ascii="Times New Roman" w:hAnsi="Times New Roman" w:cs="Times New Roman"/>
                <w:bCs/>
                <w:sz w:val="24"/>
                <w:szCs w:val="24"/>
              </w:rPr>
              <w:t>district</w:t>
            </w:r>
            <w:r w:rsidRPr="00697FC4">
              <w:rPr>
                <w:rFonts w:ascii="Times New Roman" w:hAnsi="Times New Roman" w:cs="Times New Roman"/>
                <w:bCs/>
                <w:sz w:val="24"/>
                <w:szCs w:val="24"/>
              </w:rPr>
              <w:t xml:space="preserve"> does not have to receive funds under one of these programs in order to spend its Title II-A or IV-A funds on an allowable local activity under this program. </w:t>
            </w:r>
            <w:r w:rsidR="008B4B2F" w:rsidRPr="00697FC4">
              <w:rPr>
                <w:rFonts w:ascii="Times New Roman" w:hAnsi="Times New Roman" w:cs="Times New Roman"/>
                <w:bCs/>
                <w:sz w:val="24"/>
                <w:szCs w:val="24"/>
              </w:rPr>
              <w:t>For example, a</w:t>
            </w:r>
            <w:r w:rsidR="00B70D31">
              <w:rPr>
                <w:rFonts w:ascii="Times New Roman" w:hAnsi="Times New Roman" w:cs="Times New Roman"/>
                <w:bCs/>
                <w:sz w:val="24"/>
                <w:szCs w:val="24"/>
              </w:rPr>
              <w:t xml:space="preserve"> district</w:t>
            </w:r>
            <w:r w:rsidR="00B70D31" w:rsidRPr="00697FC4">
              <w:rPr>
                <w:rFonts w:ascii="Times New Roman" w:hAnsi="Times New Roman" w:cs="Times New Roman"/>
                <w:bCs/>
                <w:sz w:val="24"/>
                <w:szCs w:val="24"/>
              </w:rPr>
              <w:t xml:space="preserve"> </w:t>
            </w:r>
            <w:r w:rsidR="008B4B2F" w:rsidRPr="00697FC4">
              <w:rPr>
                <w:rFonts w:ascii="Times New Roman" w:hAnsi="Times New Roman" w:cs="Times New Roman"/>
                <w:bCs/>
                <w:sz w:val="24"/>
                <w:szCs w:val="24"/>
              </w:rPr>
              <w:t>exercising AFUA that does not receive funds under Part A of Title I may nonetheless use its formula Title II-A or IV-A funds for Title I-</w:t>
            </w:r>
            <w:proofErr w:type="gramStart"/>
            <w:r w:rsidR="008B4B2F" w:rsidRPr="00697FC4">
              <w:rPr>
                <w:rFonts w:ascii="Times New Roman" w:hAnsi="Times New Roman" w:cs="Times New Roman"/>
                <w:bCs/>
                <w:sz w:val="24"/>
                <w:szCs w:val="24"/>
              </w:rPr>
              <w:t>A</w:t>
            </w:r>
            <w:proofErr w:type="gramEnd"/>
            <w:r w:rsidR="008B4B2F" w:rsidRPr="00697FC4">
              <w:rPr>
                <w:rFonts w:ascii="Times New Roman" w:hAnsi="Times New Roman" w:cs="Times New Roman"/>
                <w:bCs/>
                <w:sz w:val="24"/>
                <w:szCs w:val="24"/>
              </w:rPr>
              <w:t xml:space="preserve"> activities.</w:t>
            </w:r>
          </w:p>
          <w:p w14:paraId="5C00FAC9" w14:textId="05766C22" w:rsidR="00BF2CF6" w:rsidRPr="00697FC4" w:rsidRDefault="00BF2CF6" w:rsidP="00F61BC8">
            <w:pPr>
              <w:rPr>
                <w:rFonts w:ascii="Times New Roman" w:hAnsi="Times New Roman" w:cs="Times New Roman"/>
                <w:sz w:val="24"/>
                <w:szCs w:val="24"/>
                <w:u w:val="single"/>
              </w:rPr>
            </w:pPr>
          </w:p>
        </w:tc>
        <w:tc>
          <w:tcPr>
            <w:tcW w:w="5886" w:type="dxa"/>
          </w:tcPr>
          <w:p w14:paraId="2CA1D01B" w14:textId="7D534E18" w:rsidR="008B4B2F" w:rsidRPr="00697FC4" w:rsidRDefault="00FF1E22" w:rsidP="00B70D31">
            <w:pPr>
              <w:rPr>
                <w:rFonts w:ascii="Times New Roman" w:hAnsi="Times New Roman" w:cs="Times New Roman"/>
                <w:sz w:val="24"/>
                <w:szCs w:val="24"/>
                <w:u w:val="single"/>
              </w:rPr>
            </w:pPr>
            <w:r w:rsidRPr="00697FC4">
              <w:rPr>
                <w:rFonts w:ascii="Times New Roman" w:hAnsi="Times New Roman" w:cs="Times New Roman"/>
                <w:sz w:val="24"/>
                <w:szCs w:val="24"/>
                <w:u w:val="single"/>
              </w:rPr>
              <w:t>Yes</w:t>
            </w:r>
            <w:r w:rsidRPr="00697FC4">
              <w:rPr>
                <w:rFonts w:ascii="Times New Roman" w:hAnsi="Times New Roman" w:cs="Times New Roman"/>
                <w:sz w:val="24"/>
                <w:szCs w:val="24"/>
              </w:rPr>
              <w:t>. A</w:t>
            </w:r>
            <w:r w:rsidR="00B70D31">
              <w:rPr>
                <w:rFonts w:ascii="Times New Roman" w:hAnsi="Times New Roman" w:cs="Times New Roman"/>
                <w:sz w:val="24"/>
                <w:szCs w:val="24"/>
              </w:rPr>
              <w:t xml:space="preserve"> district</w:t>
            </w:r>
            <w:r w:rsidRPr="00697FC4">
              <w:rPr>
                <w:rFonts w:ascii="Times New Roman" w:hAnsi="Times New Roman" w:cs="Times New Roman"/>
                <w:sz w:val="24"/>
                <w:szCs w:val="24"/>
              </w:rPr>
              <w:t xml:space="preserve"> must receive an allocation in a particular fiscal year in order to transfer its Title II-A or IV-A funds into that program. </w:t>
            </w:r>
            <w:r w:rsidR="008B4B2F" w:rsidRPr="00697FC4">
              <w:rPr>
                <w:rFonts w:ascii="Times New Roman" w:hAnsi="Times New Roman" w:cs="Times New Roman"/>
                <w:sz w:val="24"/>
                <w:szCs w:val="24"/>
              </w:rPr>
              <w:t xml:space="preserve">For example, only </w:t>
            </w:r>
            <w:r w:rsidR="00B70D31">
              <w:rPr>
                <w:rFonts w:ascii="Times New Roman" w:hAnsi="Times New Roman" w:cs="Times New Roman"/>
                <w:sz w:val="24"/>
                <w:szCs w:val="24"/>
              </w:rPr>
              <w:t>district</w:t>
            </w:r>
            <w:r w:rsidR="008B4B2F" w:rsidRPr="00697FC4">
              <w:rPr>
                <w:rFonts w:ascii="Times New Roman" w:hAnsi="Times New Roman" w:cs="Times New Roman"/>
                <w:sz w:val="24"/>
                <w:szCs w:val="24"/>
              </w:rPr>
              <w:t>s that receive REAP funds (Title V, Part B) in a particular fiscal year may transfer funds into an SRSA or RLIS allocation in that fiscal year.</w:t>
            </w:r>
          </w:p>
        </w:tc>
      </w:tr>
      <w:tr w:rsidR="008B4B2F" w14:paraId="2C078DA4" w14:textId="77777777" w:rsidTr="00697FC4">
        <w:tc>
          <w:tcPr>
            <w:tcW w:w="2088" w:type="dxa"/>
          </w:tcPr>
          <w:p w14:paraId="210633F5" w14:textId="7C4DDE6B" w:rsidR="008B4B2F" w:rsidRPr="00697FC4" w:rsidRDefault="008B4B2F" w:rsidP="00B70D31">
            <w:pPr>
              <w:pStyle w:val="ListParagraph"/>
              <w:numPr>
                <w:ilvl w:val="0"/>
                <w:numId w:val="29"/>
              </w:numPr>
              <w:rPr>
                <w:rFonts w:ascii="Times New Roman" w:hAnsi="Times New Roman" w:cs="Times New Roman"/>
                <w:b/>
                <w:sz w:val="24"/>
                <w:szCs w:val="24"/>
              </w:rPr>
            </w:pPr>
            <w:r w:rsidRPr="00697FC4">
              <w:rPr>
                <w:rFonts w:ascii="Times New Roman" w:hAnsi="Times New Roman" w:cs="Times New Roman"/>
                <w:b/>
                <w:sz w:val="24"/>
                <w:szCs w:val="24"/>
              </w:rPr>
              <w:t xml:space="preserve">What are </w:t>
            </w:r>
            <w:proofErr w:type="gramStart"/>
            <w:r w:rsidRPr="00697FC4">
              <w:rPr>
                <w:rFonts w:ascii="Times New Roman" w:hAnsi="Times New Roman" w:cs="Times New Roman"/>
                <w:b/>
                <w:sz w:val="24"/>
                <w:szCs w:val="24"/>
              </w:rPr>
              <w:t>a</w:t>
            </w:r>
            <w:r w:rsidR="00B70D31">
              <w:rPr>
                <w:rFonts w:ascii="Times New Roman" w:hAnsi="Times New Roman" w:cs="Times New Roman"/>
                <w:b/>
                <w:sz w:val="24"/>
                <w:szCs w:val="24"/>
              </w:rPr>
              <w:t xml:space="preserve"> districts</w:t>
            </w:r>
            <w:proofErr w:type="gramEnd"/>
            <w:r w:rsidR="00B70D31">
              <w:rPr>
                <w:rFonts w:ascii="Times New Roman" w:hAnsi="Times New Roman" w:cs="Times New Roman"/>
                <w:b/>
                <w:sz w:val="24"/>
                <w:szCs w:val="24"/>
              </w:rPr>
              <w:t xml:space="preserve"> </w:t>
            </w:r>
            <w:r w:rsidRPr="00697FC4">
              <w:rPr>
                <w:rFonts w:ascii="Times New Roman" w:hAnsi="Times New Roman" w:cs="Times New Roman"/>
                <w:b/>
                <w:sz w:val="24"/>
                <w:szCs w:val="24"/>
              </w:rPr>
              <w:t>responsibilities for providing equitable services under this authority?</w:t>
            </w:r>
          </w:p>
        </w:tc>
        <w:tc>
          <w:tcPr>
            <w:tcW w:w="5202" w:type="dxa"/>
          </w:tcPr>
          <w:p w14:paraId="06040018" w14:textId="1975609C" w:rsidR="008B4B2F" w:rsidRPr="00697FC4" w:rsidRDefault="00B70D31" w:rsidP="00F61BC8">
            <w:pPr>
              <w:rPr>
                <w:rFonts w:ascii="Times New Roman" w:hAnsi="Times New Roman" w:cs="Times New Roman"/>
                <w:sz w:val="24"/>
                <w:szCs w:val="24"/>
              </w:rPr>
            </w:pPr>
            <w:r>
              <w:rPr>
                <w:rFonts w:ascii="Times New Roman" w:hAnsi="Times New Roman" w:cs="Times New Roman"/>
                <w:sz w:val="24"/>
                <w:szCs w:val="24"/>
                <w:u w:val="single"/>
              </w:rPr>
              <w:t>Districts</w:t>
            </w:r>
            <w:r w:rsidR="00FF1E22" w:rsidRPr="00697FC4">
              <w:rPr>
                <w:rFonts w:ascii="Times New Roman" w:hAnsi="Times New Roman" w:cs="Times New Roman"/>
                <w:sz w:val="24"/>
                <w:szCs w:val="24"/>
                <w:u w:val="single"/>
              </w:rPr>
              <w:t xml:space="preserve"> must provide equitable services relative to Titles II-A and IV-A funds</w:t>
            </w:r>
            <w:r w:rsidR="00FF1E22" w:rsidRPr="00697FC4">
              <w:rPr>
                <w:rFonts w:ascii="Times New Roman" w:hAnsi="Times New Roman" w:cs="Times New Roman"/>
                <w:sz w:val="24"/>
                <w:szCs w:val="24"/>
              </w:rPr>
              <w:t>. Participation in AFUA does not relieve a</w:t>
            </w:r>
            <w:r>
              <w:rPr>
                <w:rFonts w:ascii="Times New Roman" w:hAnsi="Times New Roman" w:cs="Times New Roman"/>
                <w:sz w:val="24"/>
                <w:szCs w:val="24"/>
              </w:rPr>
              <w:t xml:space="preserve"> district</w:t>
            </w:r>
            <w:r w:rsidR="00FF1E22" w:rsidRPr="00697FC4">
              <w:rPr>
                <w:rFonts w:ascii="Times New Roman" w:hAnsi="Times New Roman" w:cs="Times New Roman"/>
                <w:sz w:val="24"/>
                <w:szCs w:val="24"/>
              </w:rPr>
              <w:t xml:space="preserve"> of its responsibility to provide for equitable services for private school students and teachers relative to its Title II-A and IV-A funds. </w:t>
            </w:r>
            <w:r w:rsidR="008B4B2F" w:rsidRPr="00697FC4">
              <w:rPr>
                <w:rFonts w:ascii="Times New Roman" w:hAnsi="Times New Roman" w:cs="Times New Roman"/>
                <w:sz w:val="24"/>
                <w:szCs w:val="24"/>
              </w:rPr>
              <w:t>A</w:t>
            </w:r>
            <w:r>
              <w:rPr>
                <w:rFonts w:ascii="Times New Roman" w:hAnsi="Times New Roman" w:cs="Times New Roman"/>
                <w:sz w:val="24"/>
                <w:szCs w:val="24"/>
              </w:rPr>
              <w:t xml:space="preserve"> district</w:t>
            </w:r>
            <w:r w:rsidR="008B4B2F" w:rsidRPr="00697FC4">
              <w:rPr>
                <w:rFonts w:ascii="Times New Roman" w:hAnsi="Times New Roman" w:cs="Times New Roman"/>
                <w:sz w:val="24"/>
                <w:szCs w:val="24"/>
              </w:rPr>
              <w:t xml:space="preserve"> participating in AFUA with its Title II-A and</w:t>
            </w:r>
            <w:r w:rsidR="008A6852">
              <w:rPr>
                <w:rFonts w:ascii="Times New Roman" w:hAnsi="Times New Roman" w:cs="Times New Roman"/>
                <w:sz w:val="24"/>
                <w:szCs w:val="24"/>
              </w:rPr>
              <w:t>/or IV-A funds must</w:t>
            </w:r>
            <w:r w:rsidR="008B4B2F" w:rsidRPr="00697FC4">
              <w:rPr>
                <w:rFonts w:ascii="Times New Roman" w:hAnsi="Times New Roman" w:cs="Times New Roman"/>
                <w:sz w:val="24"/>
                <w:szCs w:val="24"/>
              </w:rPr>
              <w:t xml:space="preserve"> reserve for the benefit of private school students and teach</w:t>
            </w:r>
            <w:r w:rsidR="00D67574">
              <w:rPr>
                <w:rFonts w:ascii="Times New Roman" w:hAnsi="Times New Roman" w:cs="Times New Roman"/>
                <w:sz w:val="24"/>
                <w:szCs w:val="24"/>
              </w:rPr>
              <w:t>ers the proportion of its Title</w:t>
            </w:r>
            <w:r w:rsidR="008B4B2F" w:rsidRPr="00697FC4">
              <w:rPr>
                <w:rFonts w:ascii="Times New Roman" w:hAnsi="Times New Roman" w:cs="Times New Roman"/>
                <w:sz w:val="24"/>
                <w:szCs w:val="24"/>
              </w:rPr>
              <w:t xml:space="preserve"> II-A and IV-A funds that is</w:t>
            </w:r>
            <w:r w:rsidR="008A6852">
              <w:rPr>
                <w:rFonts w:ascii="Times New Roman" w:hAnsi="Times New Roman" w:cs="Times New Roman"/>
                <w:sz w:val="24"/>
                <w:szCs w:val="24"/>
              </w:rPr>
              <w:t xml:space="preserve"> equal to the expenditures (including those under AFUA authority) for the public school program, taking into account the number and educational needs of the children to be served. </w:t>
            </w:r>
          </w:p>
          <w:p w14:paraId="62845423" w14:textId="77777777" w:rsidR="008B4B2F" w:rsidRPr="00697FC4" w:rsidRDefault="008B4B2F" w:rsidP="00F61BC8">
            <w:pPr>
              <w:rPr>
                <w:rFonts w:ascii="Times New Roman" w:hAnsi="Times New Roman" w:cs="Times New Roman"/>
                <w:sz w:val="24"/>
                <w:szCs w:val="24"/>
              </w:rPr>
            </w:pPr>
          </w:p>
          <w:p w14:paraId="099C9E22" w14:textId="1F9C69FE" w:rsidR="008B4B2F" w:rsidRPr="00697FC4" w:rsidRDefault="00FF1E22" w:rsidP="00F61BC8">
            <w:pPr>
              <w:rPr>
                <w:rFonts w:ascii="Times New Roman" w:hAnsi="Times New Roman" w:cs="Times New Roman"/>
                <w:sz w:val="24"/>
                <w:szCs w:val="24"/>
              </w:rPr>
            </w:pPr>
            <w:r w:rsidRPr="00697FC4">
              <w:rPr>
                <w:rFonts w:ascii="Times New Roman" w:hAnsi="Times New Roman" w:cs="Times New Roman"/>
                <w:sz w:val="24"/>
                <w:szCs w:val="24"/>
              </w:rPr>
              <w:t>After timely and meaningful consultation with private school officials (</w:t>
            </w:r>
            <w:r w:rsidRPr="008A6852">
              <w:rPr>
                <w:i/>
              </w:rPr>
              <w:t>see</w:t>
            </w:r>
            <w:r w:rsidRPr="00697FC4">
              <w:rPr>
                <w:rFonts w:ascii="Times New Roman" w:hAnsi="Times New Roman" w:cs="Times New Roman"/>
                <w:sz w:val="24"/>
                <w:szCs w:val="24"/>
              </w:rPr>
              <w:t xml:space="preserve"> ESEA section 8501(c)), a</w:t>
            </w:r>
            <w:r w:rsidR="00B70D31">
              <w:rPr>
                <w:rFonts w:ascii="Times New Roman" w:hAnsi="Times New Roman" w:cs="Times New Roman"/>
                <w:sz w:val="24"/>
                <w:szCs w:val="24"/>
              </w:rPr>
              <w:t xml:space="preserve"> district</w:t>
            </w:r>
            <w:r w:rsidRPr="00697FC4">
              <w:rPr>
                <w:rFonts w:ascii="Times New Roman" w:hAnsi="Times New Roman" w:cs="Times New Roman"/>
                <w:sz w:val="24"/>
                <w:szCs w:val="24"/>
              </w:rPr>
              <w:t xml:space="preserve"> exercising AFUA determines how the reserved funds will be expended for the benefit of private school students and teachers. </w:t>
            </w:r>
            <w:r w:rsidR="008B4B2F" w:rsidRPr="00697FC4">
              <w:rPr>
                <w:rFonts w:ascii="Times New Roman" w:hAnsi="Times New Roman" w:cs="Times New Roman"/>
                <w:sz w:val="24"/>
                <w:szCs w:val="24"/>
              </w:rPr>
              <w:t>A</w:t>
            </w:r>
            <w:r w:rsidR="00B70D31">
              <w:rPr>
                <w:rFonts w:ascii="Times New Roman" w:hAnsi="Times New Roman" w:cs="Times New Roman"/>
                <w:sz w:val="24"/>
                <w:szCs w:val="24"/>
              </w:rPr>
              <w:t xml:space="preserve"> district</w:t>
            </w:r>
            <w:r w:rsidR="00C74D75">
              <w:rPr>
                <w:rFonts w:ascii="Times New Roman" w:hAnsi="Times New Roman" w:cs="Times New Roman"/>
                <w:sz w:val="24"/>
                <w:szCs w:val="24"/>
              </w:rPr>
              <w:t xml:space="preserve"> may exercise AFUA with the respect to</w:t>
            </w:r>
            <w:r w:rsidR="008B4B2F" w:rsidRPr="00697FC4">
              <w:rPr>
                <w:rFonts w:ascii="Times New Roman" w:hAnsi="Times New Roman" w:cs="Times New Roman"/>
                <w:sz w:val="24"/>
                <w:szCs w:val="24"/>
              </w:rPr>
              <w:t xml:space="preserve"> the reserved funds to use those funds on local activities under the ESEA programs listed in Question 4 for the benefit of private school students and teachers.  </w:t>
            </w:r>
          </w:p>
          <w:p w14:paraId="586B228A" w14:textId="77777777" w:rsidR="008B4B2F" w:rsidRPr="00697FC4" w:rsidRDefault="008B4B2F" w:rsidP="00F61BC8">
            <w:pPr>
              <w:rPr>
                <w:rFonts w:ascii="Times New Roman" w:hAnsi="Times New Roman" w:cs="Times New Roman"/>
                <w:sz w:val="24"/>
                <w:szCs w:val="24"/>
              </w:rPr>
            </w:pPr>
          </w:p>
          <w:p w14:paraId="2118FE12" w14:textId="509FB5BA" w:rsidR="008B4B2F" w:rsidRPr="00697FC4" w:rsidRDefault="008B4B2F" w:rsidP="00F61BC8">
            <w:pPr>
              <w:pStyle w:val="Footer"/>
              <w:rPr>
                <w:rFonts w:ascii="Times New Roman" w:hAnsi="Times New Roman" w:cs="Times New Roman"/>
                <w:sz w:val="24"/>
                <w:szCs w:val="24"/>
              </w:rPr>
            </w:pPr>
            <w:r w:rsidRPr="00697FC4">
              <w:rPr>
                <w:rFonts w:ascii="Times New Roman" w:hAnsi="Times New Roman" w:cs="Times New Roman"/>
                <w:sz w:val="24"/>
                <w:szCs w:val="24"/>
              </w:rPr>
              <w:lastRenderedPageBreak/>
              <w:t>Funds for private school students and teachers need not be expended under the same programs as funds for public school students and teachers and should serve to meet the needs of the private school students and teachers. For example, a</w:t>
            </w:r>
            <w:r w:rsidR="00B70D31">
              <w:rPr>
                <w:rFonts w:ascii="Times New Roman" w:hAnsi="Times New Roman" w:cs="Times New Roman"/>
                <w:sz w:val="24"/>
                <w:szCs w:val="24"/>
              </w:rPr>
              <w:t xml:space="preserve"> district</w:t>
            </w:r>
            <w:r w:rsidRPr="00697FC4">
              <w:rPr>
                <w:rFonts w:ascii="Times New Roman" w:hAnsi="Times New Roman" w:cs="Times New Roman"/>
                <w:sz w:val="24"/>
                <w:szCs w:val="24"/>
              </w:rPr>
              <w:t xml:space="preserve"> exercising AFUA may use its Titles II-A and IV-A funds for school improvement activities for public schools under Title I-A, but use the Title II-A and IV-A funds reserved for the benefit of private schools for professional development for private school teachers under Title II-A.   </w:t>
            </w:r>
          </w:p>
          <w:p w14:paraId="56D7CEA1" w14:textId="77777777" w:rsidR="008B4B2F" w:rsidRPr="00697FC4" w:rsidRDefault="008B4B2F" w:rsidP="00F61BC8">
            <w:pPr>
              <w:pStyle w:val="Footer"/>
              <w:rPr>
                <w:rFonts w:ascii="Times New Roman" w:hAnsi="Times New Roman" w:cs="Times New Roman"/>
                <w:sz w:val="24"/>
                <w:szCs w:val="24"/>
              </w:rPr>
            </w:pPr>
          </w:p>
          <w:p w14:paraId="301EEB61" w14:textId="77777777" w:rsidR="008B4B2F" w:rsidRPr="00697FC4" w:rsidRDefault="008B4B2F" w:rsidP="00F61BC8">
            <w:pPr>
              <w:rPr>
                <w:rFonts w:ascii="Times New Roman" w:hAnsi="Times New Roman" w:cs="Times New Roman"/>
                <w:sz w:val="24"/>
                <w:szCs w:val="24"/>
              </w:rPr>
            </w:pPr>
            <w:r w:rsidRPr="00697FC4">
              <w:rPr>
                <w:rFonts w:ascii="Times New Roman" w:hAnsi="Times New Roman" w:cs="Times New Roman"/>
                <w:sz w:val="24"/>
                <w:szCs w:val="24"/>
              </w:rPr>
              <w:t xml:space="preserve">For more information about equitable services, please see the guidance documents </w:t>
            </w:r>
            <w:r w:rsidRPr="00697FC4">
              <w:rPr>
                <w:rFonts w:ascii="Times New Roman" w:hAnsi="Times New Roman" w:cs="Times New Roman"/>
                <w:i/>
                <w:sz w:val="24"/>
                <w:szCs w:val="24"/>
              </w:rPr>
              <w:t>Fiscal Changes and Equitable Services Requirements under the ESEA, as amended by ESSA</w:t>
            </w:r>
            <w:r w:rsidRPr="00697FC4">
              <w:rPr>
                <w:rFonts w:ascii="Times New Roman" w:hAnsi="Times New Roman" w:cs="Times New Roman"/>
                <w:sz w:val="24"/>
                <w:szCs w:val="24"/>
              </w:rPr>
              <w:t xml:space="preserve"> (issued 2016, section V on Equitable Services) [available at https://www2.ed.gov/policy/elsec/leg/essa/essaguidance160477.pdf] and </w:t>
            </w:r>
            <w:r w:rsidRPr="00697FC4">
              <w:rPr>
                <w:rFonts w:ascii="Times New Roman" w:hAnsi="Times New Roman" w:cs="Times New Roman"/>
                <w:i/>
                <w:sz w:val="24"/>
                <w:szCs w:val="24"/>
              </w:rPr>
              <w:t>Title IX, Part E Uniform Provisions, Subpart 1 – Private Schools</w:t>
            </w:r>
            <w:r w:rsidRPr="00697FC4">
              <w:rPr>
                <w:rFonts w:ascii="Times New Roman" w:hAnsi="Times New Roman" w:cs="Times New Roman"/>
                <w:sz w:val="24"/>
                <w:szCs w:val="24"/>
              </w:rPr>
              <w:t xml:space="preserve"> (revised 2009) [available at http://www2.ed.gov/policy/elsec/guid/equitableserguidance.doc].</w:t>
            </w:r>
          </w:p>
        </w:tc>
        <w:tc>
          <w:tcPr>
            <w:tcW w:w="5886" w:type="dxa"/>
          </w:tcPr>
          <w:p w14:paraId="2D38A981" w14:textId="1A05C789" w:rsidR="008B4B2F" w:rsidRPr="00697FC4" w:rsidRDefault="00B70D31" w:rsidP="00F61BC8">
            <w:pPr>
              <w:rPr>
                <w:rFonts w:ascii="Times New Roman" w:hAnsi="Times New Roman" w:cs="Times New Roman"/>
                <w:sz w:val="24"/>
                <w:szCs w:val="24"/>
              </w:rPr>
            </w:pPr>
            <w:r>
              <w:rPr>
                <w:rFonts w:ascii="Times New Roman" w:hAnsi="Times New Roman" w:cs="Times New Roman"/>
                <w:sz w:val="24"/>
                <w:szCs w:val="24"/>
                <w:u w:val="single"/>
              </w:rPr>
              <w:lastRenderedPageBreak/>
              <w:t>Districts</w:t>
            </w:r>
            <w:r w:rsidR="00FF1E22" w:rsidRPr="00697FC4">
              <w:rPr>
                <w:rFonts w:ascii="Times New Roman" w:hAnsi="Times New Roman" w:cs="Times New Roman"/>
                <w:sz w:val="24"/>
                <w:szCs w:val="24"/>
                <w:u w:val="single"/>
              </w:rPr>
              <w:t xml:space="preserve"> must provide equitable services based on funds remaining after transfer</w:t>
            </w:r>
            <w:r w:rsidR="00FF1E22" w:rsidRPr="00697FC4">
              <w:rPr>
                <w:rFonts w:ascii="Times New Roman" w:hAnsi="Times New Roman" w:cs="Times New Roman"/>
                <w:sz w:val="24"/>
                <w:szCs w:val="24"/>
              </w:rPr>
              <w:t>. A</w:t>
            </w:r>
            <w:r>
              <w:rPr>
                <w:rFonts w:ascii="Times New Roman" w:hAnsi="Times New Roman" w:cs="Times New Roman"/>
                <w:sz w:val="24"/>
                <w:szCs w:val="24"/>
              </w:rPr>
              <w:t xml:space="preserve"> district</w:t>
            </w:r>
            <w:r w:rsidR="00FF1E22" w:rsidRPr="00697FC4">
              <w:rPr>
                <w:rFonts w:ascii="Times New Roman" w:hAnsi="Times New Roman" w:cs="Times New Roman"/>
                <w:sz w:val="24"/>
                <w:szCs w:val="24"/>
              </w:rPr>
              <w:t xml:space="preserve"> must provide private school students and teachers equitable services under the program(s) to which, and from which, the funds are transferred based on the total amount of funds available to e</w:t>
            </w:r>
            <w:r w:rsidR="008A6852">
              <w:rPr>
                <w:rFonts w:ascii="Times New Roman" w:hAnsi="Times New Roman" w:cs="Times New Roman"/>
                <w:sz w:val="24"/>
                <w:szCs w:val="24"/>
              </w:rPr>
              <w:t xml:space="preserve">ach program after the transfer. </w:t>
            </w:r>
            <w:r w:rsidR="008B4B2F" w:rsidRPr="00697FC4">
              <w:rPr>
                <w:rFonts w:ascii="Times New Roman" w:hAnsi="Times New Roman" w:cs="Times New Roman"/>
                <w:sz w:val="24"/>
                <w:szCs w:val="24"/>
              </w:rPr>
              <w:t>A</w:t>
            </w:r>
            <w:r>
              <w:rPr>
                <w:rFonts w:ascii="Times New Roman" w:hAnsi="Times New Roman" w:cs="Times New Roman"/>
                <w:sz w:val="24"/>
                <w:szCs w:val="24"/>
              </w:rPr>
              <w:t xml:space="preserve"> district</w:t>
            </w:r>
            <w:r w:rsidR="008B4B2F" w:rsidRPr="00697FC4">
              <w:rPr>
                <w:rFonts w:ascii="Times New Roman" w:hAnsi="Times New Roman" w:cs="Times New Roman"/>
                <w:sz w:val="24"/>
                <w:szCs w:val="24"/>
              </w:rPr>
              <w:t xml:space="preserve"> may not </w:t>
            </w:r>
            <w:proofErr w:type="gramStart"/>
            <w:r w:rsidR="008B4B2F" w:rsidRPr="00697FC4">
              <w:rPr>
                <w:rFonts w:ascii="Times New Roman" w:hAnsi="Times New Roman" w:cs="Times New Roman"/>
                <w:sz w:val="24"/>
                <w:szCs w:val="24"/>
              </w:rPr>
              <w:t>reserve  Title</w:t>
            </w:r>
            <w:proofErr w:type="gramEnd"/>
            <w:r w:rsidR="008B4B2F" w:rsidRPr="00697FC4">
              <w:rPr>
                <w:rFonts w:ascii="Times New Roman" w:hAnsi="Times New Roman" w:cs="Times New Roman"/>
                <w:sz w:val="24"/>
                <w:szCs w:val="24"/>
              </w:rPr>
              <w:t xml:space="preserve"> II-A or IV-A </w:t>
            </w:r>
            <w:r w:rsidR="00D67574">
              <w:rPr>
                <w:rFonts w:ascii="Times New Roman" w:hAnsi="Times New Roman" w:cs="Times New Roman"/>
                <w:sz w:val="24"/>
                <w:szCs w:val="24"/>
              </w:rPr>
              <w:t xml:space="preserve">funds </w:t>
            </w:r>
            <w:r w:rsidR="008B4B2F" w:rsidRPr="00697FC4">
              <w:rPr>
                <w:rFonts w:ascii="Times New Roman" w:hAnsi="Times New Roman" w:cs="Times New Roman"/>
                <w:sz w:val="24"/>
                <w:szCs w:val="24"/>
              </w:rPr>
              <w:t xml:space="preserve">solely to provide equitable services. </w:t>
            </w:r>
          </w:p>
          <w:p w14:paraId="71CB755B" w14:textId="77777777" w:rsidR="008B4B2F" w:rsidRPr="00697FC4" w:rsidRDefault="008B4B2F" w:rsidP="00F61BC8">
            <w:pPr>
              <w:rPr>
                <w:rFonts w:ascii="Times New Roman" w:hAnsi="Times New Roman" w:cs="Times New Roman"/>
                <w:sz w:val="24"/>
                <w:szCs w:val="24"/>
              </w:rPr>
            </w:pPr>
          </w:p>
          <w:p w14:paraId="25620671" w14:textId="17B48F04" w:rsidR="008B4B2F" w:rsidRPr="00697FC4" w:rsidRDefault="00FF1E22" w:rsidP="00F61BC8">
            <w:pPr>
              <w:rPr>
                <w:rFonts w:ascii="Times New Roman" w:hAnsi="Times New Roman" w:cs="Times New Roman"/>
                <w:sz w:val="24"/>
                <w:szCs w:val="24"/>
              </w:rPr>
            </w:pPr>
            <w:r w:rsidRPr="00697FC4">
              <w:rPr>
                <w:rFonts w:ascii="Times New Roman" w:hAnsi="Times New Roman" w:cs="Times New Roman"/>
                <w:sz w:val="24"/>
                <w:szCs w:val="24"/>
              </w:rPr>
              <w:t>Please note that a</w:t>
            </w:r>
            <w:r w:rsidR="00B70D31">
              <w:rPr>
                <w:rFonts w:ascii="Times New Roman" w:hAnsi="Times New Roman" w:cs="Times New Roman"/>
                <w:sz w:val="24"/>
                <w:szCs w:val="24"/>
              </w:rPr>
              <w:t xml:space="preserve"> district</w:t>
            </w:r>
            <w:r w:rsidRPr="00697FC4">
              <w:rPr>
                <w:rFonts w:ascii="Times New Roman" w:hAnsi="Times New Roman" w:cs="Times New Roman"/>
                <w:sz w:val="24"/>
                <w:szCs w:val="24"/>
              </w:rPr>
              <w:t xml:space="preserve"> must engage in timely and meaningful consultation with appropriate private school officials before transferring funds (ESEA section 5103(e</w:t>
            </w:r>
            <w:proofErr w:type="gramStart"/>
            <w:r w:rsidRPr="00697FC4">
              <w:rPr>
                <w:rFonts w:ascii="Times New Roman" w:hAnsi="Times New Roman" w:cs="Times New Roman"/>
                <w:sz w:val="24"/>
                <w:szCs w:val="24"/>
              </w:rPr>
              <w:t>)(</w:t>
            </w:r>
            <w:proofErr w:type="gramEnd"/>
            <w:r w:rsidRPr="00697FC4">
              <w:rPr>
                <w:rFonts w:ascii="Times New Roman" w:hAnsi="Times New Roman" w:cs="Times New Roman"/>
                <w:sz w:val="24"/>
                <w:szCs w:val="24"/>
              </w:rPr>
              <w:t>2)).</w:t>
            </w:r>
            <w:r w:rsidR="00045878">
              <w:rPr>
                <w:rFonts w:ascii="Times New Roman" w:hAnsi="Times New Roman" w:cs="Times New Roman"/>
                <w:sz w:val="24"/>
                <w:szCs w:val="24"/>
              </w:rPr>
              <w:t xml:space="preserve"> Per the Title VIII Uniform Provisions (ESEA section 8501) governing the equitable services requirements of Title II-</w:t>
            </w:r>
            <w:proofErr w:type="gramStart"/>
            <w:r w:rsidR="00045878">
              <w:rPr>
                <w:rFonts w:ascii="Times New Roman" w:hAnsi="Times New Roman" w:cs="Times New Roman"/>
                <w:sz w:val="24"/>
                <w:szCs w:val="24"/>
              </w:rPr>
              <w:t>A and</w:t>
            </w:r>
            <w:proofErr w:type="gramEnd"/>
            <w:r w:rsidR="00045878">
              <w:rPr>
                <w:rFonts w:ascii="Times New Roman" w:hAnsi="Times New Roman" w:cs="Times New Roman"/>
                <w:sz w:val="24"/>
                <w:szCs w:val="24"/>
              </w:rPr>
              <w:t xml:space="preserve"> Title IV-A, the goal of consultation is agreement and the </w:t>
            </w:r>
            <w:r w:rsidR="00B70D31">
              <w:rPr>
                <w:rFonts w:ascii="Times New Roman" w:hAnsi="Times New Roman" w:cs="Times New Roman"/>
                <w:sz w:val="24"/>
                <w:szCs w:val="24"/>
              </w:rPr>
              <w:t>district</w:t>
            </w:r>
            <w:r w:rsidR="00045878">
              <w:rPr>
                <w:rFonts w:ascii="Times New Roman" w:hAnsi="Times New Roman" w:cs="Times New Roman"/>
                <w:sz w:val="24"/>
                <w:szCs w:val="24"/>
              </w:rPr>
              <w:t xml:space="preserve"> must give due consider</w:t>
            </w:r>
            <w:r w:rsidR="003451FB">
              <w:rPr>
                <w:rFonts w:ascii="Times New Roman" w:hAnsi="Times New Roman" w:cs="Times New Roman"/>
                <w:sz w:val="24"/>
                <w:szCs w:val="24"/>
              </w:rPr>
              <w:t>ation to the views of private school representatives.</w:t>
            </w:r>
            <w:r w:rsidRPr="00697FC4">
              <w:rPr>
                <w:rFonts w:ascii="Times New Roman" w:hAnsi="Times New Roman" w:cs="Times New Roman"/>
                <w:sz w:val="24"/>
                <w:szCs w:val="24"/>
              </w:rPr>
              <w:t xml:space="preserve"> </w:t>
            </w:r>
            <w:r w:rsidR="008B4B2F" w:rsidRPr="00697FC4">
              <w:rPr>
                <w:rFonts w:ascii="Times New Roman" w:hAnsi="Times New Roman" w:cs="Times New Roman"/>
                <w:sz w:val="24"/>
                <w:szCs w:val="24"/>
              </w:rPr>
              <w:t>For more information about</w:t>
            </w:r>
            <w:r w:rsidR="003451FB">
              <w:rPr>
                <w:rFonts w:ascii="Times New Roman" w:hAnsi="Times New Roman" w:cs="Times New Roman"/>
                <w:sz w:val="24"/>
                <w:szCs w:val="24"/>
              </w:rPr>
              <w:t xml:space="preserve"> programs subject to the </w:t>
            </w:r>
            <w:r w:rsidR="008B4B2F" w:rsidRPr="00697FC4">
              <w:rPr>
                <w:rFonts w:ascii="Times New Roman" w:hAnsi="Times New Roman" w:cs="Times New Roman"/>
                <w:sz w:val="24"/>
                <w:szCs w:val="24"/>
              </w:rPr>
              <w:t xml:space="preserve"> equitable services</w:t>
            </w:r>
            <w:r w:rsidR="003451FB">
              <w:rPr>
                <w:rFonts w:ascii="Times New Roman" w:hAnsi="Times New Roman" w:cs="Times New Roman"/>
                <w:sz w:val="24"/>
                <w:szCs w:val="24"/>
              </w:rPr>
              <w:t xml:space="preserve"> requirements</w:t>
            </w:r>
            <w:r w:rsidR="008B4B2F" w:rsidRPr="00697FC4">
              <w:rPr>
                <w:rFonts w:ascii="Times New Roman" w:hAnsi="Times New Roman" w:cs="Times New Roman"/>
                <w:sz w:val="24"/>
                <w:szCs w:val="24"/>
              </w:rPr>
              <w:t>, please see</w:t>
            </w:r>
            <w:r w:rsidR="003451FB">
              <w:rPr>
                <w:rFonts w:ascii="Times New Roman" w:hAnsi="Times New Roman" w:cs="Times New Roman"/>
                <w:sz w:val="24"/>
                <w:szCs w:val="24"/>
              </w:rPr>
              <w:t xml:space="preserve"> </w:t>
            </w:r>
            <w:r w:rsidR="003451FB">
              <w:rPr>
                <w:rFonts w:ascii="Times New Roman" w:hAnsi="Times New Roman" w:cs="Times New Roman"/>
                <w:i/>
                <w:sz w:val="24"/>
                <w:szCs w:val="24"/>
              </w:rPr>
              <w:t xml:space="preserve">Fiscal Changes and Equitable Services Requirements under the ESEA, as amended by ESSA </w:t>
            </w:r>
            <w:r w:rsidR="003451FB">
              <w:rPr>
                <w:rFonts w:ascii="Times New Roman" w:hAnsi="Times New Roman" w:cs="Times New Roman"/>
                <w:sz w:val="24"/>
                <w:szCs w:val="24"/>
              </w:rPr>
              <w:t xml:space="preserve">(issued 2016, section V on Equitable Services) [available at </w:t>
            </w:r>
            <w:hyperlink r:id="rId22" w:history="1">
              <w:r w:rsidR="003451FB" w:rsidRPr="006D2D8C">
                <w:rPr>
                  <w:rStyle w:val="Hyperlink"/>
                </w:rPr>
                <w:t>https://www2.ed.gov/policy/elsec/leg/essa/essaguidance160477.pdf</w:t>
              </w:r>
            </w:hyperlink>
            <w:r w:rsidR="003451FB">
              <w:rPr>
                <w:rFonts w:ascii="Times New Roman" w:hAnsi="Times New Roman" w:cs="Times New Roman"/>
                <w:sz w:val="24"/>
                <w:szCs w:val="24"/>
              </w:rPr>
              <w:t xml:space="preserve">] and </w:t>
            </w:r>
            <w:r w:rsidR="003451FB">
              <w:rPr>
                <w:rFonts w:ascii="Times New Roman" w:hAnsi="Times New Roman" w:cs="Times New Roman"/>
                <w:i/>
                <w:sz w:val="24"/>
                <w:szCs w:val="24"/>
              </w:rPr>
              <w:t xml:space="preserve">Title IX, Part E Uniform Provisions, Subpart 1 </w:t>
            </w:r>
            <w:r w:rsidR="003451FB">
              <w:rPr>
                <w:rFonts w:ascii="Times New Roman" w:hAnsi="Times New Roman" w:cs="Times New Roman"/>
                <w:i/>
                <w:sz w:val="24"/>
                <w:szCs w:val="24"/>
              </w:rPr>
              <w:lastRenderedPageBreak/>
              <w:t xml:space="preserve">– Private Schools </w:t>
            </w:r>
            <w:r w:rsidR="003451FB">
              <w:rPr>
                <w:rFonts w:ascii="Times New Roman" w:hAnsi="Times New Roman" w:cs="Times New Roman"/>
                <w:sz w:val="24"/>
                <w:szCs w:val="24"/>
              </w:rPr>
              <w:t>(revised 2009) [available at http://www2.ed.gov/policy/elsec/guid/equitableserguidance.doc]</w:t>
            </w:r>
            <w:r w:rsidR="008B4B2F" w:rsidRPr="00697FC4">
              <w:rPr>
                <w:rFonts w:ascii="Times New Roman" w:hAnsi="Times New Roman" w:cs="Times New Roman"/>
                <w:sz w:val="24"/>
                <w:szCs w:val="24"/>
              </w:rPr>
              <w:t xml:space="preserve"> </w:t>
            </w:r>
          </w:p>
          <w:p w14:paraId="3C9DE38F" w14:textId="77777777" w:rsidR="008B4B2F" w:rsidRPr="00697FC4" w:rsidRDefault="008B4B2F" w:rsidP="00F61BC8">
            <w:pPr>
              <w:rPr>
                <w:rFonts w:ascii="Times New Roman" w:hAnsi="Times New Roman" w:cs="Times New Roman"/>
                <w:sz w:val="24"/>
                <w:szCs w:val="24"/>
              </w:rPr>
            </w:pPr>
          </w:p>
          <w:p w14:paraId="102FBBDF" w14:textId="10111CCB" w:rsidR="008B4B2F" w:rsidRPr="00697FC4" w:rsidRDefault="008B4B2F" w:rsidP="00F61BC8">
            <w:pPr>
              <w:rPr>
                <w:rFonts w:ascii="Times New Roman" w:hAnsi="Times New Roman" w:cs="Times New Roman"/>
                <w:sz w:val="24"/>
                <w:szCs w:val="24"/>
              </w:rPr>
            </w:pPr>
          </w:p>
          <w:p w14:paraId="1247021A" w14:textId="77777777" w:rsidR="008B4B2F" w:rsidRPr="00697FC4" w:rsidRDefault="008B4B2F" w:rsidP="00F61BC8">
            <w:pPr>
              <w:rPr>
                <w:rFonts w:ascii="Times New Roman" w:hAnsi="Times New Roman" w:cs="Times New Roman"/>
                <w:sz w:val="24"/>
                <w:szCs w:val="24"/>
              </w:rPr>
            </w:pPr>
          </w:p>
          <w:p w14:paraId="492859BD" w14:textId="77777777" w:rsidR="008B4B2F" w:rsidRPr="00697FC4" w:rsidRDefault="008B4B2F" w:rsidP="00F61BC8">
            <w:pPr>
              <w:rPr>
                <w:rFonts w:ascii="Times New Roman" w:hAnsi="Times New Roman" w:cs="Times New Roman"/>
                <w:sz w:val="24"/>
                <w:szCs w:val="24"/>
              </w:rPr>
            </w:pPr>
          </w:p>
        </w:tc>
      </w:tr>
      <w:tr w:rsidR="008B4B2F" w14:paraId="6F10E650" w14:textId="77777777" w:rsidTr="00697FC4">
        <w:tc>
          <w:tcPr>
            <w:tcW w:w="2088" w:type="dxa"/>
          </w:tcPr>
          <w:p w14:paraId="38D18839" w14:textId="72A9613C" w:rsidR="008B4B2F" w:rsidRPr="00697FC4" w:rsidRDefault="00B70D31" w:rsidP="008B4B2F">
            <w:pPr>
              <w:pStyle w:val="ListParagraph"/>
              <w:numPr>
                <w:ilvl w:val="0"/>
                <w:numId w:val="29"/>
              </w:numPr>
              <w:rPr>
                <w:rFonts w:ascii="Times New Roman" w:hAnsi="Times New Roman" w:cs="Times New Roman"/>
                <w:b/>
                <w:sz w:val="24"/>
                <w:szCs w:val="24"/>
              </w:rPr>
            </w:pPr>
            <w:r>
              <w:rPr>
                <w:rFonts w:ascii="Times New Roman" w:hAnsi="Times New Roman" w:cs="Times New Roman"/>
                <w:b/>
                <w:sz w:val="24"/>
                <w:szCs w:val="24"/>
              </w:rPr>
              <w:lastRenderedPageBreak/>
              <w:t>May district</w:t>
            </w:r>
            <w:r w:rsidR="000957C0">
              <w:rPr>
                <w:rFonts w:ascii="Times New Roman" w:hAnsi="Times New Roman" w:cs="Times New Roman"/>
                <w:b/>
                <w:sz w:val="24"/>
                <w:szCs w:val="24"/>
              </w:rPr>
              <w:t>s exercise this flexibility with respect to</w:t>
            </w:r>
            <w:r w:rsidR="008B4B2F" w:rsidRPr="00697FC4">
              <w:rPr>
                <w:rFonts w:ascii="Times New Roman" w:hAnsi="Times New Roman" w:cs="Times New Roman"/>
                <w:b/>
                <w:sz w:val="24"/>
                <w:szCs w:val="24"/>
              </w:rPr>
              <w:t xml:space="preserve"> their Title IV-A funds received through a competition? </w:t>
            </w:r>
          </w:p>
        </w:tc>
        <w:tc>
          <w:tcPr>
            <w:tcW w:w="5202" w:type="dxa"/>
          </w:tcPr>
          <w:p w14:paraId="5963BCA9" w14:textId="6AC485A5" w:rsidR="008B4B2F" w:rsidRPr="00B63B77" w:rsidRDefault="00FF1E22" w:rsidP="00F61BC8">
            <w:pPr>
              <w:pStyle w:val="BodyText"/>
              <w:spacing w:after="0"/>
              <w:rPr>
                <w:rFonts w:ascii="Times New Roman" w:hAnsi="Times New Roman" w:cs="Times New Roman"/>
                <w:sz w:val="24"/>
                <w:szCs w:val="24"/>
              </w:rPr>
            </w:pPr>
            <w:r w:rsidRPr="00B63B77">
              <w:rPr>
                <w:rFonts w:ascii="Times New Roman" w:hAnsi="Times New Roman" w:cs="Times New Roman"/>
                <w:sz w:val="24"/>
                <w:szCs w:val="24"/>
                <w:u w:val="single"/>
              </w:rPr>
              <w:t>It depends</w:t>
            </w:r>
            <w:r w:rsidRPr="00B63B77">
              <w:rPr>
                <w:rFonts w:ascii="Times New Roman" w:hAnsi="Times New Roman" w:cs="Times New Roman"/>
                <w:sz w:val="24"/>
                <w:szCs w:val="24"/>
              </w:rPr>
              <w:t xml:space="preserve">. </w:t>
            </w:r>
            <w:r w:rsidR="008B4B2F" w:rsidRPr="00B63B77">
              <w:rPr>
                <w:rFonts w:ascii="Times New Roman" w:hAnsi="Times New Roman" w:cs="Times New Roman"/>
                <w:sz w:val="24"/>
                <w:szCs w:val="24"/>
              </w:rPr>
              <w:t xml:space="preserve">If an SRSA-eligible </w:t>
            </w:r>
            <w:r w:rsidR="00B70D31">
              <w:rPr>
                <w:rFonts w:ascii="Times New Roman" w:hAnsi="Times New Roman" w:cs="Times New Roman"/>
                <w:sz w:val="24"/>
                <w:szCs w:val="24"/>
              </w:rPr>
              <w:t>district</w:t>
            </w:r>
            <w:r w:rsidR="008B4B2F" w:rsidRPr="00B63B77">
              <w:rPr>
                <w:rFonts w:ascii="Times New Roman" w:hAnsi="Times New Roman" w:cs="Times New Roman"/>
                <w:sz w:val="24"/>
                <w:szCs w:val="24"/>
              </w:rPr>
              <w:t xml:space="preserve"> that receives a competitive Title</w:t>
            </w:r>
            <w:r w:rsidR="000957C0">
              <w:rPr>
                <w:rFonts w:ascii="Times New Roman" w:hAnsi="Times New Roman" w:cs="Times New Roman"/>
                <w:sz w:val="24"/>
                <w:szCs w:val="24"/>
              </w:rPr>
              <w:t xml:space="preserve"> IV-A </w:t>
            </w:r>
            <w:proofErr w:type="spellStart"/>
            <w:r w:rsidR="000957C0">
              <w:rPr>
                <w:rFonts w:ascii="Times New Roman" w:hAnsi="Times New Roman" w:cs="Times New Roman"/>
                <w:sz w:val="24"/>
                <w:szCs w:val="24"/>
              </w:rPr>
              <w:t>subgrant</w:t>
            </w:r>
            <w:proofErr w:type="spellEnd"/>
            <w:r w:rsidR="000957C0">
              <w:rPr>
                <w:rFonts w:ascii="Times New Roman" w:hAnsi="Times New Roman" w:cs="Times New Roman"/>
                <w:sz w:val="24"/>
                <w:szCs w:val="24"/>
              </w:rPr>
              <w:t xml:space="preserve"> exercises AFUA with respect to</w:t>
            </w:r>
            <w:r w:rsidR="008B4B2F" w:rsidRPr="00B63B77">
              <w:rPr>
                <w:rFonts w:ascii="Times New Roman" w:hAnsi="Times New Roman" w:cs="Times New Roman"/>
                <w:sz w:val="24"/>
                <w:szCs w:val="24"/>
              </w:rPr>
              <w:t xml:space="preserve"> its Title IV-A funds, it must continue to carry out the scope and objectives, at a minimum, at the level described in the </w:t>
            </w:r>
            <w:r w:rsidR="00B70D31">
              <w:rPr>
                <w:rFonts w:ascii="Times New Roman" w:hAnsi="Times New Roman" w:cs="Times New Roman"/>
                <w:sz w:val="24"/>
                <w:szCs w:val="24"/>
              </w:rPr>
              <w:t xml:space="preserve">district’s </w:t>
            </w:r>
            <w:r w:rsidR="008B4B2F" w:rsidRPr="00B63B77">
              <w:rPr>
                <w:rFonts w:ascii="Times New Roman" w:hAnsi="Times New Roman" w:cs="Times New Roman"/>
                <w:sz w:val="24"/>
                <w:szCs w:val="24"/>
              </w:rPr>
              <w:t xml:space="preserve">approved application under Title IV-A. </w:t>
            </w:r>
            <w:r w:rsidRPr="00B63B77">
              <w:rPr>
                <w:rFonts w:ascii="Times New Roman" w:hAnsi="Times New Roman" w:cs="Times New Roman"/>
                <w:sz w:val="24"/>
                <w:szCs w:val="24"/>
              </w:rPr>
              <w:t xml:space="preserve">When possible, in applying for Title IV-A competitive grant funds, an SRSA-eligible </w:t>
            </w:r>
            <w:r w:rsidR="00B70D31">
              <w:rPr>
                <w:rFonts w:ascii="Times New Roman" w:hAnsi="Times New Roman" w:cs="Times New Roman"/>
                <w:sz w:val="24"/>
                <w:szCs w:val="24"/>
              </w:rPr>
              <w:t xml:space="preserve">district </w:t>
            </w:r>
            <w:r w:rsidRPr="00B63B77">
              <w:rPr>
                <w:rFonts w:ascii="Times New Roman" w:hAnsi="Times New Roman" w:cs="Times New Roman"/>
                <w:sz w:val="24"/>
                <w:szCs w:val="24"/>
              </w:rPr>
              <w:t xml:space="preserve">would indicate in its application that it intends to </w:t>
            </w:r>
            <w:r w:rsidR="000957C0">
              <w:rPr>
                <w:rFonts w:ascii="Times New Roman" w:hAnsi="Times New Roman" w:cs="Times New Roman"/>
                <w:sz w:val="24"/>
                <w:szCs w:val="24"/>
              </w:rPr>
              <w:t>exercise AFUA with respect to</w:t>
            </w:r>
            <w:r w:rsidRPr="00B63B77">
              <w:rPr>
                <w:rFonts w:ascii="Times New Roman" w:hAnsi="Times New Roman" w:cs="Times New Roman"/>
                <w:sz w:val="24"/>
                <w:szCs w:val="24"/>
              </w:rPr>
              <w:t xml:space="preserve"> some of its Title </w:t>
            </w:r>
            <w:r w:rsidRPr="00B63B77">
              <w:rPr>
                <w:rFonts w:ascii="Times New Roman" w:hAnsi="Times New Roman" w:cs="Times New Roman"/>
                <w:sz w:val="24"/>
                <w:szCs w:val="24"/>
              </w:rPr>
              <w:lastRenderedPageBreak/>
              <w:t>IV-A funds. </w:t>
            </w:r>
            <w:r w:rsidR="008B4B2F" w:rsidRPr="00B63B77">
              <w:rPr>
                <w:rFonts w:ascii="Times New Roman" w:hAnsi="Times New Roman" w:cs="Times New Roman"/>
                <w:sz w:val="24"/>
                <w:szCs w:val="24"/>
              </w:rPr>
              <w:t xml:space="preserve">If the SRSA-eligible </w:t>
            </w:r>
            <w:r w:rsidR="00B70D31">
              <w:rPr>
                <w:rFonts w:ascii="Times New Roman" w:hAnsi="Times New Roman" w:cs="Times New Roman"/>
                <w:sz w:val="24"/>
                <w:szCs w:val="24"/>
              </w:rPr>
              <w:t>district</w:t>
            </w:r>
            <w:r w:rsidR="008B4B2F" w:rsidRPr="00B63B77">
              <w:rPr>
                <w:rFonts w:ascii="Times New Roman" w:hAnsi="Times New Roman" w:cs="Times New Roman"/>
                <w:sz w:val="24"/>
                <w:szCs w:val="24"/>
              </w:rPr>
              <w:t xml:space="preserve"> is able to carry out the scope and objectives of its approved Title IV-</w:t>
            </w:r>
            <w:proofErr w:type="gramStart"/>
            <w:r w:rsidR="008B4B2F" w:rsidRPr="00B63B77">
              <w:rPr>
                <w:rFonts w:ascii="Times New Roman" w:hAnsi="Times New Roman" w:cs="Times New Roman"/>
                <w:sz w:val="24"/>
                <w:szCs w:val="24"/>
              </w:rPr>
              <w:t>A</w:t>
            </w:r>
            <w:proofErr w:type="gramEnd"/>
            <w:r w:rsidR="008B4B2F" w:rsidRPr="00B63B77">
              <w:rPr>
                <w:rFonts w:ascii="Times New Roman" w:hAnsi="Times New Roman" w:cs="Times New Roman"/>
                <w:sz w:val="24"/>
                <w:szCs w:val="24"/>
              </w:rPr>
              <w:t xml:space="preserve"> application, it</w:t>
            </w:r>
            <w:r w:rsidR="000957C0">
              <w:rPr>
                <w:rFonts w:ascii="Times New Roman" w:hAnsi="Times New Roman" w:cs="Times New Roman"/>
                <w:sz w:val="24"/>
                <w:szCs w:val="24"/>
              </w:rPr>
              <w:t xml:space="preserve"> may be able to exercise AFUA with respect to</w:t>
            </w:r>
            <w:r w:rsidR="008B4B2F" w:rsidRPr="00B63B77">
              <w:rPr>
                <w:rFonts w:ascii="Times New Roman" w:hAnsi="Times New Roman" w:cs="Times New Roman"/>
                <w:sz w:val="24"/>
                <w:szCs w:val="24"/>
              </w:rPr>
              <w:t xml:space="preserve"> some of its Title IV-A funds.</w:t>
            </w:r>
            <w:r w:rsidR="00731F7A" w:rsidRPr="00B63B77">
              <w:rPr>
                <w:rFonts w:ascii="Times New Roman" w:hAnsi="Times New Roman" w:cs="Times New Roman"/>
                <w:sz w:val="24"/>
                <w:szCs w:val="24"/>
              </w:rPr>
              <w:t xml:space="preserve"> The Department encourages </w:t>
            </w:r>
            <w:r w:rsidR="00B70D31">
              <w:rPr>
                <w:rFonts w:ascii="Times New Roman" w:hAnsi="Times New Roman" w:cs="Times New Roman"/>
                <w:sz w:val="24"/>
                <w:szCs w:val="24"/>
              </w:rPr>
              <w:t>districts</w:t>
            </w:r>
            <w:r w:rsidR="00731F7A" w:rsidRPr="00B63B77">
              <w:rPr>
                <w:rFonts w:ascii="Times New Roman" w:hAnsi="Times New Roman" w:cs="Times New Roman"/>
                <w:sz w:val="24"/>
                <w:szCs w:val="24"/>
              </w:rPr>
              <w:t xml:space="preserve"> to </w:t>
            </w:r>
            <w:r w:rsidR="000957C0">
              <w:rPr>
                <w:rFonts w:ascii="Times New Roman" w:hAnsi="Times New Roman" w:cs="Times New Roman"/>
                <w:sz w:val="24"/>
                <w:szCs w:val="24"/>
              </w:rPr>
              <w:t>contact</w:t>
            </w:r>
            <w:r w:rsidR="00731F7A" w:rsidRPr="00B63B77">
              <w:rPr>
                <w:rFonts w:ascii="Times New Roman" w:hAnsi="Times New Roman" w:cs="Times New Roman"/>
                <w:sz w:val="24"/>
                <w:szCs w:val="24"/>
              </w:rPr>
              <w:t xml:space="preserve"> to their S</w:t>
            </w:r>
            <w:r w:rsidR="00B63B77">
              <w:rPr>
                <w:rFonts w:ascii="Times New Roman" w:hAnsi="Times New Roman" w:cs="Times New Roman"/>
                <w:sz w:val="24"/>
                <w:szCs w:val="24"/>
              </w:rPr>
              <w:t>tate</w:t>
            </w:r>
            <w:r w:rsidR="00731F7A" w:rsidRPr="00B63B77">
              <w:rPr>
                <w:rFonts w:ascii="Times New Roman" w:hAnsi="Times New Roman" w:cs="Times New Roman"/>
                <w:sz w:val="24"/>
                <w:szCs w:val="24"/>
              </w:rPr>
              <w:t>s if they have quest</w:t>
            </w:r>
            <w:r w:rsidR="000957C0">
              <w:rPr>
                <w:rFonts w:ascii="Times New Roman" w:hAnsi="Times New Roman" w:cs="Times New Roman"/>
                <w:sz w:val="24"/>
                <w:szCs w:val="24"/>
              </w:rPr>
              <w:t>ions about the effect of AFUA with respect to</w:t>
            </w:r>
            <w:r w:rsidR="00731F7A" w:rsidRPr="00B63B77">
              <w:rPr>
                <w:rFonts w:ascii="Times New Roman" w:hAnsi="Times New Roman" w:cs="Times New Roman"/>
                <w:sz w:val="24"/>
                <w:szCs w:val="24"/>
              </w:rPr>
              <w:t xml:space="preserve"> their Title IV-A competitive </w:t>
            </w:r>
            <w:proofErr w:type="spellStart"/>
            <w:r w:rsidR="00731F7A" w:rsidRPr="00B63B77">
              <w:rPr>
                <w:rFonts w:ascii="Times New Roman" w:hAnsi="Times New Roman" w:cs="Times New Roman"/>
                <w:sz w:val="24"/>
                <w:szCs w:val="24"/>
              </w:rPr>
              <w:t>subgrants</w:t>
            </w:r>
            <w:proofErr w:type="spellEnd"/>
            <w:r w:rsidR="00731F7A" w:rsidRPr="00B63B77">
              <w:rPr>
                <w:rFonts w:ascii="Times New Roman" w:hAnsi="Times New Roman" w:cs="Times New Roman"/>
                <w:sz w:val="24"/>
                <w:szCs w:val="24"/>
              </w:rPr>
              <w:t xml:space="preserve">. </w:t>
            </w:r>
          </w:p>
          <w:p w14:paraId="624983F2" w14:textId="77777777" w:rsidR="008B4B2F" w:rsidRPr="00B63B77" w:rsidRDefault="008B4B2F" w:rsidP="00F61BC8">
            <w:pPr>
              <w:pStyle w:val="BodyText"/>
              <w:spacing w:after="0"/>
              <w:rPr>
                <w:rFonts w:ascii="Times New Roman" w:hAnsi="Times New Roman" w:cs="Times New Roman"/>
                <w:sz w:val="24"/>
                <w:szCs w:val="24"/>
              </w:rPr>
            </w:pPr>
          </w:p>
          <w:p w14:paraId="3957D1FA" w14:textId="77777777" w:rsidR="008B4B2F" w:rsidRPr="00B63B77" w:rsidRDefault="008B4B2F" w:rsidP="00F61BC8">
            <w:pPr>
              <w:rPr>
                <w:rFonts w:ascii="Times New Roman" w:hAnsi="Times New Roman" w:cs="Times New Roman"/>
                <w:sz w:val="24"/>
                <w:szCs w:val="24"/>
              </w:rPr>
            </w:pPr>
            <w:r w:rsidRPr="00B63B77">
              <w:rPr>
                <w:rFonts w:ascii="Times New Roman" w:hAnsi="Times New Roman" w:cs="Times New Roman"/>
                <w:sz w:val="24"/>
                <w:szCs w:val="24"/>
              </w:rPr>
              <w:t xml:space="preserve">For more information about Title IV-A </w:t>
            </w:r>
            <w:proofErr w:type="spellStart"/>
            <w:r w:rsidRPr="00B63B77">
              <w:rPr>
                <w:rFonts w:ascii="Times New Roman" w:hAnsi="Times New Roman" w:cs="Times New Roman"/>
                <w:sz w:val="24"/>
                <w:szCs w:val="24"/>
              </w:rPr>
              <w:t>subgrants</w:t>
            </w:r>
            <w:proofErr w:type="spellEnd"/>
            <w:r w:rsidRPr="00B63B77">
              <w:rPr>
                <w:rFonts w:ascii="Times New Roman" w:hAnsi="Times New Roman" w:cs="Times New Roman"/>
                <w:sz w:val="24"/>
                <w:szCs w:val="24"/>
              </w:rPr>
              <w:t xml:space="preserve"> received through a competition, please see additional information at   </w:t>
            </w:r>
          </w:p>
          <w:p w14:paraId="791F2F58" w14:textId="77777777" w:rsidR="008B4B2F" w:rsidRPr="00B63B77" w:rsidRDefault="008B4B2F" w:rsidP="00F61BC8">
            <w:pPr>
              <w:rPr>
                <w:rFonts w:ascii="Times New Roman" w:hAnsi="Times New Roman" w:cs="Times New Roman"/>
                <w:sz w:val="24"/>
                <w:szCs w:val="24"/>
              </w:rPr>
            </w:pPr>
            <w:r w:rsidRPr="00B63B77">
              <w:rPr>
                <w:rFonts w:ascii="Times New Roman" w:hAnsi="Times New Roman" w:cs="Times New Roman"/>
                <w:sz w:val="24"/>
                <w:szCs w:val="24"/>
              </w:rPr>
              <w:t>https://safesupportivelearning.ed.gov/sites/default</w:t>
            </w:r>
          </w:p>
          <w:p w14:paraId="2B1EF925" w14:textId="77777777" w:rsidR="008B4B2F" w:rsidRPr="00B63B77" w:rsidRDefault="008B4B2F" w:rsidP="00F61BC8">
            <w:pPr>
              <w:pStyle w:val="BodyText"/>
              <w:spacing w:after="0"/>
              <w:rPr>
                <w:rFonts w:ascii="Times New Roman" w:hAnsi="Times New Roman" w:cs="Times New Roman"/>
                <w:sz w:val="24"/>
                <w:szCs w:val="24"/>
              </w:rPr>
            </w:pPr>
            <w:r w:rsidRPr="00B63B77">
              <w:rPr>
                <w:rFonts w:ascii="Times New Roman" w:hAnsi="Times New Roman" w:cs="Times New Roman"/>
                <w:sz w:val="24"/>
                <w:szCs w:val="24"/>
              </w:rPr>
              <w:t>/files/Subgranting_FY_2017_Title_IV_A_LEAs_QA.pdf.</w:t>
            </w:r>
          </w:p>
          <w:p w14:paraId="3C6846C5" w14:textId="77777777" w:rsidR="00BF2CF6" w:rsidRPr="00B63B77" w:rsidRDefault="00BF2CF6" w:rsidP="00F61BC8">
            <w:pPr>
              <w:pStyle w:val="BodyText"/>
              <w:spacing w:after="0"/>
              <w:rPr>
                <w:rFonts w:ascii="Times New Roman" w:hAnsi="Times New Roman" w:cs="Times New Roman"/>
                <w:sz w:val="24"/>
                <w:szCs w:val="24"/>
                <w:u w:val="single"/>
              </w:rPr>
            </w:pPr>
          </w:p>
        </w:tc>
        <w:tc>
          <w:tcPr>
            <w:tcW w:w="5886" w:type="dxa"/>
          </w:tcPr>
          <w:p w14:paraId="076FBA87" w14:textId="3FDD4681" w:rsidR="008B4B2F" w:rsidRPr="00697FC4" w:rsidRDefault="00FF1E22" w:rsidP="00F61BC8">
            <w:pPr>
              <w:rPr>
                <w:rFonts w:ascii="Times New Roman" w:hAnsi="Times New Roman" w:cs="Times New Roman"/>
                <w:sz w:val="24"/>
                <w:szCs w:val="24"/>
              </w:rPr>
            </w:pPr>
            <w:r w:rsidRPr="00697FC4">
              <w:rPr>
                <w:rFonts w:ascii="Times New Roman" w:hAnsi="Times New Roman" w:cs="Times New Roman"/>
                <w:sz w:val="24"/>
                <w:szCs w:val="24"/>
                <w:u w:val="single"/>
              </w:rPr>
              <w:lastRenderedPageBreak/>
              <w:t>No</w:t>
            </w:r>
            <w:r w:rsidRPr="00697FC4">
              <w:rPr>
                <w:rFonts w:ascii="Times New Roman" w:hAnsi="Times New Roman" w:cs="Times New Roman"/>
                <w:sz w:val="24"/>
                <w:szCs w:val="24"/>
              </w:rPr>
              <w:t xml:space="preserve">. </w:t>
            </w:r>
            <w:r w:rsidR="008B4B2F" w:rsidRPr="00697FC4">
              <w:rPr>
                <w:rFonts w:ascii="Times New Roman" w:hAnsi="Times New Roman" w:cs="Times New Roman"/>
                <w:sz w:val="24"/>
                <w:szCs w:val="24"/>
              </w:rPr>
              <w:t>A</w:t>
            </w:r>
            <w:r w:rsidR="00B70D31">
              <w:rPr>
                <w:rFonts w:ascii="Times New Roman" w:hAnsi="Times New Roman" w:cs="Times New Roman"/>
                <w:sz w:val="24"/>
                <w:szCs w:val="24"/>
              </w:rPr>
              <w:t xml:space="preserve"> district</w:t>
            </w:r>
            <w:r w:rsidR="008B4B2F" w:rsidRPr="00697FC4">
              <w:rPr>
                <w:rFonts w:ascii="Times New Roman" w:hAnsi="Times New Roman" w:cs="Times New Roman"/>
                <w:sz w:val="24"/>
                <w:szCs w:val="24"/>
              </w:rPr>
              <w:t xml:space="preserve"> that receives a competitive Title IV-A </w:t>
            </w:r>
            <w:proofErr w:type="spellStart"/>
            <w:r w:rsidR="008B4B2F" w:rsidRPr="00697FC4">
              <w:rPr>
                <w:rFonts w:ascii="Times New Roman" w:hAnsi="Times New Roman" w:cs="Times New Roman"/>
                <w:sz w:val="24"/>
                <w:szCs w:val="24"/>
              </w:rPr>
              <w:t>subgrant</w:t>
            </w:r>
            <w:proofErr w:type="spellEnd"/>
            <w:r w:rsidR="008B4B2F" w:rsidRPr="00697FC4">
              <w:rPr>
                <w:rFonts w:ascii="Times New Roman" w:hAnsi="Times New Roman" w:cs="Times New Roman"/>
                <w:sz w:val="24"/>
                <w:szCs w:val="24"/>
              </w:rPr>
              <w:t xml:space="preserve"> may not transfer funds into or out of that award. Section 5103(b) of the ESEA applies only to funds received through a formula allocation, not to funds awarded competitively.  </w:t>
            </w:r>
          </w:p>
          <w:p w14:paraId="6453810B" w14:textId="77777777" w:rsidR="008B4B2F" w:rsidRPr="00697FC4" w:rsidRDefault="008B4B2F" w:rsidP="00F61BC8">
            <w:pPr>
              <w:rPr>
                <w:rFonts w:ascii="Times New Roman" w:hAnsi="Times New Roman" w:cs="Times New Roman"/>
                <w:sz w:val="24"/>
                <w:szCs w:val="24"/>
              </w:rPr>
            </w:pPr>
          </w:p>
          <w:p w14:paraId="728A5F15" w14:textId="77777777" w:rsidR="008B4B2F" w:rsidRPr="00697FC4" w:rsidRDefault="008B4B2F" w:rsidP="00F61BC8">
            <w:pPr>
              <w:rPr>
                <w:rFonts w:ascii="Times New Roman" w:hAnsi="Times New Roman" w:cs="Times New Roman"/>
                <w:sz w:val="24"/>
                <w:szCs w:val="24"/>
              </w:rPr>
            </w:pPr>
            <w:r w:rsidRPr="00697FC4">
              <w:rPr>
                <w:rFonts w:ascii="Times New Roman" w:hAnsi="Times New Roman" w:cs="Times New Roman"/>
                <w:sz w:val="24"/>
                <w:szCs w:val="24"/>
              </w:rPr>
              <w:t xml:space="preserve">For more information about Title IV-A </w:t>
            </w:r>
            <w:proofErr w:type="spellStart"/>
            <w:r w:rsidRPr="00697FC4">
              <w:rPr>
                <w:rFonts w:ascii="Times New Roman" w:hAnsi="Times New Roman" w:cs="Times New Roman"/>
                <w:sz w:val="24"/>
                <w:szCs w:val="24"/>
              </w:rPr>
              <w:t>subgrants</w:t>
            </w:r>
            <w:proofErr w:type="spellEnd"/>
            <w:r w:rsidRPr="00697FC4">
              <w:rPr>
                <w:rFonts w:ascii="Times New Roman" w:hAnsi="Times New Roman" w:cs="Times New Roman"/>
                <w:sz w:val="24"/>
                <w:szCs w:val="24"/>
              </w:rPr>
              <w:t xml:space="preserve"> received through a competition, please see additional information at   </w:t>
            </w:r>
          </w:p>
          <w:p w14:paraId="416E8B89" w14:textId="77777777" w:rsidR="008B4B2F" w:rsidRPr="00697FC4" w:rsidRDefault="008B4B2F" w:rsidP="00F61BC8">
            <w:pPr>
              <w:rPr>
                <w:rFonts w:ascii="Times New Roman" w:hAnsi="Times New Roman" w:cs="Times New Roman"/>
                <w:sz w:val="24"/>
                <w:szCs w:val="24"/>
              </w:rPr>
            </w:pPr>
            <w:r w:rsidRPr="00697FC4">
              <w:rPr>
                <w:rFonts w:ascii="Times New Roman" w:hAnsi="Times New Roman" w:cs="Times New Roman"/>
                <w:sz w:val="24"/>
                <w:szCs w:val="24"/>
              </w:rPr>
              <w:t>https://safesupportivelearning.ed.gov/sites/default</w:t>
            </w:r>
          </w:p>
          <w:p w14:paraId="48EBD79E" w14:textId="77777777" w:rsidR="008B4B2F" w:rsidRPr="00697FC4" w:rsidRDefault="008B4B2F" w:rsidP="00F61BC8">
            <w:pPr>
              <w:rPr>
                <w:rFonts w:ascii="Times New Roman" w:hAnsi="Times New Roman" w:cs="Times New Roman"/>
                <w:sz w:val="24"/>
                <w:szCs w:val="24"/>
              </w:rPr>
            </w:pPr>
            <w:r w:rsidRPr="00697FC4">
              <w:rPr>
                <w:rFonts w:ascii="Times New Roman" w:hAnsi="Times New Roman" w:cs="Times New Roman"/>
                <w:sz w:val="24"/>
                <w:szCs w:val="24"/>
              </w:rPr>
              <w:t>/files/Subgranting_FY_2017_Title_IV_A_LEAs_QA.pdf.</w:t>
            </w:r>
          </w:p>
          <w:p w14:paraId="1ABBA1DE" w14:textId="77777777" w:rsidR="008B4B2F" w:rsidRPr="00697FC4" w:rsidRDefault="008B4B2F" w:rsidP="00F61BC8">
            <w:pPr>
              <w:rPr>
                <w:rFonts w:ascii="Times New Roman" w:hAnsi="Times New Roman" w:cs="Times New Roman"/>
                <w:sz w:val="24"/>
                <w:szCs w:val="24"/>
                <w:u w:val="single"/>
              </w:rPr>
            </w:pPr>
          </w:p>
          <w:p w14:paraId="2B3D707B" w14:textId="77777777" w:rsidR="008B4B2F" w:rsidRPr="00697FC4" w:rsidRDefault="008B4B2F" w:rsidP="00F61BC8">
            <w:pPr>
              <w:rPr>
                <w:rFonts w:ascii="Times New Roman" w:hAnsi="Times New Roman" w:cs="Times New Roman"/>
                <w:sz w:val="24"/>
                <w:szCs w:val="24"/>
                <w:u w:val="single"/>
              </w:rPr>
            </w:pPr>
          </w:p>
        </w:tc>
      </w:tr>
      <w:tr w:rsidR="008B4B2F" w14:paraId="7E78308F" w14:textId="77777777" w:rsidTr="00697FC4">
        <w:tc>
          <w:tcPr>
            <w:tcW w:w="2088" w:type="dxa"/>
          </w:tcPr>
          <w:p w14:paraId="76607DC6" w14:textId="71C5EBE9" w:rsidR="008B4B2F" w:rsidRPr="00697FC4" w:rsidRDefault="00B70D31" w:rsidP="008B4B2F">
            <w:pPr>
              <w:pStyle w:val="ListParagraph"/>
              <w:numPr>
                <w:ilvl w:val="0"/>
                <w:numId w:val="29"/>
              </w:numPr>
              <w:rPr>
                <w:rFonts w:ascii="Times New Roman" w:hAnsi="Times New Roman" w:cs="Times New Roman"/>
                <w:b/>
                <w:sz w:val="24"/>
                <w:szCs w:val="24"/>
              </w:rPr>
            </w:pPr>
            <w:r>
              <w:rPr>
                <w:rFonts w:ascii="Times New Roman" w:hAnsi="Times New Roman" w:cs="Times New Roman"/>
                <w:b/>
                <w:sz w:val="24"/>
                <w:szCs w:val="24"/>
              </w:rPr>
              <w:lastRenderedPageBreak/>
              <w:t>What steps does an eligible district</w:t>
            </w:r>
            <w:r w:rsidR="008B4B2F" w:rsidRPr="00697FC4">
              <w:rPr>
                <w:rFonts w:ascii="Times New Roman" w:hAnsi="Times New Roman" w:cs="Times New Roman"/>
                <w:b/>
                <w:sz w:val="24"/>
                <w:szCs w:val="24"/>
              </w:rPr>
              <w:t xml:space="preserve"> need to take to exercise this flexibility?</w:t>
            </w:r>
          </w:p>
        </w:tc>
        <w:tc>
          <w:tcPr>
            <w:tcW w:w="5202" w:type="dxa"/>
          </w:tcPr>
          <w:p w14:paraId="6EC618BA" w14:textId="05CDE445" w:rsidR="008B4B2F" w:rsidRPr="00697FC4" w:rsidRDefault="00B63B77" w:rsidP="00F61BC8">
            <w:pPr>
              <w:pStyle w:val="BodyText"/>
              <w:rPr>
                <w:rFonts w:ascii="Times New Roman" w:hAnsi="Times New Roman" w:cs="Times New Roman"/>
                <w:b/>
                <w:sz w:val="24"/>
                <w:szCs w:val="24"/>
              </w:rPr>
            </w:pPr>
            <w:r>
              <w:rPr>
                <w:rFonts w:ascii="Times New Roman" w:hAnsi="Times New Roman" w:cs="Times New Roman"/>
                <w:sz w:val="24"/>
                <w:szCs w:val="24"/>
                <w:u w:val="single"/>
              </w:rPr>
              <w:t>Notify State</w:t>
            </w:r>
            <w:r w:rsidR="00FF1E22" w:rsidRPr="00697FC4">
              <w:rPr>
                <w:rFonts w:ascii="Times New Roman" w:hAnsi="Times New Roman" w:cs="Times New Roman"/>
                <w:sz w:val="24"/>
                <w:szCs w:val="24"/>
              </w:rPr>
              <w:t xml:space="preserve">. </w:t>
            </w:r>
            <w:proofErr w:type="gramStart"/>
            <w:r w:rsidR="000957C0">
              <w:rPr>
                <w:rFonts w:ascii="Times New Roman" w:hAnsi="Times New Roman" w:cs="Times New Roman"/>
                <w:sz w:val="24"/>
                <w:szCs w:val="24"/>
              </w:rPr>
              <w:t xml:space="preserve">An </w:t>
            </w:r>
            <w:r w:rsidR="00FF1E22" w:rsidRPr="00697FC4">
              <w:rPr>
                <w:rFonts w:ascii="Times New Roman" w:hAnsi="Times New Roman" w:cs="Times New Roman"/>
                <w:sz w:val="24"/>
                <w:szCs w:val="24"/>
              </w:rPr>
              <w:t xml:space="preserve">SRSA-eligible </w:t>
            </w:r>
            <w:r w:rsidR="00B70D31">
              <w:rPr>
                <w:rFonts w:ascii="Times New Roman" w:hAnsi="Times New Roman" w:cs="Times New Roman"/>
                <w:sz w:val="24"/>
                <w:szCs w:val="24"/>
              </w:rPr>
              <w:t>district</w:t>
            </w:r>
            <w:r w:rsidR="00FF1E22" w:rsidRPr="00697FC4">
              <w:rPr>
                <w:rFonts w:ascii="Times New Roman" w:hAnsi="Times New Roman" w:cs="Times New Roman"/>
                <w:sz w:val="24"/>
                <w:szCs w:val="24"/>
              </w:rPr>
              <w:t>s</w:t>
            </w:r>
            <w:proofErr w:type="gramEnd"/>
            <w:r w:rsidR="00FF1E22" w:rsidRPr="00697FC4">
              <w:rPr>
                <w:rFonts w:ascii="Times New Roman" w:hAnsi="Times New Roman" w:cs="Times New Roman"/>
                <w:sz w:val="24"/>
                <w:szCs w:val="24"/>
              </w:rPr>
              <w:t xml:space="preserve"> may exercise AFUA withou</w:t>
            </w:r>
            <w:r>
              <w:rPr>
                <w:rFonts w:ascii="Times New Roman" w:hAnsi="Times New Roman" w:cs="Times New Roman"/>
                <w:sz w:val="24"/>
                <w:szCs w:val="24"/>
              </w:rPr>
              <w:t>t the approval of either its State</w:t>
            </w:r>
            <w:r w:rsidR="000957C0">
              <w:rPr>
                <w:rFonts w:ascii="Times New Roman" w:hAnsi="Times New Roman" w:cs="Times New Roman"/>
                <w:sz w:val="24"/>
                <w:szCs w:val="24"/>
              </w:rPr>
              <w:t xml:space="preserve"> or the Department</w:t>
            </w:r>
            <w:r w:rsidR="00FF1E22" w:rsidRPr="00697FC4">
              <w:rPr>
                <w:rFonts w:ascii="Times New Roman" w:hAnsi="Times New Roman" w:cs="Times New Roman"/>
                <w:sz w:val="24"/>
                <w:szCs w:val="24"/>
              </w:rPr>
              <w:t xml:space="preserve">. </w:t>
            </w:r>
            <w:r w:rsidR="008B4B2F" w:rsidRPr="00697FC4">
              <w:rPr>
                <w:rFonts w:ascii="Times New Roman" w:hAnsi="Times New Roman" w:cs="Times New Roman"/>
                <w:sz w:val="24"/>
                <w:szCs w:val="24"/>
              </w:rPr>
              <w:t>However, before exercising AFUA,</w:t>
            </w:r>
            <w:r>
              <w:rPr>
                <w:rFonts w:ascii="Times New Roman" w:hAnsi="Times New Roman" w:cs="Times New Roman"/>
                <w:sz w:val="24"/>
                <w:szCs w:val="24"/>
              </w:rPr>
              <w:t xml:space="preserve"> an eligible district</w:t>
            </w:r>
            <w:r w:rsidR="008B4B2F" w:rsidRPr="00697FC4">
              <w:rPr>
                <w:rFonts w:ascii="Times New Roman" w:hAnsi="Times New Roman" w:cs="Times New Roman"/>
                <w:sz w:val="24"/>
                <w:szCs w:val="24"/>
              </w:rPr>
              <w:t xml:space="preserve"> must annually notify its S</w:t>
            </w:r>
            <w:r>
              <w:rPr>
                <w:rFonts w:ascii="Times New Roman" w:hAnsi="Times New Roman" w:cs="Times New Roman"/>
                <w:sz w:val="24"/>
                <w:szCs w:val="24"/>
              </w:rPr>
              <w:t>tate</w:t>
            </w:r>
            <w:r w:rsidR="008B4B2F" w:rsidRPr="00697FC4">
              <w:rPr>
                <w:rFonts w:ascii="Times New Roman" w:hAnsi="Times New Roman" w:cs="Times New Roman"/>
                <w:sz w:val="24"/>
                <w:szCs w:val="24"/>
              </w:rPr>
              <w:t xml:space="preserve"> of its intent to do so by the notification</w:t>
            </w:r>
            <w:r>
              <w:rPr>
                <w:rFonts w:ascii="Times New Roman" w:hAnsi="Times New Roman" w:cs="Times New Roman"/>
                <w:sz w:val="24"/>
                <w:szCs w:val="24"/>
              </w:rPr>
              <w:t xml:space="preserve"> deadline established by the State</w:t>
            </w:r>
            <w:r w:rsidR="008B4B2F" w:rsidRPr="00697FC4">
              <w:rPr>
                <w:rFonts w:ascii="Times New Roman" w:hAnsi="Times New Roman" w:cs="Times New Roman"/>
                <w:sz w:val="24"/>
                <w:szCs w:val="24"/>
              </w:rPr>
              <w:t xml:space="preserve">.  </w:t>
            </w:r>
          </w:p>
          <w:p w14:paraId="40AF84E4" w14:textId="77777777" w:rsidR="008B4B2F" w:rsidRPr="00697FC4" w:rsidRDefault="008B4B2F" w:rsidP="00F61BC8">
            <w:pPr>
              <w:rPr>
                <w:rFonts w:ascii="Times New Roman" w:hAnsi="Times New Roman" w:cs="Times New Roman"/>
                <w:sz w:val="24"/>
                <w:szCs w:val="24"/>
                <w:u w:val="single"/>
              </w:rPr>
            </w:pPr>
          </w:p>
        </w:tc>
        <w:tc>
          <w:tcPr>
            <w:tcW w:w="5886" w:type="dxa"/>
          </w:tcPr>
          <w:p w14:paraId="2889F945" w14:textId="3ACE4EDF" w:rsidR="008B4B2F" w:rsidRPr="00697FC4" w:rsidRDefault="00B63B77" w:rsidP="00F61BC8">
            <w:pPr>
              <w:rPr>
                <w:rFonts w:ascii="Times New Roman" w:hAnsi="Times New Roman" w:cs="Times New Roman"/>
                <w:sz w:val="24"/>
                <w:szCs w:val="24"/>
              </w:rPr>
            </w:pPr>
            <w:r>
              <w:rPr>
                <w:rFonts w:ascii="Times New Roman" w:hAnsi="Times New Roman" w:cs="Times New Roman"/>
                <w:sz w:val="24"/>
                <w:szCs w:val="24"/>
                <w:u w:val="single"/>
              </w:rPr>
              <w:t>Notify State</w:t>
            </w:r>
            <w:r w:rsidR="00FF1E22" w:rsidRPr="00697FC4">
              <w:rPr>
                <w:rFonts w:ascii="Times New Roman" w:hAnsi="Times New Roman" w:cs="Times New Roman"/>
                <w:sz w:val="24"/>
                <w:szCs w:val="24"/>
                <w:u w:val="single"/>
              </w:rPr>
              <w:t xml:space="preserve"> and modify and submit local applications</w:t>
            </w:r>
            <w:r w:rsidR="00FF1E22" w:rsidRPr="00697FC4">
              <w:rPr>
                <w:rFonts w:ascii="Times New Roman" w:hAnsi="Times New Roman" w:cs="Times New Roman"/>
                <w:sz w:val="24"/>
                <w:szCs w:val="24"/>
              </w:rPr>
              <w:t>. Before transferring funds, a</w:t>
            </w:r>
            <w:r w:rsidR="00B70D31">
              <w:rPr>
                <w:rFonts w:ascii="Times New Roman" w:hAnsi="Times New Roman" w:cs="Times New Roman"/>
                <w:sz w:val="24"/>
                <w:szCs w:val="24"/>
              </w:rPr>
              <w:t xml:space="preserve"> district</w:t>
            </w:r>
            <w:r w:rsidR="00FF1E22" w:rsidRPr="00697FC4">
              <w:rPr>
                <w:rFonts w:ascii="Times New Roman" w:hAnsi="Times New Roman" w:cs="Times New Roman"/>
                <w:sz w:val="24"/>
                <w:szCs w:val="24"/>
              </w:rPr>
              <w:t xml:space="preserve"> must conduct timely and meaningful consultation with appropriate private school officials (see </w:t>
            </w:r>
            <w:r w:rsidR="00B817A3">
              <w:rPr>
                <w:rFonts w:ascii="Times New Roman" w:hAnsi="Times New Roman" w:cs="Times New Roman"/>
                <w:sz w:val="24"/>
                <w:szCs w:val="24"/>
              </w:rPr>
              <w:t>Question</w:t>
            </w:r>
            <w:r w:rsidR="00B817A3" w:rsidRPr="00697FC4">
              <w:rPr>
                <w:rFonts w:ascii="Times New Roman" w:hAnsi="Times New Roman" w:cs="Times New Roman"/>
                <w:sz w:val="24"/>
                <w:szCs w:val="24"/>
              </w:rPr>
              <w:t xml:space="preserve"> </w:t>
            </w:r>
            <w:r w:rsidR="00B817A3">
              <w:rPr>
                <w:rFonts w:ascii="Times New Roman" w:hAnsi="Times New Roman" w:cs="Times New Roman"/>
                <w:sz w:val="24"/>
                <w:szCs w:val="24"/>
              </w:rPr>
              <w:t>7</w:t>
            </w:r>
            <w:r w:rsidR="00FF1E22" w:rsidRPr="00697FC4">
              <w:rPr>
                <w:rFonts w:ascii="Times New Roman" w:hAnsi="Times New Roman" w:cs="Times New Roman"/>
                <w:sz w:val="24"/>
                <w:szCs w:val="24"/>
              </w:rPr>
              <w:t>), modify each affected local plan or application to refl</w:t>
            </w:r>
            <w:r>
              <w:rPr>
                <w:rFonts w:ascii="Times New Roman" w:hAnsi="Times New Roman" w:cs="Times New Roman"/>
                <w:sz w:val="24"/>
                <w:szCs w:val="24"/>
              </w:rPr>
              <w:t>ect the transfer, notify its State</w:t>
            </w:r>
            <w:r w:rsidR="00FF1E22" w:rsidRPr="00697FC4">
              <w:rPr>
                <w:rFonts w:ascii="Times New Roman" w:hAnsi="Times New Roman" w:cs="Times New Roman"/>
                <w:sz w:val="24"/>
                <w:szCs w:val="24"/>
              </w:rPr>
              <w:t xml:space="preserve"> of the transfer at least 30 days before the transfer’s effective date, and submit the modified local plan or application to its S</w:t>
            </w:r>
            <w:r>
              <w:rPr>
                <w:rFonts w:ascii="Times New Roman" w:hAnsi="Times New Roman" w:cs="Times New Roman"/>
                <w:sz w:val="24"/>
                <w:szCs w:val="24"/>
              </w:rPr>
              <w:t>tate</w:t>
            </w:r>
            <w:r w:rsidR="00FF1E22" w:rsidRPr="00697FC4">
              <w:rPr>
                <w:rFonts w:ascii="Times New Roman" w:hAnsi="Times New Roman" w:cs="Times New Roman"/>
                <w:sz w:val="24"/>
                <w:szCs w:val="24"/>
              </w:rPr>
              <w:t xml:space="preserve"> within 30 days of the transfer. </w:t>
            </w:r>
            <w:r w:rsidR="008B4B2F" w:rsidRPr="00697FC4">
              <w:rPr>
                <w:rFonts w:ascii="Times New Roman" w:hAnsi="Times New Roman" w:cs="Times New Roman"/>
                <w:sz w:val="24"/>
                <w:szCs w:val="24"/>
              </w:rPr>
              <w:t>See ESEA section 5103(d</w:t>
            </w:r>
            <w:proofErr w:type="gramStart"/>
            <w:r w:rsidR="008B4B2F" w:rsidRPr="00697FC4">
              <w:rPr>
                <w:rFonts w:ascii="Times New Roman" w:hAnsi="Times New Roman" w:cs="Times New Roman"/>
                <w:sz w:val="24"/>
                <w:szCs w:val="24"/>
              </w:rPr>
              <w:t>)(</w:t>
            </w:r>
            <w:proofErr w:type="gramEnd"/>
            <w:r w:rsidR="008B4B2F" w:rsidRPr="00697FC4">
              <w:rPr>
                <w:rFonts w:ascii="Times New Roman" w:hAnsi="Times New Roman" w:cs="Times New Roman"/>
                <w:sz w:val="24"/>
                <w:szCs w:val="24"/>
              </w:rPr>
              <w:t>2).</w:t>
            </w:r>
          </w:p>
          <w:p w14:paraId="502C88C2" w14:textId="77777777" w:rsidR="008B4B2F" w:rsidRPr="00697FC4" w:rsidRDefault="008B4B2F" w:rsidP="00F61BC8">
            <w:pPr>
              <w:rPr>
                <w:rFonts w:ascii="Times New Roman" w:hAnsi="Times New Roman" w:cs="Times New Roman"/>
                <w:sz w:val="24"/>
                <w:szCs w:val="24"/>
              </w:rPr>
            </w:pPr>
          </w:p>
          <w:p w14:paraId="57875942" w14:textId="77777777" w:rsidR="008B4B2F" w:rsidRPr="00697FC4" w:rsidRDefault="008B4B2F" w:rsidP="00F61BC8">
            <w:pPr>
              <w:rPr>
                <w:rFonts w:ascii="Times New Roman" w:hAnsi="Times New Roman" w:cs="Times New Roman"/>
                <w:sz w:val="24"/>
                <w:szCs w:val="24"/>
                <w:u w:val="single"/>
              </w:rPr>
            </w:pPr>
            <w:r w:rsidRPr="00697FC4">
              <w:rPr>
                <w:rFonts w:ascii="Times New Roman" w:hAnsi="Times New Roman" w:cs="Times New Roman"/>
                <w:sz w:val="24"/>
                <w:szCs w:val="24"/>
              </w:rPr>
              <w:t xml:space="preserve">For more information, please see the guidance document </w:t>
            </w:r>
            <w:r w:rsidRPr="00697FC4">
              <w:rPr>
                <w:rFonts w:ascii="Times New Roman" w:hAnsi="Times New Roman" w:cs="Times New Roman"/>
                <w:i/>
                <w:sz w:val="24"/>
                <w:szCs w:val="24"/>
              </w:rPr>
              <w:t>Fiscal Changes and Equitable Services Requirements under the ESEA, as amended by ESSA</w:t>
            </w:r>
            <w:r w:rsidRPr="00697FC4">
              <w:rPr>
                <w:rFonts w:ascii="Times New Roman" w:hAnsi="Times New Roman" w:cs="Times New Roman"/>
                <w:sz w:val="24"/>
                <w:szCs w:val="24"/>
              </w:rPr>
              <w:t xml:space="preserve"> (issued 2016, section VI on Transferability) [available at https://www2.ed.gov/policy/elsec/leg/essa/essaguidance160477.pdf].</w:t>
            </w:r>
          </w:p>
        </w:tc>
      </w:tr>
    </w:tbl>
    <w:p w14:paraId="6FC346DB" w14:textId="537BE196" w:rsidR="00BE281E" w:rsidRPr="00E739F2" w:rsidRDefault="00BE281E" w:rsidP="00024DFC"/>
    <w:sectPr w:rsidR="00BE281E" w:rsidRPr="00E739F2" w:rsidSect="00FD7844">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9FC74" w14:textId="77777777" w:rsidR="00767CA8" w:rsidRDefault="00767CA8" w:rsidP="0062572E">
      <w:pPr>
        <w:spacing w:after="0" w:line="240" w:lineRule="auto"/>
      </w:pPr>
      <w:r>
        <w:separator/>
      </w:r>
    </w:p>
  </w:endnote>
  <w:endnote w:type="continuationSeparator" w:id="0">
    <w:p w14:paraId="090D2160" w14:textId="77777777" w:rsidR="00767CA8" w:rsidRDefault="00767CA8" w:rsidP="0062572E">
      <w:pPr>
        <w:spacing w:after="0" w:line="240" w:lineRule="auto"/>
      </w:pPr>
      <w:r>
        <w:continuationSeparator/>
      </w:r>
    </w:p>
  </w:endnote>
  <w:endnote w:type="continuationNotice" w:id="1">
    <w:p w14:paraId="6722FB5F" w14:textId="77777777" w:rsidR="00767CA8" w:rsidRDefault="00767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431561"/>
      <w:docPartObj>
        <w:docPartGallery w:val="Page Numbers (Bottom of Page)"/>
        <w:docPartUnique/>
      </w:docPartObj>
    </w:sdtPr>
    <w:sdtEndPr>
      <w:rPr>
        <w:noProof/>
      </w:rPr>
    </w:sdtEndPr>
    <w:sdtContent>
      <w:p w14:paraId="069B3722" w14:textId="1DB49E12" w:rsidR="00A12A6B" w:rsidRDefault="00A12A6B" w:rsidP="00316FD7">
        <w:pPr>
          <w:pStyle w:val="Footer"/>
          <w:jc w:val="right"/>
        </w:pPr>
        <w:r>
          <w:fldChar w:fldCharType="begin"/>
        </w:r>
        <w:r>
          <w:instrText xml:space="preserve"> PAGE   \* MERGEFORMAT </w:instrText>
        </w:r>
        <w:r>
          <w:fldChar w:fldCharType="separate"/>
        </w:r>
        <w:r w:rsidR="009F4B61">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892048"/>
      <w:docPartObj>
        <w:docPartGallery w:val="Page Numbers (Bottom of Page)"/>
        <w:docPartUnique/>
      </w:docPartObj>
    </w:sdtPr>
    <w:sdtEndPr>
      <w:rPr>
        <w:noProof/>
      </w:rPr>
    </w:sdtEndPr>
    <w:sdtContent>
      <w:p w14:paraId="264E8D7F" w14:textId="75BC1CF2" w:rsidR="00A12A6B" w:rsidRPr="005C4573" w:rsidRDefault="00A12A6B">
        <w:pPr>
          <w:pStyle w:val="Footer"/>
          <w:jc w:val="right"/>
        </w:pPr>
        <w:r w:rsidRPr="005C4573">
          <w:fldChar w:fldCharType="begin"/>
        </w:r>
        <w:r w:rsidRPr="005C4573">
          <w:instrText xml:space="preserve"> PAGE   \* MERGEFORMAT </w:instrText>
        </w:r>
        <w:r w:rsidRPr="005C4573">
          <w:fldChar w:fldCharType="separate"/>
        </w:r>
        <w:r w:rsidR="009F4B61">
          <w:rPr>
            <w:noProof/>
          </w:rPr>
          <w:t>16</w:t>
        </w:r>
        <w:r w:rsidRPr="005C4573">
          <w:rPr>
            <w:noProof/>
          </w:rPr>
          <w:fldChar w:fldCharType="end"/>
        </w:r>
      </w:p>
    </w:sdtContent>
  </w:sdt>
  <w:p w14:paraId="65DBA603" w14:textId="77777777" w:rsidR="00A12A6B" w:rsidRPr="005C4573" w:rsidRDefault="00A12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DCBC1" w14:textId="77777777" w:rsidR="00767CA8" w:rsidRDefault="00767CA8" w:rsidP="0062572E">
      <w:pPr>
        <w:spacing w:after="0" w:line="240" w:lineRule="auto"/>
      </w:pPr>
      <w:r>
        <w:separator/>
      </w:r>
    </w:p>
  </w:footnote>
  <w:footnote w:type="continuationSeparator" w:id="0">
    <w:p w14:paraId="7338F095" w14:textId="77777777" w:rsidR="00767CA8" w:rsidRDefault="00767CA8" w:rsidP="0062572E">
      <w:pPr>
        <w:spacing w:after="0" w:line="240" w:lineRule="auto"/>
      </w:pPr>
      <w:r>
        <w:continuationSeparator/>
      </w:r>
    </w:p>
  </w:footnote>
  <w:footnote w:type="continuationNotice" w:id="1">
    <w:p w14:paraId="43D03F22" w14:textId="77777777" w:rsidR="00767CA8" w:rsidRDefault="00767CA8">
      <w:pPr>
        <w:spacing w:after="0" w:line="240" w:lineRule="auto"/>
      </w:pPr>
    </w:p>
  </w:footnote>
  <w:footnote w:id="2">
    <w:p w14:paraId="11C6E0F6" w14:textId="77777777" w:rsidR="00A12A6B" w:rsidRPr="00D51A09" w:rsidRDefault="00A12A6B" w:rsidP="00DB0B63">
      <w:pPr>
        <w:rPr>
          <w:sz w:val="22"/>
        </w:rPr>
      </w:pPr>
      <w:r w:rsidRPr="00D51A09">
        <w:rPr>
          <w:rStyle w:val="FootnoteReference"/>
          <w:sz w:val="22"/>
        </w:rPr>
        <w:footnoteRef/>
      </w:r>
      <w:r w:rsidRPr="00D51A09">
        <w:rPr>
          <w:sz w:val="22"/>
        </w:rPr>
        <w:t xml:space="preserve"> Throughout this document, unless otherwise indicated, citations to the ESEA refer to the ESEA, as amended by the ESSA.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749"/>
    <w:multiLevelType w:val="hybridMultilevel"/>
    <w:tmpl w:val="1B2250F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B6294"/>
    <w:multiLevelType w:val="multilevel"/>
    <w:tmpl w:val="94CCF254"/>
    <w:lvl w:ilvl="0">
      <w:start w:val="1"/>
      <w:numFmt w:val="upperRoman"/>
      <w:lvlText w:val="%1."/>
      <w:lvlJc w:val="right"/>
      <w:pPr>
        <w:ind w:left="720" w:hanging="360"/>
      </w:pPr>
      <w:rPr>
        <w:rFonts w:hint="default"/>
      </w:rPr>
    </w:lvl>
    <w:lvl w:ilvl="1">
      <w:start w:val="1"/>
      <w:numFmt w:val="upperLetter"/>
      <w:lvlText w:val="%2."/>
      <w:lvlJc w:val="left"/>
      <w:pPr>
        <w:ind w:left="189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2"/>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FF3764"/>
    <w:multiLevelType w:val="hybridMultilevel"/>
    <w:tmpl w:val="D714B106"/>
    <w:lvl w:ilvl="0" w:tplc="D9C885A2">
      <w:start w:val="1"/>
      <w:numFmt w:val="upperRoman"/>
      <w:lvlText w:val="%1."/>
      <w:lvlJc w:val="right"/>
      <w:pPr>
        <w:ind w:left="720" w:hanging="360"/>
      </w:pPr>
      <w:rPr>
        <w:b/>
      </w:rPr>
    </w:lvl>
    <w:lvl w:ilvl="1" w:tplc="0409000F">
      <w:start w:val="1"/>
      <w:numFmt w:val="decimal"/>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6B4F0AC">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200B3"/>
    <w:multiLevelType w:val="hybridMultilevel"/>
    <w:tmpl w:val="CEC84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47A9F"/>
    <w:multiLevelType w:val="hybridMultilevel"/>
    <w:tmpl w:val="E2B26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153D9"/>
    <w:multiLevelType w:val="hybridMultilevel"/>
    <w:tmpl w:val="FC641A1C"/>
    <w:lvl w:ilvl="0" w:tplc="F43C52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D7A3C"/>
    <w:multiLevelType w:val="hybridMultilevel"/>
    <w:tmpl w:val="1AC8D12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2AD6F6D"/>
    <w:multiLevelType w:val="hybridMultilevel"/>
    <w:tmpl w:val="FA346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E0D63"/>
    <w:multiLevelType w:val="hybridMultilevel"/>
    <w:tmpl w:val="793E9A22"/>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6A94828"/>
    <w:multiLevelType w:val="hybridMultilevel"/>
    <w:tmpl w:val="52AC2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58799F"/>
    <w:multiLevelType w:val="hybridMultilevel"/>
    <w:tmpl w:val="10CA5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A7031"/>
    <w:multiLevelType w:val="hybridMultilevel"/>
    <w:tmpl w:val="7CB0124A"/>
    <w:lvl w:ilvl="0" w:tplc="FECA172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47F19"/>
    <w:multiLevelType w:val="hybridMultilevel"/>
    <w:tmpl w:val="7C68FF26"/>
    <w:lvl w:ilvl="0" w:tplc="F62EE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70CAB"/>
    <w:multiLevelType w:val="hybridMultilevel"/>
    <w:tmpl w:val="5636E91E"/>
    <w:lvl w:ilvl="0" w:tplc="04090013">
      <w:start w:val="1"/>
      <w:numFmt w:val="upperRoman"/>
      <w:lvlText w:val="%1."/>
      <w:lvlJc w:val="righ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25D08"/>
    <w:multiLevelType w:val="hybridMultilevel"/>
    <w:tmpl w:val="489AC8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DE9625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47B705D8"/>
    <w:multiLevelType w:val="hybridMultilevel"/>
    <w:tmpl w:val="A752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F56C1"/>
    <w:multiLevelType w:val="hybridMultilevel"/>
    <w:tmpl w:val="DD42C194"/>
    <w:lvl w:ilvl="0" w:tplc="24228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95AD4"/>
    <w:multiLevelType w:val="hybridMultilevel"/>
    <w:tmpl w:val="B8F8A4B0"/>
    <w:lvl w:ilvl="0" w:tplc="33384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A4C27"/>
    <w:multiLevelType w:val="hybridMultilevel"/>
    <w:tmpl w:val="7FAC7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CB4B17"/>
    <w:multiLevelType w:val="hybridMultilevel"/>
    <w:tmpl w:val="D43C80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E4781"/>
    <w:multiLevelType w:val="hybridMultilevel"/>
    <w:tmpl w:val="8F54E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4260D"/>
    <w:multiLevelType w:val="hybridMultilevel"/>
    <w:tmpl w:val="CEC84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833F7"/>
    <w:multiLevelType w:val="hybridMultilevel"/>
    <w:tmpl w:val="A93E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40072"/>
    <w:multiLevelType w:val="hybridMultilevel"/>
    <w:tmpl w:val="96B419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E2006"/>
    <w:multiLevelType w:val="hybridMultilevel"/>
    <w:tmpl w:val="6B66B1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6005E"/>
    <w:multiLevelType w:val="hybridMultilevel"/>
    <w:tmpl w:val="F438CB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04A138B"/>
    <w:multiLevelType w:val="hybridMultilevel"/>
    <w:tmpl w:val="BA246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612C79"/>
    <w:multiLevelType w:val="hybridMultilevel"/>
    <w:tmpl w:val="1AC8D1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3B5CF9"/>
    <w:multiLevelType w:val="hybridMultilevel"/>
    <w:tmpl w:val="136466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7D075141"/>
    <w:multiLevelType w:val="hybridMultilevel"/>
    <w:tmpl w:val="57EC77DC"/>
    <w:lvl w:ilvl="0" w:tplc="99EED62C">
      <w:start w:val="1"/>
      <w:numFmt w:val="upperRoman"/>
      <w:pStyle w:val="Heading1"/>
      <w:lvlText w:val="%1."/>
      <w:lvlJc w:val="right"/>
      <w:pPr>
        <w:ind w:left="1080" w:hanging="18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24"/>
  </w:num>
  <w:num w:numId="4">
    <w:abstractNumId w:val="2"/>
  </w:num>
  <w:num w:numId="5">
    <w:abstractNumId w:val="20"/>
  </w:num>
  <w:num w:numId="6">
    <w:abstractNumId w:val="2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3"/>
  </w:num>
  <w:num w:numId="10">
    <w:abstractNumId w:val="12"/>
  </w:num>
  <w:num w:numId="11">
    <w:abstractNumId w:val="12"/>
    <w:lvlOverride w:ilvl="0">
      <w:startOverride w:val="1"/>
    </w:lvlOverride>
  </w:num>
  <w:num w:numId="12">
    <w:abstractNumId w:val="5"/>
  </w:num>
  <w:num w:numId="13">
    <w:abstractNumId w:val="9"/>
  </w:num>
  <w:num w:numId="14">
    <w:abstractNumId w:val="1"/>
  </w:num>
  <w:num w:numId="15">
    <w:abstractNumId w:val="30"/>
  </w:num>
  <w:num w:numId="16">
    <w:abstractNumId w:val="17"/>
  </w:num>
  <w:num w:numId="17">
    <w:abstractNumId w:val="21"/>
  </w:num>
  <w:num w:numId="18">
    <w:abstractNumId w:val="4"/>
  </w:num>
  <w:num w:numId="19">
    <w:abstractNumId w:val="27"/>
  </w:num>
  <w:num w:numId="20">
    <w:abstractNumId w:val="11"/>
  </w:num>
  <w:num w:numId="21">
    <w:abstractNumId w:val="3"/>
  </w:num>
  <w:num w:numId="22">
    <w:abstractNumId w:val="29"/>
  </w:num>
  <w:num w:numId="23">
    <w:abstractNumId w:val="14"/>
  </w:num>
  <w:num w:numId="24">
    <w:abstractNumId w:val="22"/>
  </w:num>
  <w:num w:numId="25">
    <w:abstractNumId w:val="6"/>
  </w:num>
  <w:num w:numId="26">
    <w:abstractNumId w:val="28"/>
  </w:num>
  <w:num w:numId="27">
    <w:abstractNumId w:val="7"/>
  </w:num>
  <w:num w:numId="28">
    <w:abstractNumId w:val="16"/>
  </w:num>
  <w:num w:numId="29">
    <w:abstractNumId w:val="19"/>
  </w:num>
  <w:num w:numId="30">
    <w:abstractNumId w:val="11"/>
  </w:num>
  <w:num w:numId="31">
    <w:abstractNumId w:val="25"/>
  </w:num>
  <w:num w:numId="32">
    <w:abstractNumId w:val="0"/>
  </w:num>
  <w:num w:numId="33">
    <w:abstractNumId w:val="30"/>
    <w:lvlOverride w:ilvl="0">
      <w:startOverride w:val="1"/>
    </w:lvlOverride>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1E"/>
    <w:rsid w:val="000000D8"/>
    <w:rsid w:val="00002B69"/>
    <w:rsid w:val="000050EA"/>
    <w:rsid w:val="00007A87"/>
    <w:rsid w:val="00007CAD"/>
    <w:rsid w:val="00010161"/>
    <w:rsid w:val="0001039D"/>
    <w:rsid w:val="000117CD"/>
    <w:rsid w:val="00013E85"/>
    <w:rsid w:val="00015670"/>
    <w:rsid w:val="00022049"/>
    <w:rsid w:val="00024DFC"/>
    <w:rsid w:val="00024F36"/>
    <w:rsid w:val="000253B5"/>
    <w:rsid w:val="00026A58"/>
    <w:rsid w:val="00027792"/>
    <w:rsid w:val="00034C8F"/>
    <w:rsid w:val="000405A9"/>
    <w:rsid w:val="00042FE8"/>
    <w:rsid w:val="00045878"/>
    <w:rsid w:val="00046A9E"/>
    <w:rsid w:val="00056557"/>
    <w:rsid w:val="00065F0F"/>
    <w:rsid w:val="00067235"/>
    <w:rsid w:val="00070F94"/>
    <w:rsid w:val="00071016"/>
    <w:rsid w:val="000713B0"/>
    <w:rsid w:val="0007514C"/>
    <w:rsid w:val="0007776A"/>
    <w:rsid w:val="00084BCE"/>
    <w:rsid w:val="0009014D"/>
    <w:rsid w:val="000901E2"/>
    <w:rsid w:val="00094118"/>
    <w:rsid w:val="00094A10"/>
    <w:rsid w:val="00095539"/>
    <w:rsid w:val="000957C0"/>
    <w:rsid w:val="000A354B"/>
    <w:rsid w:val="000A3DBF"/>
    <w:rsid w:val="000A4CB4"/>
    <w:rsid w:val="000A5376"/>
    <w:rsid w:val="000A70BB"/>
    <w:rsid w:val="000A7CA2"/>
    <w:rsid w:val="000B25E6"/>
    <w:rsid w:val="000B3957"/>
    <w:rsid w:val="000B49C1"/>
    <w:rsid w:val="000C30B6"/>
    <w:rsid w:val="000C5AEF"/>
    <w:rsid w:val="000D0175"/>
    <w:rsid w:val="000D052B"/>
    <w:rsid w:val="000D100E"/>
    <w:rsid w:val="000D6471"/>
    <w:rsid w:val="000D68DA"/>
    <w:rsid w:val="000E0ADA"/>
    <w:rsid w:val="000E1A71"/>
    <w:rsid w:val="000E43CD"/>
    <w:rsid w:val="000E5975"/>
    <w:rsid w:val="000E6A43"/>
    <w:rsid w:val="000E6F03"/>
    <w:rsid w:val="000F14A9"/>
    <w:rsid w:val="000F207E"/>
    <w:rsid w:val="000F2B94"/>
    <w:rsid w:val="000F33F3"/>
    <w:rsid w:val="000F59F4"/>
    <w:rsid w:val="00102F2B"/>
    <w:rsid w:val="00103E2D"/>
    <w:rsid w:val="00105D26"/>
    <w:rsid w:val="00116A57"/>
    <w:rsid w:val="00126C7F"/>
    <w:rsid w:val="001312DD"/>
    <w:rsid w:val="00132594"/>
    <w:rsid w:val="00142494"/>
    <w:rsid w:val="00144CA7"/>
    <w:rsid w:val="00146703"/>
    <w:rsid w:val="0015165F"/>
    <w:rsid w:val="0015386B"/>
    <w:rsid w:val="001540C1"/>
    <w:rsid w:val="00161448"/>
    <w:rsid w:val="00162161"/>
    <w:rsid w:val="00166EF7"/>
    <w:rsid w:val="00175027"/>
    <w:rsid w:val="00177696"/>
    <w:rsid w:val="0018108A"/>
    <w:rsid w:val="0018147E"/>
    <w:rsid w:val="001821EA"/>
    <w:rsid w:val="00186BB4"/>
    <w:rsid w:val="00187176"/>
    <w:rsid w:val="001928D1"/>
    <w:rsid w:val="001960AB"/>
    <w:rsid w:val="001A1EBB"/>
    <w:rsid w:val="001A25F2"/>
    <w:rsid w:val="001A57E4"/>
    <w:rsid w:val="001A5A70"/>
    <w:rsid w:val="001B3225"/>
    <w:rsid w:val="001B3280"/>
    <w:rsid w:val="001B3B69"/>
    <w:rsid w:val="001B63AC"/>
    <w:rsid w:val="001B6A23"/>
    <w:rsid w:val="001C168E"/>
    <w:rsid w:val="001C2D40"/>
    <w:rsid w:val="001C345C"/>
    <w:rsid w:val="001C4FA7"/>
    <w:rsid w:val="001C4FB2"/>
    <w:rsid w:val="001C6754"/>
    <w:rsid w:val="001C7014"/>
    <w:rsid w:val="001D2AD5"/>
    <w:rsid w:val="001D38E8"/>
    <w:rsid w:val="001D4A9F"/>
    <w:rsid w:val="001D7A0D"/>
    <w:rsid w:val="001E1BFF"/>
    <w:rsid w:val="001E28FE"/>
    <w:rsid w:val="001E4737"/>
    <w:rsid w:val="001E5B28"/>
    <w:rsid w:val="001E7645"/>
    <w:rsid w:val="001E7653"/>
    <w:rsid w:val="001F1CCD"/>
    <w:rsid w:val="001F1E71"/>
    <w:rsid w:val="001F6514"/>
    <w:rsid w:val="00200BE7"/>
    <w:rsid w:val="00203593"/>
    <w:rsid w:val="00206E0C"/>
    <w:rsid w:val="00213653"/>
    <w:rsid w:val="00214939"/>
    <w:rsid w:val="00215D81"/>
    <w:rsid w:val="002176DB"/>
    <w:rsid w:val="00217C76"/>
    <w:rsid w:val="00224AE5"/>
    <w:rsid w:val="00227C8B"/>
    <w:rsid w:val="0023204E"/>
    <w:rsid w:val="00233490"/>
    <w:rsid w:val="00233E41"/>
    <w:rsid w:val="002360BD"/>
    <w:rsid w:val="00237079"/>
    <w:rsid w:val="002411BF"/>
    <w:rsid w:val="00244B80"/>
    <w:rsid w:val="002530ED"/>
    <w:rsid w:val="002542FE"/>
    <w:rsid w:val="002548A7"/>
    <w:rsid w:val="00256A32"/>
    <w:rsid w:val="00263DC1"/>
    <w:rsid w:val="00264283"/>
    <w:rsid w:val="00264308"/>
    <w:rsid w:val="00264708"/>
    <w:rsid w:val="00267299"/>
    <w:rsid w:val="0027044B"/>
    <w:rsid w:val="0027193B"/>
    <w:rsid w:val="002748F9"/>
    <w:rsid w:val="002775BA"/>
    <w:rsid w:val="0028541E"/>
    <w:rsid w:val="00285DA8"/>
    <w:rsid w:val="0029662A"/>
    <w:rsid w:val="00296DF0"/>
    <w:rsid w:val="002977BC"/>
    <w:rsid w:val="00297B82"/>
    <w:rsid w:val="002A3304"/>
    <w:rsid w:val="002A583A"/>
    <w:rsid w:val="002A5B1B"/>
    <w:rsid w:val="002B46AA"/>
    <w:rsid w:val="002B5581"/>
    <w:rsid w:val="002B6E32"/>
    <w:rsid w:val="002C187C"/>
    <w:rsid w:val="002C25FC"/>
    <w:rsid w:val="002C53B4"/>
    <w:rsid w:val="002C5EC3"/>
    <w:rsid w:val="002C5ECE"/>
    <w:rsid w:val="002D0AF0"/>
    <w:rsid w:val="002D5060"/>
    <w:rsid w:val="002D5C8E"/>
    <w:rsid w:val="002D683C"/>
    <w:rsid w:val="002E2744"/>
    <w:rsid w:val="002E5F28"/>
    <w:rsid w:val="002F007F"/>
    <w:rsid w:val="002F600A"/>
    <w:rsid w:val="002F606C"/>
    <w:rsid w:val="002F60B0"/>
    <w:rsid w:val="002F7EA2"/>
    <w:rsid w:val="0030125A"/>
    <w:rsid w:val="003025F6"/>
    <w:rsid w:val="003042FE"/>
    <w:rsid w:val="00305CD4"/>
    <w:rsid w:val="003108B1"/>
    <w:rsid w:val="003124EC"/>
    <w:rsid w:val="00312688"/>
    <w:rsid w:val="00315B6D"/>
    <w:rsid w:val="00316FD7"/>
    <w:rsid w:val="00320904"/>
    <w:rsid w:val="003269E0"/>
    <w:rsid w:val="0033315C"/>
    <w:rsid w:val="003334FF"/>
    <w:rsid w:val="00335C5D"/>
    <w:rsid w:val="00340036"/>
    <w:rsid w:val="00341E12"/>
    <w:rsid w:val="00343A25"/>
    <w:rsid w:val="003451FB"/>
    <w:rsid w:val="00346B12"/>
    <w:rsid w:val="0034707B"/>
    <w:rsid w:val="0034770B"/>
    <w:rsid w:val="0035489C"/>
    <w:rsid w:val="00356B1A"/>
    <w:rsid w:val="00362837"/>
    <w:rsid w:val="0036287D"/>
    <w:rsid w:val="00363080"/>
    <w:rsid w:val="0036436D"/>
    <w:rsid w:val="00364614"/>
    <w:rsid w:val="00365A18"/>
    <w:rsid w:val="00365DC3"/>
    <w:rsid w:val="00372278"/>
    <w:rsid w:val="003733AE"/>
    <w:rsid w:val="00373E98"/>
    <w:rsid w:val="0037401D"/>
    <w:rsid w:val="00374611"/>
    <w:rsid w:val="00375B75"/>
    <w:rsid w:val="00380A5F"/>
    <w:rsid w:val="00382C6E"/>
    <w:rsid w:val="0038504C"/>
    <w:rsid w:val="00386AC7"/>
    <w:rsid w:val="00392F4B"/>
    <w:rsid w:val="00393434"/>
    <w:rsid w:val="003A1718"/>
    <w:rsid w:val="003A453E"/>
    <w:rsid w:val="003A5D66"/>
    <w:rsid w:val="003A7481"/>
    <w:rsid w:val="003A7D30"/>
    <w:rsid w:val="003B3126"/>
    <w:rsid w:val="003B3409"/>
    <w:rsid w:val="003B4119"/>
    <w:rsid w:val="003B4A2F"/>
    <w:rsid w:val="003B7D0F"/>
    <w:rsid w:val="003C3B38"/>
    <w:rsid w:val="003D26E9"/>
    <w:rsid w:val="003D3DCC"/>
    <w:rsid w:val="003D41E4"/>
    <w:rsid w:val="003F260A"/>
    <w:rsid w:val="003F413F"/>
    <w:rsid w:val="004056B7"/>
    <w:rsid w:val="00405CB9"/>
    <w:rsid w:val="004122E3"/>
    <w:rsid w:val="0041753D"/>
    <w:rsid w:val="00421D66"/>
    <w:rsid w:val="004222BB"/>
    <w:rsid w:val="0042343B"/>
    <w:rsid w:val="00425280"/>
    <w:rsid w:val="00427A10"/>
    <w:rsid w:val="00430D52"/>
    <w:rsid w:val="00431712"/>
    <w:rsid w:val="004333AD"/>
    <w:rsid w:val="00435CBB"/>
    <w:rsid w:val="00443E81"/>
    <w:rsid w:val="00444343"/>
    <w:rsid w:val="00444D12"/>
    <w:rsid w:val="00451306"/>
    <w:rsid w:val="00453535"/>
    <w:rsid w:val="00456CFB"/>
    <w:rsid w:val="004619A0"/>
    <w:rsid w:val="00467FE1"/>
    <w:rsid w:val="00473953"/>
    <w:rsid w:val="004810F7"/>
    <w:rsid w:val="00481E6B"/>
    <w:rsid w:val="004848DC"/>
    <w:rsid w:val="0049140D"/>
    <w:rsid w:val="0049349D"/>
    <w:rsid w:val="004936F6"/>
    <w:rsid w:val="004975D2"/>
    <w:rsid w:val="004A2583"/>
    <w:rsid w:val="004A28B1"/>
    <w:rsid w:val="004A4020"/>
    <w:rsid w:val="004A416D"/>
    <w:rsid w:val="004A50DC"/>
    <w:rsid w:val="004A5977"/>
    <w:rsid w:val="004B3445"/>
    <w:rsid w:val="004B34CE"/>
    <w:rsid w:val="004B3E22"/>
    <w:rsid w:val="004C3668"/>
    <w:rsid w:val="004C7478"/>
    <w:rsid w:val="004D1161"/>
    <w:rsid w:val="004D214C"/>
    <w:rsid w:val="004D2849"/>
    <w:rsid w:val="004D5C50"/>
    <w:rsid w:val="004E1E5F"/>
    <w:rsid w:val="004E4E98"/>
    <w:rsid w:val="004E4FF1"/>
    <w:rsid w:val="004E777B"/>
    <w:rsid w:val="004F1046"/>
    <w:rsid w:val="004F133A"/>
    <w:rsid w:val="004F38E9"/>
    <w:rsid w:val="004F5BA5"/>
    <w:rsid w:val="00500293"/>
    <w:rsid w:val="0050039D"/>
    <w:rsid w:val="005017BF"/>
    <w:rsid w:val="00511D1D"/>
    <w:rsid w:val="00516543"/>
    <w:rsid w:val="005219D8"/>
    <w:rsid w:val="005232F5"/>
    <w:rsid w:val="005255F6"/>
    <w:rsid w:val="00526B51"/>
    <w:rsid w:val="00526FAE"/>
    <w:rsid w:val="00527BBA"/>
    <w:rsid w:val="005315DC"/>
    <w:rsid w:val="00532E07"/>
    <w:rsid w:val="00533FEF"/>
    <w:rsid w:val="00534A30"/>
    <w:rsid w:val="0054342B"/>
    <w:rsid w:val="005440B5"/>
    <w:rsid w:val="00544975"/>
    <w:rsid w:val="00550991"/>
    <w:rsid w:val="005559AA"/>
    <w:rsid w:val="00556EB9"/>
    <w:rsid w:val="00561D0C"/>
    <w:rsid w:val="0056267B"/>
    <w:rsid w:val="00564D46"/>
    <w:rsid w:val="00566E93"/>
    <w:rsid w:val="00573BE1"/>
    <w:rsid w:val="00574D88"/>
    <w:rsid w:val="00585448"/>
    <w:rsid w:val="00585698"/>
    <w:rsid w:val="00590EE5"/>
    <w:rsid w:val="00591453"/>
    <w:rsid w:val="00592BBE"/>
    <w:rsid w:val="0059355D"/>
    <w:rsid w:val="005971BB"/>
    <w:rsid w:val="00597686"/>
    <w:rsid w:val="005A0F14"/>
    <w:rsid w:val="005A24A2"/>
    <w:rsid w:val="005A4148"/>
    <w:rsid w:val="005A49AE"/>
    <w:rsid w:val="005A6F79"/>
    <w:rsid w:val="005A7B44"/>
    <w:rsid w:val="005B4171"/>
    <w:rsid w:val="005B4175"/>
    <w:rsid w:val="005B7431"/>
    <w:rsid w:val="005B7F87"/>
    <w:rsid w:val="005C1E6F"/>
    <w:rsid w:val="005C2ABE"/>
    <w:rsid w:val="005C3494"/>
    <w:rsid w:val="005C3E95"/>
    <w:rsid w:val="005C4573"/>
    <w:rsid w:val="005C6596"/>
    <w:rsid w:val="005D0576"/>
    <w:rsid w:val="005D0BD5"/>
    <w:rsid w:val="005D28AC"/>
    <w:rsid w:val="005D5948"/>
    <w:rsid w:val="005D60E6"/>
    <w:rsid w:val="005D6452"/>
    <w:rsid w:val="005E2C90"/>
    <w:rsid w:val="005E445D"/>
    <w:rsid w:val="005E642C"/>
    <w:rsid w:val="005E7340"/>
    <w:rsid w:val="005E7C0E"/>
    <w:rsid w:val="005F3647"/>
    <w:rsid w:val="005F6298"/>
    <w:rsid w:val="00600205"/>
    <w:rsid w:val="00602542"/>
    <w:rsid w:val="006038EB"/>
    <w:rsid w:val="006044BE"/>
    <w:rsid w:val="0060585D"/>
    <w:rsid w:val="00607912"/>
    <w:rsid w:val="0061286C"/>
    <w:rsid w:val="006174E1"/>
    <w:rsid w:val="00620FA8"/>
    <w:rsid w:val="0062147F"/>
    <w:rsid w:val="00622D96"/>
    <w:rsid w:val="0062572E"/>
    <w:rsid w:val="00631D9C"/>
    <w:rsid w:val="00632CD5"/>
    <w:rsid w:val="006338DE"/>
    <w:rsid w:val="00636F03"/>
    <w:rsid w:val="00640751"/>
    <w:rsid w:val="00641C41"/>
    <w:rsid w:val="00643210"/>
    <w:rsid w:val="00645EC1"/>
    <w:rsid w:val="00646C05"/>
    <w:rsid w:val="0065512E"/>
    <w:rsid w:val="0065548D"/>
    <w:rsid w:val="00660D23"/>
    <w:rsid w:val="00667043"/>
    <w:rsid w:val="00672429"/>
    <w:rsid w:val="00677812"/>
    <w:rsid w:val="00681A2E"/>
    <w:rsid w:val="0068325A"/>
    <w:rsid w:val="00683D49"/>
    <w:rsid w:val="0068402B"/>
    <w:rsid w:val="0068730D"/>
    <w:rsid w:val="00687B7D"/>
    <w:rsid w:val="00697FC4"/>
    <w:rsid w:val="006A1EEE"/>
    <w:rsid w:val="006B0BEA"/>
    <w:rsid w:val="006B213A"/>
    <w:rsid w:val="006B4314"/>
    <w:rsid w:val="006C033C"/>
    <w:rsid w:val="006C36A5"/>
    <w:rsid w:val="006D1252"/>
    <w:rsid w:val="006D4F7A"/>
    <w:rsid w:val="006D56CF"/>
    <w:rsid w:val="006D7A0B"/>
    <w:rsid w:val="006E0601"/>
    <w:rsid w:val="006E106A"/>
    <w:rsid w:val="006E3C0E"/>
    <w:rsid w:val="006E597C"/>
    <w:rsid w:val="006E6B36"/>
    <w:rsid w:val="006F0A5A"/>
    <w:rsid w:val="006F1061"/>
    <w:rsid w:val="006F1997"/>
    <w:rsid w:val="006F7249"/>
    <w:rsid w:val="0070010C"/>
    <w:rsid w:val="00700966"/>
    <w:rsid w:val="00704A5C"/>
    <w:rsid w:val="0071287B"/>
    <w:rsid w:val="00715D85"/>
    <w:rsid w:val="00720D34"/>
    <w:rsid w:val="00721B4B"/>
    <w:rsid w:val="00723440"/>
    <w:rsid w:val="00725489"/>
    <w:rsid w:val="007258CE"/>
    <w:rsid w:val="00725B68"/>
    <w:rsid w:val="00730BDE"/>
    <w:rsid w:val="00730F11"/>
    <w:rsid w:val="00731EFB"/>
    <w:rsid w:val="00731F7A"/>
    <w:rsid w:val="00733F9C"/>
    <w:rsid w:val="0073535F"/>
    <w:rsid w:val="00741A79"/>
    <w:rsid w:val="007433D2"/>
    <w:rsid w:val="00743E6F"/>
    <w:rsid w:val="00744300"/>
    <w:rsid w:val="007443DB"/>
    <w:rsid w:val="00744950"/>
    <w:rsid w:val="00744EF7"/>
    <w:rsid w:val="007511F3"/>
    <w:rsid w:val="00753940"/>
    <w:rsid w:val="007546A3"/>
    <w:rsid w:val="00755028"/>
    <w:rsid w:val="00763BB3"/>
    <w:rsid w:val="007644F0"/>
    <w:rsid w:val="00766836"/>
    <w:rsid w:val="00767561"/>
    <w:rsid w:val="00767CA8"/>
    <w:rsid w:val="007752EF"/>
    <w:rsid w:val="0077794E"/>
    <w:rsid w:val="00777FF7"/>
    <w:rsid w:val="007848C3"/>
    <w:rsid w:val="00784CE2"/>
    <w:rsid w:val="0079472B"/>
    <w:rsid w:val="007959FA"/>
    <w:rsid w:val="00795B48"/>
    <w:rsid w:val="007A18D3"/>
    <w:rsid w:val="007B04C1"/>
    <w:rsid w:val="007B262C"/>
    <w:rsid w:val="007B46F8"/>
    <w:rsid w:val="007B5485"/>
    <w:rsid w:val="007C0237"/>
    <w:rsid w:val="007C235A"/>
    <w:rsid w:val="007C2EE6"/>
    <w:rsid w:val="007C3525"/>
    <w:rsid w:val="007C5235"/>
    <w:rsid w:val="007C5663"/>
    <w:rsid w:val="007C7ADC"/>
    <w:rsid w:val="007C7E3C"/>
    <w:rsid w:val="007D5759"/>
    <w:rsid w:val="007D68F3"/>
    <w:rsid w:val="007E4E7A"/>
    <w:rsid w:val="007E52EB"/>
    <w:rsid w:val="007E5CFE"/>
    <w:rsid w:val="007F064D"/>
    <w:rsid w:val="007F0FC2"/>
    <w:rsid w:val="007F1DE6"/>
    <w:rsid w:val="007F6E9A"/>
    <w:rsid w:val="007F7F25"/>
    <w:rsid w:val="00800B59"/>
    <w:rsid w:val="00801421"/>
    <w:rsid w:val="00807DFD"/>
    <w:rsid w:val="00812A8D"/>
    <w:rsid w:val="00812D6A"/>
    <w:rsid w:val="00813170"/>
    <w:rsid w:val="008146C1"/>
    <w:rsid w:val="008174E1"/>
    <w:rsid w:val="00817808"/>
    <w:rsid w:val="00817E65"/>
    <w:rsid w:val="00821472"/>
    <w:rsid w:val="00822421"/>
    <w:rsid w:val="00822EDB"/>
    <w:rsid w:val="00823422"/>
    <w:rsid w:val="00824D20"/>
    <w:rsid w:val="0082602E"/>
    <w:rsid w:val="00835AD4"/>
    <w:rsid w:val="0083726E"/>
    <w:rsid w:val="008404FE"/>
    <w:rsid w:val="00840DD5"/>
    <w:rsid w:val="00843397"/>
    <w:rsid w:val="008439C5"/>
    <w:rsid w:val="00844B28"/>
    <w:rsid w:val="00844F1F"/>
    <w:rsid w:val="008467FD"/>
    <w:rsid w:val="00847D8A"/>
    <w:rsid w:val="00851586"/>
    <w:rsid w:val="008534B5"/>
    <w:rsid w:val="008543A9"/>
    <w:rsid w:val="00855CE2"/>
    <w:rsid w:val="00860035"/>
    <w:rsid w:val="008601AB"/>
    <w:rsid w:val="008613D8"/>
    <w:rsid w:val="00864925"/>
    <w:rsid w:val="0086660A"/>
    <w:rsid w:val="008725FC"/>
    <w:rsid w:val="00873370"/>
    <w:rsid w:val="008779B8"/>
    <w:rsid w:val="008802FA"/>
    <w:rsid w:val="008826BC"/>
    <w:rsid w:val="008831CB"/>
    <w:rsid w:val="00883587"/>
    <w:rsid w:val="00884A34"/>
    <w:rsid w:val="0088527F"/>
    <w:rsid w:val="00892A19"/>
    <w:rsid w:val="00896586"/>
    <w:rsid w:val="00896713"/>
    <w:rsid w:val="008979D7"/>
    <w:rsid w:val="008A142B"/>
    <w:rsid w:val="008A4886"/>
    <w:rsid w:val="008A562F"/>
    <w:rsid w:val="008A57FA"/>
    <w:rsid w:val="008A6852"/>
    <w:rsid w:val="008B0A53"/>
    <w:rsid w:val="008B3AD6"/>
    <w:rsid w:val="008B4B2F"/>
    <w:rsid w:val="008B58AD"/>
    <w:rsid w:val="008B783A"/>
    <w:rsid w:val="008C0179"/>
    <w:rsid w:val="008C19BF"/>
    <w:rsid w:val="008C1ACB"/>
    <w:rsid w:val="008C1FDC"/>
    <w:rsid w:val="008C2149"/>
    <w:rsid w:val="008C65EB"/>
    <w:rsid w:val="008D06A2"/>
    <w:rsid w:val="008D242F"/>
    <w:rsid w:val="008D5F30"/>
    <w:rsid w:val="008D652B"/>
    <w:rsid w:val="008F0003"/>
    <w:rsid w:val="008F20F7"/>
    <w:rsid w:val="008F21E8"/>
    <w:rsid w:val="008F2DE0"/>
    <w:rsid w:val="008F645C"/>
    <w:rsid w:val="009019DA"/>
    <w:rsid w:val="00902A80"/>
    <w:rsid w:val="0090499A"/>
    <w:rsid w:val="009069AC"/>
    <w:rsid w:val="00916CBF"/>
    <w:rsid w:val="00921196"/>
    <w:rsid w:val="0092345C"/>
    <w:rsid w:val="00924D03"/>
    <w:rsid w:val="00925D23"/>
    <w:rsid w:val="009268BB"/>
    <w:rsid w:val="009328C2"/>
    <w:rsid w:val="0093396B"/>
    <w:rsid w:val="0093513E"/>
    <w:rsid w:val="009365B3"/>
    <w:rsid w:val="00936EFA"/>
    <w:rsid w:val="00940842"/>
    <w:rsid w:val="009436D5"/>
    <w:rsid w:val="00944C54"/>
    <w:rsid w:val="00945450"/>
    <w:rsid w:val="00947DDD"/>
    <w:rsid w:val="00954250"/>
    <w:rsid w:val="00955A84"/>
    <w:rsid w:val="0095724A"/>
    <w:rsid w:val="00960837"/>
    <w:rsid w:val="00960A9A"/>
    <w:rsid w:val="00966111"/>
    <w:rsid w:val="009707E7"/>
    <w:rsid w:val="009741D5"/>
    <w:rsid w:val="00974850"/>
    <w:rsid w:val="009777E0"/>
    <w:rsid w:val="009819E1"/>
    <w:rsid w:val="00983A50"/>
    <w:rsid w:val="00983F3B"/>
    <w:rsid w:val="00985AF8"/>
    <w:rsid w:val="00987842"/>
    <w:rsid w:val="00993A39"/>
    <w:rsid w:val="00995466"/>
    <w:rsid w:val="009961A2"/>
    <w:rsid w:val="009972E0"/>
    <w:rsid w:val="00997356"/>
    <w:rsid w:val="009A0C78"/>
    <w:rsid w:val="009A1BD0"/>
    <w:rsid w:val="009A4C52"/>
    <w:rsid w:val="009A4E35"/>
    <w:rsid w:val="009A5BF6"/>
    <w:rsid w:val="009A62FD"/>
    <w:rsid w:val="009B237C"/>
    <w:rsid w:val="009B30FD"/>
    <w:rsid w:val="009B3189"/>
    <w:rsid w:val="009B3E1E"/>
    <w:rsid w:val="009B5440"/>
    <w:rsid w:val="009C3480"/>
    <w:rsid w:val="009C5B8B"/>
    <w:rsid w:val="009C6AEB"/>
    <w:rsid w:val="009C75A7"/>
    <w:rsid w:val="009D0CDE"/>
    <w:rsid w:val="009D1456"/>
    <w:rsid w:val="009D30D0"/>
    <w:rsid w:val="009D32E7"/>
    <w:rsid w:val="009D3C5E"/>
    <w:rsid w:val="009D43B1"/>
    <w:rsid w:val="009D4452"/>
    <w:rsid w:val="009D550D"/>
    <w:rsid w:val="009E4F5D"/>
    <w:rsid w:val="009F1716"/>
    <w:rsid w:val="009F3F4A"/>
    <w:rsid w:val="009F4B61"/>
    <w:rsid w:val="00A015C8"/>
    <w:rsid w:val="00A0309D"/>
    <w:rsid w:val="00A0464D"/>
    <w:rsid w:val="00A058A8"/>
    <w:rsid w:val="00A067B5"/>
    <w:rsid w:val="00A0793B"/>
    <w:rsid w:val="00A07F02"/>
    <w:rsid w:val="00A10B67"/>
    <w:rsid w:val="00A12A6B"/>
    <w:rsid w:val="00A13C74"/>
    <w:rsid w:val="00A14BD5"/>
    <w:rsid w:val="00A1734C"/>
    <w:rsid w:val="00A17E61"/>
    <w:rsid w:val="00A210E5"/>
    <w:rsid w:val="00A21653"/>
    <w:rsid w:val="00A227B9"/>
    <w:rsid w:val="00A25C51"/>
    <w:rsid w:val="00A26B04"/>
    <w:rsid w:val="00A27C91"/>
    <w:rsid w:val="00A309C8"/>
    <w:rsid w:val="00A31931"/>
    <w:rsid w:val="00A325A8"/>
    <w:rsid w:val="00A36C35"/>
    <w:rsid w:val="00A44193"/>
    <w:rsid w:val="00A442DB"/>
    <w:rsid w:val="00A5546A"/>
    <w:rsid w:val="00A5578E"/>
    <w:rsid w:val="00A57138"/>
    <w:rsid w:val="00A571BD"/>
    <w:rsid w:val="00A61CC9"/>
    <w:rsid w:val="00A62B70"/>
    <w:rsid w:val="00A634F4"/>
    <w:rsid w:val="00A65C0F"/>
    <w:rsid w:val="00A7044E"/>
    <w:rsid w:val="00A746EF"/>
    <w:rsid w:val="00A75EAF"/>
    <w:rsid w:val="00A821C7"/>
    <w:rsid w:val="00A82411"/>
    <w:rsid w:val="00A83AE1"/>
    <w:rsid w:val="00A8541B"/>
    <w:rsid w:val="00A8590D"/>
    <w:rsid w:val="00A95F5B"/>
    <w:rsid w:val="00A97071"/>
    <w:rsid w:val="00AA0B51"/>
    <w:rsid w:val="00AA3DF2"/>
    <w:rsid w:val="00AA7980"/>
    <w:rsid w:val="00AB0F9E"/>
    <w:rsid w:val="00AB254A"/>
    <w:rsid w:val="00AB4153"/>
    <w:rsid w:val="00AB7A4C"/>
    <w:rsid w:val="00AC3B7C"/>
    <w:rsid w:val="00AD0977"/>
    <w:rsid w:val="00AD1290"/>
    <w:rsid w:val="00AD7070"/>
    <w:rsid w:val="00AE1A7F"/>
    <w:rsid w:val="00AE2E7B"/>
    <w:rsid w:val="00AE60A1"/>
    <w:rsid w:val="00AE65EF"/>
    <w:rsid w:val="00AF2265"/>
    <w:rsid w:val="00AF292F"/>
    <w:rsid w:val="00AF47B4"/>
    <w:rsid w:val="00AF6A76"/>
    <w:rsid w:val="00B0062C"/>
    <w:rsid w:val="00B06F8D"/>
    <w:rsid w:val="00B1157F"/>
    <w:rsid w:val="00B14FD6"/>
    <w:rsid w:val="00B1539B"/>
    <w:rsid w:val="00B2096A"/>
    <w:rsid w:val="00B20A4E"/>
    <w:rsid w:val="00B20F82"/>
    <w:rsid w:val="00B23736"/>
    <w:rsid w:val="00B26D41"/>
    <w:rsid w:val="00B30588"/>
    <w:rsid w:val="00B3227D"/>
    <w:rsid w:val="00B34579"/>
    <w:rsid w:val="00B35342"/>
    <w:rsid w:val="00B37295"/>
    <w:rsid w:val="00B375DE"/>
    <w:rsid w:val="00B42939"/>
    <w:rsid w:val="00B42AA1"/>
    <w:rsid w:val="00B56A33"/>
    <w:rsid w:val="00B63B77"/>
    <w:rsid w:val="00B67BF3"/>
    <w:rsid w:val="00B67F30"/>
    <w:rsid w:val="00B70D31"/>
    <w:rsid w:val="00B77CB4"/>
    <w:rsid w:val="00B817A3"/>
    <w:rsid w:val="00B82B52"/>
    <w:rsid w:val="00B835B8"/>
    <w:rsid w:val="00B84D61"/>
    <w:rsid w:val="00B96A60"/>
    <w:rsid w:val="00BA0BE2"/>
    <w:rsid w:val="00BA125A"/>
    <w:rsid w:val="00BA1DAA"/>
    <w:rsid w:val="00BA6356"/>
    <w:rsid w:val="00BA6B71"/>
    <w:rsid w:val="00BA6D2B"/>
    <w:rsid w:val="00BB0D60"/>
    <w:rsid w:val="00BB11D8"/>
    <w:rsid w:val="00BB32BD"/>
    <w:rsid w:val="00BB4718"/>
    <w:rsid w:val="00BB5A53"/>
    <w:rsid w:val="00BC330C"/>
    <w:rsid w:val="00BC78E4"/>
    <w:rsid w:val="00BD185D"/>
    <w:rsid w:val="00BD1CD4"/>
    <w:rsid w:val="00BD570D"/>
    <w:rsid w:val="00BD68D7"/>
    <w:rsid w:val="00BE281E"/>
    <w:rsid w:val="00BE4390"/>
    <w:rsid w:val="00BE6CC6"/>
    <w:rsid w:val="00BE7A16"/>
    <w:rsid w:val="00BF05C1"/>
    <w:rsid w:val="00BF2CF6"/>
    <w:rsid w:val="00BF3C44"/>
    <w:rsid w:val="00BF3CB8"/>
    <w:rsid w:val="00BF72EE"/>
    <w:rsid w:val="00C02268"/>
    <w:rsid w:val="00C03089"/>
    <w:rsid w:val="00C04759"/>
    <w:rsid w:val="00C06644"/>
    <w:rsid w:val="00C13851"/>
    <w:rsid w:val="00C15951"/>
    <w:rsid w:val="00C21447"/>
    <w:rsid w:val="00C23089"/>
    <w:rsid w:val="00C23E6A"/>
    <w:rsid w:val="00C2595B"/>
    <w:rsid w:val="00C3090D"/>
    <w:rsid w:val="00C32EA9"/>
    <w:rsid w:val="00C33D8E"/>
    <w:rsid w:val="00C3458E"/>
    <w:rsid w:val="00C3461F"/>
    <w:rsid w:val="00C35383"/>
    <w:rsid w:val="00C355E3"/>
    <w:rsid w:val="00C40B19"/>
    <w:rsid w:val="00C41BFC"/>
    <w:rsid w:val="00C44870"/>
    <w:rsid w:val="00C45C33"/>
    <w:rsid w:val="00C45FEC"/>
    <w:rsid w:val="00C47BBB"/>
    <w:rsid w:val="00C53F17"/>
    <w:rsid w:val="00C56D08"/>
    <w:rsid w:val="00C6714F"/>
    <w:rsid w:val="00C67D8D"/>
    <w:rsid w:val="00C7186A"/>
    <w:rsid w:val="00C72F2C"/>
    <w:rsid w:val="00C746A6"/>
    <w:rsid w:val="00C74D75"/>
    <w:rsid w:val="00C758D3"/>
    <w:rsid w:val="00C76053"/>
    <w:rsid w:val="00C76971"/>
    <w:rsid w:val="00C8066A"/>
    <w:rsid w:val="00C841F9"/>
    <w:rsid w:val="00C846D6"/>
    <w:rsid w:val="00C9043E"/>
    <w:rsid w:val="00C93B11"/>
    <w:rsid w:val="00C9503E"/>
    <w:rsid w:val="00CA0C11"/>
    <w:rsid w:val="00CA0E83"/>
    <w:rsid w:val="00CA1C31"/>
    <w:rsid w:val="00CA1EDA"/>
    <w:rsid w:val="00CA2CDD"/>
    <w:rsid w:val="00CA49BC"/>
    <w:rsid w:val="00CB0132"/>
    <w:rsid w:val="00CB4959"/>
    <w:rsid w:val="00CB5B33"/>
    <w:rsid w:val="00CB66A1"/>
    <w:rsid w:val="00CC2980"/>
    <w:rsid w:val="00CC4433"/>
    <w:rsid w:val="00CC5207"/>
    <w:rsid w:val="00CC7103"/>
    <w:rsid w:val="00CC7917"/>
    <w:rsid w:val="00CD60D1"/>
    <w:rsid w:val="00CE1C5B"/>
    <w:rsid w:val="00CE2940"/>
    <w:rsid w:val="00CF3235"/>
    <w:rsid w:val="00CF443C"/>
    <w:rsid w:val="00CF5783"/>
    <w:rsid w:val="00CF6218"/>
    <w:rsid w:val="00CF6713"/>
    <w:rsid w:val="00CF7FAC"/>
    <w:rsid w:val="00D01583"/>
    <w:rsid w:val="00D04A2B"/>
    <w:rsid w:val="00D052C1"/>
    <w:rsid w:val="00D05E73"/>
    <w:rsid w:val="00D06F1F"/>
    <w:rsid w:val="00D14491"/>
    <w:rsid w:val="00D14CFB"/>
    <w:rsid w:val="00D163C7"/>
    <w:rsid w:val="00D22CE9"/>
    <w:rsid w:val="00D23349"/>
    <w:rsid w:val="00D2381E"/>
    <w:rsid w:val="00D245F7"/>
    <w:rsid w:val="00D34FCA"/>
    <w:rsid w:val="00D37FD3"/>
    <w:rsid w:val="00D45736"/>
    <w:rsid w:val="00D4598B"/>
    <w:rsid w:val="00D473BF"/>
    <w:rsid w:val="00D522E7"/>
    <w:rsid w:val="00D54EAC"/>
    <w:rsid w:val="00D56722"/>
    <w:rsid w:val="00D56838"/>
    <w:rsid w:val="00D56BC5"/>
    <w:rsid w:val="00D608C1"/>
    <w:rsid w:val="00D65C42"/>
    <w:rsid w:val="00D67574"/>
    <w:rsid w:val="00D67F4B"/>
    <w:rsid w:val="00D73300"/>
    <w:rsid w:val="00D7342D"/>
    <w:rsid w:val="00D73664"/>
    <w:rsid w:val="00D765DC"/>
    <w:rsid w:val="00D7676D"/>
    <w:rsid w:val="00D77ED8"/>
    <w:rsid w:val="00D80A2D"/>
    <w:rsid w:val="00D863FD"/>
    <w:rsid w:val="00D86ED0"/>
    <w:rsid w:val="00D873DF"/>
    <w:rsid w:val="00D87EC1"/>
    <w:rsid w:val="00D93A3D"/>
    <w:rsid w:val="00D93F24"/>
    <w:rsid w:val="00D940BF"/>
    <w:rsid w:val="00D94CF7"/>
    <w:rsid w:val="00D95C44"/>
    <w:rsid w:val="00DB0B63"/>
    <w:rsid w:val="00DB2ECD"/>
    <w:rsid w:val="00DB460B"/>
    <w:rsid w:val="00DB706E"/>
    <w:rsid w:val="00DC049B"/>
    <w:rsid w:val="00DC2030"/>
    <w:rsid w:val="00DC2192"/>
    <w:rsid w:val="00DC2908"/>
    <w:rsid w:val="00DC32CA"/>
    <w:rsid w:val="00DC78AA"/>
    <w:rsid w:val="00DD176F"/>
    <w:rsid w:val="00DD27D9"/>
    <w:rsid w:val="00DD59D3"/>
    <w:rsid w:val="00DE1989"/>
    <w:rsid w:val="00DE4440"/>
    <w:rsid w:val="00DF2132"/>
    <w:rsid w:val="00DF2658"/>
    <w:rsid w:val="00DF3BAC"/>
    <w:rsid w:val="00E01E72"/>
    <w:rsid w:val="00E06A0E"/>
    <w:rsid w:val="00E075A9"/>
    <w:rsid w:val="00E15AB7"/>
    <w:rsid w:val="00E16CFE"/>
    <w:rsid w:val="00E22D2B"/>
    <w:rsid w:val="00E23D2B"/>
    <w:rsid w:val="00E249FB"/>
    <w:rsid w:val="00E26277"/>
    <w:rsid w:val="00E3046C"/>
    <w:rsid w:val="00E34E10"/>
    <w:rsid w:val="00E36C70"/>
    <w:rsid w:val="00E41C73"/>
    <w:rsid w:val="00E457B2"/>
    <w:rsid w:val="00E46AB8"/>
    <w:rsid w:val="00E475DC"/>
    <w:rsid w:val="00E5067D"/>
    <w:rsid w:val="00E51250"/>
    <w:rsid w:val="00E51B4C"/>
    <w:rsid w:val="00E527FB"/>
    <w:rsid w:val="00E5466E"/>
    <w:rsid w:val="00E566DD"/>
    <w:rsid w:val="00E574B9"/>
    <w:rsid w:val="00E678A9"/>
    <w:rsid w:val="00E702E4"/>
    <w:rsid w:val="00E709E1"/>
    <w:rsid w:val="00E739F2"/>
    <w:rsid w:val="00E7418A"/>
    <w:rsid w:val="00E76616"/>
    <w:rsid w:val="00E77C31"/>
    <w:rsid w:val="00E81A87"/>
    <w:rsid w:val="00E82375"/>
    <w:rsid w:val="00E823FF"/>
    <w:rsid w:val="00E82711"/>
    <w:rsid w:val="00E86942"/>
    <w:rsid w:val="00E943FD"/>
    <w:rsid w:val="00E94760"/>
    <w:rsid w:val="00E94789"/>
    <w:rsid w:val="00E958CE"/>
    <w:rsid w:val="00E95947"/>
    <w:rsid w:val="00E97364"/>
    <w:rsid w:val="00EA5BF0"/>
    <w:rsid w:val="00EA7D4C"/>
    <w:rsid w:val="00EB348C"/>
    <w:rsid w:val="00EB5C52"/>
    <w:rsid w:val="00EC0201"/>
    <w:rsid w:val="00EC07D4"/>
    <w:rsid w:val="00EC0C07"/>
    <w:rsid w:val="00EC0F26"/>
    <w:rsid w:val="00EC1F03"/>
    <w:rsid w:val="00EC3189"/>
    <w:rsid w:val="00EC3AAE"/>
    <w:rsid w:val="00ED0079"/>
    <w:rsid w:val="00ED2498"/>
    <w:rsid w:val="00ED4501"/>
    <w:rsid w:val="00ED6288"/>
    <w:rsid w:val="00EE16FA"/>
    <w:rsid w:val="00EE4D18"/>
    <w:rsid w:val="00EE5539"/>
    <w:rsid w:val="00EF7451"/>
    <w:rsid w:val="00F01CEF"/>
    <w:rsid w:val="00F01F50"/>
    <w:rsid w:val="00F0275B"/>
    <w:rsid w:val="00F04254"/>
    <w:rsid w:val="00F04665"/>
    <w:rsid w:val="00F04F07"/>
    <w:rsid w:val="00F074D7"/>
    <w:rsid w:val="00F123AE"/>
    <w:rsid w:val="00F12C81"/>
    <w:rsid w:val="00F14FC0"/>
    <w:rsid w:val="00F238E1"/>
    <w:rsid w:val="00F24B41"/>
    <w:rsid w:val="00F27A33"/>
    <w:rsid w:val="00F3264B"/>
    <w:rsid w:val="00F37D8D"/>
    <w:rsid w:val="00F4029D"/>
    <w:rsid w:val="00F409A6"/>
    <w:rsid w:val="00F40FD0"/>
    <w:rsid w:val="00F42B0F"/>
    <w:rsid w:val="00F444CC"/>
    <w:rsid w:val="00F454A9"/>
    <w:rsid w:val="00F45A04"/>
    <w:rsid w:val="00F47537"/>
    <w:rsid w:val="00F509E8"/>
    <w:rsid w:val="00F510A6"/>
    <w:rsid w:val="00F513A0"/>
    <w:rsid w:val="00F51592"/>
    <w:rsid w:val="00F53D5D"/>
    <w:rsid w:val="00F54E05"/>
    <w:rsid w:val="00F56A8A"/>
    <w:rsid w:val="00F57F0D"/>
    <w:rsid w:val="00F600EC"/>
    <w:rsid w:val="00F61BC8"/>
    <w:rsid w:val="00F622AA"/>
    <w:rsid w:val="00F62529"/>
    <w:rsid w:val="00F63E08"/>
    <w:rsid w:val="00F63FDF"/>
    <w:rsid w:val="00F6479A"/>
    <w:rsid w:val="00F66413"/>
    <w:rsid w:val="00F70673"/>
    <w:rsid w:val="00F70BA7"/>
    <w:rsid w:val="00F71CDB"/>
    <w:rsid w:val="00F71D97"/>
    <w:rsid w:val="00F72B4F"/>
    <w:rsid w:val="00F75163"/>
    <w:rsid w:val="00F758CE"/>
    <w:rsid w:val="00F8058E"/>
    <w:rsid w:val="00F82D74"/>
    <w:rsid w:val="00F93D7D"/>
    <w:rsid w:val="00F94C27"/>
    <w:rsid w:val="00F961C9"/>
    <w:rsid w:val="00F96A3D"/>
    <w:rsid w:val="00F97128"/>
    <w:rsid w:val="00FA59EC"/>
    <w:rsid w:val="00FA6E1C"/>
    <w:rsid w:val="00FA74C1"/>
    <w:rsid w:val="00FA7C4F"/>
    <w:rsid w:val="00FB0E5D"/>
    <w:rsid w:val="00FB16B7"/>
    <w:rsid w:val="00FB3628"/>
    <w:rsid w:val="00FB362E"/>
    <w:rsid w:val="00FB380A"/>
    <w:rsid w:val="00FB4979"/>
    <w:rsid w:val="00FB5D95"/>
    <w:rsid w:val="00FB5EE4"/>
    <w:rsid w:val="00FB5F9F"/>
    <w:rsid w:val="00FC2FE0"/>
    <w:rsid w:val="00FC6A5E"/>
    <w:rsid w:val="00FD015F"/>
    <w:rsid w:val="00FD169F"/>
    <w:rsid w:val="00FD6894"/>
    <w:rsid w:val="00FD7844"/>
    <w:rsid w:val="00FE1EDE"/>
    <w:rsid w:val="00FE23C1"/>
    <w:rsid w:val="00FE274B"/>
    <w:rsid w:val="00FE2E6B"/>
    <w:rsid w:val="00FF1E22"/>
    <w:rsid w:val="00FF27E2"/>
    <w:rsid w:val="00FF2ACA"/>
    <w:rsid w:val="00FF31B0"/>
    <w:rsid w:val="00FF4FC0"/>
    <w:rsid w:val="00FF521F"/>
    <w:rsid w:val="00FF631E"/>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E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0F2B94"/>
    <w:pPr>
      <w:numPr>
        <w:numId w:val="15"/>
      </w:numPr>
      <w:spacing w:after="120" w:line="240" w:lineRule="auto"/>
      <w:outlineLvl w:val="0"/>
    </w:pPr>
    <w:rPr>
      <w:b/>
    </w:rPr>
  </w:style>
  <w:style w:type="paragraph" w:styleId="Heading2">
    <w:name w:val="heading 2"/>
    <w:basedOn w:val="Normal"/>
    <w:next w:val="Normal"/>
    <w:link w:val="Heading2Char"/>
    <w:uiPriority w:val="9"/>
    <w:unhideWhenUsed/>
    <w:qFormat/>
    <w:rsid w:val="006174E1"/>
    <w:pPr>
      <w:keepNext/>
      <w:keepLines/>
      <w:numPr>
        <w:numId w:val="20"/>
      </w:numPr>
      <w:spacing w:before="200" w:after="120"/>
      <w:outlineLvl w:val="1"/>
    </w:pPr>
    <w:rPr>
      <w:rFonts w:eastAsiaTheme="majorEastAsia"/>
      <w:b/>
      <w:bCs/>
    </w:rPr>
  </w:style>
  <w:style w:type="paragraph" w:styleId="Heading3">
    <w:name w:val="heading 3"/>
    <w:basedOn w:val="Normal"/>
    <w:next w:val="Normal"/>
    <w:link w:val="Heading3Char"/>
    <w:uiPriority w:val="9"/>
    <w:semiHidden/>
    <w:unhideWhenUsed/>
    <w:qFormat/>
    <w:rsid w:val="00C32EA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2EA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2EA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2EA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2EA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2EA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2EA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90"/>
    <w:rPr>
      <w:rFonts w:ascii="Tahoma" w:hAnsi="Tahoma" w:cs="Tahoma"/>
      <w:sz w:val="16"/>
      <w:szCs w:val="16"/>
    </w:rPr>
  </w:style>
  <w:style w:type="paragraph" w:styleId="ListParagraph">
    <w:name w:val="List Paragraph"/>
    <w:basedOn w:val="Normal"/>
    <w:uiPriority w:val="34"/>
    <w:qFormat/>
    <w:rsid w:val="00233490"/>
    <w:pPr>
      <w:ind w:left="720"/>
      <w:contextualSpacing/>
    </w:pPr>
  </w:style>
  <w:style w:type="character" w:styleId="CommentReference">
    <w:name w:val="annotation reference"/>
    <w:basedOn w:val="DefaultParagraphFont"/>
    <w:uiPriority w:val="99"/>
    <w:semiHidden/>
    <w:unhideWhenUsed/>
    <w:rsid w:val="00660D23"/>
    <w:rPr>
      <w:sz w:val="16"/>
      <w:szCs w:val="16"/>
    </w:rPr>
  </w:style>
  <w:style w:type="paragraph" w:styleId="CommentText">
    <w:name w:val="annotation text"/>
    <w:basedOn w:val="Normal"/>
    <w:link w:val="CommentTextChar"/>
    <w:uiPriority w:val="99"/>
    <w:unhideWhenUsed/>
    <w:rsid w:val="00660D23"/>
    <w:pPr>
      <w:spacing w:line="240" w:lineRule="auto"/>
    </w:pPr>
    <w:rPr>
      <w:sz w:val="20"/>
      <w:szCs w:val="20"/>
    </w:rPr>
  </w:style>
  <w:style w:type="character" w:customStyle="1" w:styleId="CommentTextChar">
    <w:name w:val="Comment Text Char"/>
    <w:basedOn w:val="DefaultParagraphFont"/>
    <w:link w:val="CommentText"/>
    <w:uiPriority w:val="99"/>
    <w:rsid w:val="00660D23"/>
    <w:rPr>
      <w:sz w:val="20"/>
      <w:szCs w:val="20"/>
    </w:rPr>
  </w:style>
  <w:style w:type="paragraph" w:styleId="CommentSubject">
    <w:name w:val="annotation subject"/>
    <w:basedOn w:val="CommentText"/>
    <w:next w:val="CommentText"/>
    <w:link w:val="CommentSubjectChar"/>
    <w:uiPriority w:val="99"/>
    <w:semiHidden/>
    <w:unhideWhenUsed/>
    <w:rsid w:val="00660D23"/>
    <w:rPr>
      <w:b/>
      <w:bCs/>
    </w:rPr>
  </w:style>
  <w:style w:type="character" w:customStyle="1" w:styleId="CommentSubjectChar">
    <w:name w:val="Comment Subject Char"/>
    <w:basedOn w:val="CommentTextChar"/>
    <w:link w:val="CommentSubject"/>
    <w:uiPriority w:val="99"/>
    <w:semiHidden/>
    <w:rsid w:val="00660D23"/>
    <w:rPr>
      <w:b/>
      <w:bCs/>
      <w:sz w:val="20"/>
      <w:szCs w:val="20"/>
    </w:rPr>
  </w:style>
  <w:style w:type="character" w:customStyle="1" w:styleId="Heading1Char">
    <w:name w:val="Heading 1 Char"/>
    <w:basedOn w:val="DefaultParagraphFont"/>
    <w:link w:val="Heading1"/>
    <w:uiPriority w:val="9"/>
    <w:rsid w:val="000F2B9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6174E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C32E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2E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2E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2E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2E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2E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2EA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55A84"/>
    <w:rPr>
      <w:color w:val="0000FF" w:themeColor="hyperlink"/>
      <w:u w:val="single"/>
    </w:rPr>
  </w:style>
  <w:style w:type="paragraph" w:styleId="NormalWeb">
    <w:name w:val="Normal (Web)"/>
    <w:basedOn w:val="Normal"/>
    <w:uiPriority w:val="99"/>
    <w:unhideWhenUsed/>
    <w:rsid w:val="00FB5F9F"/>
    <w:pPr>
      <w:spacing w:before="100" w:beforeAutospacing="1" w:after="100" w:afterAutospacing="1" w:line="240" w:lineRule="auto"/>
    </w:pPr>
    <w:rPr>
      <w:rFonts w:eastAsia="Times New Roman"/>
    </w:rPr>
  </w:style>
  <w:style w:type="paragraph" w:styleId="Revision">
    <w:name w:val="Revision"/>
    <w:hidden/>
    <w:uiPriority w:val="99"/>
    <w:semiHidden/>
    <w:rsid w:val="00435CBB"/>
    <w:pPr>
      <w:spacing w:after="0" w:line="240" w:lineRule="auto"/>
    </w:pPr>
  </w:style>
  <w:style w:type="paragraph" w:styleId="Header">
    <w:name w:val="header"/>
    <w:basedOn w:val="Normal"/>
    <w:link w:val="HeaderChar"/>
    <w:uiPriority w:val="99"/>
    <w:unhideWhenUsed/>
    <w:rsid w:val="0062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72E"/>
  </w:style>
  <w:style w:type="paragraph" w:styleId="Footer">
    <w:name w:val="footer"/>
    <w:basedOn w:val="Normal"/>
    <w:link w:val="FooterChar"/>
    <w:uiPriority w:val="99"/>
    <w:unhideWhenUsed/>
    <w:rsid w:val="0062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72E"/>
  </w:style>
  <w:style w:type="paragraph" w:styleId="FootnoteText">
    <w:name w:val="footnote text"/>
    <w:basedOn w:val="Normal"/>
    <w:link w:val="FootnoteTextChar"/>
    <w:uiPriority w:val="99"/>
    <w:semiHidden/>
    <w:unhideWhenUsed/>
    <w:rsid w:val="006257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72E"/>
    <w:rPr>
      <w:sz w:val="20"/>
      <w:szCs w:val="20"/>
    </w:rPr>
  </w:style>
  <w:style w:type="character" w:styleId="FootnoteReference">
    <w:name w:val="footnote reference"/>
    <w:basedOn w:val="DefaultParagraphFont"/>
    <w:uiPriority w:val="99"/>
    <w:unhideWhenUsed/>
    <w:rsid w:val="0062572E"/>
    <w:rPr>
      <w:vertAlign w:val="superscript"/>
    </w:rPr>
  </w:style>
  <w:style w:type="paragraph" w:styleId="TOCHeading">
    <w:name w:val="TOC Heading"/>
    <w:basedOn w:val="Heading1"/>
    <w:next w:val="Normal"/>
    <w:uiPriority w:val="39"/>
    <w:semiHidden/>
    <w:unhideWhenUsed/>
    <w:qFormat/>
    <w:rsid w:val="00A571BD"/>
    <w:pPr>
      <w:numPr>
        <w:numId w:val="0"/>
      </w:numPr>
      <w:outlineLvl w:val="9"/>
    </w:pPr>
    <w:rPr>
      <w:lang w:eastAsia="ja-JP"/>
    </w:rPr>
  </w:style>
  <w:style w:type="paragraph" w:styleId="TOC1">
    <w:name w:val="toc 1"/>
    <w:basedOn w:val="Normal"/>
    <w:next w:val="Normal"/>
    <w:autoRedefine/>
    <w:uiPriority w:val="39"/>
    <w:unhideWhenUsed/>
    <w:qFormat/>
    <w:rsid w:val="00F70BA7"/>
    <w:pPr>
      <w:spacing w:after="100"/>
    </w:pPr>
  </w:style>
  <w:style w:type="paragraph" w:styleId="TOC2">
    <w:name w:val="toc 2"/>
    <w:basedOn w:val="Normal"/>
    <w:next w:val="Normal"/>
    <w:autoRedefine/>
    <w:uiPriority w:val="39"/>
    <w:unhideWhenUsed/>
    <w:qFormat/>
    <w:rsid w:val="00F70BA7"/>
    <w:pPr>
      <w:spacing w:after="100"/>
      <w:ind w:left="220"/>
    </w:pPr>
  </w:style>
  <w:style w:type="paragraph" w:styleId="TOC3">
    <w:name w:val="toc 3"/>
    <w:basedOn w:val="Normal"/>
    <w:next w:val="Normal"/>
    <w:autoRedefine/>
    <w:uiPriority w:val="39"/>
    <w:semiHidden/>
    <w:unhideWhenUsed/>
    <w:qFormat/>
    <w:rsid w:val="001B6A23"/>
    <w:pPr>
      <w:spacing w:after="100"/>
      <w:ind w:left="440"/>
    </w:pPr>
    <w:rPr>
      <w:rFonts w:eastAsiaTheme="minorEastAsia"/>
      <w:lang w:eastAsia="ja-JP"/>
    </w:rPr>
  </w:style>
  <w:style w:type="table" w:styleId="TableGrid">
    <w:name w:val="Table Grid"/>
    <w:basedOn w:val="TableNormal"/>
    <w:uiPriority w:val="59"/>
    <w:rsid w:val="008B4B2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B4B2F"/>
    <w:pPr>
      <w:spacing w:after="120"/>
    </w:pPr>
    <w:rPr>
      <w:rFonts w:asciiTheme="minorHAnsi" w:hAnsiTheme="minorHAnsi" w:cstheme="minorBidi"/>
      <w:sz w:val="22"/>
      <w:szCs w:val="22"/>
    </w:rPr>
  </w:style>
  <w:style w:type="character" w:customStyle="1" w:styleId="BodyTextChar">
    <w:name w:val="Body Text Char"/>
    <w:basedOn w:val="DefaultParagraphFont"/>
    <w:link w:val="BodyText"/>
    <w:uiPriority w:val="99"/>
    <w:semiHidden/>
    <w:rsid w:val="008B4B2F"/>
    <w:rPr>
      <w:rFonts w:asciiTheme="minorHAnsi" w:hAnsiTheme="minorHAnsi" w:cstheme="minorBidi"/>
      <w:sz w:val="22"/>
      <w:szCs w:val="22"/>
    </w:rPr>
  </w:style>
  <w:style w:type="paragraph" w:customStyle="1" w:styleId="gmail-msobodytext">
    <w:name w:val="gmail-msobodytext"/>
    <w:basedOn w:val="Normal"/>
    <w:rsid w:val="002C5ECE"/>
    <w:pPr>
      <w:spacing w:before="100" w:beforeAutospacing="1" w:after="100" w:afterAutospacing="1" w:line="240" w:lineRule="auto"/>
    </w:pPr>
  </w:style>
  <w:style w:type="paragraph" w:styleId="Title">
    <w:name w:val="Title"/>
    <w:basedOn w:val="Normal"/>
    <w:next w:val="Normal"/>
    <w:link w:val="TitleChar"/>
    <w:uiPriority w:val="10"/>
    <w:qFormat/>
    <w:rsid w:val="002B46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6AA"/>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semiHidden/>
    <w:unhideWhenUsed/>
    <w:rsid w:val="00A015C8"/>
    <w:pPr>
      <w:spacing w:after="120"/>
      <w:ind w:left="360"/>
    </w:pPr>
  </w:style>
  <w:style w:type="character" w:customStyle="1" w:styleId="BodyTextIndentChar">
    <w:name w:val="Body Text Indent Char"/>
    <w:basedOn w:val="DefaultParagraphFont"/>
    <w:link w:val="BodyTextIndent"/>
    <w:uiPriority w:val="99"/>
    <w:semiHidden/>
    <w:rsid w:val="00A01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0F2B94"/>
    <w:pPr>
      <w:numPr>
        <w:numId w:val="15"/>
      </w:numPr>
      <w:spacing w:after="120" w:line="240" w:lineRule="auto"/>
      <w:outlineLvl w:val="0"/>
    </w:pPr>
    <w:rPr>
      <w:b/>
    </w:rPr>
  </w:style>
  <w:style w:type="paragraph" w:styleId="Heading2">
    <w:name w:val="heading 2"/>
    <w:basedOn w:val="Normal"/>
    <w:next w:val="Normal"/>
    <w:link w:val="Heading2Char"/>
    <w:uiPriority w:val="9"/>
    <w:unhideWhenUsed/>
    <w:qFormat/>
    <w:rsid w:val="006174E1"/>
    <w:pPr>
      <w:keepNext/>
      <w:keepLines/>
      <w:numPr>
        <w:numId w:val="20"/>
      </w:numPr>
      <w:spacing w:before="200" w:after="120"/>
      <w:outlineLvl w:val="1"/>
    </w:pPr>
    <w:rPr>
      <w:rFonts w:eastAsiaTheme="majorEastAsia"/>
      <w:b/>
      <w:bCs/>
    </w:rPr>
  </w:style>
  <w:style w:type="paragraph" w:styleId="Heading3">
    <w:name w:val="heading 3"/>
    <w:basedOn w:val="Normal"/>
    <w:next w:val="Normal"/>
    <w:link w:val="Heading3Char"/>
    <w:uiPriority w:val="9"/>
    <w:semiHidden/>
    <w:unhideWhenUsed/>
    <w:qFormat/>
    <w:rsid w:val="00C32EA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2EA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2EA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2EA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2EA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2EA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2EA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90"/>
    <w:rPr>
      <w:rFonts w:ascii="Tahoma" w:hAnsi="Tahoma" w:cs="Tahoma"/>
      <w:sz w:val="16"/>
      <w:szCs w:val="16"/>
    </w:rPr>
  </w:style>
  <w:style w:type="paragraph" w:styleId="ListParagraph">
    <w:name w:val="List Paragraph"/>
    <w:basedOn w:val="Normal"/>
    <w:uiPriority w:val="34"/>
    <w:qFormat/>
    <w:rsid w:val="00233490"/>
    <w:pPr>
      <w:ind w:left="720"/>
      <w:contextualSpacing/>
    </w:pPr>
  </w:style>
  <w:style w:type="character" w:styleId="CommentReference">
    <w:name w:val="annotation reference"/>
    <w:basedOn w:val="DefaultParagraphFont"/>
    <w:uiPriority w:val="99"/>
    <w:semiHidden/>
    <w:unhideWhenUsed/>
    <w:rsid w:val="00660D23"/>
    <w:rPr>
      <w:sz w:val="16"/>
      <w:szCs w:val="16"/>
    </w:rPr>
  </w:style>
  <w:style w:type="paragraph" w:styleId="CommentText">
    <w:name w:val="annotation text"/>
    <w:basedOn w:val="Normal"/>
    <w:link w:val="CommentTextChar"/>
    <w:uiPriority w:val="99"/>
    <w:unhideWhenUsed/>
    <w:rsid w:val="00660D23"/>
    <w:pPr>
      <w:spacing w:line="240" w:lineRule="auto"/>
    </w:pPr>
    <w:rPr>
      <w:sz w:val="20"/>
      <w:szCs w:val="20"/>
    </w:rPr>
  </w:style>
  <w:style w:type="character" w:customStyle="1" w:styleId="CommentTextChar">
    <w:name w:val="Comment Text Char"/>
    <w:basedOn w:val="DefaultParagraphFont"/>
    <w:link w:val="CommentText"/>
    <w:uiPriority w:val="99"/>
    <w:rsid w:val="00660D23"/>
    <w:rPr>
      <w:sz w:val="20"/>
      <w:szCs w:val="20"/>
    </w:rPr>
  </w:style>
  <w:style w:type="paragraph" w:styleId="CommentSubject">
    <w:name w:val="annotation subject"/>
    <w:basedOn w:val="CommentText"/>
    <w:next w:val="CommentText"/>
    <w:link w:val="CommentSubjectChar"/>
    <w:uiPriority w:val="99"/>
    <w:semiHidden/>
    <w:unhideWhenUsed/>
    <w:rsid w:val="00660D23"/>
    <w:rPr>
      <w:b/>
      <w:bCs/>
    </w:rPr>
  </w:style>
  <w:style w:type="character" w:customStyle="1" w:styleId="CommentSubjectChar">
    <w:name w:val="Comment Subject Char"/>
    <w:basedOn w:val="CommentTextChar"/>
    <w:link w:val="CommentSubject"/>
    <w:uiPriority w:val="99"/>
    <w:semiHidden/>
    <w:rsid w:val="00660D23"/>
    <w:rPr>
      <w:b/>
      <w:bCs/>
      <w:sz w:val="20"/>
      <w:szCs w:val="20"/>
    </w:rPr>
  </w:style>
  <w:style w:type="character" w:customStyle="1" w:styleId="Heading1Char">
    <w:name w:val="Heading 1 Char"/>
    <w:basedOn w:val="DefaultParagraphFont"/>
    <w:link w:val="Heading1"/>
    <w:uiPriority w:val="9"/>
    <w:rsid w:val="000F2B9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6174E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C32E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2E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2E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2E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2E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2E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2EA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55A84"/>
    <w:rPr>
      <w:color w:val="0000FF" w:themeColor="hyperlink"/>
      <w:u w:val="single"/>
    </w:rPr>
  </w:style>
  <w:style w:type="paragraph" w:styleId="NormalWeb">
    <w:name w:val="Normal (Web)"/>
    <w:basedOn w:val="Normal"/>
    <w:uiPriority w:val="99"/>
    <w:unhideWhenUsed/>
    <w:rsid w:val="00FB5F9F"/>
    <w:pPr>
      <w:spacing w:before="100" w:beforeAutospacing="1" w:after="100" w:afterAutospacing="1" w:line="240" w:lineRule="auto"/>
    </w:pPr>
    <w:rPr>
      <w:rFonts w:eastAsia="Times New Roman"/>
    </w:rPr>
  </w:style>
  <w:style w:type="paragraph" w:styleId="Revision">
    <w:name w:val="Revision"/>
    <w:hidden/>
    <w:uiPriority w:val="99"/>
    <w:semiHidden/>
    <w:rsid w:val="00435CBB"/>
    <w:pPr>
      <w:spacing w:after="0" w:line="240" w:lineRule="auto"/>
    </w:pPr>
  </w:style>
  <w:style w:type="paragraph" w:styleId="Header">
    <w:name w:val="header"/>
    <w:basedOn w:val="Normal"/>
    <w:link w:val="HeaderChar"/>
    <w:uiPriority w:val="99"/>
    <w:unhideWhenUsed/>
    <w:rsid w:val="0062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72E"/>
  </w:style>
  <w:style w:type="paragraph" w:styleId="Footer">
    <w:name w:val="footer"/>
    <w:basedOn w:val="Normal"/>
    <w:link w:val="FooterChar"/>
    <w:uiPriority w:val="99"/>
    <w:unhideWhenUsed/>
    <w:rsid w:val="0062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72E"/>
  </w:style>
  <w:style w:type="paragraph" w:styleId="FootnoteText">
    <w:name w:val="footnote text"/>
    <w:basedOn w:val="Normal"/>
    <w:link w:val="FootnoteTextChar"/>
    <w:uiPriority w:val="99"/>
    <w:semiHidden/>
    <w:unhideWhenUsed/>
    <w:rsid w:val="006257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72E"/>
    <w:rPr>
      <w:sz w:val="20"/>
      <w:szCs w:val="20"/>
    </w:rPr>
  </w:style>
  <w:style w:type="character" w:styleId="FootnoteReference">
    <w:name w:val="footnote reference"/>
    <w:basedOn w:val="DefaultParagraphFont"/>
    <w:uiPriority w:val="99"/>
    <w:unhideWhenUsed/>
    <w:rsid w:val="0062572E"/>
    <w:rPr>
      <w:vertAlign w:val="superscript"/>
    </w:rPr>
  </w:style>
  <w:style w:type="paragraph" w:styleId="TOCHeading">
    <w:name w:val="TOC Heading"/>
    <w:basedOn w:val="Heading1"/>
    <w:next w:val="Normal"/>
    <w:uiPriority w:val="39"/>
    <w:semiHidden/>
    <w:unhideWhenUsed/>
    <w:qFormat/>
    <w:rsid w:val="00A571BD"/>
    <w:pPr>
      <w:numPr>
        <w:numId w:val="0"/>
      </w:numPr>
      <w:outlineLvl w:val="9"/>
    </w:pPr>
    <w:rPr>
      <w:lang w:eastAsia="ja-JP"/>
    </w:rPr>
  </w:style>
  <w:style w:type="paragraph" w:styleId="TOC1">
    <w:name w:val="toc 1"/>
    <w:basedOn w:val="Normal"/>
    <w:next w:val="Normal"/>
    <w:autoRedefine/>
    <w:uiPriority w:val="39"/>
    <w:unhideWhenUsed/>
    <w:qFormat/>
    <w:rsid w:val="00F70BA7"/>
    <w:pPr>
      <w:spacing w:after="100"/>
    </w:pPr>
  </w:style>
  <w:style w:type="paragraph" w:styleId="TOC2">
    <w:name w:val="toc 2"/>
    <w:basedOn w:val="Normal"/>
    <w:next w:val="Normal"/>
    <w:autoRedefine/>
    <w:uiPriority w:val="39"/>
    <w:unhideWhenUsed/>
    <w:qFormat/>
    <w:rsid w:val="00F70BA7"/>
    <w:pPr>
      <w:spacing w:after="100"/>
      <w:ind w:left="220"/>
    </w:pPr>
  </w:style>
  <w:style w:type="paragraph" w:styleId="TOC3">
    <w:name w:val="toc 3"/>
    <w:basedOn w:val="Normal"/>
    <w:next w:val="Normal"/>
    <w:autoRedefine/>
    <w:uiPriority w:val="39"/>
    <w:semiHidden/>
    <w:unhideWhenUsed/>
    <w:qFormat/>
    <w:rsid w:val="001B6A23"/>
    <w:pPr>
      <w:spacing w:after="100"/>
      <w:ind w:left="440"/>
    </w:pPr>
    <w:rPr>
      <w:rFonts w:eastAsiaTheme="minorEastAsia"/>
      <w:lang w:eastAsia="ja-JP"/>
    </w:rPr>
  </w:style>
  <w:style w:type="table" w:styleId="TableGrid">
    <w:name w:val="Table Grid"/>
    <w:basedOn w:val="TableNormal"/>
    <w:uiPriority w:val="59"/>
    <w:rsid w:val="008B4B2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B4B2F"/>
    <w:pPr>
      <w:spacing w:after="120"/>
    </w:pPr>
    <w:rPr>
      <w:rFonts w:asciiTheme="minorHAnsi" w:hAnsiTheme="minorHAnsi" w:cstheme="minorBidi"/>
      <w:sz w:val="22"/>
      <w:szCs w:val="22"/>
    </w:rPr>
  </w:style>
  <w:style w:type="character" w:customStyle="1" w:styleId="BodyTextChar">
    <w:name w:val="Body Text Char"/>
    <w:basedOn w:val="DefaultParagraphFont"/>
    <w:link w:val="BodyText"/>
    <w:uiPriority w:val="99"/>
    <w:semiHidden/>
    <w:rsid w:val="008B4B2F"/>
    <w:rPr>
      <w:rFonts w:asciiTheme="minorHAnsi" w:hAnsiTheme="minorHAnsi" w:cstheme="minorBidi"/>
      <w:sz w:val="22"/>
      <w:szCs w:val="22"/>
    </w:rPr>
  </w:style>
  <w:style w:type="paragraph" w:customStyle="1" w:styleId="gmail-msobodytext">
    <w:name w:val="gmail-msobodytext"/>
    <w:basedOn w:val="Normal"/>
    <w:rsid w:val="002C5ECE"/>
    <w:pPr>
      <w:spacing w:before="100" w:beforeAutospacing="1" w:after="100" w:afterAutospacing="1" w:line="240" w:lineRule="auto"/>
    </w:pPr>
  </w:style>
  <w:style w:type="paragraph" w:styleId="Title">
    <w:name w:val="Title"/>
    <w:basedOn w:val="Normal"/>
    <w:next w:val="Normal"/>
    <w:link w:val="TitleChar"/>
    <w:uiPriority w:val="10"/>
    <w:qFormat/>
    <w:rsid w:val="002B46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6AA"/>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semiHidden/>
    <w:unhideWhenUsed/>
    <w:rsid w:val="00A015C8"/>
    <w:pPr>
      <w:spacing w:after="120"/>
      <w:ind w:left="360"/>
    </w:pPr>
  </w:style>
  <w:style w:type="character" w:customStyle="1" w:styleId="BodyTextIndentChar">
    <w:name w:val="Body Text Indent Char"/>
    <w:basedOn w:val="DefaultParagraphFont"/>
    <w:link w:val="BodyTextIndent"/>
    <w:uiPriority w:val="99"/>
    <w:semiHidden/>
    <w:rsid w:val="00A0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1914">
      <w:bodyDiv w:val="1"/>
      <w:marLeft w:val="0"/>
      <w:marRight w:val="0"/>
      <w:marTop w:val="0"/>
      <w:marBottom w:val="0"/>
      <w:divBdr>
        <w:top w:val="none" w:sz="0" w:space="0" w:color="auto"/>
        <w:left w:val="none" w:sz="0" w:space="0" w:color="auto"/>
        <w:bottom w:val="none" w:sz="0" w:space="0" w:color="auto"/>
        <w:right w:val="none" w:sz="0" w:space="0" w:color="auto"/>
      </w:divBdr>
    </w:div>
    <w:div w:id="892235789">
      <w:bodyDiv w:val="1"/>
      <w:marLeft w:val="0"/>
      <w:marRight w:val="0"/>
      <w:marTop w:val="0"/>
      <w:marBottom w:val="0"/>
      <w:divBdr>
        <w:top w:val="none" w:sz="0" w:space="0" w:color="auto"/>
        <w:left w:val="none" w:sz="0" w:space="0" w:color="auto"/>
        <w:bottom w:val="none" w:sz="0" w:space="0" w:color="auto"/>
        <w:right w:val="none" w:sz="0" w:space="0" w:color="auto"/>
      </w:divBdr>
    </w:div>
    <w:div w:id="1310751237">
      <w:bodyDiv w:val="1"/>
      <w:marLeft w:val="0"/>
      <w:marRight w:val="0"/>
      <w:marTop w:val="0"/>
      <w:marBottom w:val="0"/>
      <w:divBdr>
        <w:top w:val="none" w:sz="0" w:space="0" w:color="auto"/>
        <w:left w:val="none" w:sz="0" w:space="0" w:color="auto"/>
        <w:bottom w:val="none" w:sz="0" w:space="0" w:color="auto"/>
        <w:right w:val="none" w:sz="0" w:space="0" w:color="auto"/>
      </w:divBdr>
      <w:divsChild>
        <w:div w:id="1736277036">
          <w:marLeft w:val="0"/>
          <w:marRight w:val="0"/>
          <w:marTop w:val="0"/>
          <w:marBottom w:val="0"/>
          <w:divBdr>
            <w:top w:val="none" w:sz="0" w:space="0" w:color="auto"/>
            <w:left w:val="none" w:sz="0" w:space="0" w:color="auto"/>
            <w:bottom w:val="none" w:sz="0" w:space="0" w:color="auto"/>
            <w:right w:val="none" w:sz="0" w:space="0" w:color="auto"/>
          </w:divBdr>
          <w:divsChild>
            <w:div w:id="443037529">
              <w:marLeft w:val="0"/>
              <w:marRight w:val="0"/>
              <w:marTop w:val="0"/>
              <w:marBottom w:val="0"/>
              <w:divBdr>
                <w:top w:val="none" w:sz="0" w:space="0" w:color="auto"/>
                <w:left w:val="none" w:sz="0" w:space="0" w:color="auto"/>
                <w:bottom w:val="none" w:sz="0" w:space="0" w:color="auto"/>
                <w:right w:val="none" w:sz="0" w:space="0" w:color="auto"/>
              </w:divBdr>
              <w:divsChild>
                <w:div w:id="710106873">
                  <w:marLeft w:val="-225"/>
                  <w:marRight w:val="-225"/>
                  <w:marTop w:val="0"/>
                  <w:marBottom w:val="0"/>
                  <w:divBdr>
                    <w:top w:val="none" w:sz="0" w:space="0" w:color="auto"/>
                    <w:left w:val="none" w:sz="0" w:space="0" w:color="auto"/>
                    <w:bottom w:val="none" w:sz="0" w:space="0" w:color="auto"/>
                    <w:right w:val="none" w:sz="0" w:space="0" w:color="auto"/>
                  </w:divBdr>
                  <w:divsChild>
                    <w:div w:id="1899977842">
                      <w:marLeft w:val="0"/>
                      <w:marRight w:val="0"/>
                      <w:marTop w:val="0"/>
                      <w:marBottom w:val="0"/>
                      <w:divBdr>
                        <w:top w:val="none" w:sz="0" w:space="0" w:color="auto"/>
                        <w:left w:val="none" w:sz="0" w:space="0" w:color="auto"/>
                        <w:bottom w:val="none" w:sz="0" w:space="0" w:color="auto"/>
                        <w:right w:val="none" w:sz="0" w:space="0" w:color="auto"/>
                      </w:divBdr>
                      <w:divsChild>
                        <w:div w:id="834220592">
                          <w:marLeft w:val="0"/>
                          <w:marRight w:val="0"/>
                          <w:marTop w:val="0"/>
                          <w:marBottom w:val="0"/>
                          <w:divBdr>
                            <w:top w:val="none" w:sz="0" w:space="0" w:color="auto"/>
                            <w:left w:val="none" w:sz="0" w:space="0" w:color="auto"/>
                            <w:bottom w:val="none" w:sz="0" w:space="0" w:color="auto"/>
                            <w:right w:val="none" w:sz="0" w:space="0" w:color="auto"/>
                          </w:divBdr>
                          <w:divsChild>
                            <w:div w:id="1437211251">
                              <w:marLeft w:val="-225"/>
                              <w:marRight w:val="-225"/>
                              <w:marTop w:val="0"/>
                              <w:marBottom w:val="0"/>
                              <w:divBdr>
                                <w:top w:val="none" w:sz="0" w:space="0" w:color="auto"/>
                                <w:left w:val="none" w:sz="0" w:space="0" w:color="auto"/>
                                <w:bottom w:val="none" w:sz="0" w:space="0" w:color="auto"/>
                                <w:right w:val="none" w:sz="0" w:space="0" w:color="auto"/>
                              </w:divBdr>
                              <w:divsChild>
                                <w:div w:id="410322830">
                                  <w:marLeft w:val="0"/>
                                  <w:marRight w:val="0"/>
                                  <w:marTop w:val="0"/>
                                  <w:marBottom w:val="0"/>
                                  <w:divBdr>
                                    <w:top w:val="none" w:sz="0" w:space="0" w:color="auto"/>
                                    <w:left w:val="none" w:sz="0" w:space="0" w:color="auto"/>
                                    <w:bottom w:val="none" w:sz="0" w:space="0" w:color="auto"/>
                                    <w:right w:val="none" w:sz="0" w:space="0" w:color="auto"/>
                                  </w:divBdr>
                                  <w:divsChild>
                                    <w:div w:id="1792018997">
                                      <w:marLeft w:val="0"/>
                                      <w:marRight w:val="0"/>
                                      <w:marTop w:val="0"/>
                                      <w:marBottom w:val="0"/>
                                      <w:divBdr>
                                        <w:top w:val="none" w:sz="0" w:space="0" w:color="auto"/>
                                        <w:left w:val="none" w:sz="0" w:space="0" w:color="auto"/>
                                        <w:bottom w:val="none" w:sz="0" w:space="0" w:color="auto"/>
                                        <w:right w:val="none" w:sz="0" w:space="0" w:color="auto"/>
                                      </w:divBdr>
                                      <w:divsChild>
                                        <w:div w:id="904921661">
                                          <w:marLeft w:val="0"/>
                                          <w:marRight w:val="0"/>
                                          <w:marTop w:val="0"/>
                                          <w:marBottom w:val="0"/>
                                          <w:divBdr>
                                            <w:top w:val="none" w:sz="0" w:space="0" w:color="auto"/>
                                            <w:left w:val="none" w:sz="0" w:space="0" w:color="auto"/>
                                            <w:bottom w:val="none" w:sz="0" w:space="0" w:color="auto"/>
                                            <w:right w:val="none" w:sz="0" w:space="0" w:color="auto"/>
                                          </w:divBdr>
                                          <w:divsChild>
                                            <w:div w:id="737632784">
                                              <w:marLeft w:val="0"/>
                                              <w:marRight w:val="0"/>
                                              <w:marTop w:val="0"/>
                                              <w:marBottom w:val="0"/>
                                              <w:divBdr>
                                                <w:top w:val="none" w:sz="0" w:space="0" w:color="auto"/>
                                                <w:left w:val="none" w:sz="0" w:space="0" w:color="auto"/>
                                                <w:bottom w:val="none" w:sz="0" w:space="0" w:color="auto"/>
                                                <w:right w:val="none" w:sz="0" w:space="0" w:color="auto"/>
                                              </w:divBdr>
                                              <w:divsChild>
                                                <w:div w:id="2115855718">
                                                  <w:marLeft w:val="0"/>
                                                  <w:marRight w:val="0"/>
                                                  <w:marTop w:val="0"/>
                                                  <w:marBottom w:val="0"/>
                                                  <w:divBdr>
                                                    <w:top w:val="none" w:sz="0" w:space="0" w:color="auto"/>
                                                    <w:left w:val="none" w:sz="0" w:space="0" w:color="auto"/>
                                                    <w:bottom w:val="none" w:sz="0" w:space="0" w:color="auto"/>
                                                    <w:right w:val="none" w:sz="0" w:space="0" w:color="auto"/>
                                                  </w:divBdr>
                                                  <w:divsChild>
                                                    <w:div w:id="1722244423">
                                                      <w:marLeft w:val="0"/>
                                                      <w:marRight w:val="0"/>
                                                      <w:marTop w:val="0"/>
                                                      <w:marBottom w:val="0"/>
                                                      <w:divBdr>
                                                        <w:top w:val="none" w:sz="0" w:space="0" w:color="auto"/>
                                                        <w:left w:val="none" w:sz="0" w:space="0" w:color="auto"/>
                                                        <w:bottom w:val="none" w:sz="0" w:space="0" w:color="auto"/>
                                                        <w:right w:val="none" w:sz="0" w:space="0" w:color="auto"/>
                                                      </w:divBdr>
                                                      <w:divsChild>
                                                        <w:div w:id="1552378453">
                                                          <w:marLeft w:val="0"/>
                                                          <w:marRight w:val="0"/>
                                                          <w:marTop w:val="0"/>
                                                          <w:marBottom w:val="0"/>
                                                          <w:divBdr>
                                                            <w:top w:val="none" w:sz="0" w:space="0" w:color="auto"/>
                                                            <w:left w:val="none" w:sz="0" w:space="0" w:color="auto"/>
                                                            <w:bottom w:val="none" w:sz="0" w:space="0" w:color="auto"/>
                                                            <w:right w:val="none" w:sz="0" w:space="0" w:color="auto"/>
                                                          </w:divBdr>
                                                          <w:divsChild>
                                                            <w:div w:id="6661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6912519">
      <w:bodyDiv w:val="1"/>
      <w:marLeft w:val="0"/>
      <w:marRight w:val="0"/>
      <w:marTop w:val="0"/>
      <w:marBottom w:val="0"/>
      <w:divBdr>
        <w:top w:val="none" w:sz="0" w:space="0" w:color="auto"/>
        <w:left w:val="none" w:sz="0" w:space="0" w:color="auto"/>
        <w:bottom w:val="none" w:sz="0" w:space="0" w:color="auto"/>
        <w:right w:val="none" w:sz="0" w:space="0" w:color="auto"/>
      </w:divBdr>
    </w:div>
    <w:div w:id="1608004252">
      <w:bodyDiv w:val="1"/>
      <w:marLeft w:val="0"/>
      <w:marRight w:val="0"/>
      <w:marTop w:val="0"/>
      <w:marBottom w:val="0"/>
      <w:divBdr>
        <w:top w:val="none" w:sz="0" w:space="0" w:color="auto"/>
        <w:left w:val="none" w:sz="0" w:space="0" w:color="auto"/>
        <w:bottom w:val="none" w:sz="0" w:space="0" w:color="auto"/>
        <w:right w:val="none" w:sz="0" w:space="0" w:color="auto"/>
      </w:divBdr>
    </w:div>
    <w:div w:id="1799446024">
      <w:bodyDiv w:val="1"/>
      <w:marLeft w:val="0"/>
      <w:marRight w:val="0"/>
      <w:marTop w:val="0"/>
      <w:marBottom w:val="0"/>
      <w:divBdr>
        <w:top w:val="none" w:sz="0" w:space="0" w:color="auto"/>
        <w:left w:val="none" w:sz="0" w:space="0" w:color="auto"/>
        <w:bottom w:val="none" w:sz="0" w:space="0" w:color="auto"/>
        <w:right w:val="none" w:sz="0" w:space="0" w:color="auto"/>
      </w:divBdr>
    </w:div>
    <w:div w:id="1904367099">
      <w:bodyDiv w:val="1"/>
      <w:marLeft w:val="0"/>
      <w:marRight w:val="0"/>
      <w:marTop w:val="0"/>
      <w:marBottom w:val="0"/>
      <w:divBdr>
        <w:top w:val="none" w:sz="0" w:space="0" w:color="auto"/>
        <w:left w:val="none" w:sz="0" w:space="0" w:color="auto"/>
        <w:bottom w:val="none" w:sz="0" w:space="0" w:color="auto"/>
        <w:right w:val="none" w:sz="0" w:space="0" w:color="auto"/>
      </w:divBdr>
    </w:div>
    <w:div w:id="21124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ESE.feedback@ed.gov" TargetMode="External"/><Relationship Id="rId18" Type="http://schemas.openxmlformats.org/officeDocument/2006/relationships/hyperlink" Target="https://www2.ed.gov/policy/elsec/leg/essa/scfp/studentcentered.html" TargetMode="External"/><Relationship Id="rId3" Type="http://schemas.openxmlformats.org/officeDocument/2006/relationships/customXml" Target="../customXml/item3.xml"/><Relationship Id="rId21" Type="http://schemas.openxmlformats.org/officeDocument/2006/relationships/hyperlink" Target="https://www2.ed.gov/programs/reapsrsa/eligibility.htm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OSS.Maine@ed.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SS.[State]@e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brittney.lovitt/AppData/Local/Microsoft/Windows/Temporary%20Internet%20Files/Content.Outlook/4QIN6HON/www2.ed.gov/programs/transferability/finalsummary04.doc"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2.ed.gov/policy/elsec/leg/essa/essaswpguidance919201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gov/policy/elsec/leg/essa/essaguidance160477.pdf" TargetMode="External"/><Relationship Id="rId22" Type="http://schemas.openxmlformats.org/officeDocument/2006/relationships/hyperlink" Target="https://www2.ed.gov/policy/elsec/leg/essa/essaguidance1604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8B43-BB1B-4AA0-A6B1-9EE334D3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983FA0-847F-45A0-857B-3BC0EA2EBD2E}">
  <ds:schemaRefs>
    <ds:schemaRef ds:uri="http://schemas.microsoft.com/sharepoint/v3/contenttype/forms"/>
  </ds:schemaRefs>
</ds:datastoreItem>
</file>

<file path=customXml/itemProps3.xml><?xml version="1.0" encoding="utf-8"?>
<ds:datastoreItem xmlns:ds="http://schemas.openxmlformats.org/officeDocument/2006/customXml" ds:itemID="{32886A23-15B1-4C90-A187-F3D5CFA5B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6E18F3-92E3-4037-BD0B-8C761E84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7967</Words>
  <Characters>45416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ESSA Flexibilities (MS Word)</vt:lpstr>
    </vt:vector>
  </TitlesOfParts>
  <Manager>Rigling, Kay</Manager>
  <Company>U.S. Department of Education</Company>
  <LinksUpToDate>false</LinksUpToDate>
  <CharactersWithSpaces>53277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Flexibilities (MS Word)</dc:title>
  <dc:creator>U.S. Department of Education</dc:creator>
  <cp:lastModifiedBy>ED User</cp:lastModifiedBy>
  <cp:revision>5</cp:revision>
  <cp:lastPrinted>2018-05-21T13:16:00Z</cp:lastPrinted>
  <dcterms:created xsi:type="dcterms:W3CDTF">2018-08-01T15:06:00Z</dcterms:created>
  <dcterms:modified xsi:type="dcterms:W3CDTF">2018-10-02T17:38:00Z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0x010100F615883A40693A4399D5CC0B3B8C555A</vt:lpwstr>
  </property>
</Properties>
</file>