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A0562" w14:textId="77777777" w:rsidR="002A3AD7" w:rsidRPr="0013663D" w:rsidRDefault="002A3AD7" w:rsidP="002A3AD7">
      <w:pPr>
        <w:jc w:val="center"/>
        <w:rPr>
          <w:rFonts w:ascii="Times New Roman" w:hAnsi="Times New Roman" w:cs="Times New Roman"/>
          <w:sz w:val="36"/>
          <w:szCs w:val="36"/>
        </w:rPr>
      </w:pPr>
      <w:r w:rsidRPr="0013663D">
        <w:rPr>
          <w:rFonts w:ascii="Times New Roman" w:hAnsi="Times New Roman" w:cs="Times New Roman"/>
          <w:sz w:val="36"/>
          <w:szCs w:val="36"/>
        </w:rPr>
        <w:t>Department of Education</w:t>
      </w:r>
    </w:p>
    <w:p w14:paraId="343D6E73" w14:textId="77777777" w:rsidR="002A3AD7" w:rsidRPr="0013663D" w:rsidRDefault="002A3AD7" w:rsidP="002A3AD7">
      <w:pPr>
        <w:jc w:val="center"/>
        <w:rPr>
          <w:rFonts w:ascii="Times New Roman" w:hAnsi="Times New Roman" w:cs="Times New Roman"/>
          <w:sz w:val="36"/>
          <w:szCs w:val="36"/>
        </w:rPr>
      </w:pPr>
      <w:r w:rsidRPr="0013663D">
        <w:rPr>
          <w:rFonts w:ascii="Times New Roman" w:hAnsi="Times New Roman" w:cs="Times New Roman"/>
          <w:sz w:val="36"/>
          <w:szCs w:val="36"/>
        </w:rPr>
        <w:t>Service Contract Inventory (SCI)</w:t>
      </w:r>
    </w:p>
    <w:p w14:paraId="33C2F058" w14:textId="77777777" w:rsidR="002A3AD7" w:rsidRPr="0013663D" w:rsidRDefault="002A3AD7" w:rsidP="002A3AD7">
      <w:pPr>
        <w:jc w:val="center"/>
        <w:rPr>
          <w:rFonts w:ascii="Times New Roman" w:hAnsi="Times New Roman" w:cs="Times New Roman"/>
          <w:sz w:val="36"/>
          <w:szCs w:val="36"/>
        </w:rPr>
      </w:pPr>
    </w:p>
    <w:p w14:paraId="588B2D25" w14:textId="77777777" w:rsidR="002A3AD7" w:rsidRPr="0013663D" w:rsidRDefault="002A3AD7" w:rsidP="002A3AD7">
      <w:pPr>
        <w:jc w:val="center"/>
        <w:rPr>
          <w:rFonts w:ascii="Times New Roman" w:hAnsi="Times New Roman" w:cs="Times New Roman"/>
          <w:sz w:val="36"/>
          <w:szCs w:val="36"/>
        </w:rPr>
      </w:pPr>
      <w:r w:rsidRPr="0013663D">
        <w:rPr>
          <w:rFonts w:ascii="Times New Roman" w:hAnsi="Times New Roman" w:cs="Times New Roman"/>
          <w:sz w:val="36"/>
          <w:szCs w:val="36"/>
        </w:rPr>
        <w:t>FY2019 SCI Analysis Report</w:t>
      </w:r>
    </w:p>
    <w:p w14:paraId="6E4FC1BA" w14:textId="77777777" w:rsidR="002A3AD7" w:rsidRPr="0013663D" w:rsidRDefault="002A3AD7" w:rsidP="002A3AD7">
      <w:pPr>
        <w:jc w:val="center"/>
        <w:rPr>
          <w:rFonts w:ascii="Times New Roman" w:hAnsi="Times New Roman" w:cs="Times New Roman"/>
          <w:sz w:val="36"/>
          <w:szCs w:val="36"/>
        </w:rPr>
      </w:pPr>
      <w:r w:rsidRPr="0013663D">
        <w:rPr>
          <w:rFonts w:ascii="Times New Roman" w:hAnsi="Times New Roman" w:cs="Times New Roman"/>
          <w:sz w:val="36"/>
          <w:szCs w:val="36"/>
        </w:rPr>
        <w:t>FY2020 SCI Analysis Plan</w:t>
      </w:r>
    </w:p>
    <w:p w14:paraId="04C7DBE2" w14:textId="77777777" w:rsidR="002A3AD7" w:rsidRPr="0013663D" w:rsidRDefault="002A3AD7" w:rsidP="002A3AD7">
      <w:pPr>
        <w:jc w:val="center"/>
        <w:rPr>
          <w:rFonts w:ascii="Times New Roman" w:hAnsi="Times New Roman" w:cs="Times New Roman"/>
          <w:sz w:val="36"/>
          <w:szCs w:val="36"/>
        </w:rPr>
      </w:pPr>
    </w:p>
    <w:p w14:paraId="024B2261" w14:textId="77777777" w:rsidR="002A3AD7" w:rsidRPr="0013663D" w:rsidRDefault="002A3AD7" w:rsidP="002A3AD7">
      <w:pPr>
        <w:jc w:val="center"/>
        <w:rPr>
          <w:rFonts w:ascii="Times New Roman" w:hAnsi="Times New Roman" w:cs="Times New Roman"/>
          <w:sz w:val="36"/>
          <w:szCs w:val="36"/>
        </w:rPr>
      </w:pPr>
      <w:r w:rsidRPr="0013663D">
        <w:rPr>
          <w:rFonts w:ascii="Times New Roman" w:hAnsi="Times New Roman" w:cs="Times New Roman"/>
          <w:sz w:val="36"/>
          <w:szCs w:val="36"/>
        </w:rPr>
        <w:t>February 2021</w:t>
      </w:r>
    </w:p>
    <w:p w14:paraId="17729C56" w14:textId="77777777" w:rsidR="002A3AD7" w:rsidRPr="002A3AD7" w:rsidRDefault="002A3AD7" w:rsidP="002A3AD7">
      <w:pPr>
        <w:spacing w:after="0" w:line="240" w:lineRule="auto"/>
        <w:rPr>
          <w:rFonts w:ascii="Times New Roman" w:hAnsi="Times New Roman" w:cs="Times New Roman"/>
        </w:rPr>
      </w:pPr>
      <w:r w:rsidRPr="002A3AD7">
        <w:rPr>
          <w:rFonts w:ascii="Times New Roman" w:hAnsi="Times New Roman" w:cs="Times New Roman"/>
          <w:noProof/>
        </w:rPr>
        <w:drawing>
          <wp:anchor distT="0" distB="0" distL="114300" distR="114300" simplePos="0" relativeHeight="251659264" behindDoc="1" locked="1" layoutInCell="1" allowOverlap="1" wp14:anchorId="6E3C7529" wp14:editId="20678727">
            <wp:simplePos x="0" y="0"/>
            <wp:positionH relativeFrom="margin">
              <wp:posOffset>1308100</wp:posOffset>
            </wp:positionH>
            <wp:positionV relativeFrom="paragraph">
              <wp:posOffset>142875</wp:posOffset>
            </wp:positionV>
            <wp:extent cx="3778250" cy="3594100"/>
            <wp:effectExtent l="0" t="0" r="0" b="6350"/>
            <wp:wrapThrough wrapText="bothSides">
              <wp:wrapPolygon edited="0">
                <wp:start x="0" y="0"/>
                <wp:lineTo x="0" y="21524"/>
                <wp:lineTo x="21455" y="21524"/>
                <wp:lineTo x="2145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78250" cy="3594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E45275" w14:textId="77777777" w:rsidR="002A3AD7" w:rsidRPr="002A3AD7" w:rsidRDefault="002A3AD7" w:rsidP="002A3AD7">
      <w:pPr>
        <w:rPr>
          <w:rFonts w:ascii="Times New Roman" w:hAnsi="Times New Roman" w:cs="Times New Roman"/>
        </w:rPr>
      </w:pPr>
    </w:p>
    <w:p w14:paraId="2C3C1A5D" w14:textId="77777777" w:rsidR="002A3AD7" w:rsidRPr="002A3AD7" w:rsidRDefault="002A3AD7" w:rsidP="002A3AD7">
      <w:pPr>
        <w:rPr>
          <w:rFonts w:ascii="Times New Roman" w:hAnsi="Times New Roman" w:cs="Times New Roman"/>
        </w:rPr>
      </w:pPr>
    </w:p>
    <w:p w14:paraId="18CC1CAE" w14:textId="77777777" w:rsidR="002A3AD7" w:rsidRPr="002A3AD7" w:rsidRDefault="002A3AD7" w:rsidP="002A3AD7">
      <w:pPr>
        <w:rPr>
          <w:rFonts w:ascii="Times New Roman" w:hAnsi="Times New Roman" w:cs="Times New Roman"/>
        </w:rPr>
      </w:pPr>
    </w:p>
    <w:p w14:paraId="69751035" w14:textId="77777777" w:rsidR="002A3AD7" w:rsidRPr="002A3AD7" w:rsidRDefault="002A3AD7" w:rsidP="002A3AD7">
      <w:pPr>
        <w:rPr>
          <w:rFonts w:ascii="Times New Roman" w:hAnsi="Times New Roman" w:cs="Times New Roman"/>
        </w:rPr>
      </w:pPr>
    </w:p>
    <w:p w14:paraId="4AFBA8A8" w14:textId="77777777" w:rsidR="002A3AD7" w:rsidRPr="002A3AD7" w:rsidRDefault="002A3AD7" w:rsidP="002A3AD7">
      <w:pPr>
        <w:rPr>
          <w:rFonts w:ascii="Times New Roman" w:hAnsi="Times New Roman" w:cs="Times New Roman"/>
        </w:rPr>
      </w:pPr>
    </w:p>
    <w:p w14:paraId="338201FC" w14:textId="77777777" w:rsidR="002A3AD7" w:rsidRPr="002A3AD7" w:rsidRDefault="002A3AD7" w:rsidP="002A3AD7">
      <w:pPr>
        <w:rPr>
          <w:rFonts w:ascii="Times New Roman" w:hAnsi="Times New Roman" w:cs="Times New Roman"/>
        </w:rPr>
      </w:pPr>
    </w:p>
    <w:p w14:paraId="1D92E8EE" w14:textId="77777777" w:rsidR="002A3AD7" w:rsidRPr="002A3AD7" w:rsidRDefault="002A3AD7" w:rsidP="002A3AD7">
      <w:pPr>
        <w:rPr>
          <w:rFonts w:ascii="Times New Roman" w:hAnsi="Times New Roman" w:cs="Times New Roman"/>
        </w:rPr>
      </w:pPr>
    </w:p>
    <w:p w14:paraId="27FEB7C5" w14:textId="77777777" w:rsidR="002A3AD7" w:rsidRPr="002A3AD7" w:rsidRDefault="002A3AD7" w:rsidP="002A3AD7">
      <w:pPr>
        <w:rPr>
          <w:rFonts w:ascii="Times New Roman" w:hAnsi="Times New Roman" w:cs="Times New Roman"/>
        </w:rPr>
      </w:pPr>
    </w:p>
    <w:p w14:paraId="71DCDB14" w14:textId="77777777" w:rsidR="002A3AD7" w:rsidRPr="002A3AD7" w:rsidRDefault="002A3AD7" w:rsidP="002A3AD7">
      <w:pPr>
        <w:rPr>
          <w:rFonts w:ascii="Times New Roman" w:hAnsi="Times New Roman" w:cs="Times New Roman"/>
        </w:rPr>
      </w:pPr>
    </w:p>
    <w:p w14:paraId="40CD784A" w14:textId="77777777" w:rsidR="002A3AD7" w:rsidRPr="002A3AD7" w:rsidRDefault="002A3AD7" w:rsidP="002A3AD7">
      <w:pPr>
        <w:rPr>
          <w:rFonts w:ascii="Times New Roman" w:hAnsi="Times New Roman" w:cs="Times New Roman"/>
        </w:rPr>
      </w:pPr>
    </w:p>
    <w:p w14:paraId="258C899F" w14:textId="77777777" w:rsidR="002A3AD7" w:rsidRPr="002A3AD7" w:rsidRDefault="002A3AD7" w:rsidP="002A3AD7">
      <w:pPr>
        <w:rPr>
          <w:rFonts w:ascii="Times New Roman" w:hAnsi="Times New Roman" w:cs="Times New Roman"/>
        </w:rPr>
      </w:pPr>
    </w:p>
    <w:p w14:paraId="1B887154" w14:textId="77777777" w:rsidR="002A3AD7" w:rsidRPr="002A3AD7" w:rsidRDefault="002A3AD7" w:rsidP="002A3AD7">
      <w:pPr>
        <w:rPr>
          <w:rFonts w:ascii="Times New Roman" w:hAnsi="Times New Roman" w:cs="Times New Roman"/>
        </w:rPr>
      </w:pPr>
    </w:p>
    <w:p w14:paraId="5C7071D0" w14:textId="77777777" w:rsidR="002A3AD7" w:rsidRPr="0013663D" w:rsidRDefault="002A3AD7" w:rsidP="002A3AD7">
      <w:pPr>
        <w:jc w:val="center"/>
        <w:rPr>
          <w:rFonts w:ascii="Times New Roman" w:hAnsi="Times New Roman" w:cs="Times New Roman"/>
          <w:sz w:val="24"/>
          <w:szCs w:val="24"/>
        </w:rPr>
      </w:pPr>
      <w:r w:rsidRPr="0013663D">
        <w:rPr>
          <w:rFonts w:ascii="Times New Roman" w:hAnsi="Times New Roman" w:cs="Times New Roman"/>
          <w:sz w:val="24"/>
          <w:szCs w:val="24"/>
        </w:rPr>
        <w:t>Submitted to:</w:t>
      </w:r>
    </w:p>
    <w:p w14:paraId="60CB31A5" w14:textId="77777777" w:rsidR="002A3AD7" w:rsidRPr="0013663D" w:rsidRDefault="002A3AD7" w:rsidP="002A3AD7">
      <w:pPr>
        <w:tabs>
          <w:tab w:val="left" w:pos="2280"/>
        </w:tabs>
        <w:jc w:val="center"/>
        <w:rPr>
          <w:rFonts w:ascii="Times New Roman" w:hAnsi="Times New Roman" w:cs="Times New Roman"/>
          <w:sz w:val="24"/>
          <w:szCs w:val="24"/>
        </w:rPr>
      </w:pPr>
      <w:r w:rsidRPr="0013663D">
        <w:rPr>
          <w:rFonts w:ascii="Times New Roman" w:hAnsi="Times New Roman" w:cs="Times New Roman"/>
          <w:sz w:val="24"/>
          <w:szCs w:val="24"/>
        </w:rPr>
        <w:t>U.S. Office of Management and Budget</w:t>
      </w:r>
    </w:p>
    <w:p w14:paraId="565A7E5B" w14:textId="77777777" w:rsidR="009F0376" w:rsidRPr="0013663D" w:rsidRDefault="009F0376" w:rsidP="009F0376">
      <w:pPr>
        <w:jc w:val="center"/>
        <w:rPr>
          <w:rFonts w:ascii="Times New Roman" w:hAnsi="Times New Roman" w:cs="Times New Roman"/>
          <w:sz w:val="36"/>
          <w:szCs w:val="36"/>
        </w:rPr>
      </w:pPr>
      <w:r w:rsidRPr="0013663D">
        <w:rPr>
          <w:rFonts w:ascii="Times New Roman" w:hAnsi="Times New Roman" w:cs="Times New Roman"/>
          <w:sz w:val="36"/>
          <w:szCs w:val="36"/>
        </w:rPr>
        <w:t>Department of Education</w:t>
      </w:r>
    </w:p>
    <w:p w14:paraId="565A7E5C" w14:textId="77777777" w:rsidR="009F0376" w:rsidRPr="0013663D" w:rsidRDefault="009F0376" w:rsidP="009F0376">
      <w:pPr>
        <w:jc w:val="center"/>
        <w:rPr>
          <w:rFonts w:ascii="Times New Roman" w:hAnsi="Times New Roman" w:cs="Times New Roman"/>
          <w:sz w:val="36"/>
          <w:szCs w:val="36"/>
        </w:rPr>
      </w:pPr>
      <w:r w:rsidRPr="0013663D">
        <w:rPr>
          <w:rFonts w:ascii="Times New Roman" w:hAnsi="Times New Roman" w:cs="Times New Roman"/>
          <w:sz w:val="36"/>
          <w:szCs w:val="36"/>
        </w:rPr>
        <w:t>Service Contract Inventory (SCI)</w:t>
      </w:r>
    </w:p>
    <w:p w14:paraId="2C047592" w14:textId="77777777" w:rsidR="002A3AD7" w:rsidRDefault="002A3AD7" w:rsidP="00936028">
      <w:pPr>
        <w:spacing w:after="0" w:line="240" w:lineRule="auto"/>
        <w:rPr>
          <w:rFonts w:ascii="Times New Roman" w:eastAsia="Calibri" w:hAnsi="Times New Roman" w:cs="Times New Roman"/>
          <w:b/>
          <w:sz w:val="24"/>
          <w:szCs w:val="24"/>
        </w:rPr>
      </w:pPr>
    </w:p>
    <w:p w14:paraId="3830441E" w14:textId="0F44AF1C" w:rsidR="002A3AD7" w:rsidRDefault="002A3AD7" w:rsidP="00936028">
      <w:pPr>
        <w:spacing w:after="0" w:line="240" w:lineRule="auto"/>
        <w:rPr>
          <w:rFonts w:ascii="Times New Roman" w:eastAsia="Calibri" w:hAnsi="Times New Roman" w:cs="Times New Roman"/>
          <w:b/>
          <w:sz w:val="24"/>
          <w:szCs w:val="24"/>
        </w:rPr>
      </w:pPr>
    </w:p>
    <w:p w14:paraId="58FE6EFB" w14:textId="33F47AA9" w:rsidR="003B7313" w:rsidRDefault="003B7313" w:rsidP="00936028">
      <w:pPr>
        <w:spacing w:after="0" w:line="240" w:lineRule="auto"/>
        <w:rPr>
          <w:rFonts w:ascii="Times New Roman" w:eastAsia="Calibri" w:hAnsi="Times New Roman" w:cs="Times New Roman"/>
          <w:b/>
          <w:sz w:val="24"/>
          <w:szCs w:val="24"/>
        </w:rPr>
      </w:pPr>
    </w:p>
    <w:p w14:paraId="45127950" w14:textId="70C4DCAF" w:rsidR="003B7313" w:rsidRDefault="003B7313" w:rsidP="00936028">
      <w:pPr>
        <w:spacing w:after="0" w:line="240" w:lineRule="auto"/>
        <w:rPr>
          <w:rFonts w:ascii="Times New Roman" w:eastAsia="Calibri" w:hAnsi="Times New Roman" w:cs="Times New Roman"/>
          <w:b/>
          <w:sz w:val="24"/>
          <w:szCs w:val="24"/>
        </w:rPr>
      </w:pPr>
    </w:p>
    <w:p w14:paraId="4B53119F" w14:textId="4CD7D7E7" w:rsidR="003B7313" w:rsidRDefault="003B7313" w:rsidP="00936028">
      <w:pPr>
        <w:spacing w:after="0" w:line="240" w:lineRule="auto"/>
        <w:rPr>
          <w:rFonts w:ascii="Times New Roman" w:eastAsia="Calibri" w:hAnsi="Times New Roman" w:cs="Times New Roman"/>
          <w:b/>
          <w:sz w:val="24"/>
          <w:szCs w:val="24"/>
        </w:rPr>
      </w:pPr>
    </w:p>
    <w:tbl>
      <w:tblPr>
        <w:tblStyle w:val="TableGrid"/>
        <w:tblW w:w="0" w:type="auto"/>
        <w:tblLook w:val="04A0" w:firstRow="1" w:lastRow="0" w:firstColumn="1" w:lastColumn="0" w:noHBand="0" w:noVBand="1"/>
      </w:tblPr>
      <w:tblGrid>
        <w:gridCol w:w="8998"/>
        <w:gridCol w:w="623"/>
      </w:tblGrid>
      <w:tr w:rsidR="0046278B" w14:paraId="50365DB6" w14:textId="77777777" w:rsidTr="00B34962">
        <w:trPr>
          <w:trHeight w:val="491"/>
        </w:trPr>
        <w:tc>
          <w:tcPr>
            <w:tcW w:w="8998" w:type="dxa"/>
          </w:tcPr>
          <w:p w14:paraId="20E68686" w14:textId="6FCCF962" w:rsidR="0046278B" w:rsidRPr="0046278B" w:rsidRDefault="0046278B" w:rsidP="00936028">
            <w:pPr>
              <w:rPr>
                <w:rFonts w:ascii="Times New Roman" w:eastAsia="Calibri" w:hAnsi="Times New Roman" w:cs="Times New Roman"/>
                <w:bCs/>
                <w:sz w:val="24"/>
                <w:szCs w:val="24"/>
              </w:rPr>
            </w:pPr>
            <w:r w:rsidRPr="0046278B">
              <w:rPr>
                <w:rFonts w:ascii="Times New Roman" w:eastAsia="Calibri" w:hAnsi="Times New Roman" w:cs="Times New Roman"/>
                <w:bCs/>
                <w:sz w:val="24"/>
                <w:szCs w:val="24"/>
              </w:rPr>
              <w:t>Table of Contents</w:t>
            </w:r>
          </w:p>
        </w:tc>
        <w:tc>
          <w:tcPr>
            <w:tcW w:w="623" w:type="dxa"/>
          </w:tcPr>
          <w:p w14:paraId="46C3885D" w14:textId="77777777" w:rsidR="0046278B" w:rsidRDefault="0046278B" w:rsidP="00936028">
            <w:pPr>
              <w:rPr>
                <w:rFonts w:ascii="Times New Roman" w:eastAsia="Calibri" w:hAnsi="Times New Roman" w:cs="Times New Roman"/>
                <w:b/>
                <w:sz w:val="24"/>
                <w:szCs w:val="24"/>
              </w:rPr>
            </w:pPr>
          </w:p>
        </w:tc>
      </w:tr>
      <w:tr w:rsidR="0046278B" w14:paraId="7C6477C2" w14:textId="77777777" w:rsidTr="00B34962">
        <w:trPr>
          <w:trHeight w:val="469"/>
        </w:trPr>
        <w:tc>
          <w:tcPr>
            <w:tcW w:w="8998" w:type="dxa"/>
          </w:tcPr>
          <w:p w14:paraId="50B5EBA7" w14:textId="146953B7" w:rsidR="0046278B" w:rsidRDefault="0046278B" w:rsidP="00936028">
            <w:pPr>
              <w:rPr>
                <w:rFonts w:ascii="Times New Roman" w:eastAsia="Calibri" w:hAnsi="Times New Roman" w:cs="Times New Roman"/>
                <w:b/>
                <w:sz w:val="24"/>
                <w:szCs w:val="24"/>
              </w:rPr>
            </w:pPr>
            <w:r>
              <w:rPr>
                <w:rFonts w:ascii="Times New Roman" w:eastAsia="Calibri" w:hAnsi="Times New Roman" w:cs="Times New Roman"/>
                <w:b/>
                <w:sz w:val="24"/>
                <w:szCs w:val="24"/>
              </w:rPr>
              <w:t>Executive Summary</w:t>
            </w:r>
          </w:p>
        </w:tc>
        <w:tc>
          <w:tcPr>
            <w:tcW w:w="623" w:type="dxa"/>
          </w:tcPr>
          <w:p w14:paraId="6E1E4C04" w14:textId="27BD5F62" w:rsidR="0046278B" w:rsidRDefault="0046278B" w:rsidP="00936028">
            <w:pPr>
              <w:rPr>
                <w:rFonts w:ascii="Times New Roman" w:eastAsia="Calibri" w:hAnsi="Times New Roman" w:cs="Times New Roman"/>
                <w:b/>
                <w:sz w:val="24"/>
                <w:szCs w:val="24"/>
              </w:rPr>
            </w:pPr>
            <w:r>
              <w:rPr>
                <w:rFonts w:ascii="Times New Roman" w:eastAsia="Calibri" w:hAnsi="Times New Roman" w:cs="Times New Roman"/>
                <w:b/>
                <w:sz w:val="24"/>
                <w:szCs w:val="24"/>
              </w:rPr>
              <w:t>3</w:t>
            </w:r>
          </w:p>
        </w:tc>
      </w:tr>
      <w:tr w:rsidR="0046278B" w14:paraId="0A4444DC" w14:textId="77777777" w:rsidTr="00B34962">
        <w:trPr>
          <w:trHeight w:val="491"/>
        </w:trPr>
        <w:tc>
          <w:tcPr>
            <w:tcW w:w="8998" w:type="dxa"/>
          </w:tcPr>
          <w:p w14:paraId="589071B5" w14:textId="64294140" w:rsidR="0046278B" w:rsidRDefault="0046278B" w:rsidP="00936028">
            <w:pPr>
              <w:rPr>
                <w:rFonts w:ascii="Times New Roman" w:eastAsia="Calibri" w:hAnsi="Times New Roman" w:cs="Times New Roman"/>
                <w:b/>
                <w:sz w:val="24"/>
                <w:szCs w:val="24"/>
              </w:rPr>
            </w:pPr>
            <w:r>
              <w:rPr>
                <w:rFonts w:ascii="Times New Roman" w:eastAsia="Calibri" w:hAnsi="Times New Roman" w:cs="Times New Roman"/>
                <w:b/>
                <w:sz w:val="24"/>
                <w:szCs w:val="24"/>
              </w:rPr>
              <w:t>1.0 - Introduction/Background</w:t>
            </w:r>
          </w:p>
        </w:tc>
        <w:tc>
          <w:tcPr>
            <w:tcW w:w="623" w:type="dxa"/>
          </w:tcPr>
          <w:p w14:paraId="386700AD" w14:textId="2B1E0049" w:rsidR="0046278B" w:rsidRDefault="0046278B" w:rsidP="00936028">
            <w:pPr>
              <w:rPr>
                <w:rFonts w:ascii="Times New Roman" w:eastAsia="Calibri" w:hAnsi="Times New Roman" w:cs="Times New Roman"/>
                <w:b/>
                <w:sz w:val="24"/>
                <w:szCs w:val="24"/>
              </w:rPr>
            </w:pPr>
            <w:r>
              <w:rPr>
                <w:rFonts w:ascii="Times New Roman" w:eastAsia="Calibri" w:hAnsi="Times New Roman" w:cs="Times New Roman"/>
                <w:b/>
                <w:sz w:val="24"/>
                <w:szCs w:val="24"/>
              </w:rPr>
              <w:t>4</w:t>
            </w:r>
          </w:p>
        </w:tc>
      </w:tr>
      <w:tr w:rsidR="0046278B" w14:paraId="74CEE0F6" w14:textId="77777777" w:rsidTr="00B34962">
        <w:trPr>
          <w:trHeight w:val="491"/>
        </w:trPr>
        <w:tc>
          <w:tcPr>
            <w:tcW w:w="8998" w:type="dxa"/>
          </w:tcPr>
          <w:p w14:paraId="78125C8C" w14:textId="2EA58E2B" w:rsidR="0046278B" w:rsidRDefault="0046278B" w:rsidP="00936028">
            <w:pPr>
              <w:rPr>
                <w:rFonts w:ascii="Times New Roman" w:eastAsia="Calibri" w:hAnsi="Times New Roman" w:cs="Times New Roman"/>
                <w:b/>
                <w:sz w:val="24"/>
                <w:szCs w:val="24"/>
              </w:rPr>
            </w:pPr>
            <w:r>
              <w:rPr>
                <w:rFonts w:ascii="Times New Roman" w:eastAsia="Calibri" w:hAnsi="Times New Roman" w:cs="Times New Roman"/>
                <w:b/>
                <w:sz w:val="24"/>
                <w:szCs w:val="24"/>
              </w:rPr>
              <w:t>2.0 - Scope</w:t>
            </w:r>
          </w:p>
        </w:tc>
        <w:tc>
          <w:tcPr>
            <w:tcW w:w="623" w:type="dxa"/>
          </w:tcPr>
          <w:p w14:paraId="737562A3" w14:textId="097E0F8E" w:rsidR="0046278B" w:rsidRDefault="0046278B" w:rsidP="00936028">
            <w:pPr>
              <w:rPr>
                <w:rFonts w:ascii="Times New Roman" w:eastAsia="Calibri" w:hAnsi="Times New Roman" w:cs="Times New Roman"/>
                <w:b/>
                <w:sz w:val="24"/>
                <w:szCs w:val="24"/>
              </w:rPr>
            </w:pPr>
            <w:r>
              <w:rPr>
                <w:rFonts w:ascii="Times New Roman" w:eastAsia="Calibri" w:hAnsi="Times New Roman" w:cs="Times New Roman"/>
                <w:b/>
                <w:sz w:val="24"/>
                <w:szCs w:val="24"/>
              </w:rPr>
              <w:t>4-5</w:t>
            </w:r>
          </w:p>
        </w:tc>
      </w:tr>
      <w:tr w:rsidR="0046278B" w14:paraId="68150D1A" w14:textId="77777777" w:rsidTr="00B34962">
        <w:trPr>
          <w:trHeight w:val="469"/>
        </w:trPr>
        <w:tc>
          <w:tcPr>
            <w:tcW w:w="8998" w:type="dxa"/>
          </w:tcPr>
          <w:p w14:paraId="35533ADF" w14:textId="4B727F12" w:rsidR="0046278B" w:rsidRDefault="0046278B" w:rsidP="00936028">
            <w:pPr>
              <w:rPr>
                <w:rFonts w:ascii="Times New Roman" w:eastAsia="Calibri" w:hAnsi="Times New Roman" w:cs="Times New Roman"/>
                <w:b/>
                <w:sz w:val="24"/>
                <w:szCs w:val="24"/>
              </w:rPr>
            </w:pPr>
            <w:r>
              <w:rPr>
                <w:rFonts w:ascii="Times New Roman" w:eastAsia="Calibri" w:hAnsi="Times New Roman" w:cs="Times New Roman"/>
                <w:b/>
                <w:sz w:val="24"/>
                <w:szCs w:val="24"/>
              </w:rPr>
              <w:t>3.0 - Methodology</w:t>
            </w:r>
          </w:p>
        </w:tc>
        <w:tc>
          <w:tcPr>
            <w:tcW w:w="623" w:type="dxa"/>
          </w:tcPr>
          <w:p w14:paraId="55065E58" w14:textId="44275FAD" w:rsidR="0046278B" w:rsidRDefault="0046278B" w:rsidP="00936028">
            <w:pPr>
              <w:rPr>
                <w:rFonts w:ascii="Times New Roman" w:eastAsia="Calibri" w:hAnsi="Times New Roman" w:cs="Times New Roman"/>
                <w:b/>
                <w:sz w:val="24"/>
                <w:szCs w:val="24"/>
              </w:rPr>
            </w:pPr>
            <w:r>
              <w:rPr>
                <w:rFonts w:ascii="Times New Roman" w:eastAsia="Calibri" w:hAnsi="Times New Roman" w:cs="Times New Roman"/>
                <w:b/>
                <w:sz w:val="24"/>
                <w:szCs w:val="24"/>
              </w:rPr>
              <w:t>6</w:t>
            </w:r>
          </w:p>
        </w:tc>
      </w:tr>
      <w:tr w:rsidR="0046278B" w14:paraId="0EAC0330" w14:textId="77777777" w:rsidTr="00B34962">
        <w:trPr>
          <w:trHeight w:val="491"/>
        </w:trPr>
        <w:tc>
          <w:tcPr>
            <w:tcW w:w="8998" w:type="dxa"/>
          </w:tcPr>
          <w:p w14:paraId="0AA49237" w14:textId="05709622" w:rsidR="0046278B" w:rsidRDefault="0046278B" w:rsidP="00936028">
            <w:pPr>
              <w:rPr>
                <w:rFonts w:ascii="Times New Roman" w:eastAsia="Calibri" w:hAnsi="Times New Roman" w:cs="Times New Roman"/>
                <w:b/>
                <w:sz w:val="24"/>
                <w:szCs w:val="24"/>
              </w:rPr>
            </w:pPr>
            <w:r>
              <w:rPr>
                <w:rFonts w:ascii="Times New Roman" w:eastAsia="Calibri" w:hAnsi="Times New Roman" w:cs="Times New Roman"/>
                <w:b/>
                <w:sz w:val="24"/>
                <w:szCs w:val="24"/>
              </w:rPr>
              <w:t>4.0 - Agency Findings</w:t>
            </w:r>
          </w:p>
        </w:tc>
        <w:tc>
          <w:tcPr>
            <w:tcW w:w="623" w:type="dxa"/>
          </w:tcPr>
          <w:p w14:paraId="6689ED71" w14:textId="56AABD51" w:rsidR="0046278B" w:rsidRDefault="0046278B" w:rsidP="00936028">
            <w:pPr>
              <w:rPr>
                <w:rFonts w:ascii="Times New Roman" w:eastAsia="Calibri" w:hAnsi="Times New Roman" w:cs="Times New Roman"/>
                <w:b/>
                <w:sz w:val="24"/>
                <w:szCs w:val="24"/>
              </w:rPr>
            </w:pPr>
            <w:r>
              <w:rPr>
                <w:rFonts w:ascii="Times New Roman" w:eastAsia="Calibri" w:hAnsi="Times New Roman" w:cs="Times New Roman"/>
                <w:b/>
                <w:sz w:val="24"/>
                <w:szCs w:val="24"/>
              </w:rPr>
              <w:t>7-8</w:t>
            </w:r>
          </w:p>
        </w:tc>
      </w:tr>
      <w:tr w:rsidR="0046278B" w14:paraId="433C49CA" w14:textId="77777777" w:rsidTr="00B34962">
        <w:trPr>
          <w:trHeight w:val="469"/>
        </w:trPr>
        <w:tc>
          <w:tcPr>
            <w:tcW w:w="8998" w:type="dxa"/>
          </w:tcPr>
          <w:p w14:paraId="7802F6F7" w14:textId="5DCE5890" w:rsidR="0046278B" w:rsidRDefault="0046278B" w:rsidP="00936028">
            <w:pPr>
              <w:rPr>
                <w:rFonts w:ascii="Times New Roman" w:eastAsia="Calibri" w:hAnsi="Times New Roman" w:cs="Times New Roman"/>
                <w:b/>
                <w:sz w:val="24"/>
                <w:szCs w:val="24"/>
              </w:rPr>
            </w:pPr>
            <w:r>
              <w:rPr>
                <w:rFonts w:ascii="Times New Roman" w:eastAsia="Calibri" w:hAnsi="Times New Roman" w:cs="Times New Roman"/>
                <w:b/>
                <w:sz w:val="24"/>
                <w:szCs w:val="24"/>
              </w:rPr>
              <w:t>5.0 - Actions Taken or Planned</w:t>
            </w:r>
          </w:p>
        </w:tc>
        <w:tc>
          <w:tcPr>
            <w:tcW w:w="623" w:type="dxa"/>
          </w:tcPr>
          <w:p w14:paraId="24C95A38" w14:textId="6F2DBD57" w:rsidR="0046278B" w:rsidRDefault="0046278B" w:rsidP="00936028">
            <w:pPr>
              <w:rPr>
                <w:rFonts w:ascii="Times New Roman" w:eastAsia="Calibri" w:hAnsi="Times New Roman" w:cs="Times New Roman"/>
                <w:b/>
                <w:sz w:val="24"/>
                <w:szCs w:val="24"/>
              </w:rPr>
            </w:pPr>
            <w:r>
              <w:rPr>
                <w:rFonts w:ascii="Times New Roman" w:eastAsia="Calibri" w:hAnsi="Times New Roman" w:cs="Times New Roman"/>
                <w:b/>
                <w:sz w:val="24"/>
                <w:szCs w:val="24"/>
              </w:rPr>
              <w:t>8</w:t>
            </w:r>
          </w:p>
        </w:tc>
      </w:tr>
      <w:tr w:rsidR="0046278B" w14:paraId="32E178AD" w14:textId="77777777" w:rsidTr="00B34962">
        <w:trPr>
          <w:trHeight w:val="491"/>
        </w:trPr>
        <w:tc>
          <w:tcPr>
            <w:tcW w:w="8998" w:type="dxa"/>
          </w:tcPr>
          <w:p w14:paraId="7AE79861" w14:textId="74463191" w:rsidR="0046278B" w:rsidRDefault="0046278B" w:rsidP="00936028">
            <w:pPr>
              <w:rPr>
                <w:rFonts w:ascii="Times New Roman" w:eastAsia="Calibri" w:hAnsi="Times New Roman" w:cs="Times New Roman"/>
                <w:b/>
                <w:sz w:val="24"/>
                <w:szCs w:val="24"/>
              </w:rPr>
            </w:pPr>
            <w:r>
              <w:rPr>
                <w:rFonts w:ascii="Times New Roman" w:eastAsia="Calibri" w:hAnsi="Times New Roman" w:cs="Times New Roman"/>
                <w:b/>
                <w:sz w:val="24"/>
                <w:szCs w:val="24"/>
              </w:rPr>
              <w:t>6.0 - Conclusions</w:t>
            </w:r>
          </w:p>
        </w:tc>
        <w:tc>
          <w:tcPr>
            <w:tcW w:w="623" w:type="dxa"/>
          </w:tcPr>
          <w:p w14:paraId="21CDC4D1" w14:textId="48C5A88B" w:rsidR="0046278B" w:rsidRDefault="0046278B" w:rsidP="00936028">
            <w:pPr>
              <w:rPr>
                <w:rFonts w:ascii="Times New Roman" w:eastAsia="Calibri" w:hAnsi="Times New Roman" w:cs="Times New Roman"/>
                <w:b/>
                <w:sz w:val="24"/>
                <w:szCs w:val="24"/>
              </w:rPr>
            </w:pPr>
            <w:r>
              <w:rPr>
                <w:rFonts w:ascii="Times New Roman" w:eastAsia="Calibri" w:hAnsi="Times New Roman" w:cs="Times New Roman"/>
                <w:b/>
                <w:sz w:val="24"/>
                <w:szCs w:val="24"/>
              </w:rPr>
              <w:t>8</w:t>
            </w:r>
          </w:p>
        </w:tc>
      </w:tr>
      <w:tr w:rsidR="0046278B" w14:paraId="5B0A23A3" w14:textId="77777777" w:rsidTr="00B34962">
        <w:trPr>
          <w:trHeight w:val="491"/>
        </w:trPr>
        <w:tc>
          <w:tcPr>
            <w:tcW w:w="8998" w:type="dxa"/>
          </w:tcPr>
          <w:p w14:paraId="0EDF6416" w14:textId="11060EE5" w:rsidR="0046278B" w:rsidRDefault="0046278B" w:rsidP="00936028">
            <w:pPr>
              <w:rPr>
                <w:rFonts w:ascii="Times New Roman" w:eastAsia="Calibri" w:hAnsi="Times New Roman" w:cs="Times New Roman"/>
                <w:b/>
                <w:sz w:val="24"/>
                <w:szCs w:val="24"/>
              </w:rPr>
            </w:pPr>
            <w:r>
              <w:rPr>
                <w:rFonts w:ascii="Times New Roman" w:eastAsia="Calibri" w:hAnsi="Times New Roman" w:cs="Times New Roman"/>
                <w:b/>
                <w:sz w:val="24"/>
                <w:szCs w:val="24"/>
              </w:rPr>
              <w:t>7.0 - Accountable Officials</w:t>
            </w:r>
          </w:p>
        </w:tc>
        <w:tc>
          <w:tcPr>
            <w:tcW w:w="623" w:type="dxa"/>
          </w:tcPr>
          <w:p w14:paraId="2B0F4E4D" w14:textId="61DFB2BD" w:rsidR="0046278B" w:rsidRDefault="0046278B" w:rsidP="00936028">
            <w:pPr>
              <w:rPr>
                <w:rFonts w:ascii="Times New Roman" w:eastAsia="Calibri" w:hAnsi="Times New Roman" w:cs="Times New Roman"/>
                <w:b/>
                <w:sz w:val="24"/>
                <w:szCs w:val="24"/>
              </w:rPr>
            </w:pPr>
            <w:r>
              <w:rPr>
                <w:rFonts w:ascii="Times New Roman" w:eastAsia="Calibri" w:hAnsi="Times New Roman" w:cs="Times New Roman"/>
                <w:b/>
                <w:sz w:val="24"/>
                <w:szCs w:val="24"/>
              </w:rPr>
              <w:t>9</w:t>
            </w:r>
          </w:p>
        </w:tc>
      </w:tr>
      <w:tr w:rsidR="0046278B" w14:paraId="24E3E44F" w14:textId="77777777" w:rsidTr="00B34962">
        <w:trPr>
          <w:trHeight w:val="469"/>
        </w:trPr>
        <w:tc>
          <w:tcPr>
            <w:tcW w:w="8998" w:type="dxa"/>
          </w:tcPr>
          <w:p w14:paraId="2F05FEF4" w14:textId="536594EC" w:rsidR="0046278B" w:rsidRDefault="0046278B" w:rsidP="00936028">
            <w:pPr>
              <w:rPr>
                <w:rFonts w:ascii="Times New Roman" w:eastAsia="Calibri" w:hAnsi="Times New Roman" w:cs="Times New Roman"/>
                <w:b/>
                <w:sz w:val="24"/>
                <w:szCs w:val="24"/>
              </w:rPr>
            </w:pPr>
            <w:r>
              <w:rPr>
                <w:rFonts w:ascii="Times New Roman" w:eastAsia="Calibri" w:hAnsi="Times New Roman" w:cs="Times New Roman"/>
                <w:b/>
                <w:sz w:val="24"/>
                <w:szCs w:val="24"/>
              </w:rPr>
              <w:t>8.0 - Attachments</w:t>
            </w:r>
          </w:p>
        </w:tc>
        <w:tc>
          <w:tcPr>
            <w:tcW w:w="623" w:type="dxa"/>
          </w:tcPr>
          <w:p w14:paraId="1412AF35" w14:textId="7B3FF107" w:rsidR="0046278B" w:rsidRDefault="0046278B" w:rsidP="00936028">
            <w:pPr>
              <w:rPr>
                <w:rFonts w:ascii="Times New Roman" w:eastAsia="Calibri" w:hAnsi="Times New Roman" w:cs="Times New Roman"/>
                <w:b/>
                <w:sz w:val="24"/>
                <w:szCs w:val="24"/>
              </w:rPr>
            </w:pPr>
          </w:p>
        </w:tc>
      </w:tr>
    </w:tbl>
    <w:p w14:paraId="0F829C47" w14:textId="20B1FDBA" w:rsidR="003B7313" w:rsidRDefault="003B7313" w:rsidP="00936028">
      <w:pPr>
        <w:spacing w:after="0" w:line="240" w:lineRule="auto"/>
        <w:rPr>
          <w:rFonts w:ascii="Times New Roman" w:eastAsia="Calibri" w:hAnsi="Times New Roman" w:cs="Times New Roman"/>
          <w:b/>
          <w:sz w:val="24"/>
          <w:szCs w:val="24"/>
        </w:rPr>
      </w:pPr>
    </w:p>
    <w:p w14:paraId="4DBD6C94" w14:textId="76FB4B18" w:rsidR="0046278B" w:rsidRDefault="0046278B" w:rsidP="00936028">
      <w:pPr>
        <w:spacing w:after="0" w:line="240" w:lineRule="auto"/>
        <w:rPr>
          <w:rFonts w:ascii="Times New Roman" w:eastAsia="Calibri" w:hAnsi="Times New Roman" w:cs="Times New Roman"/>
          <w:b/>
          <w:sz w:val="24"/>
          <w:szCs w:val="24"/>
        </w:rPr>
      </w:pPr>
    </w:p>
    <w:p w14:paraId="217CD60D" w14:textId="4D2C6DCA" w:rsidR="0046278B" w:rsidRDefault="0046278B" w:rsidP="00936028">
      <w:pPr>
        <w:spacing w:after="0" w:line="240" w:lineRule="auto"/>
        <w:rPr>
          <w:rFonts w:ascii="Times New Roman" w:eastAsia="Calibri" w:hAnsi="Times New Roman" w:cs="Times New Roman"/>
          <w:b/>
          <w:sz w:val="24"/>
          <w:szCs w:val="24"/>
        </w:rPr>
      </w:pPr>
    </w:p>
    <w:p w14:paraId="3C7CB9A5" w14:textId="17EAD1ED" w:rsidR="0046278B" w:rsidRDefault="0046278B" w:rsidP="00936028">
      <w:pPr>
        <w:spacing w:after="0" w:line="240" w:lineRule="auto"/>
        <w:rPr>
          <w:rFonts w:ascii="Times New Roman" w:eastAsia="Calibri" w:hAnsi="Times New Roman" w:cs="Times New Roman"/>
          <w:b/>
          <w:sz w:val="24"/>
          <w:szCs w:val="24"/>
        </w:rPr>
      </w:pPr>
    </w:p>
    <w:p w14:paraId="2684228D" w14:textId="362E5091" w:rsidR="0046278B" w:rsidRDefault="0046278B" w:rsidP="00936028">
      <w:pPr>
        <w:spacing w:after="0" w:line="240" w:lineRule="auto"/>
        <w:rPr>
          <w:rFonts w:ascii="Times New Roman" w:eastAsia="Calibri" w:hAnsi="Times New Roman" w:cs="Times New Roman"/>
          <w:b/>
          <w:sz w:val="24"/>
          <w:szCs w:val="24"/>
        </w:rPr>
      </w:pPr>
    </w:p>
    <w:p w14:paraId="29D5A03F" w14:textId="03715500" w:rsidR="0046278B" w:rsidRDefault="0046278B" w:rsidP="00936028">
      <w:pPr>
        <w:spacing w:after="0" w:line="240" w:lineRule="auto"/>
        <w:rPr>
          <w:rFonts w:ascii="Times New Roman" w:eastAsia="Calibri" w:hAnsi="Times New Roman" w:cs="Times New Roman"/>
          <w:b/>
          <w:sz w:val="24"/>
          <w:szCs w:val="24"/>
        </w:rPr>
      </w:pPr>
    </w:p>
    <w:p w14:paraId="2DD698C0" w14:textId="1CAEB6A0" w:rsidR="0046278B" w:rsidRDefault="0046278B" w:rsidP="00936028">
      <w:pPr>
        <w:spacing w:after="0" w:line="240" w:lineRule="auto"/>
        <w:rPr>
          <w:rFonts w:ascii="Times New Roman" w:eastAsia="Calibri" w:hAnsi="Times New Roman" w:cs="Times New Roman"/>
          <w:b/>
          <w:sz w:val="24"/>
          <w:szCs w:val="24"/>
        </w:rPr>
      </w:pPr>
    </w:p>
    <w:p w14:paraId="75A0C66E" w14:textId="33E94D8B" w:rsidR="0046278B" w:rsidRDefault="0046278B" w:rsidP="00936028">
      <w:pPr>
        <w:spacing w:after="0" w:line="240" w:lineRule="auto"/>
        <w:rPr>
          <w:rFonts w:ascii="Times New Roman" w:eastAsia="Calibri" w:hAnsi="Times New Roman" w:cs="Times New Roman"/>
          <w:b/>
          <w:sz w:val="24"/>
          <w:szCs w:val="24"/>
        </w:rPr>
      </w:pPr>
    </w:p>
    <w:p w14:paraId="18509069" w14:textId="65C0C77C" w:rsidR="0046278B" w:rsidRDefault="0046278B" w:rsidP="00936028">
      <w:pPr>
        <w:spacing w:after="0" w:line="240" w:lineRule="auto"/>
        <w:rPr>
          <w:rFonts w:ascii="Times New Roman" w:eastAsia="Calibri" w:hAnsi="Times New Roman" w:cs="Times New Roman"/>
          <w:b/>
          <w:sz w:val="24"/>
          <w:szCs w:val="24"/>
        </w:rPr>
      </w:pPr>
    </w:p>
    <w:p w14:paraId="2FB1DADB" w14:textId="5525D23B" w:rsidR="0046278B" w:rsidRDefault="0046278B" w:rsidP="00936028">
      <w:pPr>
        <w:spacing w:after="0" w:line="240" w:lineRule="auto"/>
        <w:rPr>
          <w:rFonts w:ascii="Times New Roman" w:eastAsia="Calibri" w:hAnsi="Times New Roman" w:cs="Times New Roman"/>
          <w:b/>
          <w:sz w:val="24"/>
          <w:szCs w:val="24"/>
        </w:rPr>
      </w:pPr>
    </w:p>
    <w:p w14:paraId="26FF16FF" w14:textId="23220E41" w:rsidR="0046278B" w:rsidRDefault="0046278B" w:rsidP="00936028">
      <w:pPr>
        <w:spacing w:after="0" w:line="240" w:lineRule="auto"/>
        <w:rPr>
          <w:rFonts w:ascii="Times New Roman" w:eastAsia="Calibri" w:hAnsi="Times New Roman" w:cs="Times New Roman"/>
          <w:b/>
          <w:sz w:val="24"/>
          <w:szCs w:val="24"/>
        </w:rPr>
      </w:pPr>
    </w:p>
    <w:p w14:paraId="6C899061" w14:textId="7474BEFD" w:rsidR="0046278B" w:rsidRDefault="0046278B" w:rsidP="00936028">
      <w:pPr>
        <w:spacing w:after="0" w:line="240" w:lineRule="auto"/>
        <w:rPr>
          <w:rFonts w:ascii="Times New Roman" w:eastAsia="Calibri" w:hAnsi="Times New Roman" w:cs="Times New Roman"/>
          <w:b/>
          <w:sz w:val="24"/>
          <w:szCs w:val="24"/>
        </w:rPr>
      </w:pPr>
    </w:p>
    <w:p w14:paraId="3DCFE386" w14:textId="6B587002" w:rsidR="0046278B" w:rsidRDefault="0046278B" w:rsidP="00936028">
      <w:pPr>
        <w:spacing w:after="0" w:line="240" w:lineRule="auto"/>
        <w:rPr>
          <w:rFonts w:ascii="Times New Roman" w:eastAsia="Calibri" w:hAnsi="Times New Roman" w:cs="Times New Roman"/>
          <w:b/>
          <w:sz w:val="24"/>
          <w:szCs w:val="24"/>
        </w:rPr>
      </w:pPr>
    </w:p>
    <w:p w14:paraId="3ACDDEE2" w14:textId="06EC5C25" w:rsidR="0046278B" w:rsidRDefault="0046278B" w:rsidP="00936028">
      <w:pPr>
        <w:spacing w:after="0" w:line="240" w:lineRule="auto"/>
        <w:rPr>
          <w:rFonts w:ascii="Times New Roman" w:eastAsia="Calibri" w:hAnsi="Times New Roman" w:cs="Times New Roman"/>
          <w:b/>
          <w:sz w:val="24"/>
          <w:szCs w:val="24"/>
        </w:rPr>
      </w:pPr>
    </w:p>
    <w:p w14:paraId="3497BB54" w14:textId="3BFA4EB9" w:rsidR="0046278B" w:rsidRDefault="0046278B" w:rsidP="00936028">
      <w:pPr>
        <w:spacing w:after="0" w:line="240" w:lineRule="auto"/>
        <w:rPr>
          <w:rFonts w:ascii="Times New Roman" w:eastAsia="Calibri" w:hAnsi="Times New Roman" w:cs="Times New Roman"/>
          <w:b/>
          <w:sz w:val="24"/>
          <w:szCs w:val="24"/>
        </w:rPr>
      </w:pPr>
    </w:p>
    <w:p w14:paraId="0CAAD472" w14:textId="10A4C699" w:rsidR="0046278B" w:rsidRDefault="0046278B" w:rsidP="00936028">
      <w:pPr>
        <w:spacing w:after="0" w:line="240" w:lineRule="auto"/>
        <w:rPr>
          <w:rFonts w:ascii="Times New Roman" w:eastAsia="Calibri" w:hAnsi="Times New Roman" w:cs="Times New Roman"/>
          <w:b/>
          <w:sz w:val="24"/>
          <w:szCs w:val="24"/>
        </w:rPr>
      </w:pPr>
    </w:p>
    <w:p w14:paraId="1C63A35E" w14:textId="357F0113" w:rsidR="0046278B" w:rsidRDefault="0046278B" w:rsidP="00936028">
      <w:pPr>
        <w:spacing w:after="0" w:line="240" w:lineRule="auto"/>
        <w:rPr>
          <w:rFonts w:ascii="Times New Roman" w:eastAsia="Calibri" w:hAnsi="Times New Roman" w:cs="Times New Roman"/>
          <w:b/>
          <w:sz w:val="24"/>
          <w:szCs w:val="24"/>
        </w:rPr>
      </w:pPr>
    </w:p>
    <w:p w14:paraId="64590B05" w14:textId="4708A5D8" w:rsidR="0046278B" w:rsidRDefault="0046278B" w:rsidP="00936028">
      <w:pPr>
        <w:spacing w:after="0" w:line="240" w:lineRule="auto"/>
        <w:rPr>
          <w:rFonts w:ascii="Times New Roman" w:eastAsia="Calibri" w:hAnsi="Times New Roman" w:cs="Times New Roman"/>
          <w:b/>
          <w:sz w:val="24"/>
          <w:szCs w:val="24"/>
        </w:rPr>
      </w:pPr>
    </w:p>
    <w:p w14:paraId="31CF1FF1" w14:textId="72093D89" w:rsidR="0046278B" w:rsidRDefault="0046278B" w:rsidP="00936028">
      <w:pPr>
        <w:spacing w:after="0" w:line="240" w:lineRule="auto"/>
        <w:rPr>
          <w:rFonts w:ascii="Times New Roman" w:eastAsia="Calibri" w:hAnsi="Times New Roman" w:cs="Times New Roman"/>
          <w:b/>
          <w:sz w:val="24"/>
          <w:szCs w:val="24"/>
        </w:rPr>
      </w:pPr>
    </w:p>
    <w:p w14:paraId="678A9A91" w14:textId="4B5898CC" w:rsidR="0046278B" w:rsidRDefault="0046278B" w:rsidP="00936028">
      <w:pPr>
        <w:spacing w:after="0" w:line="240" w:lineRule="auto"/>
        <w:rPr>
          <w:rFonts w:ascii="Times New Roman" w:eastAsia="Calibri" w:hAnsi="Times New Roman" w:cs="Times New Roman"/>
          <w:b/>
          <w:sz w:val="24"/>
          <w:szCs w:val="24"/>
        </w:rPr>
      </w:pPr>
    </w:p>
    <w:p w14:paraId="20EAA812" w14:textId="653E8BD6" w:rsidR="0046278B" w:rsidRDefault="0046278B" w:rsidP="00936028">
      <w:pPr>
        <w:spacing w:after="0" w:line="240" w:lineRule="auto"/>
        <w:rPr>
          <w:rFonts w:ascii="Times New Roman" w:eastAsia="Calibri" w:hAnsi="Times New Roman" w:cs="Times New Roman"/>
          <w:b/>
          <w:sz w:val="24"/>
          <w:szCs w:val="24"/>
        </w:rPr>
      </w:pPr>
    </w:p>
    <w:p w14:paraId="2B876DA8" w14:textId="05868281" w:rsidR="0046278B" w:rsidRDefault="0046278B" w:rsidP="00936028">
      <w:pPr>
        <w:spacing w:after="0" w:line="240" w:lineRule="auto"/>
        <w:rPr>
          <w:rFonts w:ascii="Times New Roman" w:eastAsia="Calibri" w:hAnsi="Times New Roman" w:cs="Times New Roman"/>
          <w:b/>
          <w:sz w:val="24"/>
          <w:szCs w:val="24"/>
        </w:rPr>
      </w:pPr>
    </w:p>
    <w:p w14:paraId="14493262" w14:textId="571E90D3" w:rsidR="0046278B" w:rsidRDefault="0046278B" w:rsidP="00936028">
      <w:pPr>
        <w:spacing w:after="0" w:line="240" w:lineRule="auto"/>
        <w:rPr>
          <w:rFonts w:ascii="Times New Roman" w:eastAsia="Calibri" w:hAnsi="Times New Roman" w:cs="Times New Roman"/>
          <w:b/>
          <w:sz w:val="24"/>
          <w:szCs w:val="24"/>
        </w:rPr>
      </w:pPr>
    </w:p>
    <w:p w14:paraId="4AA6C379" w14:textId="7AA5C41B" w:rsidR="0046278B" w:rsidRDefault="0046278B" w:rsidP="00936028">
      <w:pPr>
        <w:spacing w:after="0" w:line="240" w:lineRule="auto"/>
        <w:rPr>
          <w:rFonts w:ascii="Times New Roman" w:eastAsia="Calibri" w:hAnsi="Times New Roman" w:cs="Times New Roman"/>
          <w:b/>
          <w:sz w:val="24"/>
          <w:szCs w:val="24"/>
        </w:rPr>
      </w:pPr>
    </w:p>
    <w:p w14:paraId="44614721" w14:textId="0FD61196" w:rsidR="0046278B" w:rsidRDefault="0046278B" w:rsidP="00936028">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56851868" w14:textId="0A407932" w:rsidR="002A3AD7" w:rsidRPr="003B7313" w:rsidRDefault="002A3AD7" w:rsidP="002A3AD7">
      <w:pPr>
        <w:keepNext/>
        <w:spacing w:before="440" w:after="440" w:line="240" w:lineRule="auto"/>
        <w:ind w:left="720" w:hanging="720"/>
        <w:outlineLvl w:val="0"/>
        <w:rPr>
          <w:rFonts w:ascii="Times New Roman" w:eastAsia="Times New Roman" w:hAnsi="Times New Roman" w:cs="Times New Roman"/>
          <w:b/>
          <w:bCs/>
          <w:caps/>
          <w:kern w:val="32"/>
          <w:sz w:val="24"/>
          <w:szCs w:val="24"/>
        </w:rPr>
      </w:pPr>
      <w:r w:rsidRPr="003B7313">
        <w:rPr>
          <w:rFonts w:ascii="Times New Roman" w:eastAsia="Times New Roman" w:hAnsi="Times New Roman" w:cs="Times New Roman"/>
          <w:b/>
          <w:bCs/>
          <w:caps/>
          <w:kern w:val="32"/>
          <w:sz w:val="24"/>
          <w:szCs w:val="24"/>
        </w:rPr>
        <w:lastRenderedPageBreak/>
        <w:t>Executive Summary</w:t>
      </w:r>
    </w:p>
    <w:p w14:paraId="4B06273F" w14:textId="77777777" w:rsidR="002A3AD7" w:rsidRPr="003B7313" w:rsidRDefault="002A3AD7" w:rsidP="002A3AD7">
      <w:pPr>
        <w:spacing w:line="240" w:lineRule="auto"/>
        <w:rPr>
          <w:rFonts w:ascii="Times New Roman" w:hAnsi="Times New Roman" w:cs="Times New Roman"/>
          <w:sz w:val="24"/>
          <w:szCs w:val="24"/>
        </w:rPr>
      </w:pPr>
      <w:r w:rsidRPr="003B7313">
        <w:rPr>
          <w:rFonts w:ascii="Times New Roman" w:hAnsi="Times New Roman" w:cs="Times New Roman"/>
          <w:sz w:val="24"/>
          <w:szCs w:val="24"/>
        </w:rPr>
        <w:t xml:space="preserve">Section 743 of Division C of the Fiscal Year (FY) 2010 Consolidated Appropriations Act, Pub. L. 111-117 requires civilian agencies to prepare an annual inventory of their service contracts.  </w:t>
      </w:r>
    </w:p>
    <w:p w14:paraId="461C7115" w14:textId="77777777" w:rsidR="002A3AD7" w:rsidRPr="003B7313" w:rsidRDefault="002A3AD7" w:rsidP="002A3AD7">
      <w:pPr>
        <w:spacing w:line="240" w:lineRule="auto"/>
        <w:rPr>
          <w:rFonts w:ascii="Times New Roman" w:hAnsi="Times New Roman" w:cs="Times New Roman"/>
          <w:sz w:val="24"/>
          <w:szCs w:val="24"/>
        </w:rPr>
      </w:pPr>
      <w:r w:rsidRPr="003B7313">
        <w:rPr>
          <w:rFonts w:ascii="Times New Roman" w:hAnsi="Times New Roman" w:cs="Times New Roman"/>
          <w:sz w:val="24"/>
          <w:szCs w:val="24"/>
        </w:rPr>
        <w:t xml:space="preserve">The Department of Education (ED) conducted its annual SCI for FY 2019.  ED continues its efforts to improve the management of service contracts and utilizes information gathered during this process to assess successes and areas for additional opportunities.  ED is committed to driving on-going initiatives and efforts to cut waste and reduce unnecessary spending, while delivering efficient and effective service to its stakeholders, manage service contracts more effectively and to proactively find cost savings without adversely affecting the mission as a top priority. </w:t>
      </w:r>
    </w:p>
    <w:p w14:paraId="4C2AFA43" w14:textId="4FA70806" w:rsidR="002A3AD7" w:rsidRPr="003B7313" w:rsidRDefault="002A3AD7" w:rsidP="002A3AD7">
      <w:pPr>
        <w:spacing w:line="240" w:lineRule="auto"/>
        <w:rPr>
          <w:rFonts w:ascii="Times New Roman" w:hAnsi="Times New Roman" w:cs="Times New Roman"/>
          <w:sz w:val="24"/>
          <w:szCs w:val="24"/>
        </w:rPr>
      </w:pPr>
      <w:r w:rsidRPr="003B7313">
        <w:rPr>
          <w:rFonts w:ascii="Times New Roman" w:hAnsi="Times New Roman" w:cs="Times New Roman"/>
          <w:sz w:val="24"/>
          <w:szCs w:val="24"/>
        </w:rPr>
        <w:t xml:space="preserve">In FY 2019, ED obligated an approximate total of $2.890 billion dollars on all contracts for goods and services. </w:t>
      </w:r>
      <w:r w:rsidRPr="003B7313">
        <w:rPr>
          <w:rFonts w:ascii="Times New Roman" w:hAnsi="Times New Roman" w:cs="Times New Roman"/>
          <w:color w:val="FF0000"/>
          <w:sz w:val="24"/>
          <w:szCs w:val="24"/>
        </w:rPr>
        <w:t xml:space="preserve"> </w:t>
      </w:r>
      <w:r w:rsidRPr="003B7313">
        <w:rPr>
          <w:rFonts w:ascii="Times New Roman" w:hAnsi="Times New Roman" w:cs="Times New Roman"/>
          <w:sz w:val="24"/>
          <w:szCs w:val="24"/>
        </w:rPr>
        <w:t xml:space="preserve">Of that total amount, $2.778 billion was obligated on </w:t>
      </w:r>
      <w:r w:rsidR="009F436F" w:rsidRPr="003B7313">
        <w:rPr>
          <w:rFonts w:ascii="Times New Roman" w:hAnsi="Times New Roman" w:cs="Times New Roman"/>
          <w:sz w:val="24"/>
          <w:szCs w:val="24"/>
        </w:rPr>
        <w:t xml:space="preserve">all </w:t>
      </w:r>
      <w:r w:rsidRPr="003B7313">
        <w:rPr>
          <w:rFonts w:ascii="Times New Roman" w:hAnsi="Times New Roman" w:cs="Times New Roman"/>
          <w:sz w:val="24"/>
          <w:szCs w:val="24"/>
        </w:rPr>
        <w:t>service contracts.  With, $2.</w:t>
      </w:r>
      <w:r w:rsidR="00FF2191" w:rsidRPr="003B7313">
        <w:rPr>
          <w:rFonts w:ascii="Times New Roman" w:hAnsi="Times New Roman" w:cs="Times New Roman"/>
          <w:sz w:val="24"/>
          <w:szCs w:val="24"/>
        </w:rPr>
        <w:t>419</w:t>
      </w:r>
      <w:r w:rsidRPr="003B7313">
        <w:rPr>
          <w:rFonts w:ascii="Times New Roman" w:hAnsi="Times New Roman" w:cs="Times New Roman"/>
          <w:sz w:val="24"/>
          <w:szCs w:val="24"/>
        </w:rPr>
        <w:t xml:space="preserve"> billion dollars being obligated as follows, to the OMB-suggested management support services and the ED’s FY 2019 selected support services in the amounts of $182.202 million and $2.</w:t>
      </w:r>
      <w:r w:rsidR="000D74FE" w:rsidRPr="003B7313">
        <w:rPr>
          <w:rFonts w:ascii="Times New Roman" w:hAnsi="Times New Roman" w:cs="Times New Roman"/>
          <w:sz w:val="24"/>
          <w:szCs w:val="24"/>
        </w:rPr>
        <w:t>237</w:t>
      </w:r>
      <w:r w:rsidRPr="003B7313">
        <w:rPr>
          <w:rFonts w:ascii="Times New Roman" w:hAnsi="Times New Roman" w:cs="Times New Roman"/>
          <w:sz w:val="24"/>
          <w:szCs w:val="24"/>
        </w:rPr>
        <w:t xml:space="preserve"> billion dollars respectively, as the spend categories denoted by </w:t>
      </w:r>
      <w:r w:rsidR="001C7B8D" w:rsidRPr="003B7313">
        <w:rPr>
          <w:rFonts w:ascii="Times New Roman" w:hAnsi="Times New Roman" w:cs="Times New Roman"/>
          <w:sz w:val="24"/>
          <w:szCs w:val="24"/>
        </w:rPr>
        <w:t>the 1</w:t>
      </w:r>
      <w:r w:rsidRPr="003B7313">
        <w:rPr>
          <w:rFonts w:ascii="Times New Roman" w:hAnsi="Times New Roman" w:cs="Times New Roman"/>
          <w:sz w:val="24"/>
          <w:szCs w:val="24"/>
        </w:rPr>
        <w:t xml:space="preserve">0 Federal Product Service Codes (PSC) identified within the subsequent chart.  ED conducted a detailed review of its FY 2019 SCI and presents the results herein.  </w:t>
      </w:r>
    </w:p>
    <w:p w14:paraId="27CFA8B2" w14:textId="77777777" w:rsidR="002A3AD7" w:rsidRPr="003B7313" w:rsidRDefault="002A3AD7" w:rsidP="002A3AD7">
      <w:pPr>
        <w:spacing w:line="240" w:lineRule="auto"/>
        <w:rPr>
          <w:rFonts w:ascii="Times New Roman" w:hAnsi="Times New Roman" w:cs="Times New Roman"/>
          <w:bCs/>
          <w:sz w:val="24"/>
          <w:szCs w:val="24"/>
        </w:rPr>
      </w:pPr>
      <w:r w:rsidRPr="003B7313">
        <w:rPr>
          <w:rFonts w:ascii="Times New Roman" w:hAnsi="Times New Roman" w:cs="Times New Roman"/>
          <w:sz w:val="24"/>
          <w:szCs w:val="24"/>
        </w:rPr>
        <w:t xml:space="preserve">Overall, ED’s analysis revealed </w:t>
      </w:r>
      <w:r w:rsidRPr="003B7313">
        <w:rPr>
          <w:rFonts w:ascii="Times New Roman" w:hAnsi="Times New Roman" w:cs="Times New Roman"/>
          <w:bCs/>
          <w:sz w:val="24"/>
          <w:szCs w:val="24"/>
        </w:rPr>
        <w:t xml:space="preserve">appropriate balancing of contracted efforts and agency resources to effectively manage and oversee contracts. There were no instances in which personal services were being performed under ED contracts. Additionally, there were no contracts identified where inherently governmental function were being performed under ED contracts.  However, there were only limited instances in which closely associated to inherently governmental functions, and critical functions were being performed under ED contracts – and all were being performed based on appropriate statutory authority. </w:t>
      </w:r>
    </w:p>
    <w:p w14:paraId="64876BA9" w14:textId="77777777" w:rsidR="002A3AD7" w:rsidRPr="003B7313" w:rsidRDefault="002A3AD7" w:rsidP="002A3AD7">
      <w:pPr>
        <w:spacing w:line="240" w:lineRule="auto"/>
        <w:rPr>
          <w:rFonts w:ascii="Times New Roman" w:hAnsi="Times New Roman" w:cs="Times New Roman"/>
          <w:sz w:val="24"/>
          <w:szCs w:val="24"/>
        </w:rPr>
      </w:pPr>
    </w:p>
    <w:p w14:paraId="5CD6791C" w14:textId="3A3A18AC" w:rsidR="002A3AD7" w:rsidRPr="003B7313" w:rsidRDefault="002A3AD7" w:rsidP="00936028">
      <w:pPr>
        <w:spacing w:after="0" w:line="240" w:lineRule="auto"/>
        <w:rPr>
          <w:rFonts w:ascii="Times New Roman" w:eastAsia="Calibri" w:hAnsi="Times New Roman" w:cs="Times New Roman"/>
          <w:b/>
          <w:sz w:val="24"/>
          <w:szCs w:val="24"/>
        </w:rPr>
      </w:pPr>
    </w:p>
    <w:p w14:paraId="61D15600" w14:textId="36DD1DD6" w:rsidR="002A3AD7" w:rsidRPr="003B7313" w:rsidRDefault="002A3AD7" w:rsidP="00936028">
      <w:pPr>
        <w:spacing w:after="0" w:line="240" w:lineRule="auto"/>
        <w:rPr>
          <w:rFonts w:ascii="Times New Roman" w:eastAsia="Calibri" w:hAnsi="Times New Roman" w:cs="Times New Roman"/>
          <w:b/>
          <w:sz w:val="24"/>
          <w:szCs w:val="24"/>
        </w:rPr>
      </w:pPr>
    </w:p>
    <w:p w14:paraId="5BCE5A6E" w14:textId="167016F0" w:rsidR="002A3AD7" w:rsidRPr="003B7313" w:rsidRDefault="002A3AD7" w:rsidP="00936028">
      <w:pPr>
        <w:spacing w:after="0" w:line="240" w:lineRule="auto"/>
        <w:rPr>
          <w:rFonts w:ascii="Times New Roman" w:eastAsia="Calibri" w:hAnsi="Times New Roman" w:cs="Times New Roman"/>
          <w:b/>
          <w:sz w:val="24"/>
          <w:szCs w:val="24"/>
        </w:rPr>
      </w:pPr>
    </w:p>
    <w:p w14:paraId="652CBB05" w14:textId="000F93C0" w:rsidR="002A3AD7" w:rsidRPr="003B7313" w:rsidRDefault="002A3AD7" w:rsidP="00936028">
      <w:pPr>
        <w:spacing w:after="0" w:line="240" w:lineRule="auto"/>
        <w:rPr>
          <w:rFonts w:ascii="Times New Roman" w:eastAsia="Calibri" w:hAnsi="Times New Roman" w:cs="Times New Roman"/>
          <w:b/>
          <w:sz w:val="24"/>
          <w:szCs w:val="24"/>
        </w:rPr>
      </w:pPr>
    </w:p>
    <w:p w14:paraId="70A3D38F" w14:textId="57F81899" w:rsidR="002A3AD7" w:rsidRPr="003B7313" w:rsidRDefault="002A3AD7" w:rsidP="00936028">
      <w:pPr>
        <w:spacing w:after="0" w:line="240" w:lineRule="auto"/>
        <w:rPr>
          <w:rFonts w:ascii="Times New Roman" w:eastAsia="Calibri" w:hAnsi="Times New Roman" w:cs="Times New Roman"/>
          <w:b/>
          <w:sz w:val="24"/>
          <w:szCs w:val="24"/>
        </w:rPr>
      </w:pPr>
    </w:p>
    <w:p w14:paraId="63D4929A" w14:textId="6D0902CC" w:rsidR="002A3AD7" w:rsidRPr="003B7313" w:rsidRDefault="002A3AD7" w:rsidP="00936028">
      <w:pPr>
        <w:spacing w:after="0" w:line="240" w:lineRule="auto"/>
        <w:rPr>
          <w:rFonts w:ascii="Times New Roman" w:eastAsia="Calibri" w:hAnsi="Times New Roman" w:cs="Times New Roman"/>
          <w:b/>
          <w:sz w:val="24"/>
          <w:szCs w:val="24"/>
        </w:rPr>
      </w:pPr>
    </w:p>
    <w:p w14:paraId="0DBD38AF" w14:textId="2F344CB2" w:rsidR="002A3AD7" w:rsidRPr="003B7313" w:rsidRDefault="002A3AD7" w:rsidP="00936028">
      <w:pPr>
        <w:spacing w:after="0" w:line="240" w:lineRule="auto"/>
        <w:rPr>
          <w:rFonts w:ascii="Times New Roman" w:eastAsia="Calibri" w:hAnsi="Times New Roman" w:cs="Times New Roman"/>
          <w:b/>
          <w:sz w:val="24"/>
          <w:szCs w:val="24"/>
        </w:rPr>
      </w:pPr>
    </w:p>
    <w:p w14:paraId="046F0835" w14:textId="329A8DEE" w:rsidR="002A3AD7" w:rsidRPr="003B7313" w:rsidRDefault="002A3AD7" w:rsidP="00936028">
      <w:pPr>
        <w:spacing w:after="0" w:line="240" w:lineRule="auto"/>
        <w:rPr>
          <w:rFonts w:ascii="Times New Roman" w:eastAsia="Calibri" w:hAnsi="Times New Roman" w:cs="Times New Roman"/>
          <w:b/>
          <w:sz w:val="24"/>
          <w:szCs w:val="24"/>
        </w:rPr>
      </w:pPr>
    </w:p>
    <w:p w14:paraId="6E43B189" w14:textId="35FEB8F3" w:rsidR="002A3AD7" w:rsidRPr="003B7313" w:rsidRDefault="002A3AD7" w:rsidP="00936028">
      <w:pPr>
        <w:spacing w:after="0" w:line="240" w:lineRule="auto"/>
        <w:rPr>
          <w:rFonts w:ascii="Times New Roman" w:eastAsia="Calibri" w:hAnsi="Times New Roman" w:cs="Times New Roman"/>
          <w:b/>
          <w:sz w:val="24"/>
          <w:szCs w:val="24"/>
        </w:rPr>
      </w:pPr>
    </w:p>
    <w:p w14:paraId="080A1693" w14:textId="0610C625" w:rsidR="002A3AD7" w:rsidRPr="003B7313" w:rsidRDefault="002A3AD7" w:rsidP="00936028">
      <w:pPr>
        <w:spacing w:after="0" w:line="240" w:lineRule="auto"/>
        <w:rPr>
          <w:rFonts w:ascii="Times New Roman" w:eastAsia="Calibri" w:hAnsi="Times New Roman" w:cs="Times New Roman"/>
          <w:b/>
          <w:sz w:val="24"/>
          <w:szCs w:val="24"/>
        </w:rPr>
      </w:pPr>
    </w:p>
    <w:p w14:paraId="4C8E2A85" w14:textId="0502092F" w:rsidR="002A3AD7" w:rsidRPr="003B7313" w:rsidRDefault="002A3AD7" w:rsidP="00936028">
      <w:pPr>
        <w:spacing w:after="0" w:line="240" w:lineRule="auto"/>
        <w:rPr>
          <w:rFonts w:ascii="Times New Roman" w:eastAsia="Calibri" w:hAnsi="Times New Roman" w:cs="Times New Roman"/>
          <w:b/>
          <w:sz w:val="24"/>
          <w:szCs w:val="24"/>
        </w:rPr>
      </w:pPr>
    </w:p>
    <w:p w14:paraId="3A2713E3" w14:textId="0832ADB5" w:rsidR="002A3AD7" w:rsidRPr="003B7313" w:rsidRDefault="002A3AD7" w:rsidP="00936028">
      <w:pPr>
        <w:spacing w:after="0" w:line="240" w:lineRule="auto"/>
        <w:rPr>
          <w:rFonts w:ascii="Times New Roman" w:eastAsia="Calibri" w:hAnsi="Times New Roman" w:cs="Times New Roman"/>
          <w:b/>
          <w:sz w:val="24"/>
          <w:szCs w:val="24"/>
        </w:rPr>
      </w:pPr>
    </w:p>
    <w:p w14:paraId="1B3E9BBF" w14:textId="4BE9C18F" w:rsidR="002A3AD7" w:rsidRPr="003B7313" w:rsidRDefault="002A3AD7" w:rsidP="00936028">
      <w:pPr>
        <w:spacing w:after="0" w:line="240" w:lineRule="auto"/>
        <w:rPr>
          <w:rFonts w:ascii="Times New Roman" w:eastAsia="Calibri" w:hAnsi="Times New Roman" w:cs="Times New Roman"/>
          <w:b/>
          <w:sz w:val="24"/>
          <w:szCs w:val="24"/>
        </w:rPr>
      </w:pPr>
    </w:p>
    <w:p w14:paraId="61B35640" w14:textId="3800C425" w:rsidR="002A3AD7" w:rsidRPr="003B7313" w:rsidRDefault="002A3AD7" w:rsidP="00936028">
      <w:pPr>
        <w:spacing w:after="0" w:line="240" w:lineRule="auto"/>
        <w:rPr>
          <w:rFonts w:ascii="Times New Roman" w:eastAsia="Calibri" w:hAnsi="Times New Roman" w:cs="Times New Roman"/>
          <w:b/>
          <w:sz w:val="24"/>
          <w:szCs w:val="24"/>
        </w:rPr>
      </w:pPr>
    </w:p>
    <w:p w14:paraId="107192B1" w14:textId="70153C35" w:rsidR="002A3AD7" w:rsidRPr="003B7313" w:rsidRDefault="002A3AD7" w:rsidP="00936028">
      <w:pPr>
        <w:spacing w:after="0" w:line="240" w:lineRule="auto"/>
        <w:rPr>
          <w:rFonts w:ascii="Times New Roman" w:eastAsia="Calibri" w:hAnsi="Times New Roman" w:cs="Times New Roman"/>
          <w:b/>
          <w:sz w:val="24"/>
          <w:szCs w:val="24"/>
        </w:rPr>
      </w:pPr>
    </w:p>
    <w:p w14:paraId="79B3A806" w14:textId="7C41E83C" w:rsidR="002A3AD7" w:rsidRPr="003B7313" w:rsidRDefault="002A3AD7" w:rsidP="00936028">
      <w:pPr>
        <w:spacing w:after="0" w:line="240" w:lineRule="auto"/>
        <w:rPr>
          <w:rFonts w:ascii="Times New Roman" w:eastAsia="Calibri" w:hAnsi="Times New Roman" w:cs="Times New Roman"/>
          <w:b/>
          <w:sz w:val="24"/>
          <w:szCs w:val="24"/>
        </w:rPr>
      </w:pPr>
    </w:p>
    <w:p w14:paraId="077741F5" w14:textId="052A06BC" w:rsidR="002A3AD7" w:rsidRPr="003B7313" w:rsidRDefault="002A3AD7" w:rsidP="00936028">
      <w:pPr>
        <w:spacing w:after="0" w:line="240" w:lineRule="auto"/>
        <w:rPr>
          <w:rFonts w:ascii="Times New Roman" w:eastAsia="Calibri" w:hAnsi="Times New Roman" w:cs="Times New Roman"/>
          <w:b/>
          <w:sz w:val="24"/>
          <w:szCs w:val="24"/>
        </w:rPr>
      </w:pPr>
    </w:p>
    <w:p w14:paraId="38510CA6" w14:textId="77777777" w:rsidR="002A3AD7" w:rsidRPr="003B7313" w:rsidRDefault="002A3AD7" w:rsidP="00936028">
      <w:pPr>
        <w:spacing w:after="0" w:line="240" w:lineRule="auto"/>
        <w:rPr>
          <w:rFonts w:ascii="Times New Roman" w:eastAsia="Calibri" w:hAnsi="Times New Roman" w:cs="Times New Roman"/>
          <w:b/>
          <w:sz w:val="24"/>
          <w:szCs w:val="24"/>
        </w:rPr>
      </w:pPr>
    </w:p>
    <w:p w14:paraId="11769D17" w14:textId="77777777" w:rsidR="002A3AD7" w:rsidRPr="003B7313" w:rsidRDefault="002A3AD7" w:rsidP="00936028">
      <w:pPr>
        <w:spacing w:after="0" w:line="240" w:lineRule="auto"/>
        <w:rPr>
          <w:rFonts w:ascii="Times New Roman" w:eastAsia="Calibri" w:hAnsi="Times New Roman" w:cs="Times New Roman"/>
          <w:b/>
          <w:sz w:val="24"/>
          <w:szCs w:val="24"/>
        </w:rPr>
      </w:pPr>
    </w:p>
    <w:p w14:paraId="418C87CD" w14:textId="77777777" w:rsidR="002A3AD7" w:rsidRPr="003B7313" w:rsidRDefault="002A3AD7" w:rsidP="00936028">
      <w:pPr>
        <w:spacing w:after="0" w:line="240" w:lineRule="auto"/>
        <w:rPr>
          <w:rFonts w:ascii="Times New Roman" w:eastAsia="Calibri" w:hAnsi="Times New Roman" w:cs="Times New Roman"/>
          <w:b/>
          <w:sz w:val="24"/>
          <w:szCs w:val="24"/>
        </w:rPr>
      </w:pPr>
    </w:p>
    <w:p w14:paraId="60356057" w14:textId="77777777" w:rsidR="00417F6C" w:rsidRPr="003B7313" w:rsidRDefault="00417F6C" w:rsidP="00417F6C">
      <w:pPr>
        <w:keepNext/>
        <w:spacing w:before="440" w:after="440" w:line="240" w:lineRule="auto"/>
        <w:outlineLvl w:val="0"/>
        <w:rPr>
          <w:rFonts w:ascii="Times New Roman" w:eastAsia="Times New Roman" w:hAnsi="Times New Roman" w:cs="Times New Roman"/>
          <w:b/>
          <w:bCs/>
          <w:caps/>
          <w:kern w:val="32"/>
          <w:sz w:val="24"/>
          <w:szCs w:val="24"/>
        </w:rPr>
      </w:pPr>
      <w:r w:rsidRPr="003B7313">
        <w:rPr>
          <w:rFonts w:ascii="Times New Roman" w:eastAsia="Times New Roman" w:hAnsi="Times New Roman" w:cs="Times New Roman"/>
          <w:b/>
          <w:bCs/>
          <w:caps/>
          <w:kern w:val="32"/>
          <w:sz w:val="24"/>
          <w:szCs w:val="24"/>
        </w:rPr>
        <w:lastRenderedPageBreak/>
        <w:t>1.0 – Introduction/Background</w:t>
      </w:r>
    </w:p>
    <w:p w14:paraId="7ABDC158" w14:textId="77777777" w:rsidR="00417F6C" w:rsidRPr="003B7313" w:rsidRDefault="00417F6C" w:rsidP="00417F6C">
      <w:pPr>
        <w:spacing w:line="240" w:lineRule="auto"/>
        <w:rPr>
          <w:rFonts w:ascii="Times New Roman" w:hAnsi="Times New Roman" w:cs="Times New Roman"/>
          <w:sz w:val="24"/>
          <w:szCs w:val="24"/>
        </w:rPr>
      </w:pPr>
      <w:r w:rsidRPr="003B7313">
        <w:rPr>
          <w:rFonts w:ascii="Times New Roman" w:hAnsi="Times New Roman" w:cs="Times New Roman"/>
          <w:sz w:val="24"/>
          <w:szCs w:val="24"/>
        </w:rPr>
        <w:t>Section 743 of Division C of the Fiscal Year (FY) 2010 Consolidated Appropriations Act, Public Law 111-117,</w:t>
      </w:r>
      <w:r w:rsidRPr="003B7313">
        <w:rPr>
          <w:rFonts w:ascii="Times New Roman" w:hAnsi="Times New Roman" w:cs="Times New Roman"/>
          <w:sz w:val="24"/>
          <w:szCs w:val="24"/>
          <w:vertAlign w:val="superscript"/>
        </w:rPr>
        <w:footnoteReference w:id="1"/>
      </w:r>
      <w:r w:rsidRPr="003B7313">
        <w:rPr>
          <w:rFonts w:ascii="Times New Roman" w:hAnsi="Times New Roman" w:cs="Times New Roman"/>
          <w:sz w:val="24"/>
          <w:szCs w:val="24"/>
        </w:rPr>
        <w:t xml:space="preserve"> requires civilian agencies to prepare an annual inventory of their service contracts.  In 2011, the Office of Management and Budget (OMB) issued a memorandum entitled “Service Contract Inventories” to Chief Acquisition Officers (CAO) and Senior Procurement Executives (SPE), providing specific guidance for developing, analyzing, and reporting on their agency’s Service Contract Inventory (SCI). Additionally, OMB issues guidance to agencies on documenting the results of its analysis.</w:t>
      </w:r>
    </w:p>
    <w:p w14:paraId="1185620E" w14:textId="0E7B2964" w:rsidR="009E5513" w:rsidRPr="003B7313" w:rsidRDefault="00417F6C" w:rsidP="009E5513">
      <w:pPr>
        <w:spacing w:after="0" w:line="240" w:lineRule="auto"/>
        <w:rPr>
          <w:rFonts w:ascii="Times New Roman" w:eastAsia="Calibri" w:hAnsi="Times New Roman" w:cs="Times New Roman"/>
          <w:color w:val="FF0000"/>
          <w:sz w:val="24"/>
          <w:szCs w:val="24"/>
        </w:rPr>
      </w:pPr>
      <w:r w:rsidRPr="003B7313">
        <w:rPr>
          <w:rFonts w:ascii="Times New Roman" w:hAnsi="Times New Roman" w:cs="Times New Roman"/>
          <w:sz w:val="24"/>
          <w:szCs w:val="24"/>
        </w:rPr>
        <w:t>In FY 2019, ED obligated $2.890 billion dollars on all contracts for goods and services.</w:t>
      </w:r>
      <w:r w:rsidRPr="003B7313">
        <w:rPr>
          <w:rFonts w:ascii="Times New Roman" w:hAnsi="Times New Roman" w:cs="Times New Roman"/>
          <w:sz w:val="24"/>
          <w:szCs w:val="24"/>
          <w:vertAlign w:val="superscript"/>
        </w:rPr>
        <w:footnoteReference w:id="2"/>
      </w:r>
      <w:r w:rsidRPr="003B7313">
        <w:rPr>
          <w:rFonts w:ascii="Times New Roman" w:hAnsi="Times New Roman" w:cs="Times New Roman"/>
          <w:sz w:val="24"/>
          <w:szCs w:val="24"/>
        </w:rPr>
        <w:t xml:space="preserve"> </w:t>
      </w:r>
      <w:r w:rsidRPr="003B7313">
        <w:rPr>
          <w:rFonts w:ascii="Times New Roman" w:hAnsi="Times New Roman" w:cs="Times New Roman"/>
          <w:color w:val="FF0000"/>
          <w:sz w:val="24"/>
          <w:szCs w:val="24"/>
        </w:rPr>
        <w:t xml:space="preserve">  </w:t>
      </w:r>
      <w:r w:rsidRPr="003B7313">
        <w:rPr>
          <w:rFonts w:ascii="Times New Roman" w:hAnsi="Times New Roman" w:cs="Times New Roman"/>
          <w:sz w:val="24"/>
          <w:szCs w:val="24"/>
        </w:rPr>
        <w:t>Of that amount, approximately 79% or $2.297 billion was obligated on service contracts</w:t>
      </w:r>
      <w:r w:rsidR="003348F9" w:rsidRPr="003B7313">
        <w:rPr>
          <w:rFonts w:ascii="Times New Roman" w:hAnsi="Times New Roman" w:cs="Times New Roman"/>
          <w:sz w:val="24"/>
          <w:szCs w:val="24"/>
        </w:rPr>
        <w:t xml:space="preserve"> only</w:t>
      </w:r>
      <w:r w:rsidRPr="003B7313">
        <w:rPr>
          <w:rFonts w:ascii="Times New Roman" w:hAnsi="Times New Roman" w:cs="Times New Roman"/>
          <w:sz w:val="24"/>
          <w:szCs w:val="24"/>
        </w:rPr>
        <w:t xml:space="preserve">, and 6.3% or $182.202 million dollars was obligated to the OMB-selected management support services as spend categories denoted by 3 Federal </w:t>
      </w:r>
      <w:hyperlink r:id="rId12" w:history="1">
        <w:r w:rsidRPr="003B7313">
          <w:rPr>
            <w:rFonts w:ascii="Times New Roman" w:hAnsi="Times New Roman" w:cs="Times New Roman"/>
            <w:color w:val="0000FF" w:themeColor="hyperlink"/>
            <w:sz w:val="24"/>
            <w:szCs w:val="24"/>
            <w:u w:val="single"/>
          </w:rPr>
          <w:t>Product Service Codes</w:t>
        </w:r>
      </w:hyperlink>
      <w:r w:rsidRPr="003B7313">
        <w:rPr>
          <w:rFonts w:ascii="Times New Roman" w:hAnsi="Times New Roman" w:cs="Times New Roman"/>
          <w:sz w:val="24"/>
          <w:szCs w:val="24"/>
        </w:rPr>
        <w:t xml:space="preserve"> (PSC)</w:t>
      </w:r>
      <w:r w:rsidRPr="003B7313">
        <w:rPr>
          <w:rFonts w:ascii="Times New Roman" w:hAnsi="Times New Roman" w:cs="Times New Roman"/>
          <w:sz w:val="24"/>
          <w:szCs w:val="24"/>
          <w:vertAlign w:val="superscript"/>
        </w:rPr>
        <w:footnoteReference w:id="3"/>
      </w:r>
      <w:r w:rsidRPr="003B7313">
        <w:rPr>
          <w:rFonts w:ascii="Times New Roman" w:hAnsi="Times New Roman" w:cs="Times New Roman"/>
          <w:sz w:val="24"/>
          <w:szCs w:val="24"/>
        </w:rPr>
        <w:t>. Considering the high dollar value ED spends on service contracts, ED conducted a detailed review of its FY 2019 SCI and presents the results below</w:t>
      </w:r>
      <w:r w:rsidR="009E5513" w:rsidRPr="003B7313">
        <w:rPr>
          <w:rFonts w:ascii="Times New Roman" w:eastAsia="Calibri" w:hAnsi="Times New Roman" w:cs="Times New Roman"/>
          <w:sz w:val="24"/>
          <w:szCs w:val="24"/>
        </w:rPr>
        <w:t xml:space="preserve">. As required, we completed our fiscal year (FY) 2019 analysis and posted it on our website at </w:t>
      </w:r>
    </w:p>
    <w:p w14:paraId="450F7D44" w14:textId="77777777" w:rsidR="009E5513" w:rsidRPr="003B7313" w:rsidRDefault="00CB0F3D" w:rsidP="009E5513">
      <w:pPr>
        <w:spacing w:after="0" w:line="240" w:lineRule="auto"/>
        <w:rPr>
          <w:rFonts w:ascii="Times New Roman" w:eastAsia="Calibri" w:hAnsi="Times New Roman" w:cs="Times New Roman"/>
          <w:sz w:val="24"/>
          <w:szCs w:val="24"/>
        </w:rPr>
      </w:pPr>
      <w:hyperlink r:id="rId13" w:history="1">
        <w:r w:rsidR="009E5513" w:rsidRPr="003B7313">
          <w:rPr>
            <w:rStyle w:val="Hyperlink"/>
            <w:rFonts w:ascii="Times New Roman" w:hAnsi="Times New Roman" w:cs="Times New Roman"/>
            <w:sz w:val="24"/>
            <w:szCs w:val="24"/>
          </w:rPr>
          <w:t>https://www2.ed.gov/fund/data/report/contracts/servicecontractinventoryappendix/servicecontractinventory.html</w:t>
        </w:r>
      </w:hyperlink>
      <w:r w:rsidR="009E5513" w:rsidRPr="003B7313">
        <w:rPr>
          <w:rFonts w:ascii="Times New Roman" w:hAnsi="Times New Roman" w:cs="Times New Roman"/>
          <w:sz w:val="24"/>
          <w:szCs w:val="24"/>
        </w:rPr>
        <w:t>.</w:t>
      </w:r>
    </w:p>
    <w:p w14:paraId="5CAF58B5" w14:textId="7E456CCC" w:rsidR="00417F6C" w:rsidRPr="003B7313" w:rsidRDefault="00417F6C" w:rsidP="00417F6C">
      <w:pPr>
        <w:spacing w:line="240" w:lineRule="auto"/>
        <w:rPr>
          <w:rFonts w:ascii="Times New Roman" w:hAnsi="Times New Roman" w:cs="Times New Roman"/>
          <w:sz w:val="24"/>
          <w:szCs w:val="24"/>
        </w:rPr>
      </w:pPr>
    </w:p>
    <w:p w14:paraId="4DEB0ED0" w14:textId="77777777" w:rsidR="00417F6C" w:rsidRPr="003B7313" w:rsidRDefault="00417F6C" w:rsidP="00417F6C">
      <w:pPr>
        <w:keepNext/>
        <w:spacing w:before="440" w:after="440" w:line="240" w:lineRule="auto"/>
        <w:ind w:left="720" w:hanging="720"/>
        <w:outlineLvl w:val="0"/>
        <w:rPr>
          <w:rFonts w:ascii="Times New Roman" w:eastAsia="Times New Roman" w:hAnsi="Times New Roman" w:cs="Times New Roman"/>
          <w:b/>
          <w:bCs/>
          <w:caps/>
          <w:kern w:val="32"/>
          <w:sz w:val="24"/>
          <w:szCs w:val="24"/>
        </w:rPr>
      </w:pPr>
      <w:r w:rsidRPr="003B7313">
        <w:rPr>
          <w:rFonts w:ascii="Times New Roman" w:eastAsia="Times New Roman" w:hAnsi="Times New Roman" w:cs="Times New Roman"/>
          <w:b/>
          <w:bCs/>
          <w:caps/>
          <w:kern w:val="32"/>
          <w:sz w:val="24"/>
          <w:szCs w:val="24"/>
        </w:rPr>
        <w:t>2.0 – Scope</w:t>
      </w:r>
    </w:p>
    <w:p w14:paraId="4DA43374" w14:textId="16E9F682" w:rsidR="00417F6C" w:rsidRPr="003B7313" w:rsidRDefault="00417F6C" w:rsidP="00417F6C">
      <w:pPr>
        <w:spacing w:after="0" w:line="240" w:lineRule="auto"/>
        <w:rPr>
          <w:rFonts w:ascii="Times New Roman" w:hAnsi="Times New Roman" w:cs="Times New Roman"/>
          <w:sz w:val="24"/>
          <w:szCs w:val="24"/>
        </w:rPr>
      </w:pPr>
      <w:r w:rsidRPr="003B7313">
        <w:rPr>
          <w:rFonts w:ascii="Times New Roman" w:hAnsi="Times New Roman" w:cs="Times New Roman"/>
          <w:sz w:val="24"/>
          <w:szCs w:val="24"/>
        </w:rPr>
        <w:t>ED conducted an analysis of its FY 2019 SCI to identify successes and areas for opportunities to better manage its service contracts.  In addition to the three (3) PSCs identified by OMB, ED included the following additional PSCs per it’s FY 2019 SCI plan (see Attachment No. 1 – ED FY 201</w:t>
      </w:r>
      <w:r w:rsidR="00BA1A03">
        <w:rPr>
          <w:rFonts w:ascii="Times New Roman" w:hAnsi="Times New Roman" w:cs="Times New Roman"/>
          <w:sz w:val="24"/>
          <w:szCs w:val="24"/>
        </w:rPr>
        <w:t>9</w:t>
      </w:r>
      <w:r w:rsidRPr="003B7313">
        <w:rPr>
          <w:rFonts w:ascii="Times New Roman" w:hAnsi="Times New Roman" w:cs="Times New Roman"/>
          <w:sz w:val="24"/>
          <w:szCs w:val="24"/>
        </w:rPr>
        <w:t xml:space="preserve"> SCI Plan):</w:t>
      </w:r>
    </w:p>
    <w:p w14:paraId="2F56C694" w14:textId="77777777" w:rsidR="00417F6C" w:rsidRPr="003B7313" w:rsidRDefault="00417F6C" w:rsidP="00417F6C">
      <w:pPr>
        <w:spacing w:after="0" w:line="240" w:lineRule="auto"/>
        <w:rPr>
          <w:rFonts w:ascii="Times New Roman" w:hAnsi="Times New Roman" w:cs="Times New Roman"/>
          <w:b/>
          <w:sz w:val="24"/>
          <w:szCs w:val="24"/>
        </w:rPr>
      </w:pPr>
    </w:p>
    <w:p w14:paraId="2F0CE2A6" w14:textId="77777777" w:rsidR="00417F6C" w:rsidRPr="003B7313" w:rsidRDefault="00417F6C" w:rsidP="00417F6C">
      <w:pPr>
        <w:spacing w:after="0" w:line="240" w:lineRule="auto"/>
        <w:rPr>
          <w:rFonts w:ascii="Times New Roman" w:hAnsi="Times New Roman" w:cs="Times New Roman"/>
          <w:b/>
          <w:sz w:val="24"/>
          <w:szCs w:val="24"/>
        </w:rPr>
      </w:pPr>
      <w:r w:rsidRPr="003B7313">
        <w:rPr>
          <w:rFonts w:ascii="Times New Roman" w:hAnsi="Times New Roman" w:cs="Times New Roman"/>
          <w:b/>
          <w:sz w:val="24"/>
          <w:szCs w:val="24"/>
        </w:rPr>
        <w:t>Table 1: Additional PSCs Identified by ED for Review</w:t>
      </w:r>
    </w:p>
    <w:p w14:paraId="1C5FCDB4" w14:textId="77777777" w:rsidR="00417F6C" w:rsidRPr="0078094E" w:rsidRDefault="00417F6C" w:rsidP="00417F6C">
      <w:pPr>
        <w:spacing w:after="0" w:line="240" w:lineRule="auto"/>
        <w:rPr>
          <w:rFonts w:ascii="Times New Roman" w:hAnsi="Times New Roman" w:cs="Times New Roman"/>
          <w:b/>
          <w:sz w:val="23"/>
          <w:szCs w:val="23"/>
        </w:rPr>
      </w:pPr>
    </w:p>
    <w:tbl>
      <w:tblPr>
        <w:tblStyle w:val="GridTable4-Accent1"/>
        <w:tblW w:w="0" w:type="auto"/>
        <w:tblLook w:val="04A0" w:firstRow="1" w:lastRow="0" w:firstColumn="1" w:lastColumn="0" w:noHBand="0" w:noVBand="1"/>
      </w:tblPr>
      <w:tblGrid>
        <w:gridCol w:w="2875"/>
        <w:gridCol w:w="7195"/>
      </w:tblGrid>
      <w:tr w:rsidR="00417F6C" w14:paraId="5A28CA1A" w14:textId="77777777" w:rsidTr="00417F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6FEDB773" w14:textId="71157C75" w:rsidR="00417F6C" w:rsidRPr="00AC2D74" w:rsidRDefault="00417F6C" w:rsidP="00417F6C">
            <w:pPr>
              <w:tabs>
                <w:tab w:val="left" w:pos="2280"/>
              </w:tabs>
              <w:jc w:val="center"/>
              <w:rPr>
                <w:rFonts w:ascii="Times New Roman" w:hAnsi="Times New Roman" w:cs="Times New Roman"/>
              </w:rPr>
            </w:pPr>
            <w:r w:rsidRPr="00AC2D74">
              <w:rPr>
                <w:rFonts w:ascii="Times New Roman" w:hAnsi="Times New Roman" w:cs="Times New Roman"/>
              </w:rPr>
              <w:t>Product Service Code (PSC)</w:t>
            </w:r>
          </w:p>
        </w:tc>
        <w:tc>
          <w:tcPr>
            <w:tcW w:w="7195" w:type="dxa"/>
          </w:tcPr>
          <w:p w14:paraId="0DA3A620" w14:textId="61754314" w:rsidR="00417F6C" w:rsidRPr="00AC2D74" w:rsidRDefault="00417F6C" w:rsidP="00417F6C">
            <w:pPr>
              <w:tabs>
                <w:tab w:val="left" w:pos="228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C2D74">
              <w:rPr>
                <w:rFonts w:ascii="Times New Roman" w:hAnsi="Times New Roman" w:cs="Times New Roman"/>
              </w:rPr>
              <w:t>PSC Description</w:t>
            </w:r>
          </w:p>
        </w:tc>
      </w:tr>
      <w:tr w:rsidR="00417F6C" w14:paraId="39B704FF" w14:textId="77777777" w:rsidTr="00417F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69DE354A" w14:textId="072765C9" w:rsidR="00417F6C" w:rsidRDefault="00417F6C" w:rsidP="00417F6C">
            <w:pPr>
              <w:tabs>
                <w:tab w:val="left" w:pos="2280"/>
              </w:tabs>
              <w:jc w:val="center"/>
              <w:rPr>
                <w:rFonts w:ascii="Times New Roman" w:hAnsi="Times New Roman" w:cs="Times New Roman"/>
              </w:rPr>
            </w:pPr>
            <w:r>
              <w:rPr>
                <w:rFonts w:ascii="Times New Roman" w:hAnsi="Times New Roman" w:cs="Times New Roman"/>
              </w:rPr>
              <w:t>B542</w:t>
            </w:r>
          </w:p>
        </w:tc>
        <w:tc>
          <w:tcPr>
            <w:tcW w:w="7195" w:type="dxa"/>
          </w:tcPr>
          <w:p w14:paraId="0CAF3CAA" w14:textId="5354FB88" w:rsidR="00417F6C" w:rsidRDefault="00994E5D" w:rsidP="00994E5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eastAsia="Times New Roman" w:hAnsi="Times New Roman" w:cs="Times New Roman"/>
                <w:sz w:val="20"/>
                <w:szCs w:val="20"/>
              </w:rPr>
              <w:t>Special Studies/Analysis- Educational</w:t>
            </w:r>
          </w:p>
        </w:tc>
      </w:tr>
      <w:tr w:rsidR="00417F6C" w14:paraId="2BB8299C" w14:textId="77777777" w:rsidTr="00417F6C">
        <w:tc>
          <w:tcPr>
            <w:cnfStyle w:val="001000000000" w:firstRow="0" w:lastRow="0" w:firstColumn="1" w:lastColumn="0" w:oddVBand="0" w:evenVBand="0" w:oddHBand="0" w:evenHBand="0" w:firstRowFirstColumn="0" w:firstRowLastColumn="0" w:lastRowFirstColumn="0" w:lastRowLastColumn="0"/>
            <w:tcW w:w="2875" w:type="dxa"/>
          </w:tcPr>
          <w:p w14:paraId="3D47902A" w14:textId="0ACAA4A9" w:rsidR="00417F6C" w:rsidRDefault="00417F6C" w:rsidP="00417F6C">
            <w:pPr>
              <w:tabs>
                <w:tab w:val="left" w:pos="2280"/>
              </w:tabs>
              <w:jc w:val="center"/>
              <w:rPr>
                <w:rFonts w:ascii="Times New Roman" w:hAnsi="Times New Roman" w:cs="Times New Roman"/>
              </w:rPr>
            </w:pPr>
            <w:r>
              <w:rPr>
                <w:rFonts w:ascii="Times New Roman" w:hAnsi="Times New Roman" w:cs="Times New Roman"/>
              </w:rPr>
              <w:t>D301</w:t>
            </w:r>
          </w:p>
        </w:tc>
        <w:tc>
          <w:tcPr>
            <w:tcW w:w="7195" w:type="dxa"/>
          </w:tcPr>
          <w:p w14:paraId="7D7279D0" w14:textId="1DA1F684" w:rsidR="00417F6C" w:rsidRDefault="0058629D" w:rsidP="00994E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60973">
              <w:rPr>
                <w:rFonts w:ascii="Times New Roman" w:hAnsi="Times New Roman" w:cs="Times New Roman"/>
                <w:sz w:val="23"/>
                <w:szCs w:val="23"/>
              </w:rPr>
              <w:t>IT and Telecom – Facility Operation and Maintenance</w:t>
            </w:r>
          </w:p>
        </w:tc>
      </w:tr>
      <w:tr w:rsidR="00994E5D" w14:paraId="2F5E613F" w14:textId="77777777" w:rsidTr="00EF5A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532101B0" w14:textId="3CC10BD3" w:rsidR="00994E5D" w:rsidRDefault="00994E5D" w:rsidP="00994E5D">
            <w:pPr>
              <w:tabs>
                <w:tab w:val="left" w:pos="2280"/>
              </w:tabs>
              <w:jc w:val="center"/>
              <w:rPr>
                <w:rFonts w:ascii="Times New Roman" w:hAnsi="Times New Roman" w:cs="Times New Roman"/>
              </w:rPr>
            </w:pPr>
            <w:r>
              <w:rPr>
                <w:rFonts w:ascii="Times New Roman" w:hAnsi="Times New Roman" w:cs="Times New Roman"/>
              </w:rPr>
              <w:t>D3</w:t>
            </w:r>
            <w:r w:rsidR="00D77481">
              <w:rPr>
                <w:rFonts w:ascii="Times New Roman" w:hAnsi="Times New Roman" w:cs="Times New Roman"/>
              </w:rPr>
              <w:t>13</w:t>
            </w:r>
          </w:p>
        </w:tc>
        <w:tc>
          <w:tcPr>
            <w:tcW w:w="7195" w:type="dxa"/>
            <w:vAlign w:val="bottom"/>
          </w:tcPr>
          <w:p w14:paraId="344AA9BC" w14:textId="06EF08FA" w:rsidR="00994E5D" w:rsidRDefault="00D77481" w:rsidP="00994E5D">
            <w:pPr>
              <w:tabs>
                <w:tab w:val="left" w:pos="228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eastAsia="Times New Roman" w:hAnsi="Times New Roman" w:cs="Times New Roman"/>
                <w:sz w:val="20"/>
                <w:szCs w:val="20"/>
              </w:rPr>
              <w:t>IT AND TELECOM - COMPUTER AIDED DESIGN/COMPUTER AIDED MANUFACTURING (CAD/CAM)</w:t>
            </w:r>
          </w:p>
        </w:tc>
      </w:tr>
      <w:tr w:rsidR="00994E5D" w14:paraId="45385085" w14:textId="77777777" w:rsidTr="00EF5AA1">
        <w:tc>
          <w:tcPr>
            <w:cnfStyle w:val="001000000000" w:firstRow="0" w:lastRow="0" w:firstColumn="1" w:lastColumn="0" w:oddVBand="0" w:evenVBand="0" w:oddHBand="0" w:evenHBand="0" w:firstRowFirstColumn="0" w:firstRowLastColumn="0" w:lastRowFirstColumn="0" w:lastRowLastColumn="0"/>
            <w:tcW w:w="2875" w:type="dxa"/>
          </w:tcPr>
          <w:p w14:paraId="52C58075" w14:textId="7338F0F8" w:rsidR="00994E5D" w:rsidRDefault="00994E5D" w:rsidP="00994E5D">
            <w:pPr>
              <w:tabs>
                <w:tab w:val="left" w:pos="2280"/>
              </w:tabs>
              <w:jc w:val="center"/>
              <w:rPr>
                <w:rFonts w:ascii="Times New Roman" w:hAnsi="Times New Roman" w:cs="Times New Roman"/>
              </w:rPr>
            </w:pPr>
            <w:r>
              <w:rPr>
                <w:rFonts w:ascii="Times New Roman" w:hAnsi="Times New Roman" w:cs="Times New Roman"/>
              </w:rPr>
              <w:t>D399</w:t>
            </w:r>
          </w:p>
        </w:tc>
        <w:tc>
          <w:tcPr>
            <w:tcW w:w="7195" w:type="dxa"/>
            <w:vAlign w:val="bottom"/>
          </w:tcPr>
          <w:p w14:paraId="7DDDE8C9" w14:textId="63A65A80" w:rsidR="00994E5D" w:rsidRDefault="00994E5D" w:rsidP="00994E5D">
            <w:pPr>
              <w:tabs>
                <w:tab w:val="left" w:pos="228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4FFA">
              <w:rPr>
                <w:rFonts w:ascii="Times New Roman" w:hAnsi="Times New Roman" w:cs="Times New Roman"/>
                <w:color w:val="000000"/>
              </w:rPr>
              <w:t>IT AND TELECOM - OTHER IT AND TELECOMMUNICATIONS</w:t>
            </w:r>
          </w:p>
        </w:tc>
      </w:tr>
      <w:tr w:rsidR="00994E5D" w14:paraId="1993DA47" w14:textId="77777777" w:rsidTr="00417F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1C75CE91" w14:textId="7572CA8F" w:rsidR="00994E5D" w:rsidRDefault="00994E5D" w:rsidP="00994E5D">
            <w:pPr>
              <w:tabs>
                <w:tab w:val="left" w:pos="2280"/>
              </w:tabs>
              <w:jc w:val="center"/>
              <w:rPr>
                <w:rFonts w:ascii="Times New Roman" w:hAnsi="Times New Roman" w:cs="Times New Roman"/>
              </w:rPr>
            </w:pPr>
            <w:r>
              <w:rPr>
                <w:rFonts w:ascii="Times New Roman" w:hAnsi="Times New Roman" w:cs="Times New Roman"/>
              </w:rPr>
              <w:t>R705</w:t>
            </w:r>
          </w:p>
        </w:tc>
        <w:tc>
          <w:tcPr>
            <w:tcW w:w="7195" w:type="dxa"/>
          </w:tcPr>
          <w:p w14:paraId="6E8258C1" w14:textId="4151F545" w:rsidR="00994E5D" w:rsidRDefault="00994E5D" w:rsidP="00994E5D">
            <w:pPr>
              <w:tabs>
                <w:tab w:val="left" w:pos="228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eastAsia="Times New Roman" w:hAnsi="Times New Roman" w:cs="Times New Roman"/>
                <w:sz w:val="20"/>
                <w:szCs w:val="20"/>
              </w:rPr>
              <w:t>Support- Management: Debt Collection</w:t>
            </w:r>
          </w:p>
        </w:tc>
      </w:tr>
      <w:tr w:rsidR="00994E5D" w14:paraId="0F8767E8" w14:textId="77777777" w:rsidTr="00417F6C">
        <w:tc>
          <w:tcPr>
            <w:cnfStyle w:val="001000000000" w:firstRow="0" w:lastRow="0" w:firstColumn="1" w:lastColumn="0" w:oddVBand="0" w:evenVBand="0" w:oddHBand="0" w:evenHBand="0" w:firstRowFirstColumn="0" w:firstRowLastColumn="0" w:lastRowFirstColumn="0" w:lastRowLastColumn="0"/>
            <w:tcW w:w="2875" w:type="dxa"/>
          </w:tcPr>
          <w:p w14:paraId="58299A80" w14:textId="2FDC4B1D" w:rsidR="00994E5D" w:rsidRDefault="00994E5D" w:rsidP="00994E5D">
            <w:pPr>
              <w:tabs>
                <w:tab w:val="left" w:pos="2280"/>
              </w:tabs>
              <w:jc w:val="center"/>
              <w:rPr>
                <w:rFonts w:ascii="Times New Roman" w:hAnsi="Times New Roman" w:cs="Times New Roman"/>
              </w:rPr>
            </w:pPr>
            <w:r>
              <w:rPr>
                <w:rFonts w:ascii="Times New Roman" w:hAnsi="Times New Roman" w:cs="Times New Roman"/>
              </w:rPr>
              <w:t>R710</w:t>
            </w:r>
          </w:p>
        </w:tc>
        <w:tc>
          <w:tcPr>
            <w:tcW w:w="7195" w:type="dxa"/>
          </w:tcPr>
          <w:p w14:paraId="4F190FFE" w14:textId="6C4DBE86" w:rsidR="00994E5D" w:rsidRDefault="00994E5D" w:rsidP="00994E5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eastAsia="Times New Roman" w:hAnsi="Times New Roman" w:cs="Times New Roman"/>
                <w:sz w:val="20"/>
                <w:szCs w:val="20"/>
              </w:rPr>
              <w:t>Support- Management: Financial Includes: Credit Card Services</w:t>
            </w:r>
          </w:p>
        </w:tc>
      </w:tr>
      <w:tr w:rsidR="00994E5D" w14:paraId="5A64D25D" w14:textId="77777777" w:rsidTr="00EF5A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58A9E095" w14:textId="2C9D7810" w:rsidR="00994E5D" w:rsidRDefault="00994E5D" w:rsidP="00994E5D">
            <w:pPr>
              <w:tabs>
                <w:tab w:val="left" w:pos="2280"/>
              </w:tabs>
              <w:jc w:val="center"/>
              <w:rPr>
                <w:rFonts w:ascii="Times New Roman" w:hAnsi="Times New Roman" w:cs="Times New Roman"/>
              </w:rPr>
            </w:pPr>
            <w:r>
              <w:rPr>
                <w:rFonts w:ascii="Times New Roman" w:hAnsi="Times New Roman" w:cs="Times New Roman"/>
              </w:rPr>
              <w:t>AF11</w:t>
            </w:r>
          </w:p>
        </w:tc>
        <w:tc>
          <w:tcPr>
            <w:tcW w:w="7195" w:type="dxa"/>
            <w:vAlign w:val="bottom"/>
          </w:tcPr>
          <w:p w14:paraId="0819A1E7" w14:textId="1F834D44" w:rsidR="00994E5D" w:rsidRDefault="00994E5D" w:rsidP="00994E5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eastAsia="Times New Roman" w:hAnsi="Times New Roman" w:cs="Times New Roman"/>
                <w:sz w:val="20"/>
                <w:szCs w:val="20"/>
              </w:rPr>
              <w:t>Education, Training, Employment, &amp; Social SVCS R&amp;D SVCS; Education SVCS R&amp;D; Basic Research</w:t>
            </w:r>
          </w:p>
        </w:tc>
      </w:tr>
    </w:tbl>
    <w:p w14:paraId="0568556A" w14:textId="77777777" w:rsidR="00B34962" w:rsidRDefault="00B34962" w:rsidP="00B73335">
      <w:pPr>
        <w:spacing w:line="240" w:lineRule="auto"/>
        <w:rPr>
          <w:rFonts w:ascii="Times New Roman" w:hAnsi="Times New Roman" w:cs="Times New Roman"/>
          <w:sz w:val="24"/>
          <w:szCs w:val="24"/>
        </w:rPr>
      </w:pPr>
    </w:p>
    <w:p w14:paraId="2912B106" w14:textId="6CF4C64C" w:rsidR="00B73335" w:rsidRPr="00B34962" w:rsidRDefault="00B73335" w:rsidP="00B73335">
      <w:pPr>
        <w:spacing w:line="240" w:lineRule="auto"/>
        <w:rPr>
          <w:rFonts w:ascii="Times New Roman" w:hAnsi="Times New Roman" w:cs="Times New Roman"/>
          <w:sz w:val="24"/>
          <w:szCs w:val="24"/>
        </w:rPr>
      </w:pPr>
      <w:r w:rsidRPr="00B34962">
        <w:rPr>
          <w:rFonts w:ascii="Times New Roman" w:hAnsi="Times New Roman" w:cs="Times New Roman"/>
          <w:sz w:val="24"/>
          <w:szCs w:val="24"/>
        </w:rPr>
        <w:t>ED identified these additional PSCs based on high levels of spend</w:t>
      </w:r>
      <w:r w:rsidR="00DC626B" w:rsidRPr="00B34962">
        <w:rPr>
          <w:rFonts w:ascii="Times New Roman" w:hAnsi="Times New Roman" w:cs="Times New Roman"/>
          <w:sz w:val="24"/>
          <w:szCs w:val="24"/>
        </w:rPr>
        <w:t>,</w:t>
      </w:r>
      <w:r w:rsidRPr="00B34962">
        <w:rPr>
          <w:rFonts w:ascii="Times New Roman" w:hAnsi="Times New Roman" w:cs="Times New Roman"/>
          <w:sz w:val="24"/>
          <w:szCs w:val="24"/>
        </w:rPr>
        <w:t xml:space="preserve"> </w:t>
      </w:r>
      <w:r w:rsidR="00250168" w:rsidRPr="00B34962">
        <w:rPr>
          <w:rFonts w:ascii="Times New Roman" w:hAnsi="Times New Roman" w:cs="Times New Roman"/>
          <w:sz w:val="24"/>
          <w:szCs w:val="24"/>
        </w:rPr>
        <w:t>the</w:t>
      </w:r>
      <w:r w:rsidRPr="00B34962">
        <w:rPr>
          <w:rFonts w:ascii="Times New Roman" w:hAnsi="Times New Roman" w:cs="Times New Roman"/>
          <w:sz w:val="24"/>
          <w:szCs w:val="24"/>
        </w:rPr>
        <w:t xml:space="preserve"> likelihood for over reliance by the government on the use of contractors, in addition to </w:t>
      </w:r>
      <w:r w:rsidR="00250168" w:rsidRPr="00B34962">
        <w:rPr>
          <w:rFonts w:ascii="Times New Roman" w:hAnsi="Times New Roman" w:cs="Times New Roman"/>
          <w:sz w:val="24"/>
          <w:szCs w:val="24"/>
        </w:rPr>
        <w:t>them</w:t>
      </w:r>
      <w:r w:rsidR="006C2E71" w:rsidRPr="00B34962">
        <w:rPr>
          <w:rFonts w:ascii="Times New Roman" w:hAnsi="Times New Roman" w:cs="Times New Roman"/>
          <w:sz w:val="24"/>
          <w:szCs w:val="24"/>
        </w:rPr>
        <w:t xml:space="preserve"> being</w:t>
      </w:r>
      <w:r w:rsidRPr="00B34962">
        <w:rPr>
          <w:rFonts w:ascii="Times New Roman" w:hAnsi="Times New Roman" w:cs="Times New Roman"/>
          <w:sz w:val="24"/>
          <w:szCs w:val="24"/>
        </w:rPr>
        <w:t xml:space="preserve"> mission</w:t>
      </w:r>
      <w:r w:rsidR="006C2E71" w:rsidRPr="00B34962">
        <w:rPr>
          <w:rFonts w:ascii="Times New Roman" w:hAnsi="Times New Roman" w:cs="Times New Roman"/>
          <w:sz w:val="24"/>
          <w:szCs w:val="24"/>
        </w:rPr>
        <w:t xml:space="preserve"> critical</w:t>
      </w:r>
      <w:r w:rsidRPr="00B34962">
        <w:rPr>
          <w:rFonts w:ascii="Times New Roman" w:hAnsi="Times New Roman" w:cs="Times New Roman"/>
          <w:sz w:val="24"/>
          <w:szCs w:val="24"/>
        </w:rPr>
        <w:t xml:space="preserve">.  ED evaluated the extent </w:t>
      </w:r>
      <w:r w:rsidR="0023777A" w:rsidRPr="00B34962">
        <w:rPr>
          <w:rFonts w:ascii="Times New Roman" w:hAnsi="Times New Roman" w:cs="Times New Roman"/>
          <w:sz w:val="24"/>
          <w:szCs w:val="24"/>
        </w:rPr>
        <w:t xml:space="preserve">that </w:t>
      </w:r>
      <w:r w:rsidRPr="00B34962">
        <w:rPr>
          <w:rFonts w:ascii="Times New Roman" w:hAnsi="Times New Roman" w:cs="Times New Roman"/>
          <w:sz w:val="24"/>
          <w:szCs w:val="24"/>
        </w:rPr>
        <w:t xml:space="preserve">contract awards within these PSCs </w:t>
      </w:r>
      <w:bookmarkStart w:id="0" w:name="_Hlk3213916"/>
      <w:r w:rsidRPr="00B34962">
        <w:rPr>
          <w:rFonts w:ascii="Times New Roman" w:hAnsi="Times New Roman" w:cs="Times New Roman"/>
          <w:sz w:val="24"/>
          <w:szCs w:val="24"/>
        </w:rPr>
        <w:t>spend by</w:t>
      </w:r>
      <w:r w:rsidR="0023777A" w:rsidRPr="00B34962">
        <w:rPr>
          <w:rFonts w:ascii="Times New Roman" w:hAnsi="Times New Roman" w:cs="Times New Roman"/>
          <w:sz w:val="24"/>
          <w:szCs w:val="24"/>
        </w:rPr>
        <w:t>,</w:t>
      </w:r>
      <w:r w:rsidRPr="00B34962">
        <w:rPr>
          <w:rFonts w:ascii="Times New Roman" w:hAnsi="Times New Roman" w:cs="Times New Roman"/>
          <w:sz w:val="24"/>
          <w:szCs w:val="24"/>
        </w:rPr>
        <w:t xml:space="preserve"> PSC percentage of total FY 201</w:t>
      </w:r>
      <w:r w:rsidR="006C2E71" w:rsidRPr="00B34962">
        <w:rPr>
          <w:rFonts w:ascii="Times New Roman" w:hAnsi="Times New Roman" w:cs="Times New Roman"/>
          <w:sz w:val="24"/>
          <w:szCs w:val="24"/>
        </w:rPr>
        <w:t xml:space="preserve">9 </w:t>
      </w:r>
      <w:r w:rsidRPr="00B34962">
        <w:rPr>
          <w:rFonts w:ascii="Times New Roman" w:hAnsi="Times New Roman" w:cs="Times New Roman"/>
          <w:sz w:val="24"/>
          <w:szCs w:val="24"/>
        </w:rPr>
        <w:t xml:space="preserve">SCI </w:t>
      </w:r>
      <w:r w:rsidR="006C2E71" w:rsidRPr="00B34962">
        <w:rPr>
          <w:rFonts w:ascii="Times New Roman" w:hAnsi="Times New Roman" w:cs="Times New Roman"/>
          <w:sz w:val="24"/>
          <w:szCs w:val="24"/>
        </w:rPr>
        <w:t>spend</w:t>
      </w:r>
      <w:r w:rsidRPr="00B34962">
        <w:rPr>
          <w:rFonts w:ascii="Times New Roman" w:hAnsi="Times New Roman" w:cs="Times New Roman"/>
          <w:sz w:val="24"/>
          <w:szCs w:val="24"/>
        </w:rPr>
        <w:t>.</w:t>
      </w:r>
    </w:p>
    <w:bookmarkEnd w:id="0"/>
    <w:p w14:paraId="4D1E0C6B" w14:textId="639376EE" w:rsidR="00B73335" w:rsidRPr="003B7313" w:rsidRDefault="00B73335" w:rsidP="00B73335">
      <w:pPr>
        <w:spacing w:line="240" w:lineRule="auto"/>
        <w:rPr>
          <w:rFonts w:ascii="Times New Roman" w:hAnsi="Times New Roman" w:cs="Times New Roman"/>
          <w:sz w:val="24"/>
          <w:szCs w:val="24"/>
        </w:rPr>
      </w:pPr>
      <w:r w:rsidRPr="00B34962">
        <w:rPr>
          <w:rFonts w:ascii="Times New Roman" w:hAnsi="Times New Roman" w:cs="Times New Roman"/>
          <w:sz w:val="24"/>
          <w:szCs w:val="24"/>
        </w:rPr>
        <w:lastRenderedPageBreak/>
        <w:t xml:space="preserve">Based on the review criteria, </w:t>
      </w:r>
      <w:r w:rsidR="004B57B4" w:rsidRPr="00B34962">
        <w:rPr>
          <w:rFonts w:ascii="Times New Roman" w:hAnsi="Times New Roman" w:cs="Times New Roman"/>
          <w:sz w:val="24"/>
          <w:szCs w:val="24"/>
        </w:rPr>
        <w:t>ED</w:t>
      </w:r>
      <w:r w:rsidRPr="00B34962">
        <w:rPr>
          <w:rFonts w:ascii="Times New Roman" w:hAnsi="Times New Roman" w:cs="Times New Roman"/>
          <w:sz w:val="24"/>
          <w:szCs w:val="24"/>
        </w:rPr>
        <w:t xml:space="preserve"> reviewed a total of </w:t>
      </w:r>
      <w:r w:rsidR="006C2E71" w:rsidRPr="00B34962">
        <w:rPr>
          <w:rFonts w:ascii="Times New Roman" w:hAnsi="Times New Roman" w:cs="Times New Roman"/>
          <w:sz w:val="24"/>
          <w:szCs w:val="24"/>
        </w:rPr>
        <w:t>10</w:t>
      </w:r>
      <w:r w:rsidRPr="00B34962">
        <w:rPr>
          <w:rFonts w:ascii="Times New Roman" w:hAnsi="Times New Roman" w:cs="Times New Roman"/>
          <w:sz w:val="24"/>
          <w:szCs w:val="24"/>
        </w:rPr>
        <w:t xml:space="preserve"> PSCs, which equates to $</w:t>
      </w:r>
      <w:r w:rsidR="006C2E71" w:rsidRPr="00B34962">
        <w:rPr>
          <w:rFonts w:ascii="Times New Roman" w:hAnsi="Times New Roman" w:cs="Times New Roman"/>
          <w:sz w:val="24"/>
          <w:szCs w:val="24"/>
        </w:rPr>
        <w:t>2.419</w:t>
      </w:r>
      <w:r w:rsidRPr="00B34962">
        <w:rPr>
          <w:rFonts w:ascii="Times New Roman" w:hAnsi="Times New Roman" w:cs="Times New Roman"/>
          <w:sz w:val="24"/>
          <w:szCs w:val="24"/>
        </w:rPr>
        <w:t xml:space="preserve"> billion in FY 20</w:t>
      </w:r>
      <w:r w:rsidR="006C2E71" w:rsidRPr="00B34962">
        <w:rPr>
          <w:rFonts w:ascii="Times New Roman" w:hAnsi="Times New Roman" w:cs="Times New Roman"/>
          <w:sz w:val="24"/>
          <w:szCs w:val="24"/>
        </w:rPr>
        <w:t>19</w:t>
      </w:r>
      <w:r w:rsidRPr="00B34962">
        <w:rPr>
          <w:rFonts w:ascii="Times New Roman" w:hAnsi="Times New Roman" w:cs="Times New Roman"/>
          <w:sz w:val="24"/>
          <w:szCs w:val="24"/>
        </w:rPr>
        <w:t xml:space="preserve"> obligations</w:t>
      </w:r>
      <w:r w:rsidRPr="00B34962">
        <w:rPr>
          <w:rFonts w:ascii="Times New Roman" w:hAnsi="Times New Roman" w:cs="Times New Roman"/>
          <w:b/>
          <w:sz w:val="24"/>
          <w:szCs w:val="24"/>
        </w:rPr>
        <w:t>.</w:t>
      </w:r>
      <w:r w:rsidRPr="003B7313">
        <w:rPr>
          <w:rFonts w:ascii="Times New Roman" w:hAnsi="Times New Roman" w:cs="Times New Roman"/>
          <w:b/>
          <w:sz w:val="24"/>
          <w:szCs w:val="24"/>
        </w:rPr>
        <w:t xml:space="preserve"> </w:t>
      </w:r>
    </w:p>
    <w:p w14:paraId="14CF4B87" w14:textId="45DDFBC0" w:rsidR="00B73335" w:rsidRPr="003B7313" w:rsidRDefault="00B73335" w:rsidP="00B73335">
      <w:pPr>
        <w:spacing w:after="0" w:line="240" w:lineRule="auto"/>
        <w:rPr>
          <w:rFonts w:ascii="Times New Roman" w:hAnsi="Times New Roman" w:cs="Times New Roman"/>
          <w:b/>
          <w:sz w:val="24"/>
          <w:szCs w:val="24"/>
        </w:rPr>
      </w:pPr>
      <w:r w:rsidRPr="003B7313">
        <w:rPr>
          <w:rFonts w:ascii="Times New Roman" w:hAnsi="Times New Roman" w:cs="Times New Roman"/>
          <w:b/>
          <w:sz w:val="24"/>
          <w:szCs w:val="24"/>
        </w:rPr>
        <w:t xml:space="preserve">Table 2: </w:t>
      </w:r>
      <w:r w:rsidR="000E18C3" w:rsidRPr="003B7313">
        <w:rPr>
          <w:rFonts w:ascii="Times New Roman" w:hAnsi="Times New Roman" w:cs="Times New Roman"/>
          <w:b/>
          <w:sz w:val="24"/>
          <w:szCs w:val="24"/>
        </w:rPr>
        <w:t>ED</w:t>
      </w:r>
      <w:r w:rsidRPr="003B7313">
        <w:rPr>
          <w:rFonts w:ascii="Times New Roman" w:hAnsi="Times New Roman" w:cs="Times New Roman"/>
          <w:b/>
          <w:sz w:val="24"/>
          <w:szCs w:val="24"/>
        </w:rPr>
        <w:t xml:space="preserve"> FY 201</w:t>
      </w:r>
      <w:r w:rsidR="006C2E71" w:rsidRPr="003B7313">
        <w:rPr>
          <w:rFonts w:ascii="Times New Roman" w:hAnsi="Times New Roman" w:cs="Times New Roman"/>
          <w:b/>
          <w:sz w:val="24"/>
          <w:szCs w:val="24"/>
        </w:rPr>
        <w:t>9</w:t>
      </w:r>
      <w:r w:rsidRPr="003B7313">
        <w:rPr>
          <w:rFonts w:ascii="Times New Roman" w:hAnsi="Times New Roman" w:cs="Times New Roman"/>
          <w:b/>
          <w:sz w:val="24"/>
          <w:szCs w:val="24"/>
        </w:rPr>
        <w:t xml:space="preserve"> SCI PSCs reviewed and spend by PSC</w:t>
      </w:r>
    </w:p>
    <w:tbl>
      <w:tblPr>
        <w:tblStyle w:val="GridTable4-Accent1"/>
        <w:tblW w:w="10795" w:type="dxa"/>
        <w:tblLayout w:type="fixed"/>
        <w:tblLook w:val="04A0" w:firstRow="1" w:lastRow="0" w:firstColumn="1" w:lastColumn="0" w:noHBand="0" w:noVBand="1"/>
      </w:tblPr>
      <w:tblGrid>
        <w:gridCol w:w="625"/>
        <w:gridCol w:w="2520"/>
        <w:gridCol w:w="1710"/>
        <w:gridCol w:w="1350"/>
        <w:gridCol w:w="4590"/>
      </w:tblGrid>
      <w:tr w:rsidR="00C40CEE" w:rsidRPr="00B73335" w14:paraId="05495C81" w14:textId="5BFCBEAA" w:rsidTr="00C40CEE">
        <w:trPr>
          <w:cnfStyle w:val="100000000000" w:firstRow="1" w:lastRow="0" w:firstColumn="0" w:lastColumn="0" w:oddVBand="0" w:evenVBand="0" w:oddHBand="0"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625" w:type="dxa"/>
          </w:tcPr>
          <w:p w14:paraId="6F9127AC" w14:textId="77777777" w:rsidR="00C40CEE" w:rsidRPr="00B73335" w:rsidRDefault="00C40CEE" w:rsidP="00B73335">
            <w:pPr>
              <w:rPr>
                <w:rFonts w:ascii="Times New Roman" w:hAnsi="Times New Roman" w:cs="Times New Roman"/>
                <w:sz w:val="18"/>
                <w:szCs w:val="18"/>
              </w:rPr>
            </w:pPr>
            <w:r w:rsidRPr="00B73335">
              <w:rPr>
                <w:rFonts w:ascii="Times New Roman" w:hAnsi="Times New Roman" w:cs="Times New Roman"/>
                <w:sz w:val="18"/>
                <w:szCs w:val="18"/>
              </w:rPr>
              <w:t>PSC</w:t>
            </w:r>
          </w:p>
        </w:tc>
        <w:tc>
          <w:tcPr>
            <w:tcW w:w="2520" w:type="dxa"/>
          </w:tcPr>
          <w:p w14:paraId="2EABE314" w14:textId="77777777" w:rsidR="00C40CEE" w:rsidRPr="00B73335" w:rsidRDefault="00C40CEE" w:rsidP="00B7333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73335">
              <w:rPr>
                <w:rFonts w:ascii="Times New Roman" w:hAnsi="Times New Roman" w:cs="Times New Roman"/>
                <w:sz w:val="18"/>
                <w:szCs w:val="18"/>
              </w:rPr>
              <w:t>PSC DESCRIPTION</w:t>
            </w:r>
          </w:p>
        </w:tc>
        <w:tc>
          <w:tcPr>
            <w:tcW w:w="1710" w:type="dxa"/>
          </w:tcPr>
          <w:p w14:paraId="133337D5" w14:textId="366E3A7A" w:rsidR="00C40CEE" w:rsidRPr="00B73335" w:rsidRDefault="00C40CEE" w:rsidP="00B7333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73335">
              <w:rPr>
                <w:rFonts w:ascii="Times New Roman" w:hAnsi="Times New Roman" w:cs="Times New Roman"/>
                <w:sz w:val="18"/>
                <w:szCs w:val="18"/>
              </w:rPr>
              <w:t>FY 201</w:t>
            </w:r>
            <w:r w:rsidRPr="00C40CEE">
              <w:rPr>
                <w:rFonts w:ascii="Times New Roman" w:hAnsi="Times New Roman" w:cs="Times New Roman"/>
                <w:sz w:val="18"/>
                <w:szCs w:val="18"/>
              </w:rPr>
              <w:t>9</w:t>
            </w:r>
            <w:r w:rsidR="00FB1816">
              <w:rPr>
                <w:rFonts w:ascii="Times New Roman" w:hAnsi="Times New Roman" w:cs="Times New Roman"/>
                <w:sz w:val="18"/>
                <w:szCs w:val="18"/>
              </w:rPr>
              <w:t xml:space="preserve"> </w:t>
            </w:r>
            <w:r w:rsidRPr="00B73335">
              <w:rPr>
                <w:rFonts w:ascii="Times New Roman" w:hAnsi="Times New Roman" w:cs="Times New Roman"/>
                <w:sz w:val="18"/>
                <w:szCs w:val="18"/>
              </w:rPr>
              <w:t>Spend</w:t>
            </w:r>
          </w:p>
        </w:tc>
        <w:tc>
          <w:tcPr>
            <w:tcW w:w="1350" w:type="dxa"/>
          </w:tcPr>
          <w:p w14:paraId="2EF19762" w14:textId="39030C81" w:rsidR="00C40CEE" w:rsidRPr="00B73335" w:rsidRDefault="00C40CEE" w:rsidP="00B7333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40CEE">
              <w:rPr>
                <w:rFonts w:ascii="Times New Roman" w:hAnsi="Times New Roman" w:cs="Times New Roman"/>
                <w:sz w:val="18"/>
                <w:szCs w:val="18"/>
              </w:rPr>
              <w:t>% of Total Obligations</w:t>
            </w:r>
          </w:p>
        </w:tc>
        <w:tc>
          <w:tcPr>
            <w:tcW w:w="4590" w:type="dxa"/>
          </w:tcPr>
          <w:p w14:paraId="0A2B782C" w14:textId="6AD55654" w:rsidR="00C40CEE" w:rsidRPr="00AC2D74" w:rsidRDefault="00DA39A4" w:rsidP="00B7333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Detail and Rationale </w:t>
            </w:r>
            <w:proofErr w:type="gramStart"/>
            <w:r>
              <w:rPr>
                <w:rFonts w:ascii="Times New Roman" w:hAnsi="Times New Roman" w:cs="Times New Roman"/>
              </w:rPr>
              <w:t>For</w:t>
            </w:r>
            <w:proofErr w:type="gramEnd"/>
            <w:r>
              <w:rPr>
                <w:rFonts w:ascii="Times New Roman" w:hAnsi="Times New Roman" w:cs="Times New Roman"/>
              </w:rPr>
              <w:t xml:space="preserve"> </w:t>
            </w:r>
            <w:r w:rsidR="000E18C3">
              <w:rPr>
                <w:rFonts w:ascii="Times New Roman" w:hAnsi="Times New Roman" w:cs="Times New Roman"/>
              </w:rPr>
              <w:t>Reviewing</w:t>
            </w:r>
          </w:p>
        </w:tc>
      </w:tr>
      <w:tr w:rsidR="00565A46" w:rsidRPr="00B73335" w14:paraId="61BA020D" w14:textId="2DC05652" w:rsidTr="00C40CEE">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625" w:type="dxa"/>
          </w:tcPr>
          <w:p w14:paraId="032C3F36" w14:textId="593AE87D" w:rsidR="00565A46" w:rsidRPr="00B73335" w:rsidRDefault="00565A46" w:rsidP="00565A46">
            <w:pPr>
              <w:rPr>
                <w:rFonts w:ascii="Times New Roman" w:hAnsi="Times New Roman" w:cs="Times New Roman"/>
                <w:sz w:val="16"/>
                <w:szCs w:val="16"/>
              </w:rPr>
            </w:pPr>
            <w:r w:rsidRPr="00C40CEE">
              <w:rPr>
                <w:rFonts w:ascii="Times New Roman" w:hAnsi="Times New Roman" w:cs="Times New Roman"/>
                <w:color w:val="000000"/>
                <w:sz w:val="16"/>
                <w:szCs w:val="16"/>
              </w:rPr>
              <w:t>B542</w:t>
            </w:r>
          </w:p>
        </w:tc>
        <w:tc>
          <w:tcPr>
            <w:tcW w:w="2520" w:type="dxa"/>
          </w:tcPr>
          <w:p w14:paraId="5381AB05" w14:textId="5B8A6DDB" w:rsidR="00565A46" w:rsidRPr="00B73335" w:rsidRDefault="00565A46" w:rsidP="00565A4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C40CEE">
              <w:rPr>
                <w:rFonts w:ascii="Times New Roman" w:eastAsia="Times New Roman" w:hAnsi="Times New Roman" w:cs="Times New Roman"/>
                <w:sz w:val="16"/>
                <w:szCs w:val="16"/>
              </w:rPr>
              <w:t>Special Studies/Analysis- Educational</w:t>
            </w:r>
          </w:p>
        </w:tc>
        <w:tc>
          <w:tcPr>
            <w:tcW w:w="1710" w:type="dxa"/>
          </w:tcPr>
          <w:p w14:paraId="06E7E048" w14:textId="05AD02DE" w:rsidR="00565A46" w:rsidRPr="00C40CEE" w:rsidRDefault="00565A46" w:rsidP="00565A4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0CEE">
              <w:rPr>
                <w:rFonts w:ascii="Arial" w:hAnsi="Arial" w:cs="Arial"/>
                <w:color w:val="000000"/>
                <w:sz w:val="16"/>
                <w:szCs w:val="16"/>
              </w:rPr>
              <w:t xml:space="preserve">$     72,606,129 </w:t>
            </w:r>
          </w:p>
          <w:p w14:paraId="308AC5B2" w14:textId="241E44E1" w:rsidR="00565A46" w:rsidRPr="00B73335" w:rsidRDefault="00565A46" w:rsidP="00565A4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350" w:type="dxa"/>
          </w:tcPr>
          <w:p w14:paraId="56CF1734" w14:textId="667FC994" w:rsidR="00565A46" w:rsidRPr="00B73335" w:rsidRDefault="00565A46" w:rsidP="00565A4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C40CEE">
              <w:rPr>
                <w:rFonts w:ascii="Arial" w:hAnsi="Arial" w:cs="Arial"/>
                <w:b/>
                <w:bCs/>
                <w:color w:val="000000"/>
                <w:sz w:val="16"/>
                <w:szCs w:val="16"/>
              </w:rPr>
              <w:t>2.51%</w:t>
            </w:r>
          </w:p>
        </w:tc>
        <w:tc>
          <w:tcPr>
            <w:tcW w:w="4590" w:type="dxa"/>
          </w:tcPr>
          <w:p w14:paraId="46BC4228" w14:textId="56FE2203" w:rsidR="00565A46" w:rsidRDefault="00565A46" w:rsidP="00565A46">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085130">
              <w:rPr>
                <w:rFonts w:ascii="Times New Roman" w:eastAsia="Times New Roman" w:hAnsi="Times New Roman" w:cs="Times New Roman"/>
                <w:sz w:val="18"/>
                <w:szCs w:val="18"/>
              </w:rPr>
              <w:t>Many of the services under contract in this PSC are non-commercial; there</w:t>
            </w:r>
            <w:r>
              <w:rPr>
                <w:rFonts w:ascii="Times New Roman" w:eastAsia="Times New Roman" w:hAnsi="Times New Roman" w:cs="Times New Roman"/>
                <w:sz w:val="18"/>
                <w:szCs w:val="18"/>
              </w:rPr>
              <w:t>fore, there</w:t>
            </w:r>
            <w:r w:rsidRPr="00085130">
              <w:rPr>
                <w:rFonts w:ascii="Times New Roman" w:eastAsia="Times New Roman" w:hAnsi="Times New Roman" w:cs="Times New Roman"/>
                <w:sz w:val="18"/>
                <w:szCs w:val="18"/>
              </w:rPr>
              <w:t xml:space="preserve"> is a higher risk for over-reliance on contractors for these types of contracts.</w:t>
            </w:r>
            <w:r w:rsidRPr="00BD5ED3">
              <w:rPr>
                <w:rFonts w:ascii="Times New Roman" w:eastAsia="Times New Roman" w:hAnsi="Times New Roman" w:cs="Times New Roman"/>
                <w:color w:val="000000"/>
                <w:sz w:val="18"/>
                <w:szCs w:val="18"/>
              </w:rPr>
              <w:t xml:space="preserve"> </w:t>
            </w:r>
            <w:r w:rsidR="009747DD">
              <w:rPr>
                <w:rFonts w:ascii="Times New Roman" w:eastAsia="Times New Roman" w:hAnsi="Times New Roman" w:cs="Times New Roman"/>
                <w:sz w:val="18"/>
                <w:szCs w:val="18"/>
              </w:rPr>
              <w:t>Selected PSC to evaluate per last year’s analysis plan</w:t>
            </w:r>
            <w:r w:rsidR="009747DD" w:rsidRPr="001E432E">
              <w:rPr>
                <w:rFonts w:ascii="Times New Roman" w:eastAsia="Times New Roman" w:hAnsi="Times New Roman" w:cs="Times New Roman"/>
                <w:sz w:val="18"/>
                <w:szCs w:val="18"/>
              </w:rPr>
              <w:t>.</w:t>
            </w:r>
          </w:p>
        </w:tc>
      </w:tr>
      <w:tr w:rsidR="00565A46" w:rsidRPr="00B73335" w14:paraId="6D57C705" w14:textId="7EA05694" w:rsidTr="00C40CEE">
        <w:trPr>
          <w:trHeight w:val="277"/>
        </w:trPr>
        <w:tc>
          <w:tcPr>
            <w:cnfStyle w:val="001000000000" w:firstRow="0" w:lastRow="0" w:firstColumn="1" w:lastColumn="0" w:oddVBand="0" w:evenVBand="0" w:oddHBand="0" w:evenHBand="0" w:firstRowFirstColumn="0" w:firstRowLastColumn="0" w:lastRowFirstColumn="0" w:lastRowLastColumn="0"/>
            <w:tcW w:w="625" w:type="dxa"/>
          </w:tcPr>
          <w:p w14:paraId="46C930A3" w14:textId="43DDBF58" w:rsidR="00565A46" w:rsidRPr="00B73335" w:rsidRDefault="00565A46" w:rsidP="00565A46">
            <w:pPr>
              <w:rPr>
                <w:rFonts w:ascii="Times New Roman" w:hAnsi="Times New Roman" w:cs="Times New Roman"/>
                <w:sz w:val="16"/>
                <w:szCs w:val="16"/>
              </w:rPr>
            </w:pPr>
            <w:r w:rsidRPr="00B73335">
              <w:rPr>
                <w:rFonts w:ascii="Times New Roman" w:hAnsi="Times New Roman" w:cs="Times New Roman"/>
                <w:color w:val="000000"/>
                <w:sz w:val="16"/>
                <w:szCs w:val="16"/>
              </w:rPr>
              <w:t>D</w:t>
            </w:r>
            <w:r w:rsidRPr="00C40CEE">
              <w:rPr>
                <w:rFonts w:ascii="Times New Roman" w:hAnsi="Times New Roman" w:cs="Times New Roman"/>
                <w:color w:val="000000"/>
                <w:sz w:val="16"/>
                <w:szCs w:val="16"/>
              </w:rPr>
              <w:t>301</w:t>
            </w:r>
          </w:p>
        </w:tc>
        <w:tc>
          <w:tcPr>
            <w:tcW w:w="2520" w:type="dxa"/>
          </w:tcPr>
          <w:p w14:paraId="2F5BAE37" w14:textId="302AE548" w:rsidR="00565A46" w:rsidRPr="00B73335" w:rsidRDefault="00565A46" w:rsidP="00565A4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40CEE">
              <w:rPr>
                <w:rFonts w:ascii="Times New Roman" w:hAnsi="Times New Roman" w:cs="Times New Roman"/>
                <w:sz w:val="16"/>
                <w:szCs w:val="16"/>
              </w:rPr>
              <w:t>IT and Telecom – Facility Operation and Maintenance</w:t>
            </w:r>
          </w:p>
        </w:tc>
        <w:tc>
          <w:tcPr>
            <w:tcW w:w="1710" w:type="dxa"/>
          </w:tcPr>
          <w:p w14:paraId="6B373504" w14:textId="769D1D55" w:rsidR="00565A46" w:rsidRPr="00B73335" w:rsidRDefault="00565A46" w:rsidP="00565A4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40CEE">
              <w:rPr>
                <w:rFonts w:ascii="Arial" w:hAnsi="Arial" w:cs="Arial"/>
                <w:color w:val="000000"/>
                <w:sz w:val="16"/>
                <w:szCs w:val="16"/>
              </w:rPr>
              <w:t xml:space="preserve">$   105,151,399 </w:t>
            </w:r>
          </w:p>
        </w:tc>
        <w:tc>
          <w:tcPr>
            <w:tcW w:w="1350" w:type="dxa"/>
          </w:tcPr>
          <w:p w14:paraId="2F937871" w14:textId="77777777" w:rsidR="00565A46" w:rsidRPr="00C40CEE" w:rsidRDefault="00565A46" w:rsidP="00565A46">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rPr>
            </w:pPr>
            <w:r w:rsidRPr="00C40CEE">
              <w:rPr>
                <w:rFonts w:ascii="Arial" w:hAnsi="Arial" w:cs="Arial"/>
                <w:b/>
                <w:bCs/>
                <w:color w:val="000000"/>
                <w:sz w:val="16"/>
                <w:szCs w:val="16"/>
              </w:rPr>
              <w:t>3.64%</w:t>
            </w:r>
          </w:p>
          <w:p w14:paraId="3FF9CDC5" w14:textId="662FD457" w:rsidR="00565A46" w:rsidRPr="00B73335" w:rsidRDefault="00565A46" w:rsidP="00565A4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4590" w:type="dxa"/>
          </w:tcPr>
          <w:p w14:paraId="68267329" w14:textId="22B22E55" w:rsidR="00565A46" w:rsidRDefault="004B57B4" w:rsidP="00565A46">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Pr>
                <w:rFonts w:ascii="Times New Roman" w:eastAsia="Times New Roman" w:hAnsi="Times New Roman" w:cs="Times New Roman"/>
                <w:sz w:val="18"/>
                <w:szCs w:val="18"/>
              </w:rPr>
              <w:t>This is a</w:t>
            </w:r>
            <w:r w:rsidRPr="00085130">
              <w:rPr>
                <w:rFonts w:ascii="Times New Roman" w:eastAsia="Times New Roman" w:hAnsi="Times New Roman" w:cs="Times New Roman"/>
                <w:sz w:val="18"/>
                <w:szCs w:val="18"/>
              </w:rPr>
              <w:t xml:space="preserve"> top 10 PSC in terms of obligations</w:t>
            </w:r>
            <w:r>
              <w:rPr>
                <w:rFonts w:ascii="Times New Roman" w:eastAsia="Times New Roman" w:hAnsi="Times New Roman" w:cs="Times New Roman"/>
                <w:sz w:val="18"/>
                <w:szCs w:val="18"/>
              </w:rPr>
              <w:t xml:space="preserve">. </w:t>
            </w:r>
            <w:r w:rsidR="009747DD">
              <w:rPr>
                <w:rFonts w:ascii="Times New Roman" w:eastAsia="Times New Roman" w:hAnsi="Times New Roman" w:cs="Times New Roman"/>
                <w:sz w:val="18"/>
                <w:szCs w:val="18"/>
              </w:rPr>
              <w:t>Selected PSC to evaluate per last year’s analysis plan</w:t>
            </w:r>
            <w:r w:rsidR="009747DD" w:rsidRPr="001E432E">
              <w:rPr>
                <w:rFonts w:ascii="Times New Roman" w:eastAsia="Times New Roman" w:hAnsi="Times New Roman" w:cs="Times New Roman"/>
                <w:sz w:val="18"/>
                <w:szCs w:val="18"/>
              </w:rPr>
              <w:t>.</w:t>
            </w:r>
          </w:p>
        </w:tc>
      </w:tr>
      <w:tr w:rsidR="00565A46" w:rsidRPr="00B73335" w14:paraId="0337AB67" w14:textId="2B9394CD" w:rsidTr="00C40CEE">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625" w:type="dxa"/>
          </w:tcPr>
          <w:p w14:paraId="5B7AFD75" w14:textId="612941D1" w:rsidR="00565A46" w:rsidRPr="00B73335" w:rsidRDefault="00565A46" w:rsidP="00565A46">
            <w:pPr>
              <w:rPr>
                <w:rFonts w:ascii="Times New Roman" w:hAnsi="Times New Roman" w:cs="Times New Roman"/>
                <w:sz w:val="16"/>
                <w:szCs w:val="16"/>
              </w:rPr>
            </w:pPr>
            <w:r w:rsidRPr="00B73335">
              <w:rPr>
                <w:rFonts w:ascii="Times New Roman" w:hAnsi="Times New Roman" w:cs="Times New Roman"/>
                <w:color w:val="000000"/>
                <w:sz w:val="16"/>
                <w:szCs w:val="16"/>
              </w:rPr>
              <w:t>D</w:t>
            </w:r>
            <w:r w:rsidRPr="00C40CEE">
              <w:rPr>
                <w:rFonts w:ascii="Times New Roman" w:hAnsi="Times New Roman" w:cs="Times New Roman"/>
                <w:color w:val="000000"/>
                <w:sz w:val="16"/>
                <w:szCs w:val="16"/>
              </w:rPr>
              <w:t>313</w:t>
            </w:r>
          </w:p>
        </w:tc>
        <w:tc>
          <w:tcPr>
            <w:tcW w:w="2520" w:type="dxa"/>
          </w:tcPr>
          <w:p w14:paraId="185A480D" w14:textId="7146B528" w:rsidR="00565A46" w:rsidRPr="00B73335" w:rsidRDefault="00565A46" w:rsidP="00565A4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C40CEE">
              <w:rPr>
                <w:rFonts w:ascii="Times New Roman" w:eastAsia="Times New Roman" w:hAnsi="Times New Roman" w:cs="Times New Roman"/>
                <w:sz w:val="16"/>
                <w:szCs w:val="16"/>
              </w:rPr>
              <w:t>IT AND TELECOM - COMPUTER AIDED DESIGN/COMPUTER AIDED MANUFACTURING (CAD/CAM)</w:t>
            </w:r>
          </w:p>
        </w:tc>
        <w:tc>
          <w:tcPr>
            <w:tcW w:w="1710" w:type="dxa"/>
          </w:tcPr>
          <w:p w14:paraId="2BFD83D0" w14:textId="5591B90E" w:rsidR="00565A46" w:rsidRPr="00C40CEE" w:rsidRDefault="00565A46" w:rsidP="00565A46">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0CEE">
              <w:rPr>
                <w:rFonts w:ascii="Arial" w:hAnsi="Arial" w:cs="Arial"/>
                <w:color w:val="000000"/>
                <w:sz w:val="16"/>
                <w:szCs w:val="16"/>
              </w:rPr>
              <w:t xml:space="preserve">$     59,993,583 </w:t>
            </w:r>
          </w:p>
          <w:p w14:paraId="5A8AC654" w14:textId="5CF8F6F5" w:rsidR="00565A46" w:rsidRPr="00B73335" w:rsidRDefault="00565A46" w:rsidP="00565A4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350" w:type="dxa"/>
          </w:tcPr>
          <w:p w14:paraId="46E28BA6" w14:textId="77777777" w:rsidR="00565A46" w:rsidRPr="00C40CEE" w:rsidRDefault="00565A46" w:rsidP="00565A46">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6"/>
                <w:szCs w:val="16"/>
              </w:rPr>
            </w:pPr>
            <w:r w:rsidRPr="00C40CEE">
              <w:rPr>
                <w:rFonts w:ascii="Arial" w:hAnsi="Arial" w:cs="Arial"/>
                <w:b/>
                <w:bCs/>
                <w:color w:val="000000"/>
                <w:sz w:val="16"/>
                <w:szCs w:val="16"/>
              </w:rPr>
              <w:t>2.08%</w:t>
            </w:r>
          </w:p>
          <w:p w14:paraId="18E779C8" w14:textId="53F1F77A" w:rsidR="00565A46" w:rsidRPr="00B73335" w:rsidRDefault="00565A46" w:rsidP="00565A4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4590" w:type="dxa"/>
          </w:tcPr>
          <w:p w14:paraId="57C04FCB" w14:textId="701E6A94" w:rsidR="00565A46" w:rsidRDefault="004B57B4" w:rsidP="00565A46">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Pr>
                <w:rFonts w:ascii="Times New Roman" w:eastAsia="Times New Roman" w:hAnsi="Times New Roman" w:cs="Times New Roman"/>
                <w:sz w:val="18"/>
                <w:szCs w:val="18"/>
              </w:rPr>
              <w:t xml:space="preserve">This </w:t>
            </w:r>
            <w:r w:rsidRPr="00085130">
              <w:rPr>
                <w:rFonts w:ascii="Times New Roman" w:eastAsia="Times New Roman" w:hAnsi="Times New Roman" w:cs="Times New Roman"/>
                <w:sz w:val="18"/>
                <w:szCs w:val="18"/>
              </w:rPr>
              <w:t>PSC includes contracts for IT Acquisition Support Services, which are high on OMB’s priority list.</w:t>
            </w:r>
            <w:r>
              <w:rPr>
                <w:rFonts w:ascii="Times New Roman" w:eastAsia="Times New Roman" w:hAnsi="Times New Roman" w:cs="Times New Roman"/>
                <w:sz w:val="18"/>
                <w:szCs w:val="18"/>
              </w:rPr>
              <w:t xml:space="preserve"> </w:t>
            </w:r>
          </w:p>
        </w:tc>
      </w:tr>
      <w:tr w:rsidR="00565A46" w:rsidRPr="00B73335" w14:paraId="48AE02E9" w14:textId="155E2986" w:rsidTr="00C40CEE">
        <w:trPr>
          <w:trHeight w:val="277"/>
        </w:trPr>
        <w:tc>
          <w:tcPr>
            <w:cnfStyle w:val="001000000000" w:firstRow="0" w:lastRow="0" w:firstColumn="1" w:lastColumn="0" w:oddVBand="0" w:evenVBand="0" w:oddHBand="0" w:evenHBand="0" w:firstRowFirstColumn="0" w:firstRowLastColumn="0" w:lastRowFirstColumn="0" w:lastRowLastColumn="0"/>
            <w:tcW w:w="625" w:type="dxa"/>
          </w:tcPr>
          <w:p w14:paraId="09B7354F" w14:textId="3F14F73B" w:rsidR="00565A46" w:rsidRPr="00B73335" w:rsidRDefault="00565A46" w:rsidP="00565A46">
            <w:pPr>
              <w:rPr>
                <w:rFonts w:ascii="Times New Roman" w:hAnsi="Times New Roman" w:cs="Times New Roman"/>
                <w:sz w:val="16"/>
                <w:szCs w:val="16"/>
              </w:rPr>
            </w:pPr>
            <w:r w:rsidRPr="00C40CEE">
              <w:rPr>
                <w:rFonts w:ascii="Times New Roman" w:hAnsi="Times New Roman" w:cs="Times New Roman"/>
                <w:color w:val="000000"/>
                <w:sz w:val="16"/>
                <w:szCs w:val="16"/>
              </w:rPr>
              <w:t>D399</w:t>
            </w:r>
          </w:p>
        </w:tc>
        <w:tc>
          <w:tcPr>
            <w:tcW w:w="2520" w:type="dxa"/>
            <w:vAlign w:val="bottom"/>
          </w:tcPr>
          <w:p w14:paraId="5484D597" w14:textId="2D609522" w:rsidR="00565A46" w:rsidRPr="00B73335" w:rsidRDefault="00565A46" w:rsidP="00565A4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40CEE">
              <w:rPr>
                <w:rFonts w:ascii="Times New Roman" w:hAnsi="Times New Roman" w:cs="Times New Roman"/>
                <w:color w:val="000000"/>
                <w:sz w:val="16"/>
                <w:szCs w:val="16"/>
              </w:rPr>
              <w:t>IT AND TELECOM - OTHER IT AND TELECOMMUNICATIONS</w:t>
            </w:r>
          </w:p>
        </w:tc>
        <w:tc>
          <w:tcPr>
            <w:tcW w:w="1710" w:type="dxa"/>
          </w:tcPr>
          <w:p w14:paraId="0702F40A" w14:textId="62A458E1" w:rsidR="00565A46" w:rsidRPr="00B73335" w:rsidRDefault="00565A46" w:rsidP="00565A4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40CEE">
              <w:rPr>
                <w:rFonts w:ascii="Arial" w:hAnsi="Arial" w:cs="Arial"/>
                <w:color w:val="000000"/>
                <w:sz w:val="16"/>
                <w:szCs w:val="16"/>
              </w:rPr>
              <w:t xml:space="preserve">$     69,252,374 </w:t>
            </w:r>
          </w:p>
        </w:tc>
        <w:tc>
          <w:tcPr>
            <w:tcW w:w="1350" w:type="dxa"/>
          </w:tcPr>
          <w:p w14:paraId="42DE5685" w14:textId="77777777" w:rsidR="00565A46" w:rsidRPr="00C40CEE" w:rsidRDefault="00565A46" w:rsidP="00565A46">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rPr>
            </w:pPr>
            <w:r w:rsidRPr="00C40CEE">
              <w:rPr>
                <w:rFonts w:ascii="Arial" w:hAnsi="Arial" w:cs="Arial"/>
                <w:b/>
                <w:bCs/>
                <w:color w:val="000000"/>
                <w:sz w:val="16"/>
                <w:szCs w:val="16"/>
              </w:rPr>
              <w:t>2.40%</w:t>
            </w:r>
          </w:p>
          <w:p w14:paraId="1758E74C" w14:textId="04AFF66A" w:rsidR="00565A46" w:rsidRPr="00B73335" w:rsidRDefault="00565A46" w:rsidP="00565A4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4590" w:type="dxa"/>
          </w:tcPr>
          <w:p w14:paraId="586BC4E8" w14:textId="37428F6D" w:rsidR="00565A46" w:rsidRDefault="004B57B4" w:rsidP="00565A46">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Pr>
                <w:rFonts w:ascii="Times New Roman" w:eastAsia="Times New Roman" w:hAnsi="Times New Roman" w:cs="Times New Roman"/>
                <w:sz w:val="18"/>
                <w:szCs w:val="18"/>
              </w:rPr>
              <w:t>This PSC includes other types</w:t>
            </w:r>
            <w:r w:rsidR="00A40A00">
              <w:rPr>
                <w:rFonts w:ascii="Times New Roman" w:eastAsia="Times New Roman" w:hAnsi="Times New Roman" w:cs="Times New Roman"/>
                <w:sz w:val="18"/>
                <w:szCs w:val="18"/>
              </w:rPr>
              <w:t xml:space="preserve"> of</w:t>
            </w:r>
            <w:r>
              <w:rPr>
                <w:rFonts w:ascii="Times New Roman" w:eastAsia="Times New Roman" w:hAnsi="Times New Roman" w:cs="Times New Roman"/>
                <w:sz w:val="18"/>
                <w:szCs w:val="18"/>
              </w:rPr>
              <w:t xml:space="preserve"> IT and Telecom related contracts and services. </w:t>
            </w:r>
            <w:r w:rsidR="00A40A00">
              <w:rPr>
                <w:rFonts w:ascii="Times New Roman" w:eastAsia="Times New Roman" w:hAnsi="Times New Roman" w:cs="Times New Roman"/>
                <w:sz w:val="18"/>
                <w:szCs w:val="18"/>
              </w:rPr>
              <w:t>S</w:t>
            </w:r>
            <w:r>
              <w:rPr>
                <w:rFonts w:ascii="Times New Roman" w:eastAsia="Times New Roman" w:hAnsi="Times New Roman" w:cs="Times New Roman"/>
                <w:sz w:val="18"/>
                <w:szCs w:val="18"/>
              </w:rPr>
              <w:t xml:space="preserve">elected PSC to evaluate </w:t>
            </w:r>
            <w:r w:rsidR="009F60CF">
              <w:rPr>
                <w:rFonts w:ascii="Times New Roman" w:eastAsia="Times New Roman" w:hAnsi="Times New Roman" w:cs="Times New Roman"/>
                <w:sz w:val="18"/>
                <w:szCs w:val="18"/>
              </w:rPr>
              <w:t xml:space="preserve">per </w:t>
            </w:r>
            <w:r w:rsidR="00B30D39">
              <w:rPr>
                <w:rFonts w:ascii="Times New Roman" w:eastAsia="Times New Roman" w:hAnsi="Times New Roman" w:cs="Times New Roman"/>
                <w:sz w:val="18"/>
                <w:szCs w:val="18"/>
              </w:rPr>
              <w:t>last</w:t>
            </w:r>
            <w:r>
              <w:rPr>
                <w:rFonts w:ascii="Times New Roman" w:eastAsia="Times New Roman" w:hAnsi="Times New Roman" w:cs="Times New Roman"/>
                <w:sz w:val="18"/>
                <w:szCs w:val="18"/>
              </w:rPr>
              <w:t xml:space="preserve"> year’s analysis plan</w:t>
            </w:r>
            <w:r w:rsidRPr="001E432E">
              <w:rPr>
                <w:rFonts w:ascii="Times New Roman" w:eastAsia="Times New Roman" w:hAnsi="Times New Roman" w:cs="Times New Roman"/>
                <w:sz w:val="18"/>
                <w:szCs w:val="18"/>
              </w:rPr>
              <w:t>.</w:t>
            </w:r>
          </w:p>
        </w:tc>
      </w:tr>
      <w:tr w:rsidR="00565A46" w:rsidRPr="00B73335" w14:paraId="0D54EB59" w14:textId="5D062DA8" w:rsidTr="00C40CEE">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625" w:type="dxa"/>
          </w:tcPr>
          <w:p w14:paraId="56B2763E" w14:textId="44D3A49E" w:rsidR="00565A46" w:rsidRPr="00B73335" w:rsidRDefault="00565A46" w:rsidP="00565A46">
            <w:pPr>
              <w:rPr>
                <w:rFonts w:ascii="Times New Roman" w:hAnsi="Times New Roman" w:cs="Times New Roman"/>
                <w:sz w:val="16"/>
                <w:szCs w:val="16"/>
              </w:rPr>
            </w:pPr>
            <w:r w:rsidRPr="00B73335">
              <w:rPr>
                <w:rFonts w:ascii="Times New Roman" w:hAnsi="Times New Roman" w:cs="Times New Roman"/>
                <w:color w:val="000000"/>
                <w:sz w:val="16"/>
                <w:szCs w:val="16"/>
              </w:rPr>
              <w:t>R</w:t>
            </w:r>
            <w:r w:rsidRPr="00C40CEE">
              <w:rPr>
                <w:rFonts w:ascii="Times New Roman" w:hAnsi="Times New Roman" w:cs="Times New Roman"/>
                <w:color w:val="000000"/>
                <w:sz w:val="16"/>
                <w:szCs w:val="16"/>
              </w:rPr>
              <w:t>499</w:t>
            </w:r>
          </w:p>
        </w:tc>
        <w:tc>
          <w:tcPr>
            <w:tcW w:w="2520" w:type="dxa"/>
          </w:tcPr>
          <w:p w14:paraId="176EFAF3" w14:textId="5C6052C7" w:rsidR="00565A46" w:rsidRPr="00B73335" w:rsidRDefault="00565A46" w:rsidP="00565A4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C40CEE">
              <w:rPr>
                <w:rFonts w:ascii="Times New Roman" w:eastAsia="Times New Roman" w:hAnsi="Times New Roman" w:cs="Times New Roman"/>
                <w:sz w:val="16"/>
                <w:szCs w:val="16"/>
              </w:rPr>
              <w:t>Support- Professional: Other</w:t>
            </w:r>
          </w:p>
        </w:tc>
        <w:tc>
          <w:tcPr>
            <w:tcW w:w="1710" w:type="dxa"/>
          </w:tcPr>
          <w:p w14:paraId="179DE843" w14:textId="131A84C9" w:rsidR="00565A46" w:rsidRPr="00B73335" w:rsidRDefault="00565A46" w:rsidP="00565A4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C40CEE">
              <w:rPr>
                <w:rFonts w:ascii="Arial" w:hAnsi="Arial" w:cs="Arial"/>
                <w:color w:val="000000"/>
                <w:sz w:val="16"/>
                <w:szCs w:val="16"/>
              </w:rPr>
              <w:t xml:space="preserve">$   152,948,251 </w:t>
            </w:r>
          </w:p>
        </w:tc>
        <w:tc>
          <w:tcPr>
            <w:tcW w:w="1350" w:type="dxa"/>
          </w:tcPr>
          <w:p w14:paraId="78471FFD" w14:textId="77777777" w:rsidR="00565A46" w:rsidRPr="00C40CEE" w:rsidRDefault="00565A46" w:rsidP="00565A46">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6"/>
                <w:szCs w:val="16"/>
              </w:rPr>
            </w:pPr>
            <w:r w:rsidRPr="00C40CEE">
              <w:rPr>
                <w:rFonts w:ascii="Arial" w:hAnsi="Arial" w:cs="Arial"/>
                <w:b/>
                <w:bCs/>
                <w:color w:val="000000"/>
                <w:sz w:val="16"/>
                <w:szCs w:val="16"/>
              </w:rPr>
              <w:t>5.29%</w:t>
            </w:r>
          </w:p>
          <w:p w14:paraId="1FE41DB8" w14:textId="6D8CF3FB" w:rsidR="00565A46" w:rsidRPr="00B73335" w:rsidRDefault="00565A46" w:rsidP="00565A4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4590" w:type="dxa"/>
          </w:tcPr>
          <w:p w14:paraId="51127453" w14:textId="5CA18C25" w:rsidR="00565A46" w:rsidRDefault="004B57B4" w:rsidP="00565A46">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085130">
              <w:rPr>
                <w:rFonts w:ascii="Times New Roman" w:eastAsia="Times New Roman" w:hAnsi="Times New Roman" w:cs="Times New Roman"/>
                <w:sz w:val="18"/>
                <w:szCs w:val="18"/>
              </w:rPr>
              <w:t>Identified as a targeted PSC under the ongoing effort to reduce contract spending for professional and other services.</w:t>
            </w:r>
            <w:r>
              <w:rPr>
                <w:rFonts w:ascii="Times New Roman" w:eastAsia="Times New Roman" w:hAnsi="Times New Roman" w:cs="Times New Roman"/>
                <w:sz w:val="18"/>
                <w:szCs w:val="18"/>
              </w:rPr>
              <w:t xml:space="preserve"> </w:t>
            </w:r>
            <w:r w:rsidR="00B9503F">
              <w:rPr>
                <w:rFonts w:ascii="Times New Roman" w:eastAsia="Times New Roman" w:hAnsi="Times New Roman" w:cs="Times New Roman"/>
                <w:sz w:val="18"/>
                <w:szCs w:val="18"/>
              </w:rPr>
              <w:t>Recommended for review per OMB.</w:t>
            </w:r>
          </w:p>
        </w:tc>
      </w:tr>
      <w:tr w:rsidR="0031310B" w:rsidRPr="00B73335" w14:paraId="7E41DAED" w14:textId="439DDA50" w:rsidTr="00C40CEE">
        <w:trPr>
          <w:trHeight w:val="277"/>
        </w:trPr>
        <w:tc>
          <w:tcPr>
            <w:cnfStyle w:val="001000000000" w:firstRow="0" w:lastRow="0" w:firstColumn="1" w:lastColumn="0" w:oddVBand="0" w:evenVBand="0" w:oddHBand="0" w:evenHBand="0" w:firstRowFirstColumn="0" w:firstRowLastColumn="0" w:lastRowFirstColumn="0" w:lastRowLastColumn="0"/>
            <w:tcW w:w="625" w:type="dxa"/>
          </w:tcPr>
          <w:p w14:paraId="0DD55E19" w14:textId="3FF85E0F" w:rsidR="0031310B" w:rsidRPr="00B73335" w:rsidRDefault="0031310B" w:rsidP="0031310B">
            <w:pPr>
              <w:rPr>
                <w:rFonts w:ascii="Times New Roman" w:hAnsi="Times New Roman" w:cs="Times New Roman"/>
                <w:sz w:val="16"/>
                <w:szCs w:val="16"/>
              </w:rPr>
            </w:pPr>
            <w:r w:rsidRPr="00B73335">
              <w:rPr>
                <w:rFonts w:ascii="Times New Roman" w:hAnsi="Times New Roman" w:cs="Times New Roman"/>
                <w:color w:val="000000"/>
                <w:sz w:val="16"/>
                <w:szCs w:val="16"/>
              </w:rPr>
              <w:t>R</w:t>
            </w:r>
            <w:r w:rsidRPr="00C40CEE">
              <w:rPr>
                <w:rFonts w:ascii="Times New Roman" w:hAnsi="Times New Roman" w:cs="Times New Roman"/>
                <w:color w:val="000000"/>
                <w:sz w:val="16"/>
                <w:szCs w:val="16"/>
              </w:rPr>
              <w:t>699</w:t>
            </w:r>
          </w:p>
        </w:tc>
        <w:tc>
          <w:tcPr>
            <w:tcW w:w="2520" w:type="dxa"/>
          </w:tcPr>
          <w:p w14:paraId="4D87915D" w14:textId="52830CF9" w:rsidR="0031310B" w:rsidRPr="00B73335" w:rsidRDefault="0031310B" w:rsidP="0031310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40CEE">
              <w:rPr>
                <w:rFonts w:ascii="Times New Roman" w:eastAsia="Times New Roman" w:hAnsi="Times New Roman" w:cs="Times New Roman"/>
                <w:sz w:val="16"/>
                <w:szCs w:val="16"/>
              </w:rPr>
              <w:t>Support- Administrative: Other</w:t>
            </w:r>
          </w:p>
        </w:tc>
        <w:tc>
          <w:tcPr>
            <w:tcW w:w="1710" w:type="dxa"/>
          </w:tcPr>
          <w:p w14:paraId="5A17EA9D" w14:textId="2D1DC248" w:rsidR="0031310B" w:rsidRPr="00C40CEE" w:rsidRDefault="0031310B" w:rsidP="0031310B">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0CEE">
              <w:rPr>
                <w:rFonts w:ascii="Arial" w:hAnsi="Arial" w:cs="Arial"/>
                <w:color w:val="000000"/>
                <w:sz w:val="16"/>
                <w:szCs w:val="16"/>
              </w:rPr>
              <w:t xml:space="preserve">$     15,157,294 </w:t>
            </w:r>
          </w:p>
          <w:p w14:paraId="64E08409" w14:textId="6F860AEB" w:rsidR="0031310B" w:rsidRPr="00B73335" w:rsidRDefault="0031310B" w:rsidP="0031310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350" w:type="dxa"/>
          </w:tcPr>
          <w:p w14:paraId="5EFC955E" w14:textId="77777777" w:rsidR="0031310B" w:rsidRPr="00C40CEE" w:rsidRDefault="0031310B" w:rsidP="0031310B">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rPr>
            </w:pPr>
            <w:r w:rsidRPr="00C40CEE">
              <w:rPr>
                <w:rFonts w:ascii="Arial" w:hAnsi="Arial" w:cs="Arial"/>
                <w:b/>
                <w:bCs/>
                <w:color w:val="000000"/>
                <w:sz w:val="16"/>
                <w:szCs w:val="16"/>
              </w:rPr>
              <w:t>0.52%</w:t>
            </w:r>
          </w:p>
          <w:p w14:paraId="143632A7" w14:textId="5378DC38" w:rsidR="0031310B" w:rsidRPr="00B73335" w:rsidRDefault="0031310B" w:rsidP="0031310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4590" w:type="dxa"/>
          </w:tcPr>
          <w:p w14:paraId="19CCF87F" w14:textId="76652544" w:rsidR="0031310B" w:rsidRDefault="0031310B" w:rsidP="0031310B">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085130">
              <w:rPr>
                <w:rFonts w:ascii="Times New Roman" w:eastAsia="Times New Roman" w:hAnsi="Times New Roman" w:cs="Times New Roman"/>
                <w:sz w:val="18"/>
                <w:szCs w:val="18"/>
              </w:rPr>
              <w:t>Identified as a targeted PSC under the ongoing effort to reduce contract spending for professional and other services.</w:t>
            </w:r>
            <w:r>
              <w:rPr>
                <w:rFonts w:ascii="Times New Roman" w:eastAsia="Times New Roman" w:hAnsi="Times New Roman" w:cs="Times New Roman"/>
                <w:sz w:val="18"/>
                <w:szCs w:val="18"/>
              </w:rPr>
              <w:t xml:space="preserve"> Recommended for review per OMB.</w:t>
            </w:r>
          </w:p>
        </w:tc>
      </w:tr>
      <w:tr w:rsidR="0031310B" w:rsidRPr="00B73335" w14:paraId="5437820B" w14:textId="5E3F43B4" w:rsidTr="00C40CEE">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625" w:type="dxa"/>
          </w:tcPr>
          <w:p w14:paraId="3F78A105" w14:textId="47EEFE87" w:rsidR="0031310B" w:rsidRPr="00B73335" w:rsidRDefault="0031310B" w:rsidP="0031310B">
            <w:pPr>
              <w:rPr>
                <w:rFonts w:ascii="Times New Roman" w:hAnsi="Times New Roman" w:cs="Times New Roman"/>
                <w:sz w:val="16"/>
                <w:szCs w:val="16"/>
              </w:rPr>
            </w:pPr>
            <w:r w:rsidRPr="00B73335">
              <w:rPr>
                <w:rFonts w:ascii="Times New Roman" w:hAnsi="Times New Roman" w:cs="Times New Roman"/>
                <w:color w:val="000000"/>
                <w:sz w:val="16"/>
                <w:szCs w:val="16"/>
              </w:rPr>
              <w:t>R</w:t>
            </w:r>
            <w:r w:rsidRPr="00C40CEE">
              <w:rPr>
                <w:rFonts w:ascii="Times New Roman" w:hAnsi="Times New Roman" w:cs="Times New Roman"/>
                <w:color w:val="000000"/>
                <w:sz w:val="16"/>
                <w:szCs w:val="16"/>
              </w:rPr>
              <w:t>705</w:t>
            </w:r>
          </w:p>
        </w:tc>
        <w:tc>
          <w:tcPr>
            <w:tcW w:w="2520" w:type="dxa"/>
          </w:tcPr>
          <w:p w14:paraId="11C61E73" w14:textId="6828E6FE" w:rsidR="0031310B" w:rsidRPr="00B73335" w:rsidRDefault="0031310B" w:rsidP="0031310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C40CEE">
              <w:rPr>
                <w:rFonts w:ascii="Times New Roman" w:eastAsia="Times New Roman" w:hAnsi="Times New Roman" w:cs="Times New Roman"/>
                <w:sz w:val="16"/>
                <w:szCs w:val="16"/>
              </w:rPr>
              <w:t>Support- Management: Debt Collection</w:t>
            </w:r>
          </w:p>
        </w:tc>
        <w:tc>
          <w:tcPr>
            <w:tcW w:w="1710" w:type="dxa"/>
          </w:tcPr>
          <w:p w14:paraId="788AEF40" w14:textId="44834976" w:rsidR="0031310B" w:rsidRPr="00B73335" w:rsidRDefault="0031310B" w:rsidP="0031310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C40CEE">
              <w:rPr>
                <w:rFonts w:ascii="Arial" w:hAnsi="Arial" w:cs="Arial"/>
                <w:color w:val="000000"/>
                <w:sz w:val="16"/>
                <w:szCs w:val="16"/>
              </w:rPr>
              <w:t>$   884,377,852</w:t>
            </w:r>
          </w:p>
        </w:tc>
        <w:tc>
          <w:tcPr>
            <w:tcW w:w="1350" w:type="dxa"/>
          </w:tcPr>
          <w:p w14:paraId="6CC834D4" w14:textId="77777777" w:rsidR="0031310B" w:rsidRPr="00C40CEE" w:rsidRDefault="0031310B" w:rsidP="0031310B">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6"/>
                <w:szCs w:val="16"/>
              </w:rPr>
            </w:pPr>
            <w:r w:rsidRPr="00C40CEE">
              <w:rPr>
                <w:rFonts w:ascii="Arial" w:hAnsi="Arial" w:cs="Arial"/>
                <w:b/>
                <w:bCs/>
                <w:color w:val="000000"/>
                <w:sz w:val="16"/>
                <w:szCs w:val="16"/>
              </w:rPr>
              <w:t>30.60%</w:t>
            </w:r>
          </w:p>
          <w:p w14:paraId="0509636A" w14:textId="5EA529E2" w:rsidR="0031310B" w:rsidRPr="00B73335" w:rsidRDefault="0031310B" w:rsidP="0031310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4590" w:type="dxa"/>
          </w:tcPr>
          <w:p w14:paraId="3C15467A" w14:textId="0A78DFE3" w:rsidR="0031310B" w:rsidRDefault="0031310B" w:rsidP="0031310B">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085130">
              <w:rPr>
                <w:rFonts w:ascii="Times New Roman" w:eastAsia="Times New Roman" w:hAnsi="Times New Roman" w:cs="Times New Roman"/>
                <w:sz w:val="18"/>
                <w:szCs w:val="18"/>
              </w:rPr>
              <w:t xml:space="preserve">Identified as a targeted PSC under the ongoing effort to reduce contract spending for management support services. This PSC is included to guard against expansion of the contractor’s duties into inherently governmental functions and to ensure enough management and oversight remains in place. </w:t>
            </w:r>
            <w:r>
              <w:rPr>
                <w:rFonts w:ascii="Times New Roman" w:eastAsia="Times New Roman" w:hAnsi="Times New Roman" w:cs="Times New Roman"/>
                <w:sz w:val="18"/>
                <w:szCs w:val="18"/>
              </w:rPr>
              <w:t>Selected PSC to evaluate per last year’s analysis plan.</w:t>
            </w:r>
          </w:p>
        </w:tc>
      </w:tr>
      <w:tr w:rsidR="0031310B" w:rsidRPr="00B73335" w14:paraId="138ECBDB" w14:textId="79984331" w:rsidTr="00C40CEE">
        <w:trPr>
          <w:trHeight w:val="277"/>
        </w:trPr>
        <w:tc>
          <w:tcPr>
            <w:cnfStyle w:val="001000000000" w:firstRow="0" w:lastRow="0" w:firstColumn="1" w:lastColumn="0" w:oddVBand="0" w:evenVBand="0" w:oddHBand="0" w:evenHBand="0" w:firstRowFirstColumn="0" w:firstRowLastColumn="0" w:lastRowFirstColumn="0" w:lastRowLastColumn="0"/>
            <w:tcW w:w="625" w:type="dxa"/>
          </w:tcPr>
          <w:p w14:paraId="7084C419" w14:textId="4A9BD429" w:rsidR="0031310B" w:rsidRPr="00B73335" w:rsidRDefault="0031310B" w:rsidP="0031310B">
            <w:pPr>
              <w:rPr>
                <w:rFonts w:ascii="Times New Roman" w:hAnsi="Times New Roman" w:cs="Times New Roman"/>
                <w:sz w:val="16"/>
                <w:szCs w:val="16"/>
              </w:rPr>
            </w:pPr>
            <w:r w:rsidRPr="00B73335">
              <w:rPr>
                <w:rFonts w:ascii="Times New Roman" w:hAnsi="Times New Roman" w:cs="Times New Roman"/>
                <w:color w:val="000000"/>
                <w:sz w:val="16"/>
                <w:szCs w:val="16"/>
              </w:rPr>
              <w:t>R</w:t>
            </w:r>
            <w:r w:rsidRPr="00C40CEE">
              <w:rPr>
                <w:rFonts w:ascii="Times New Roman" w:hAnsi="Times New Roman" w:cs="Times New Roman"/>
                <w:color w:val="000000"/>
                <w:sz w:val="16"/>
                <w:szCs w:val="16"/>
              </w:rPr>
              <w:t>710</w:t>
            </w:r>
          </w:p>
        </w:tc>
        <w:tc>
          <w:tcPr>
            <w:tcW w:w="2520" w:type="dxa"/>
          </w:tcPr>
          <w:p w14:paraId="3063E6B3" w14:textId="0386038F" w:rsidR="0031310B" w:rsidRPr="00B73335" w:rsidRDefault="0031310B" w:rsidP="0031310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73335">
              <w:rPr>
                <w:rFonts w:ascii="Times New Roman" w:hAnsi="Times New Roman" w:cs="Times New Roman"/>
                <w:bCs/>
                <w:color w:val="000000"/>
                <w:sz w:val="16"/>
                <w:szCs w:val="16"/>
              </w:rPr>
              <w:t>SUPPORT - MANAGEMENT: FINANCIAL INCLUDES: CREDIT CARD SERVICES</w:t>
            </w:r>
          </w:p>
        </w:tc>
        <w:tc>
          <w:tcPr>
            <w:tcW w:w="1710" w:type="dxa"/>
          </w:tcPr>
          <w:p w14:paraId="738C0A70" w14:textId="6C73E195" w:rsidR="0031310B" w:rsidRPr="00C40CEE" w:rsidRDefault="0031310B" w:rsidP="0031310B">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0CEE">
              <w:rPr>
                <w:rFonts w:ascii="Arial" w:hAnsi="Arial" w:cs="Arial"/>
                <w:color w:val="000000"/>
                <w:sz w:val="16"/>
                <w:szCs w:val="16"/>
              </w:rPr>
              <w:t xml:space="preserve">$   980,600,717 </w:t>
            </w:r>
          </w:p>
          <w:p w14:paraId="03961EFF" w14:textId="48FEDA2A" w:rsidR="0031310B" w:rsidRPr="00B73335" w:rsidRDefault="0031310B" w:rsidP="0031310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350" w:type="dxa"/>
          </w:tcPr>
          <w:p w14:paraId="3F980422" w14:textId="77777777" w:rsidR="0031310B" w:rsidRPr="00C40CEE" w:rsidRDefault="0031310B" w:rsidP="0031310B">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rPr>
            </w:pPr>
            <w:r w:rsidRPr="00C40CEE">
              <w:rPr>
                <w:rFonts w:ascii="Arial" w:hAnsi="Arial" w:cs="Arial"/>
                <w:b/>
                <w:bCs/>
                <w:color w:val="000000"/>
                <w:sz w:val="16"/>
                <w:szCs w:val="16"/>
              </w:rPr>
              <w:t>33.93%</w:t>
            </w:r>
          </w:p>
          <w:p w14:paraId="312FD86E" w14:textId="01449F44" w:rsidR="0031310B" w:rsidRPr="00B73335" w:rsidRDefault="0031310B" w:rsidP="0031310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4590" w:type="dxa"/>
          </w:tcPr>
          <w:p w14:paraId="6156AFFA" w14:textId="1650339D" w:rsidR="0031310B" w:rsidRDefault="0031310B" w:rsidP="0031310B">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085130">
              <w:rPr>
                <w:rFonts w:ascii="Times New Roman" w:eastAsia="Times New Roman" w:hAnsi="Times New Roman" w:cs="Times New Roman"/>
                <w:sz w:val="18"/>
                <w:szCs w:val="18"/>
              </w:rPr>
              <w:t xml:space="preserve">This PSC is included to guard against expansion of the contractor’s duties into inherently governmental functions and to ensure enough management and oversight remains in place. </w:t>
            </w:r>
            <w:r>
              <w:rPr>
                <w:rFonts w:ascii="Times New Roman" w:eastAsia="Times New Roman" w:hAnsi="Times New Roman" w:cs="Times New Roman"/>
                <w:sz w:val="18"/>
                <w:szCs w:val="18"/>
              </w:rPr>
              <w:t>Selected PSC to evaluate per last year’s analysis plan</w:t>
            </w:r>
            <w:r w:rsidRPr="001E432E">
              <w:rPr>
                <w:rFonts w:ascii="Times New Roman" w:eastAsia="Times New Roman" w:hAnsi="Times New Roman" w:cs="Times New Roman"/>
                <w:sz w:val="18"/>
                <w:szCs w:val="18"/>
              </w:rPr>
              <w:t>.</w:t>
            </w:r>
          </w:p>
        </w:tc>
      </w:tr>
      <w:tr w:rsidR="0031310B" w:rsidRPr="00B73335" w14:paraId="6BABFBF6" w14:textId="6A4A8141" w:rsidTr="00C40CEE">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625" w:type="dxa"/>
          </w:tcPr>
          <w:p w14:paraId="682F4681" w14:textId="40FC7310" w:rsidR="0031310B" w:rsidRPr="00B73335" w:rsidRDefault="0031310B" w:rsidP="0031310B">
            <w:pPr>
              <w:rPr>
                <w:rFonts w:ascii="Times New Roman" w:hAnsi="Times New Roman" w:cs="Times New Roman"/>
                <w:sz w:val="16"/>
                <w:szCs w:val="16"/>
              </w:rPr>
            </w:pPr>
            <w:r w:rsidRPr="00B73335">
              <w:rPr>
                <w:rFonts w:ascii="Times New Roman" w:hAnsi="Times New Roman" w:cs="Times New Roman"/>
                <w:color w:val="000000"/>
                <w:sz w:val="16"/>
                <w:szCs w:val="16"/>
              </w:rPr>
              <w:t>R</w:t>
            </w:r>
            <w:r w:rsidRPr="00C40CEE">
              <w:rPr>
                <w:rFonts w:ascii="Times New Roman" w:hAnsi="Times New Roman" w:cs="Times New Roman"/>
                <w:color w:val="000000"/>
                <w:sz w:val="16"/>
                <w:szCs w:val="16"/>
              </w:rPr>
              <w:t>799</w:t>
            </w:r>
          </w:p>
        </w:tc>
        <w:tc>
          <w:tcPr>
            <w:tcW w:w="2520" w:type="dxa"/>
          </w:tcPr>
          <w:p w14:paraId="78B0BAAC" w14:textId="13023760" w:rsidR="0031310B" w:rsidRPr="00B73335" w:rsidRDefault="0031310B" w:rsidP="0031310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B73335">
              <w:rPr>
                <w:rFonts w:ascii="Times New Roman" w:hAnsi="Times New Roman" w:cs="Times New Roman"/>
                <w:bCs/>
                <w:color w:val="000000"/>
                <w:sz w:val="16"/>
                <w:szCs w:val="16"/>
              </w:rPr>
              <w:t>SUPPORT - MANAGEMENT: OTHER</w:t>
            </w:r>
          </w:p>
        </w:tc>
        <w:tc>
          <w:tcPr>
            <w:tcW w:w="1710" w:type="dxa"/>
          </w:tcPr>
          <w:p w14:paraId="4D563097" w14:textId="76F25CB7" w:rsidR="0031310B" w:rsidRPr="00C40CEE" w:rsidRDefault="0031310B" w:rsidP="0031310B">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rPr>
            </w:pPr>
            <w:r w:rsidRPr="00C40CEE">
              <w:rPr>
                <w:rFonts w:ascii="Arial" w:hAnsi="Arial" w:cs="Arial"/>
                <w:color w:val="000000"/>
                <w:sz w:val="16"/>
                <w:szCs w:val="16"/>
              </w:rPr>
              <w:t xml:space="preserve">$     14,096,340 </w:t>
            </w:r>
          </w:p>
          <w:p w14:paraId="2EF64355" w14:textId="4E15A2FE" w:rsidR="0031310B" w:rsidRPr="00B73335" w:rsidRDefault="0031310B" w:rsidP="0031310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1350" w:type="dxa"/>
          </w:tcPr>
          <w:p w14:paraId="2ECF78B0" w14:textId="77777777" w:rsidR="0031310B" w:rsidRPr="00C40CEE" w:rsidRDefault="0031310B" w:rsidP="0031310B">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6"/>
                <w:szCs w:val="16"/>
              </w:rPr>
            </w:pPr>
            <w:r w:rsidRPr="00C40CEE">
              <w:rPr>
                <w:rFonts w:ascii="Arial" w:hAnsi="Arial" w:cs="Arial"/>
                <w:b/>
                <w:bCs/>
                <w:color w:val="000000"/>
                <w:sz w:val="16"/>
                <w:szCs w:val="16"/>
              </w:rPr>
              <w:t>0.49%</w:t>
            </w:r>
          </w:p>
          <w:p w14:paraId="3881EE9E" w14:textId="409EB737" w:rsidR="0031310B" w:rsidRPr="00B73335" w:rsidRDefault="0031310B" w:rsidP="0031310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4590" w:type="dxa"/>
          </w:tcPr>
          <w:p w14:paraId="474D8563" w14:textId="73C3770A" w:rsidR="0031310B" w:rsidRDefault="0031310B" w:rsidP="0031310B">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085130">
              <w:rPr>
                <w:rFonts w:ascii="Times New Roman" w:eastAsia="Times New Roman" w:hAnsi="Times New Roman" w:cs="Times New Roman"/>
                <w:sz w:val="18"/>
                <w:szCs w:val="18"/>
              </w:rPr>
              <w:t>Identified as a targeted PSC under the ongoing effort to reduce contract spending for professional and other services.</w:t>
            </w:r>
            <w:r>
              <w:rPr>
                <w:rFonts w:ascii="Times New Roman" w:eastAsia="Times New Roman" w:hAnsi="Times New Roman" w:cs="Times New Roman"/>
                <w:sz w:val="18"/>
                <w:szCs w:val="18"/>
              </w:rPr>
              <w:t xml:space="preserve"> Recommended for review per OMB.</w:t>
            </w:r>
          </w:p>
        </w:tc>
      </w:tr>
      <w:tr w:rsidR="0031310B" w:rsidRPr="00B73335" w14:paraId="2A861146" w14:textId="12A5EFB2" w:rsidTr="00C40CEE">
        <w:trPr>
          <w:trHeight w:val="277"/>
        </w:trPr>
        <w:tc>
          <w:tcPr>
            <w:cnfStyle w:val="001000000000" w:firstRow="0" w:lastRow="0" w:firstColumn="1" w:lastColumn="0" w:oddVBand="0" w:evenVBand="0" w:oddHBand="0" w:evenHBand="0" w:firstRowFirstColumn="0" w:firstRowLastColumn="0" w:lastRowFirstColumn="0" w:lastRowLastColumn="0"/>
            <w:tcW w:w="625" w:type="dxa"/>
          </w:tcPr>
          <w:p w14:paraId="3FEE0108" w14:textId="7EA9F109" w:rsidR="0031310B" w:rsidRPr="00B73335" w:rsidRDefault="0031310B" w:rsidP="0031310B">
            <w:pPr>
              <w:rPr>
                <w:rFonts w:ascii="Times New Roman" w:hAnsi="Times New Roman" w:cs="Times New Roman"/>
                <w:sz w:val="16"/>
                <w:szCs w:val="16"/>
              </w:rPr>
            </w:pPr>
            <w:r w:rsidRPr="00C40CEE">
              <w:rPr>
                <w:rFonts w:ascii="Times New Roman" w:hAnsi="Times New Roman" w:cs="Times New Roman"/>
                <w:color w:val="000000"/>
                <w:sz w:val="16"/>
                <w:szCs w:val="16"/>
              </w:rPr>
              <w:t>AF11</w:t>
            </w:r>
          </w:p>
        </w:tc>
        <w:tc>
          <w:tcPr>
            <w:tcW w:w="2520" w:type="dxa"/>
          </w:tcPr>
          <w:p w14:paraId="28AA62B4" w14:textId="7C926B2C" w:rsidR="0031310B" w:rsidRPr="00B73335" w:rsidRDefault="0031310B" w:rsidP="0031310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40CEE">
              <w:rPr>
                <w:rFonts w:ascii="Times New Roman" w:eastAsia="Times New Roman" w:hAnsi="Times New Roman" w:cs="Times New Roman"/>
                <w:sz w:val="16"/>
                <w:szCs w:val="16"/>
              </w:rPr>
              <w:t>Education, Training, Employment, &amp; Social SVCS R&amp;D SVCS; Education SVCS R&amp;D; Basic Research</w:t>
            </w:r>
          </w:p>
        </w:tc>
        <w:tc>
          <w:tcPr>
            <w:tcW w:w="1710" w:type="dxa"/>
          </w:tcPr>
          <w:p w14:paraId="2E35DB41" w14:textId="1FE9B59C" w:rsidR="0031310B" w:rsidRPr="00C40CEE" w:rsidRDefault="0031310B" w:rsidP="0031310B">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r w:rsidRPr="00C40CEE">
              <w:rPr>
                <w:rFonts w:ascii="Arial" w:hAnsi="Arial" w:cs="Arial"/>
                <w:color w:val="000000"/>
                <w:sz w:val="16"/>
                <w:szCs w:val="16"/>
              </w:rPr>
              <w:t xml:space="preserve">$     64,859,122 </w:t>
            </w:r>
          </w:p>
          <w:p w14:paraId="2B996237" w14:textId="58C3B74F" w:rsidR="0031310B" w:rsidRPr="00B73335" w:rsidRDefault="0031310B" w:rsidP="0031310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1350" w:type="dxa"/>
          </w:tcPr>
          <w:p w14:paraId="730AE72C" w14:textId="77777777" w:rsidR="0031310B" w:rsidRPr="00C40CEE" w:rsidRDefault="0031310B" w:rsidP="0031310B">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rPr>
            </w:pPr>
            <w:r w:rsidRPr="00C40CEE">
              <w:rPr>
                <w:rFonts w:ascii="Arial" w:hAnsi="Arial" w:cs="Arial"/>
                <w:b/>
                <w:bCs/>
                <w:color w:val="000000"/>
                <w:sz w:val="16"/>
                <w:szCs w:val="16"/>
              </w:rPr>
              <w:t>2.24%</w:t>
            </w:r>
          </w:p>
          <w:p w14:paraId="3659B51E" w14:textId="23E785B6" w:rsidR="0031310B" w:rsidRPr="00B73335" w:rsidRDefault="0031310B" w:rsidP="0031310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4590" w:type="dxa"/>
          </w:tcPr>
          <w:p w14:paraId="02E92ECD" w14:textId="6517FEA4" w:rsidR="0031310B" w:rsidRDefault="0031310B" w:rsidP="0031310B">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Pr>
                <w:rFonts w:ascii="Times New Roman" w:eastAsia="Times New Roman" w:hAnsi="Times New Roman" w:cs="Times New Roman"/>
                <w:sz w:val="18"/>
                <w:szCs w:val="18"/>
              </w:rPr>
              <w:t xml:space="preserve">This </w:t>
            </w:r>
            <w:r w:rsidRPr="00085130">
              <w:rPr>
                <w:rFonts w:ascii="Times New Roman" w:eastAsia="Times New Roman" w:hAnsi="Times New Roman" w:cs="Times New Roman"/>
                <w:sz w:val="18"/>
                <w:szCs w:val="18"/>
              </w:rPr>
              <w:t xml:space="preserve">PSC </w:t>
            </w:r>
            <w:r>
              <w:rPr>
                <w:rFonts w:ascii="Times New Roman" w:eastAsia="Times New Roman" w:hAnsi="Times New Roman" w:cs="Times New Roman"/>
                <w:sz w:val="18"/>
                <w:szCs w:val="18"/>
              </w:rPr>
              <w:t xml:space="preserve">is </w:t>
            </w:r>
            <w:r w:rsidRPr="00085130">
              <w:rPr>
                <w:rFonts w:ascii="Times New Roman" w:eastAsia="Times New Roman" w:hAnsi="Times New Roman" w:cs="Times New Roman"/>
                <w:sz w:val="18"/>
                <w:szCs w:val="18"/>
              </w:rPr>
              <w:t>considered a mission critical function of the Department. Research and Special Studies are services that are identified as being commercial services and appropriately outsourced under prior FAIR Act Inventory reviews.</w:t>
            </w:r>
            <w:r w:rsidRPr="001E432E">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Selected PSC to evaluate per last year’s analysis plan</w:t>
            </w:r>
            <w:r w:rsidRPr="001E432E">
              <w:rPr>
                <w:rFonts w:ascii="Times New Roman" w:eastAsia="Times New Roman" w:hAnsi="Times New Roman" w:cs="Times New Roman"/>
                <w:sz w:val="18"/>
                <w:szCs w:val="18"/>
              </w:rPr>
              <w:t>.</w:t>
            </w:r>
          </w:p>
        </w:tc>
      </w:tr>
      <w:tr w:rsidR="0031310B" w:rsidRPr="00B73335" w14:paraId="27F06195" w14:textId="4B49C4BA" w:rsidTr="00C40CEE">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625" w:type="dxa"/>
          </w:tcPr>
          <w:p w14:paraId="6A5F5BD4" w14:textId="77777777" w:rsidR="0031310B" w:rsidRPr="00B73335" w:rsidRDefault="0031310B" w:rsidP="0031310B">
            <w:pPr>
              <w:rPr>
                <w:rFonts w:ascii="Times New Roman" w:hAnsi="Times New Roman" w:cs="Times New Roman"/>
                <w:sz w:val="16"/>
                <w:szCs w:val="16"/>
              </w:rPr>
            </w:pPr>
            <w:r w:rsidRPr="00B73335">
              <w:rPr>
                <w:rFonts w:ascii="Times New Roman" w:hAnsi="Times New Roman" w:cs="Times New Roman"/>
                <w:color w:val="000000"/>
                <w:sz w:val="16"/>
                <w:szCs w:val="16"/>
              </w:rPr>
              <w:t> </w:t>
            </w:r>
          </w:p>
        </w:tc>
        <w:tc>
          <w:tcPr>
            <w:tcW w:w="2520" w:type="dxa"/>
          </w:tcPr>
          <w:p w14:paraId="6752D484" w14:textId="77777777" w:rsidR="0031310B" w:rsidRPr="00B73335" w:rsidRDefault="0031310B" w:rsidP="0031310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B73335">
              <w:rPr>
                <w:rFonts w:ascii="Times New Roman" w:hAnsi="Times New Roman" w:cs="Times New Roman"/>
                <w:b/>
                <w:color w:val="000000"/>
                <w:sz w:val="16"/>
                <w:szCs w:val="16"/>
              </w:rPr>
              <w:t>TOTAL</w:t>
            </w:r>
          </w:p>
        </w:tc>
        <w:tc>
          <w:tcPr>
            <w:tcW w:w="1710" w:type="dxa"/>
          </w:tcPr>
          <w:p w14:paraId="6EF6EA7E" w14:textId="505F57C3" w:rsidR="0031310B" w:rsidRPr="00C40CEE" w:rsidRDefault="0031310B" w:rsidP="0031310B">
            <w:pP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6"/>
                <w:szCs w:val="16"/>
              </w:rPr>
            </w:pPr>
            <w:r w:rsidRPr="00C40CEE">
              <w:rPr>
                <w:rFonts w:ascii="Arial" w:hAnsi="Arial" w:cs="Arial"/>
                <w:b/>
                <w:bCs/>
                <w:color w:val="000000"/>
                <w:sz w:val="16"/>
                <w:szCs w:val="16"/>
              </w:rPr>
              <w:t xml:space="preserve">$ 2,419,043,061 </w:t>
            </w:r>
          </w:p>
          <w:p w14:paraId="6FAFB97F" w14:textId="22C1DEF1" w:rsidR="0031310B" w:rsidRPr="00B73335" w:rsidRDefault="0031310B" w:rsidP="0031310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p>
        </w:tc>
        <w:tc>
          <w:tcPr>
            <w:tcW w:w="1350" w:type="dxa"/>
          </w:tcPr>
          <w:p w14:paraId="436C2C68" w14:textId="77777777" w:rsidR="0031310B" w:rsidRPr="00B73335" w:rsidRDefault="0031310B" w:rsidP="0031310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B73335">
              <w:rPr>
                <w:rFonts w:ascii="Times New Roman" w:hAnsi="Times New Roman" w:cs="Times New Roman"/>
                <w:color w:val="000000"/>
                <w:sz w:val="16"/>
                <w:szCs w:val="16"/>
              </w:rPr>
              <w:t> </w:t>
            </w:r>
          </w:p>
        </w:tc>
        <w:tc>
          <w:tcPr>
            <w:tcW w:w="4590" w:type="dxa"/>
          </w:tcPr>
          <w:p w14:paraId="680CDF2C" w14:textId="77777777" w:rsidR="0031310B" w:rsidRPr="00B73335" w:rsidRDefault="0031310B" w:rsidP="0031310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p>
        </w:tc>
      </w:tr>
    </w:tbl>
    <w:p w14:paraId="4BDC55C3" w14:textId="322FE289" w:rsidR="00B73335" w:rsidRDefault="00B73335" w:rsidP="00B73335">
      <w:pPr>
        <w:spacing w:line="240" w:lineRule="auto"/>
        <w:rPr>
          <w:rFonts w:ascii="Times New Roman" w:hAnsi="Times New Roman" w:cs="Times New Roman"/>
          <w:sz w:val="23"/>
          <w:szCs w:val="23"/>
        </w:rPr>
      </w:pPr>
    </w:p>
    <w:p w14:paraId="600E9289" w14:textId="12D64FE2" w:rsidR="00B73335" w:rsidRPr="003B7313" w:rsidRDefault="00B73335" w:rsidP="00B34962">
      <w:pPr>
        <w:spacing w:line="240" w:lineRule="auto"/>
        <w:rPr>
          <w:rFonts w:ascii="Times New Roman" w:hAnsi="Times New Roman" w:cs="Times New Roman"/>
          <w:sz w:val="24"/>
          <w:szCs w:val="24"/>
        </w:rPr>
      </w:pPr>
      <w:r w:rsidRPr="003B7313">
        <w:rPr>
          <w:rFonts w:ascii="Times New Roman" w:hAnsi="Times New Roman" w:cs="Times New Roman"/>
          <w:sz w:val="24"/>
          <w:szCs w:val="24"/>
        </w:rPr>
        <w:t xml:space="preserve">During this review, </w:t>
      </w:r>
      <w:r w:rsidR="000C59E3" w:rsidRPr="003B7313">
        <w:rPr>
          <w:rFonts w:ascii="Times New Roman" w:hAnsi="Times New Roman" w:cs="Times New Roman"/>
          <w:sz w:val="24"/>
          <w:szCs w:val="24"/>
        </w:rPr>
        <w:t>ED</w:t>
      </w:r>
      <w:r w:rsidRPr="003B7313">
        <w:rPr>
          <w:rFonts w:ascii="Times New Roman" w:hAnsi="Times New Roman" w:cs="Times New Roman"/>
          <w:sz w:val="24"/>
          <w:szCs w:val="24"/>
        </w:rPr>
        <w:t xml:space="preserve"> evaluated the following areas in accordance with Public Law 111-117, Section 743(e)(2)</w:t>
      </w:r>
      <w:r w:rsidRPr="003B7313">
        <w:rPr>
          <w:rFonts w:ascii="Times New Roman" w:hAnsi="Times New Roman" w:cs="Times New Roman"/>
          <w:sz w:val="24"/>
          <w:szCs w:val="24"/>
          <w:vertAlign w:val="superscript"/>
        </w:rPr>
        <w:footnoteReference w:id="4"/>
      </w:r>
      <w:r w:rsidRPr="003B7313">
        <w:rPr>
          <w:rFonts w:ascii="Times New Roman" w:hAnsi="Times New Roman" w:cs="Times New Roman"/>
          <w:sz w:val="24"/>
          <w:szCs w:val="24"/>
        </w:rPr>
        <w:t xml:space="preserve"> and </w:t>
      </w:r>
      <w:r w:rsidR="000C59E3" w:rsidRPr="003B7313">
        <w:rPr>
          <w:rFonts w:ascii="Times New Roman" w:hAnsi="Times New Roman" w:cs="Times New Roman"/>
          <w:sz w:val="24"/>
          <w:szCs w:val="24"/>
        </w:rPr>
        <w:t>ED</w:t>
      </w:r>
      <w:r w:rsidRPr="003B7313">
        <w:rPr>
          <w:rFonts w:ascii="Times New Roman" w:hAnsi="Times New Roman" w:cs="Times New Roman"/>
          <w:sz w:val="24"/>
          <w:szCs w:val="24"/>
        </w:rPr>
        <w:t xml:space="preserve"> objectives:</w:t>
      </w:r>
      <w:r w:rsidR="00B34962">
        <w:rPr>
          <w:rFonts w:ascii="Times New Roman" w:hAnsi="Times New Roman" w:cs="Times New Roman"/>
          <w:sz w:val="24"/>
          <w:szCs w:val="24"/>
        </w:rPr>
        <w:t xml:space="preserve"> </w:t>
      </w:r>
      <w:r w:rsidRPr="003B7313">
        <w:rPr>
          <w:rFonts w:ascii="Times New Roman" w:hAnsi="Times New Roman" w:cs="Times New Roman"/>
          <w:sz w:val="24"/>
          <w:szCs w:val="24"/>
        </w:rPr>
        <w:t>Assessment on whether contractors are performing personal services</w:t>
      </w:r>
      <w:r w:rsidRPr="003B7313">
        <w:rPr>
          <w:rFonts w:ascii="Times New Roman" w:hAnsi="Times New Roman" w:cs="Times New Roman"/>
          <w:sz w:val="24"/>
          <w:szCs w:val="24"/>
          <w:vertAlign w:val="superscript"/>
        </w:rPr>
        <w:footnoteReference w:id="5"/>
      </w:r>
      <w:r w:rsidRPr="003B7313">
        <w:rPr>
          <w:rFonts w:ascii="Times New Roman" w:hAnsi="Times New Roman" w:cs="Times New Roman"/>
          <w:sz w:val="24"/>
          <w:szCs w:val="24"/>
        </w:rPr>
        <w:t>, inherently governmental</w:t>
      </w:r>
      <w:r w:rsidRPr="003B7313">
        <w:rPr>
          <w:rFonts w:ascii="Times New Roman" w:hAnsi="Times New Roman" w:cs="Times New Roman"/>
          <w:sz w:val="24"/>
          <w:szCs w:val="24"/>
          <w:vertAlign w:val="superscript"/>
        </w:rPr>
        <w:footnoteReference w:id="6"/>
      </w:r>
      <w:r w:rsidRPr="003B7313">
        <w:rPr>
          <w:rFonts w:ascii="Times New Roman" w:hAnsi="Times New Roman" w:cs="Times New Roman"/>
          <w:sz w:val="24"/>
          <w:szCs w:val="24"/>
        </w:rPr>
        <w:t>, closely associated to inherently governmental</w:t>
      </w:r>
      <w:r w:rsidRPr="003B7313">
        <w:rPr>
          <w:rFonts w:ascii="Times New Roman" w:hAnsi="Times New Roman" w:cs="Times New Roman"/>
          <w:sz w:val="24"/>
          <w:szCs w:val="24"/>
          <w:vertAlign w:val="superscript"/>
        </w:rPr>
        <w:footnoteReference w:id="7"/>
      </w:r>
      <w:r w:rsidRPr="003B7313">
        <w:rPr>
          <w:rFonts w:ascii="Times New Roman" w:hAnsi="Times New Roman" w:cs="Times New Roman"/>
          <w:sz w:val="24"/>
          <w:szCs w:val="24"/>
        </w:rPr>
        <w:t xml:space="preserve"> or critical</w:t>
      </w:r>
      <w:r w:rsidRPr="003B7313">
        <w:rPr>
          <w:rFonts w:ascii="Times New Roman" w:hAnsi="Times New Roman" w:cs="Times New Roman"/>
          <w:sz w:val="24"/>
          <w:szCs w:val="24"/>
          <w:vertAlign w:val="superscript"/>
        </w:rPr>
        <w:footnoteReference w:id="8"/>
      </w:r>
      <w:r w:rsidRPr="003B7313">
        <w:rPr>
          <w:rFonts w:ascii="Times New Roman" w:hAnsi="Times New Roman" w:cs="Times New Roman"/>
          <w:sz w:val="24"/>
          <w:szCs w:val="24"/>
        </w:rPr>
        <w:t xml:space="preserve"> </w:t>
      </w:r>
      <w:proofErr w:type="gramStart"/>
      <w:r w:rsidRPr="003B7313">
        <w:rPr>
          <w:rFonts w:ascii="Times New Roman" w:hAnsi="Times New Roman" w:cs="Times New Roman"/>
          <w:sz w:val="24"/>
          <w:szCs w:val="24"/>
        </w:rPr>
        <w:t>functions;</w:t>
      </w:r>
      <w:proofErr w:type="gramEnd"/>
    </w:p>
    <w:p w14:paraId="732C12E9" w14:textId="77777777" w:rsidR="0046278B" w:rsidRDefault="0046278B" w:rsidP="0046278B">
      <w:pPr>
        <w:spacing w:line="240" w:lineRule="auto"/>
        <w:contextualSpacing/>
        <w:rPr>
          <w:rFonts w:ascii="Times New Roman" w:hAnsi="Times New Roman" w:cs="Times New Roman"/>
          <w:sz w:val="24"/>
          <w:szCs w:val="24"/>
        </w:rPr>
      </w:pPr>
    </w:p>
    <w:p w14:paraId="2A186910" w14:textId="76E2BAFA" w:rsidR="00B73335" w:rsidRPr="003B7313" w:rsidRDefault="00B73335" w:rsidP="00B73335">
      <w:pPr>
        <w:numPr>
          <w:ilvl w:val="0"/>
          <w:numId w:val="6"/>
        </w:numPr>
        <w:spacing w:line="240" w:lineRule="auto"/>
        <w:contextualSpacing/>
        <w:rPr>
          <w:rFonts w:ascii="Times New Roman" w:hAnsi="Times New Roman" w:cs="Times New Roman"/>
          <w:sz w:val="24"/>
          <w:szCs w:val="24"/>
        </w:rPr>
      </w:pPr>
      <w:r w:rsidRPr="003B7313">
        <w:rPr>
          <w:rFonts w:ascii="Times New Roman" w:hAnsi="Times New Roman" w:cs="Times New Roman"/>
          <w:sz w:val="24"/>
          <w:szCs w:val="24"/>
        </w:rPr>
        <w:t xml:space="preserve">Assessment of the effective balancing of contracted and government resources for these efforts; </w:t>
      </w:r>
      <w:r w:rsidR="001C364A" w:rsidRPr="003B7313">
        <w:rPr>
          <w:rFonts w:ascii="Times New Roman" w:hAnsi="Times New Roman" w:cs="Times New Roman"/>
          <w:sz w:val="24"/>
          <w:szCs w:val="24"/>
        </w:rPr>
        <w:t>and</w:t>
      </w:r>
    </w:p>
    <w:p w14:paraId="1A7D2614" w14:textId="77777777" w:rsidR="00B73335" w:rsidRPr="003B7313" w:rsidRDefault="00B73335" w:rsidP="00B73335">
      <w:pPr>
        <w:numPr>
          <w:ilvl w:val="0"/>
          <w:numId w:val="6"/>
        </w:numPr>
        <w:spacing w:line="240" w:lineRule="auto"/>
        <w:contextualSpacing/>
        <w:rPr>
          <w:rFonts w:ascii="Times New Roman" w:hAnsi="Times New Roman" w:cs="Times New Roman"/>
          <w:sz w:val="24"/>
          <w:szCs w:val="24"/>
        </w:rPr>
      </w:pPr>
      <w:r w:rsidRPr="003B7313">
        <w:rPr>
          <w:rFonts w:ascii="Times New Roman" w:hAnsi="Times New Roman" w:cs="Times New Roman"/>
          <w:sz w:val="24"/>
          <w:szCs w:val="24"/>
        </w:rPr>
        <w:t>Overall assessment of the sufficiency of internal agency resources to oversee and effectively manage service contracts.</w:t>
      </w:r>
    </w:p>
    <w:p w14:paraId="4E2A8EC1" w14:textId="77777777" w:rsidR="00B73335" w:rsidRPr="00B73335" w:rsidRDefault="00B73335" w:rsidP="00B73335">
      <w:pPr>
        <w:spacing w:line="240" w:lineRule="auto"/>
        <w:ind w:left="720"/>
        <w:contextualSpacing/>
        <w:rPr>
          <w:rFonts w:ascii="Times New Roman" w:hAnsi="Times New Roman" w:cs="Times New Roman"/>
          <w:sz w:val="23"/>
          <w:szCs w:val="23"/>
        </w:rPr>
      </w:pPr>
    </w:p>
    <w:p w14:paraId="2E2C5C6E" w14:textId="77777777" w:rsidR="0046278B" w:rsidRDefault="0046278B" w:rsidP="00B73335">
      <w:pPr>
        <w:keepNext/>
        <w:spacing w:before="200" w:line="240" w:lineRule="auto"/>
        <w:ind w:left="720" w:hanging="720"/>
        <w:outlineLvl w:val="0"/>
        <w:rPr>
          <w:rFonts w:ascii="Times New Roman" w:eastAsia="Times New Roman" w:hAnsi="Times New Roman" w:cs="Times New Roman"/>
          <w:b/>
          <w:bCs/>
          <w:caps/>
          <w:kern w:val="32"/>
          <w:sz w:val="24"/>
          <w:szCs w:val="24"/>
        </w:rPr>
      </w:pPr>
      <w:bookmarkStart w:id="1" w:name="_Toc3887236"/>
    </w:p>
    <w:p w14:paraId="51B35283" w14:textId="358E4651" w:rsidR="00B73335" w:rsidRPr="003B7313" w:rsidRDefault="00B73335" w:rsidP="00B73335">
      <w:pPr>
        <w:keepNext/>
        <w:spacing w:before="200" w:line="240" w:lineRule="auto"/>
        <w:ind w:left="720" w:hanging="720"/>
        <w:outlineLvl w:val="0"/>
        <w:rPr>
          <w:rFonts w:ascii="Times New Roman" w:eastAsia="Times New Roman" w:hAnsi="Times New Roman" w:cs="Times New Roman"/>
          <w:b/>
          <w:bCs/>
          <w:caps/>
          <w:kern w:val="32"/>
          <w:sz w:val="24"/>
          <w:szCs w:val="24"/>
        </w:rPr>
      </w:pPr>
      <w:r w:rsidRPr="003B7313">
        <w:rPr>
          <w:rFonts w:ascii="Times New Roman" w:eastAsia="Times New Roman" w:hAnsi="Times New Roman" w:cs="Times New Roman"/>
          <w:b/>
          <w:bCs/>
          <w:caps/>
          <w:kern w:val="32"/>
          <w:sz w:val="24"/>
          <w:szCs w:val="24"/>
        </w:rPr>
        <w:t>3.0 – Methodology</w:t>
      </w:r>
      <w:bookmarkEnd w:id="1"/>
    </w:p>
    <w:p w14:paraId="6771419B" w14:textId="2C6A7CD9" w:rsidR="00B73335" w:rsidRPr="003B7313" w:rsidRDefault="00B73335" w:rsidP="00B73335">
      <w:pPr>
        <w:spacing w:after="120" w:line="240" w:lineRule="auto"/>
        <w:rPr>
          <w:rFonts w:ascii="Times New Roman" w:hAnsi="Times New Roman" w:cs="Times New Roman"/>
          <w:sz w:val="24"/>
          <w:szCs w:val="24"/>
        </w:rPr>
      </w:pPr>
      <w:r w:rsidRPr="003B7313">
        <w:rPr>
          <w:rFonts w:ascii="Times New Roman" w:hAnsi="Times New Roman" w:cs="Times New Roman"/>
          <w:sz w:val="24"/>
          <w:szCs w:val="24"/>
        </w:rPr>
        <w:t xml:space="preserve">The </w:t>
      </w:r>
      <w:bookmarkStart w:id="2" w:name="_Hlk1424709"/>
      <w:r w:rsidR="000E111C" w:rsidRPr="003B7313">
        <w:rPr>
          <w:rFonts w:ascii="Times New Roman" w:hAnsi="Times New Roman" w:cs="Times New Roman"/>
          <w:sz w:val="24"/>
          <w:szCs w:val="24"/>
        </w:rPr>
        <w:t>SAMI</w:t>
      </w:r>
      <w:r w:rsidRPr="003B7313">
        <w:rPr>
          <w:rFonts w:ascii="Times New Roman" w:hAnsi="Times New Roman" w:cs="Times New Roman"/>
          <w:sz w:val="24"/>
          <w:szCs w:val="24"/>
        </w:rPr>
        <w:t xml:space="preserve"> developed a FY 201</w:t>
      </w:r>
      <w:r w:rsidR="000E111C" w:rsidRPr="003B7313">
        <w:rPr>
          <w:rFonts w:ascii="Times New Roman" w:hAnsi="Times New Roman" w:cs="Times New Roman"/>
          <w:sz w:val="24"/>
          <w:szCs w:val="24"/>
        </w:rPr>
        <w:t>9</w:t>
      </w:r>
      <w:r w:rsidRPr="003B7313">
        <w:rPr>
          <w:rFonts w:ascii="Times New Roman" w:hAnsi="Times New Roman" w:cs="Times New Roman"/>
          <w:sz w:val="24"/>
          <w:szCs w:val="24"/>
        </w:rPr>
        <w:t xml:space="preserve"> SCI analysis spreadsheet </w:t>
      </w:r>
      <w:bookmarkEnd w:id="2"/>
      <w:r w:rsidRPr="003B7313">
        <w:rPr>
          <w:rFonts w:ascii="Times New Roman" w:hAnsi="Times New Roman" w:cs="Times New Roman"/>
          <w:sz w:val="24"/>
          <w:szCs w:val="24"/>
        </w:rPr>
        <w:t xml:space="preserve">pre-populated with basic contract award information available in FPDS-NG for selected PSCs with </w:t>
      </w:r>
      <w:r w:rsidR="008A6DEE" w:rsidRPr="003B7313">
        <w:rPr>
          <w:rFonts w:ascii="Times New Roman" w:hAnsi="Times New Roman" w:cs="Times New Roman"/>
          <w:sz w:val="24"/>
          <w:szCs w:val="24"/>
        </w:rPr>
        <w:t xml:space="preserve">all </w:t>
      </w:r>
      <w:r w:rsidRPr="003B7313">
        <w:rPr>
          <w:rFonts w:ascii="Times New Roman" w:hAnsi="Times New Roman" w:cs="Times New Roman"/>
          <w:sz w:val="24"/>
          <w:szCs w:val="24"/>
        </w:rPr>
        <w:t>obligation</w:t>
      </w:r>
      <w:r w:rsidR="001F6C9C" w:rsidRPr="003B7313">
        <w:rPr>
          <w:rFonts w:ascii="Times New Roman" w:hAnsi="Times New Roman" w:cs="Times New Roman"/>
          <w:sz w:val="24"/>
          <w:szCs w:val="24"/>
        </w:rPr>
        <w:t xml:space="preserve"> for the fiscal year </w:t>
      </w:r>
      <w:r w:rsidRPr="003B7313">
        <w:rPr>
          <w:rFonts w:ascii="Times New Roman" w:hAnsi="Times New Roman" w:cs="Times New Roman"/>
          <w:sz w:val="24"/>
          <w:szCs w:val="24"/>
        </w:rPr>
        <w:t xml:space="preserve">(see Attachment No. 2 – </w:t>
      </w:r>
      <w:r w:rsidR="001D573F" w:rsidRPr="003B7313">
        <w:rPr>
          <w:rFonts w:ascii="Times New Roman" w:hAnsi="Times New Roman" w:cs="Times New Roman"/>
          <w:sz w:val="24"/>
          <w:szCs w:val="24"/>
        </w:rPr>
        <w:t>ED</w:t>
      </w:r>
      <w:r w:rsidRPr="003B7313">
        <w:rPr>
          <w:rFonts w:ascii="Times New Roman" w:hAnsi="Times New Roman" w:cs="Times New Roman"/>
          <w:sz w:val="24"/>
          <w:szCs w:val="24"/>
        </w:rPr>
        <w:t xml:space="preserve"> SCI Analysis Spreadsheet Template).  The spreadsheet was organized by </w:t>
      </w:r>
      <w:r w:rsidR="001D573F" w:rsidRPr="003B7313">
        <w:rPr>
          <w:rFonts w:ascii="Times New Roman" w:hAnsi="Times New Roman" w:cs="Times New Roman"/>
          <w:sz w:val="24"/>
          <w:szCs w:val="24"/>
        </w:rPr>
        <w:t>ED</w:t>
      </w:r>
      <w:r w:rsidRPr="003B7313">
        <w:rPr>
          <w:rFonts w:ascii="Times New Roman" w:hAnsi="Times New Roman" w:cs="Times New Roman"/>
          <w:sz w:val="24"/>
          <w:szCs w:val="24"/>
        </w:rPr>
        <w:t xml:space="preserve"> Operating Administration (OA) and listed all FY 201</w:t>
      </w:r>
      <w:r w:rsidR="00C12609" w:rsidRPr="003B7313">
        <w:rPr>
          <w:rFonts w:ascii="Times New Roman" w:hAnsi="Times New Roman" w:cs="Times New Roman"/>
          <w:sz w:val="24"/>
          <w:szCs w:val="24"/>
        </w:rPr>
        <w:t>9</w:t>
      </w:r>
      <w:r w:rsidRPr="003B7313">
        <w:rPr>
          <w:rFonts w:ascii="Times New Roman" w:hAnsi="Times New Roman" w:cs="Times New Roman"/>
          <w:sz w:val="24"/>
          <w:szCs w:val="24"/>
        </w:rPr>
        <w:t xml:space="preserve"> award obligations within the scope of this analysis</w:t>
      </w:r>
      <w:r w:rsidR="004D6B9D" w:rsidRPr="003B7313">
        <w:rPr>
          <w:rFonts w:ascii="Times New Roman" w:hAnsi="Times New Roman" w:cs="Times New Roman"/>
          <w:sz w:val="24"/>
          <w:szCs w:val="24"/>
        </w:rPr>
        <w:t xml:space="preserve">, </w:t>
      </w:r>
      <w:r w:rsidR="004D5B82" w:rsidRPr="003B7313">
        <w:rPr>
          <w:rFonts w:ascii="Times New Roman" w:hAnsi="Times New Roman" w:cs="Times New Roman"/>
          <w:sz w:val="24"/>
          <w:szCs w:val="24"/>
        </w:rPr>
        <w:t>i</w:t>
      </w:r>
      <w:r w:rsidR="00355F71" w:rsidRPr="003B7313">
        <w:rPr>
          <w:rFonts w:ascii="Times New Roman" w:hAnsi="Times New Roman" w:cs="Times New Roman"/>
          <w:sz w:val="24"/>
          <w:szCs w:val="24"/>
        </w:rPr>
        <w:t xml:space="preserve">.e. above the </w:t>
      </w:r>
      <w:r w:rsidR="00FE22CC" w:rsidRPr="003B7313">
        <w:rPr>
          <w:rFonts w:ascii="Times New Roman" w:hAnsi="Times New Roman" w:cs="Times New Roman"/>
          <w:sz w:val="24"/>
          <w:szCs w:val="24"/>
        </w:rPr>
        <w:t>$</w:t>
      </w:r>
      <w:r w:rsidR="00606806" w:rsidRPr="003B7313">
        <w:rPr>
          <w:rFonts w:ascii="Times New Roman" w:hAnsi="Times New Roman" w:cs="Times New Roman"/>
          <w:sz w:val="24"/>
          <w:szCs w:val="24"/>
        </w:rPr>
        <w:t xml:space="preserve">150k </w:t>
      </w:r>
      <w:r w:rsidR="00355F71" w:rsidRPr="003B7313">
        <w:rPr>
          <w:rFonts w:ascii="Times New Roman" w:hAnsi="Times New Roman" w:cs="Times New Roman"/>
          <w:i/>
          <w:iCs/>
          <w:sz w:val="24"/>
          <w:szCs w:val="24"/>
        </w:rPr>
        <w:t>Simplified Acquisition Thre</w:t>
      </w:r>
      <w:r w:rsidR="0038620F" w:rsidRPr="003B7313">
        <w:rPr>
          <w:rFonts w:ascii="Times New Roman" w:hAnsi="Times New Roman" w:cs="Times New Roman"/>
          <w:i/>
          <w:iCs/>
          <w:sz w:val="24"/>
          <w:szCs w:val="24"/>
        </w:rPr>
        <w:t>shold</w:t>
      </w:r>
      <w:r w:rsidR="0038620F" w:rsidRPr="003B7313">
        <w:rPr>
          <w:rFonts w:ascii="Times New Roman" w:hAnsi="Times New Roman" w:cs="Times New Roman"/>
          <w:sz w:val="24"/>
          <w:szCs w:val="24"/>
        </w:rPr>
        <w:t xml:space="preserve"> </w:t>
      </w:r>
      <w:r w:rsidR="00606806" w:rsidRPr="003B7313">
        <w:rPr>
          <w:rFonts w:ascii="Times New Roman" w:hAnsi="Times New Roman" w:cs="Times New Roman"/>
          <w:sz w:val="24"/>
          <w:szCs w:val="24"/>
        </w:rPr>
        <w:t>(SAT).</w:t>
      </w:r>
      <w:r w:rsidRPr="003B7313">
        <w:rPr>
          <w:rFonts w:ascii="Times New Roman" w:hAnsi="Times New Roman" w:cs="Times New Roman"/>
          <w:sz w:val="24"/>
          <w:szCs w:val="24"/>
        </w:rPr>
        <w:t> For the purposes of this review, each OA was instructed to:</w:t>
      </w:r>
    </w:p>
    <w:p w14:paraId="7EEEC53A" w14:textId="0D3BCC68" w:rsidR="00B73335" w:rsidRPr="003B7313" w:rsidRDefault="00B73335" w:rsidP="00B73335">
      <w:pPr>
        <w:numPr>
          <w:ilvl w:val="0"/>
          <w:numId w:val="7"/>
        </w:numPr>
        <w:spacing w:after="120" w:line="240" w:lineRule="auto"/>
        <w:contextualSpacing/>
        <w:rPr>
          <w:rFonts w:ascii="Times New Roman" w:hAnsi="Times New Roman" w:cs="Times New Roman"/>
          <w:sz w:val="24"/>
          <w:szCs w:val="24"/>
        </w:rPr>
      </w:pPr>
      <w:r w:rsidRPr="003B7313">
        <w:rPr>
          <w:rFonts w:ascii="Times New Roman" w:hAnsi="Times New Roman" w:cs="Times New Roman"/>
          <w:sz w:val="24"/>
          <w:szCs w:val="24"/>
        </w:rPr>
        <w:t xml:space="preserve">Select and review a minimum of </w:t>
      </w:r>
      <w:r w:rsidR="00130B7A" w:rsidRPr="003B7313">
        <w:rPr>
          <w:rFonts w:ascii="Times New Roman" w:hAnsi="Times New Roman" w:cs="Times New Roman"/>
          <w:bCs/>
          <w:sz w:val="24"/>
          <w:szCs w:val="24"/>
        </w:rPr>
        <w:t>25</w:t>
      </w:r>
      <w:r w:rsidRPr="003B7313">
        <w:rPr>
          <w:rFonts w:ascii="Times New Roman" w:hAnsi="Times New Roman" w:cs="Times New Roman"/>
          <w:bCs/>
          <w:sz w:val="24"/>
          <w:szCs w:val="24"/>
        </w:rPr>
        <w:t>%</w:t>
      </w:r>
      <w:r w:rsidRPr="003B7313">
        <w:rPr>
          <w:rFonts w:ascii="Times New Roman" w:hAnsi="Times New Roman" w:cs="Times New Roman"/>
          <w:sz w:val="24"/>
          <w:szCs w:val="24"/>
        </w:rPr>
        <w:t xml:space="preserve"> of the total obligations </w:t>
      </w:r>
      <w:r w:rsidR="003E1FF5" w:rsidRPr="003B7313">
        <w:rPr>
          <w:rFonts w:ascii="Times New Roman" w:hAnsi="Times New Roman" w:cs="Times New Roman"/>
          <w:sz w:val="24"/>
          <w:szCs w:val="24"/>
        </w:rPr>
        <w:t xml:space="preserve">and/or </w:t>
      </w:r>
      <w:r w:rsidR="00B212B5" w:rsidRPr="003B7313">
        <w:rPr>
          <w:rFonts w:ascii="Times New Roman" w:hAnsi="Times New Roman" w:cs="Times New Roman"/>
          <w:sz w:val="24"/>
          <w:szCs w:val="24"/>
        </w:rPr>
        <w:t xml:space="preserve">three (3) contracts </w:t>
      </w:r>
      <w:r w:rsidR="00B2019B" w:rsidRPr="003B7313">
        <w:rPr>
          <w:rFonts w:ascii="Times New Roman" w:hAnsi="Times New Roman" w:cs="Times New Roman"/>
          <w:sz w:val="24"/>
          <w:szCs w:val="24"/>
        </w:rPr>
        <w:t>whichever</w:t>
      </w:r>
      <w:r w:rsidR="005D11B4" w:rsidRPr="003B7313">
        <w:rPr>
          <w:rFonts w:ascii="Times New Roman" w:hAnsi="Times New Roman" w:cs="Times New Roman"/>
          <w:sz w:val="24"/>
          <w:szCs w:val="24"/>
        </w:rPr>
        <w:t xml:space="preserve"> is greater within the cited product service</w:t>
      </w:r>
      <w:r w:rsidR="00C66106" w:rsidRPr="003B7313">
        <w:rPr>
          <w:rFonts w:ascii="Times New Roman" w:hAnsi="Times New Roman" w:cs="Times New Roman"/>
          <w:sz w:val="24"/>
          <w:szCs w:val="24"/>
        </w:rPr>
        <w:t xml:space="preserve"> </w:t>
      </w:r>
      <w:r w:rsidR="005C67D4" w:rsidRPr="003B7313">
        <w:rPr>
          <w:rFonts w:ascii="Times New Roman" w:hAnsi="Times New Roman" w:cs="Times New Roman"/>
          <w:sz w:val="24"/>
          <w:szCs w:val="24"/>
        </w:rPr>
        <w:t>codes</w:t>
      </w:r>
      <w:r w:rsidR="0055278D" w:rsidRPr="003B7313">
        <w:rPr>
          <w:rFonts w:ascii="Times New Roman" w:hAnsi="Times New Roman" w:cs="Times New Roman"/>
          <w:sz w:val="24"/>
          <w:szCs w:val="24"/>
        </w:rPr>
        <w:t>,</w:t>
      </w:r>
    </w:p>
    <w:p w14:paraId="29112DD2" w14:textId="6CDACCF7" w:rsidR="00B73335" w:rsidRPr="003B7313" w:rsidRDefault="00B73335" w:rsidP="00B73335">
      <w:pPr>
        <w:numPr>
          <w:ilvl w:val="0"/>
          <w:numId w:val="7"/>
        </w:numPr>
        <w:spacing w:after="120" w:line="240" w:lineRule="auto"/>
        <w:contextualSpacing/>
        <w:rPr>
          <w:rFonts w:ascii="Times New Roman" w:hAnsi="Times New Roman" w:cs="Times New Roman"/>
          <w:sz w:val="24"/>
          <w:szCs w:val="24"/>
        </w:rPr>
      </w:pPr>
      <w:r w:rsidRPr="003B7313">
        <w:rPr>
          <w:rFonts w:ascii="Times New Roman" w:hAnsi="Times New Roman" w:cs="Times New Roman"/>
          <w:sz w:val="24"/>
          <w:szCs w:val="24"/>
        </w:rPr>
        <w:t xml:space="preserve">Ensure a comprehensive review by selecting and reviewing </w:t>
      </w:r>
      <w:r w:rsidR="005C67D4" w:rsidRPr="003B7313">
        <w:rPr>
          <w:rFonts w:ascii="Times New Roman" w:hAnsi="Times New Roman" w:cs="Times New Roman"/>
          <w:sz w:val="24"/>
          <w:szCs w:val="24"/>
        </w:rPr>
        <w:t>multiple</w:t>
      </w:r>
      <w:r w:rsidRPr="003B7313">
        <w:rPr>
          <w:rFonts w:ascii="Times New Roman" w:hAnsi="Times New Roman" w:cs="Times New Roman"/>
          <w:sz w:val="24"/>
          <w:szCs w:val="24"/>
        </w:rPr>
        <w:t xml:space="preserve"> contract types (i.e., Firm-Fixed-Price (FFP), Time and Material (T&amp;M), Cost Reimbursable (CR), etc.)</w:t>
      </w:r>
      <w:r w:rsidR="0055278D" w:rsidRPr="003B7313">
        <w:rPr>
          <w:rFonts w:ascii="Times New Roman" w:hAnsi="Times New Roman" w:cs="Times New Roman"/>
          <w:sz w:val="24"/>
          <w:szCs w:val="24"/>
        </w:rPr>
        <w:t>,</w:t>
      </w:r>
    </w:p>
    <w:p w14:paraId="13178C8F" w14:textId="787C7585" w:rsidR="00B73335" w:rsidRPr="003B7313" w:rsidRDefault="00B73335" w:rsidP="00B73335">
      <w:pPr>
        <w:numPr>
          <w:ilvl w:val="0"/>
          <w:numId w:val="7"/>
        </w:numPr>
        <w:spacing w:after="120" w:line="240" w:lineRule="auto"/>
        <w:contextualSpacing/>
        <w:rPr>
          <w:rFonts w:ascii="Times New Roman" w:hAnsi="Times New Roman" w:cs="Times New Roman"/>
          <w:sz w:val="24"/>
          <w:szCs w:val="24"/>
        </w:rPr>
      </w:pPr>
      <w:bookmarkStart w:id="3" w:name="_Hlk1433886"/>
      <w:r w:rsidRPr="003B7313">
        <w:rPr>
          <w:rFonts w:ascii="Times New Roman" w:hAnsi="Times New Roman" w:cs="Times New Roman"/>
          <w:sz w:val="24"/>
          <w:szCs w:val="24"/>
        </w:rPr>
        <w:t xml:space="preserve">Select and review </w:t>
      </w:r>
      <w:r w:rsidRPr="003B7313">
        <w:rPr>
          <w:rFonts w:ascii="Times New Roman" w:hAnsi="Times New Roman" w:cs="Times New Roman"/>
          <w:bCs/>
          <w:sz w:val="24"/>
          <w:szCs w:val="24"/>
        </w:rPr>
        <w:t>all</w:t>
      </w:r>
      <w:r w:rsidRPr="003B7313">
        <w:rPr>
          <w:rFonts w:ascii="Times New Roman" w:hAnsi="Times New Roman" w:cs="Times New Roman"/>
          <w:sz w:val="24"/>
          <w:szCs w:val="24"/>
        </w:rPr>
        <w:t xml:space="preserve"> PSC R497 – Personal Services Contracts listed on the FY 201</w:t>
      </w:r>
      <w:r w:rsidR="00D54B40" w:rsidRPr="003B7313">
        <w:rPr>
          <w:rFonts w:ascii="Times New Roman" w:hAnsi="Times New Roman" w:cs="Times New Roman"/>
          <w:sz w:val="24"/>
          <w:szCs w:val="24"/>
        </w:rPr>
        <w:t>9</w:t>
      </w:r>
      <w:r w:rsidRPr="003B7313">
        <w:rPr>
          <w:rFonts w:ascii="Times New Roman" w:hAnsi="Times New Roman" w:cs="Times New Roman"/>
          <w:sz w:val="24"/>
          <w:szCs w:val="24"/>
        </w:rPr>
        <w:t xml:space="preserve"> master </w:t>
      </w:r>
      <w:r w:rsidR="00D54B40" w:rsidRPr="003B7313">
        <w:rPr>
          <w:rFonts w:ascii="Times New Roman" w:hAnsi="Times New Roman" w:cs="Times New Roman"/>
          <w:sz w:val="24"/>
          <w:szCs w:val="24"/>
        </w:rPr>
        <w:t>s</w:t>
      </w:r>
      <w:bookmarkEnd w:id="3"/>
      <w:r w:rsidR="00D54B40" w:rsidRPr="003B7313">
        <w:rPr>
          <w:rFonts w:ascii="Times New Roman" w:hAnsi="Times New Roman" w:cs="Times New Roman"/>
          <w:sz w:val="24"/>
          <w:szCs w:val="24"/>
        </w:rPr>
        <w:t>preadsheet</w:t>
      </w:r>
      <w:r w:rsidR="0055278D" w:rsidRPr="003B7313">
        <w:rPr>
          <w:rFonts w:ascii="Times New Roman" w:hAnsi="Times New Roman" w:cs="Times New Roman"/>
          <w:sz w:val="24"/>
          <w:szCs w:val="24"/>
        </w:rPr>
        <w:t>,</w:t>
      </w:r>
    </w:p>
    <w:p w14:paraId="0978176E" w14:textId="77777777" w:rsidR="00B73335" w:rsidRPr="003B7313" w:rsidRDefault="00B73335" w:rsidP="00B73335">
      <w:pPr>
        <w:numPr>
          <w:ilvl w:val="0"/>
          <w:numId w:val="7"/>
        </w:numPr>
        <w:spacing w:after="120" w:line="240" w:lineRule="auto"/>
        <w:contextualSpacing/>
        <w:rPr>
          <w:rFonts w:ascii="Times New Roman" w:hAnsi="Times New Roman" w:cs="Times New Roman"/>
          <w:sz w:val="24"/>
          <w:szCs w:val="24"/>
        </w:rPr>
      </w:pPr>
      <w:r w:rsidRPr="003B7313">
        <w:rPr>
          <w:rFonts w:ascii="Times New Roman" w:hAnsi="Times New Roman" w:cs="Times New Roman"/>
          <w:sz w:val="24"/>
          <w:szCs w:val="24"/>
        </w:rPr>
        <w:t>Provide answers to highlighted columns to contribute to the analysis; and</w:t>
      </w:r>
    </w:p>
    <w:p w14:paraId="5F278364" w14:textId="77777777" w:rsidR="00B73335" w:rsidRPr="003B7313" w:rsidRDefault="00B73335" w:rsidP="00B73335">
      <w:pPr>
        <w:numPr>
          <w:ilvl w:val="0"/>
          <w:numId w:val="7"/>
        </w:numPr>
        <w:spacing w:after="120" w:line="240" w:lineRule="auto"/>
        <w:contextualSpacing/>
        <w:rPr>
          <w:rFonts w:ascii="Times New Roman" w:hAnsi="Times New Roman" w:cs="Times New Roman"/>
          <w:sz w:val="24"/>
          <w:szCs w:val="24"/>
        </w:rPr>
      </w:pPr>
      <w:r w:rsidRPr="003B7313">
        <w:rPr>
          <w:rFonts w:ascii="Times New Roman" w:hAnsi="Times New Roman" w:cs="Times New Roman"/>
          <w:sz w:val="24"/>
          <w:szCs w:val="24"/>
        </w:rPr>
        <w:t>Certify accuracy and completion of the submission.</w:t>
      </w:r>
    </w:p>
    <w:p w14:paraId="09E88885" w14:textId="474C13A1" w:rsidR="00B73335" w:rsidRPr="003B7313" w:rsidRDefault="00B73335" w:rsidP="00B73335">
      <w:pPr>
        <w:spacing w:after="0" w:line="240" w:lineRule="auto"/>
        <w:rPr>
          <w:rFonts w:ascii="Times New Roman" w:hAnsi="Times New Roman" w:cs="Times New Roman"/>
          <w:i/>
          <w:sz w:val="24"/>
          <w:szCs w:val="24"/>
        </w:rPr>
      </w:pPr>
      <w:r w:rsidRPr="003B7313">
        <w:rPr>
          <w:rFonts w:ascii="Times New Roman" w:hAnsi="Times New Roman" w:cs="Times New Roman"/>
          <w:sz w:val="24"/>
          <w:szCs w:val="24"/>
        </w:rPr>
        <w:br/>
      </w:r>
      <w:bookmarkStart w:id="4" w:name="_Hlk2810953"/>
      <w:r w:rsidRPr="003B7313">
        <w:rPr>
          <w:rFonts w:ascii="Times New Roman" w:hAnsi="Times New Roman" w:cs="Times New Roman"/>
          <w:sz w:val="24"/>
          <w:szCs w:val="24"/>
        </w:rPr>
        <w:t xml:space="preserve">To complete the analysis, each OA reviewed the identified contract files and, as necessary, conducted interviews with the relevant officials. </w:t>
      </w:r>
      <w:bookmarkStart w:id="5" w:name="_Hlk3412925"/>
      <w:r w:rsidRPr="003B7313">
        <w:rPr>
          <w:rFonts w:ascii="Times New Roman" w:hAnsi="Times New Roman" w:cs="Times New Roman"/>
          <w:sz w:val="24"/>
          <w:szCs w:val="24"/>
        </w:rPr>
        <w:t xml:space="preserve">Table 3 below outlines number of contracts and amount of obligations reviewed by </w:t>
      </w:r>
      <w:r w:rsidR="0055278D" w:rsidRPr="003B7313">
        <w:rPr>
          <w:rFonts w:ascii="Times New Roman" w:hAnsi="Times New Roman" w:cs="Times New Roman"/>
          <w:sz w:val="24"/>
          <w:szCs w:val="24"/>
        </w:rPr>
        <w:t>ED</w:t>
      </w:r>
      <w:r w:rsidRPr="003B7313">
        <w:rPr>
          <w:rFonts w:ascii="Times New Roman" w:hAnsi="Times New Roman" w:cs="Times New Roman"/>
          <w:sz w:val="24"/>
          <w:szCs w:val="24"/>
        </w:rPr>
        <w:t xml:space="preserve"> OA.</w:t>
      </w:r>
    </w:p>
    <w:bookmarkEnd w:id="5"/>
    <w:p w14:paraId="38CA0D17" w14:textId="77777777" w:rsidR="00B73335" w:rsidRPr="003B7313" w:rsidRDefault="00B73335" w:rsidP="00B73335">
      <w:pPr>
        <w:spacing w:after="0" w:line="240" w:lineRule="auto"/>
        <w:ind w:left="-180"/>
        <w:rPr>
          <w:rFonts w:ascii="Times New Roman" w:hAnsi="Times New Roman" w:cs="Times New Roman"/>
          <w:sz w:val="24"/>
          <w:szCs w:val="24"/>
        </w:rPr>
      </w:pPr>
    </w:p>
    <w:p w14:paraId="3A64FCBA" w14:textId="07001058" w:rsidR="00B73335" w:rsidRPr="003B7313" w:rsidRDefault="00B73335" w:rsidP="00B73335">
      <w:pPr>
        <w:spacing w:after="120" w:line="240" w:lineRule="auto"/>
        <w:ind w:left="-180"/>
        <w:rPr>
          <w:rFonts w:ascii="Times New Roman" w:hAnsi="Times New Roman" w:cs="Times New Roman"/>
          <w:b/>
          <w:color w:val="FF0000"/>
          <w:sz w:val="24"/>
          <w:szCs w:val="24"/>
        </w:rPr>
      </w:pPr>
      <w:r w:rsidRPr="003B7313">
        <w:rPr>
          <w:rFonts w:ascii="Times New Roman" w:hAnsi="Times New Roman" w:cs="Times New Roman"/>
          <w:sz w:val="24"/>
          <w:szCs w:val="24"/>
        </w:rPr>
        <w:t xml:space="preserve"> </w:t>
      </w:r>
      <w:r w:rsidRPr="003B7313">
        <w:rPr>
          <w:rFonts w:ascii="Times New Roman" w:hAnsi="Times New Roman" w:cs="Times New Roman"/>
          <w:b/>
          <w:sz w:val="24"/>
          <w:szCs w:val="24"/>
        </w:rPr>
        <w:t xml:space="preserve"> Table 3 – Number of contract actions and amount of obligations reviewed by </w:t>
      </w:r>
      <w:r w:rsidR="00511283" w:rsidRPr="003B7313">
        <w:rPr>
          <w:rFonts w:ascii="Times New Roman" w:hAnsi="Times New Roman" w:cs="Times New Roman"/>
          <w:b/>
          <w:sz w:val="24"/>
          <w:szCs w:val="24"/>
        </w:rPr>
        <w:t>ED</w:t>
      </w:r>
      <w:r w:rsidRPr="003B7313">
        <w:rPr>
          <w:rFonts w:ascii="Times New Roman" w:hAnsi="Times New Roman" w:cs="Times New Roman"/>
          <w:b/>
          <w:sz w:val="24"/>
          <w:szCs w:val="24"/>
        </w:rPr>
        <w:t xml:space="preserve"> OA</w:t>
      </w:r>
    </w:p>
    <w:tbl>
      <w:tblPr>
        <w:tblStyle w:val="GridTable4-Accent1"/>
        <w:tblW w:w="10070" w:type="dxa"/>
        <w:tblLook w:val="04A0" w:firstRow="1" w:lastRow="0" w:firstColumn="1" w:lastColumn="0" w:noHBand="0" w:noVBand="1"/>
      </w:tblPr>
      <w:tblGrid>
        <w:gridCol w:w="2723"/>
        <w:gridCol w:w="3280"/>
        <w:gridCol w:w="1776"/>
        <w:gridCol w:w="2291"/>
      </w:tblGrid>
      <w:tr w:rsidR="00B8463D" w:rsidRPr="00B73335" w14:paraId="742599E5" w14:textId="77777777" w:rsidTr="00F40754">
        <w:trPr>
          <w:cnfStyle w:val="100000000000" w:firstRow="1" w:lastRow="0" w:firstColumn="0" w:lastColumn="0" w:oddVBand="0" w:evenVBand="0" w:oddHBand="0"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2723" w:type="dxa"/>
            <w:vMerge w:val="restart"/>
            <w:hideMark/>
          </w:tcPr>
          <w:p w14:paraId="4F404F73" w14:textId="77777777" w:rsidR="00B8463D" w:rsidRPr="00B73335" w:rsidRDefault="00B8463D" w:rsidP="00B73335">
            <w:pPr>
              <w:jc w:val="center"/>
              <w:rPr>
                <w:rFonts w:ascii="Times New Roman" w:eastAsia="Times New Roman" w:hAnsi="Times New Roman" w:cs="Times New Roman"/>
                <w:sz w:val="24"/>
                <w:szCs w:val="24"/>
              </w:rPr>
            </w:pPr>
            <w:r w:rsidRPr="00B73335">
              <w:rPr>
                <w:rFonts w:ascii="Times New Roman" w:eastAsia="Times New Roman" w:hAnsi="Times New Roman" w:cs="Times New Roman"/>
                <w:sz w:val="24"/>
                <w:szCs w:val="24"/>
              </w:rPr>
              <w:t>Operating Administration</w:t>
            </w:r>
          </w:p>
        </w:tc>
        <w:tc>
          <w:tcPr>
            <w:tcW w:w="3280" w:type="dxa"/>
            <w:vMerge w:val="restart"/>
            <w:hideMark/>
          </w:tcPr>
          <w:p w14:paraId="7134CD7C" w14:textId="03E49031" w:rsidR="00B8463D" w:rsidRPr="00B73335" w:rsidRDefault="00B8463D" w:rsidP="00B7333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73335">
              <w:rPr>
                <w:rFonts w:ascii="Times New Roman" w:eastAsia="Times New Roman" w:hAnsi="Times New Roman" w:cs="Times New Roman"/>
                <w:sz w:val="24"/>
                <w:szCs w:val="24"/>
              </w:rPr>
              <w:t>FY201</w:t>
            </w:r>
            <w:r w:rsidRPr="00EF5AA1">
              <w:rPr>
                <w:rFonts w:ascii="Times New Roman" w:eastAsia="Times New Roman" w:hAnsi="Times New Roman" w:cs="Times New Roman"/>
                <w:sz w:val="24"/>
                <w:szCs w:val="24"/>
              </w:rPr>
              <w:t>9</w:t>
            </w:r>
            <w:r w:rsidRPr="00B73335">
              <w:rPr>
                <w:rFonts w:ascii="Times New Roman" w:eastAsia="Times New Roman" w:hAnsi="Times New Roman" w:cs="Times New Roman"/>
                <w:sz w:val="24"/>
                <w:szCs w:val="24"/>
              </w:rPr>
              <w:t xml:space="preserve"> Action Obligations Reviewed</w:t>
            </w:r>
          </w:p>
        </w:tc>
        <w:tc>
          <w:tcPr>
            <w:tcW w:w="1776" w:type="dxa"/>
          </w:tcPr>
          <w:p w14:paraId="0022EB57" w14:textId="0B20C55B" w:rsidR="00B8463D" w:rsidRPr="00EF5AA1" w:rsidRDefault="00B8463D" w:rsidP="00B7333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EF5AA1">
              <w:rPr>
                <w:rFonts w:ascii="Times New Roman" w:eastAsia="Times New Roman" w:hAnsi="Times New Roman" w:cs="Times New Roman"/>
                <w:sz w:val="24"/>
                <w:szCs w:val="24"/>
              </w:rPr>
              <w:t>FY2019 Obligations by %</w:t>
            </w:r>
            <w:r w:rsidR="00EF5AA1">
              <w:rPr>
                <w:rFonts w:ascii="Times New Roman" w:eastAsia="Times New Roman" w:hAnsi="Times New Roman" w:cs="Times New Roman"/>
                <w:sz w:val="24"/>
                <w:szCs w:val="24"/>
              </w:rPr>
              <w:t xml:space="preserve"> Reviewed</w:t>
            </w:r>
          </w:p>
        </w:tc>
        <w:tc>
          <w:tcPr>
            <w:tcW w:w="2291" w:type="dxa"/>
            <w:vMerge w:val="restart"/>
            <w:hideMark/>
          </w:tcPr>
          <w:p w14:paraId="11BBFEAB" w14:textId="5E445FFA" w:rsidR="00B8463D" w:rsidRPr="00B73335" w:rsidRDefault="00B8463D" w:rsidP="00B7333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B73335">
              <w:rPr>
                <w:rFonts w:ascii="Times New Roman" w:eastAsia="Times New Roman" w:hAnsi="Times New Roman" w:cs="Times New Roman"/>
                <w:sz w:val="24"/>
                <w:szCs w:val="24"/>
              </w:rPr>
              <w:t>Number of Contract Actions Reviewed</w:t>
            </w:r>
          </w:p>
        </w:tc>
      </w:tr>
      <w:tr w:rsidR="00B8463D" w:rsidRPr="00B73335" w14:paraId="628374DD" w14:textId="77777777" w:rsidTr="00F40754">
        <w:trPr>
          <w:cnfStyle w:val="000000100000" w:firstRow="0" w:lastRow="0" w:firstColumn="0" w:lastColumn="0" w:oddVBand="0" w:evenVBand="0" w:oddHBand="1" w:evenHBand="0" w:firstRowFirstColumn="0" w:firstRowLastColumn="0" w:lastRowFirstColumn="0" w:lastRowLastColumn="0"/>
          <w:trHeight w:val="790"/>
        </w:trPr>
        <w:tc>
          <w:tcPr>
            <w:cnfStyle w:val="001000000000" w:firstRow="0" w:lastRow="0" w:firstColumn="1" w:lastColumn="0" w:oddVBand="0" w:evenVBand="0" w:oddHBand="0" w:evenHBand="0" w:firstRowFirstColumn="0" w:firstRowLastColumn="0" w:lastRowFirstColumn="0" w:lastRowLastColumn="0"/>
            <w:tcW w:w="2723" w:type="dxa"/>
            <w:vMerge/>
            <w:hideMark/>
          </w:tcPr>
          <w:p w14:paraId="618DD3BC" w14:textId="77777777" w:rsidR="00B8463D" w:rsidRPr="00B73335" w:rsidRDefault="00B8463D" w:rsidP="00B73335">
            <w:pPr>
              <w:rPr>
                <w:rFonts w:ascii="Times New Roman" w:eastAsia="Times New Roman" w:hAnsi="Times New Roman" w:cs="Times New Roman"/>
                <w:sz w:val="23"/>
                <w:szCs w:val="23"/>
              </w:rPr>
            </w:pPr>
          </w:p>
        </w:tc>
        <w:tc>
          <w:tcPr>
            <w:tcW w:w="3280" w:type="dxa"/>
            <w:vMerge/>
            <w:hideMark/>
          </w:tcPr>
          <w:p w14:paraId="1900C2B8" w14:textId="77777777" w:rsidR="00B8463D" w:rsidRPr="00B73335" w:rsidRDefault="00B8463D" w:rsidP="00B7333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3"/>
                <w:szCs w:val="23"/>
              </w:rPr>
            </w:pPr>
          </w:p>
        </w:tc>
        <w:tc>
          <w:tcPr>
            <w:tcW w:w="1776" w:type="dxa"/>
            <w:shd w:val="clear" w:color="auto" w:fill="4F81BD" w:themeFill="accent1"/>
          </w:tcPr>
          <w:p w14:paraId="123DDA72" w14:textId="77777777" w:rsidR="00B8463D" w:rsidRPr="00B73335" w:rsidRDefault="00B8463D" w:rsidP="00B7333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3"/>
                <w:szCs w:val="23"/>
              </w:rPr>
            </w:pPr>
          </w:p>
        </w:tc>
        <w:tc>
          <w:tcPr>
            <w:tcW w:w="2291" w:type="dxa"/>
            <w:vMerge/>
            <w:shd w:val="clear" w:color="auto" w:fill="4F81BD" w:themeFill="accent1"/>
            <w:hideMark/>
          </w:tcPr>
          <w:p w14:paraId="4D3AC424" w14:textId="7EB5745C" w:rsidR="00B8463D" w:rsidRPr="00B73335" w:rsidRDefault="00B8463D" w:rsidP="00B7333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3"/>
                <w:szCs w:val="23"/>
              </w:rPr>
            </w:pPr>
          </w:p>
        </w:tc>
      </w:tr>
      <w:tr w:rsidR="00B8463D" w:rsidRPr="00B73335" w14:paraId="78178D25" w14:textId="77777777" w:rsidTr="00F40754">
        <w:trPr>
          <w:trHeight w:val="197"/>
        </w:trPr>
        <w:tc>
          <w:tcPr>
            <w:cnfStyle w:val="001000000000" w:firstRow="0" w:lastRow="0" w:firstColumn="1" w:lastColumn="0" w:oddVBand="0" w:evenVBand="0" w:oddHBand="0" w:evenHBand="0" w:firstRowFirstColumn="0" w:firstRowLastColumn="0" w:lastRowFirstColumn="0" w:lastRowLastColumn="0"/>
            <w:tcW w:w="2723" w:type="dxa"/>
            <w:hideMark/>
          </w:tcPr>
          <w:p w14:paraId="68272FAE" w14:textId="6048593E" w:rsidR="00B8463D" w:rsidRPr="00B73335" w:rsidRDefault="00B8463D" w:rsidP="00B73335">
            <w:pPr>
              <w:rPr>
                <w:rFonts w:ascii="Times New Roman" w:eastAsia="Times New Roman" w:hAnsi="Times New Roman" w:cs="Times New Roman"/>
                <w:color w:val="000000"/>
                <w:sz w:val="23"/>
                <w:szCs w:val="23"/>
              </w:rPr>
            </w:pPr>
            <w:r>
              <w:rPr>
                <w:rFonts w:ascii="Times New Roman" w:eastAsia="Times New Roman" w:hAnsi="Times New Roman" w:cs="Times New Roman"/>
                <w:b w:val="0"/>
                <w:bCs w:val="0"/>
                <w:color w:val="000000"/>
                <w:sz w:val="23"/>
                <w:szCs w:val="23"/>
              </w:rPr>
              <w:t>FSA</w:t>
            </w:r>
          </w:p>
        </w:tc>
        <w:tc>
          <w:tcPr>
            <w:tcW w:w="3280" w:type="dxa"/>
            <w:hideMark/>
          </w:tcPr>
          <w:p w14:paraId="425D078B" w14:textId="6F2FC03C" w:rsidR="00B8463D" w:rsidRPr="00B73335" w:rsidRDefault="00B8463D" w:rsidP="00B733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3"/>
                <w:szCs w:val="23"/>
              </w:rPr>
            </w:pPr>
            <w:r w:rsidRPr="00B73335">
              <w:rPr>
                <w:rFonts w:ascii="Times New Roman" w:eastAsia="Times New Roman" w:hAnsi="Times New Roman" w:cs="Times New Roman"/>
                <w:color w:val="000000"/>
                <w:sz w:val="23"/>
                <w:szCs w:val="23"/>
              </w:rPr>
              <w:t xml:space="preserve"> $        </w:t>
            </w:r>
            <w:r>
              <w:rPr>
                <w:rFonts w:ascii="Times New Roman" w:eastAsia="Times New Roman" w:hAnsi="Times New Roman" w:cs="Times New Roman"/>
                <w:color w:val="000000"/>
                <w:sz w:val="23"/>
                <w:szCs w:val="23"/>
              </w:rPr>
              <w:t>1,589,571,009</w:t>
            </w:r>
            <w:r w:rsidRPr="00B73335">
              <w:rPr>
                <w:rFonts w:ascii="Times New Roman" w:eastAsia="Times New Roman" w:hAnsi="Times New Roman" w:cs="Times New Roman"/>
                <w:color w:val="000000"/>
                <w:sz w:val="23"/>
                <w:szCs w:val="23"/>
              </w:rPr>
              <w:t xml:space="preserve"> </w:t>
            </w:r>
          </w:p>
        </w:tc>
        <w:tc>
          <w:tcPr>
            <w:tcW w:w="1776" w:type="dxa"/>
          </w:tcPr>
          <w:p w14:paraId="55F3A010" w14:textId="0AB669C0" w:rsidR="00B8463D" w:rsidRDefault="00F40754" w:rsidP="00B7333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55%</w:t>
            </w:r>
          </w:p>
        </w:tc>
        <w:tc>
          <w:tcPr>
            <w:tcW w:w="2291" w:type="dxa"/>
            <w:hideMark/>
          </w:tcPr>
          <w:p w14:paraId="05F73777" w14:textId="0FDE15B6" w:rsidR="00B8463D" w:rsidRPr="00B73335" w:rsidRDefault="00B8463D" w:rsidP="00B7333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15</w:t>
            </w:r>
          </w:p>
        </w:tc>
      </w:tr>
      <w:tr w:rsidR="00B8463D" w:rsidRPr="00B73335" w14:paraId="2DCEA8F6" w14:textId="77777777" w:rsidTr="00F40754">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2723" w:type="dxa"/>
            <w:hideMark/>
          </w:tcPr>
          <w:p w14:paraId="3A8EB822" w14:textId="580C220C" w:rsidR="00B8463D" w:rsidRPr="00B73335" w:rsidRDefault="00B8463D" w:rsidP="00B73335">
            <w:pPr>
              <w:rPr>
                <w:rFonts w:ascii="Times New Roman" w:eastAsia="Times New Roman" w:hAnsi="Times New Roman" w:cs="Times New Roman"/>
                <w:color w:val="000000"/>
                <w:sz w:val="23"/>
                <w:szCs w:val="23"/>
              </w:rPr>
            </w:pPr>
            <w:r>
              <w:rPr>
                <w:rFonts w:ascii="Times New Roman" w:eastAsia="Times New Roman" w:hAnsi="Times New Roman" w:cs="Times New Roman"/>
                <w:b w:val="0"/>
                <w:bCs w:val="0"/>
                <w:color w:val="000000"/>
                <w:sz w:val="23"/>
                <w:szCs w:val="23"/>
              </w:rPr>
              <w:t>CAM</w:t>
            </w:r>
          </w:p>
        </w:tc>
        <w:tc>
          <w:tcPr>
            <w:tcW w:w="3280" w:type="dxa"/>
            <w:hideMark/>
          </w:tcPr>
          <w:p w14:paraId="103AB537" w14:textId="055260F2" w:rsidR="00B8463D" w:rsidRPr="00B73335" w:rsidRDefault="00B8463D" w:rsidP="00B7333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3"/>
                <w:szCs w:val="23"/>
              </w:rPr>
            </w:pPr>
            <w:r w:rsidRPr="00B73335">
              <w:rPr>
                <w:rFonts w:ascii="Times New Roman" w:eastAsia="Times New Roman" w:hAnsi="Times New Roman" w:cs="Times New Roman"/>
                <w:color w:val="000000"/>
                <w:sz w:val="23"/>
                <w:szCs w:val="23"/>
              </w:rPr>
              <w:t xml:space="preserve"> $           </w:t>
            </w:r>
            <w:r>
              <w:rPr>
                <w:rFonts w:ascii="Times New Roman" w:eastAsia="Times New Roman" w:hAnsi="Times New Roman" w:cs="Times New Roman"/>
                <w:color w:val="000000"/>
                <w:sz w:val="23"/>
                <w:szCs w:val="23"/>
              </w:rPr>
              <w:t>232,570,081</w:t>
            </w:r>
            <w:r w:rsidRPr="00B73335">
              <w:rPr>
                <w:rFonts w:ascii="Times New Roman" w:eastAsia="Times New Roman" w:hAnsi="Times New Roman" w:cs="Times New Roman"/>
                <w:color w:val="000000"/>
                <w:sz w:val="23"/>
                <w:szCs w:val="23"/>
              </w:rPr>
              <w:t xml:space="preserve"> </w:t>
            </w:r>
          </w:p>
        </w:tc>
        <w:tc>
          <w:tcPr>
            <w:tcW w:w="1776" w:type="dxa"/>
          </w:tcPr>
          <w:p w14:paraId="124BD68C" w14:textId="6A200728" w:rsidR="00B8463D" w:rsidRDefault="00F40754" w:rsidP="00B7333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w:t>
            </w:r>
          </w:p>
        </w:tc>
        <w:tc>
          <w:tcPr>
            <w:tcW w:w="2291" w:type="dxa"/>
            <w:hideMark/>
          </w:tcPr>
          <w:p w14:paraId="3746AFAF" w14:textId="50C0DF85" w:rsidR="00B8463D" w:rsidRPr="00B73335" w:rsidRDefault="00B8463D" w:rsidP="00B7333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41</w:t>
            </w:r>
          </w:p>
        </w:tc>
      </w:tr>
      <w:tr w:rsidR="00B8463D" w:rsidRPr="00B73335" w14:paraId="7E9E4BA6" w14:textId="77777777" w:rsidTr="00F40754">
        <w:trPr>
          <w:trHeight w:val="197"/>
        </w:trPr>
        <w:tc>
          <w:tcPr>
            <w:cnfStyle w:val="001000000000" w:firstRow="0" w:lastRow="0" w:firstColumn="1" w:lastColumn="0" w:oddVBand="0" w:evenVBand="0" w:oddHBand="0" w:evenHBand="0" w:firstRowFirstColumn="0" w:firstRowLastColumn="0" w:lastRowFirstColumn="0" w:lastRowLastColumn="0"/>
            <w:tcW w:w="2723" w:type="dxa"/>
            <w:hideMark/>
          </w:tcPr>
          <w:p w14:paraId="6C34BDC8" w14:textId="3CCFD318" w:rsidR="00B8463D" w:rsidRPr="00B73335" w:rsidRDefault="00B8463D" w:rsidP="00B73335">
            <w:pPr>
              <w:rPr>
                <w:rFonts w:ascii="Times New Roman" w:eastAsia="Times New Roman" w:hAnsi="Times New Roman" w:cs="Times New Roman"/>
                <w:color w:val="000000"/>
                <w:sz w:val="23"/>
                <w:szCs w:val="23"/>
              </w:rPr>
            </w:pPr>
            <w:r>
              <w:rPr>
                <w:rFonts w:ascii="Times New Roman" w:eastAsia="Times New Roman" w:hAnsi="Times New Roman" w:cs="Times New Roman"/>
                <w:b w:val="0"/>
                <w:bCs w:val="0"/>
                <w:color w:val="000000"/>
                <w:sz w:val="23"/>
                <w:szCs w:val="23"/>
              </w:rPr>
              <w:t>NAGB</w:t>
            </w:r>
          </w:p>
        </w:tc>
        <w:tc>
          <w:tcPr>
            <w:tcW w:w="3280" w:type="dxa"/>
            <w:hideMark/>
          </w:tcPr>
          <w:p w14:paraId="3E618862" w14:textId="7D16FC9E" w:rsidR="00B8463D" w:rsidRPr="00B73335" w:rsidRDefault="00B8463D" w:rsidP="00B733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N/A</w:t>
            </w:r>
          </w:p>
        </w:tc>
        <w:tc>
          <w:tcPr>
            <w:tcW w:w="1776" w:type="dxa"/>
          </w:tcPr>
          <w:p w14:paraId="37723985" w14:textId="6054DBBB" w:rsidR="00B8463D" w:rsidRDefault="00F40754" w:rsidP="00B7333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N/A</w:t>
            </w:r>
          </w:p>
        </w:tc>
        <w:tc>
          <w:tcPr>
            <w:tcW w:w="2291" w:type="dxa"/>
            <w:hideMark/>
          </w:tcPr>
          <w:p w14:paraId="3EB9F2A4" w14:textId="2FA71235" w:rsidR="00B8463D" w:rsidRPr="00B73335" w:rsidRDefault="00B8463D" w:rsidP="00B7333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0</w:t>
            </w:r>
          </w:p>
        </w:tc>
      </w:tr>
      <w:tr w:rsidR="00B8463D" w:rsidRPr="00B73335" w14:paraId="3D480F03" w14:textId="77777777" w:rsidTr="00F40754">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2723" w:type="dxa"/>
            <w:hideMark/>
          </w:tcPr>
          <w:p w14:paraId="19C929DA" w14:textId="0EF86A83" w:rsidR="00B8463D" w:rsidRPr="00B73335" w:rsidRDefault="00B8463D" w:rsidP="00B73335">
            <w:pPr>
              <w:rPr>
                <w:rFonts w:ascii="Times New Roman" w:eastAsia="Times New Roman" w:hAnsi="Times New Roman" w:cs="Times New Roman"/>
                <w:color w:val="000000"/>
                <w:sz w:val="23"/>
                <w:szCs w:val="23"/>
              </w:rPr>
            </w:pPr>
            <w:r>
              <w:rPr>
                <w:rFonts w:ascii="Times New Roman" w:eastAsia="Times New Roman" w:hAnsi="Times New Roman" w:cs="Times New Roman"/>
                <w:b w:val="0"/>
                <w:bCs w:val="0"/>
                <w:color w:val="000000"/>
                <w:sz w:val="23"/>
                <w:szCs w:val="23"/>
              </w:rPr>
              <w:t>Others</w:t>
            </w:r>
          </w:p>
        </w:tc>
        <w:tc>
          <w:tcPr>
            <w:tcW w:w="3280" w:type="dxa"/>
            <w:hideMark/>
          </w:tcPr>
          <w:p w14:paraId="55573E20" w14:textId="724468E5" w:rsidR="00B8463D" w:rsidRPr="00B73335" w:rsidRDefault="00B8463D" w:rsidP="00B7333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3"/>
                <w:szCs w:val="23"/>
              </w:rPr>
            </w:pPr>
            <w:r w:rsidRPr="00B73335">
              <w:rPr>
                <w:rFonts w:ascii="Times New Roman" w:eastAsia="Times New Roman" w:hAnsi="Times New Roman" w:cs="Times New Roman"/>
                <w:color w:val="000000"/>
                <w:sz w:val="23"/>
                <w:szCs w:val="23"/>
              </w:rPr>
              <w:t xml:space="preserve"> $           </w:t>
            </w:r>
            <w:r>
              <w:rPr>
                <w:rFonts w:ascii="Times New Roman" w:eastAsia="Times New Roman" w:hAnsi="Times New Roman" w:cs="Times New Roman"/>
                <w:color w:val="000000"/>
                <w:sz w:val="23"/>
                <w:szCs w:val="23"/>
              </w:rPr>
              <w:t xml:space="preserve">        N/A</w:t>
            </w:r>
            <w:r w:rsidRPr="00B73335">
              <w:rPr>
                <w:rFonts w:ascii="Times New Roman" w:eastAsia="Times New Roman" w:hAnsi="Times New Roman" w:cs="Times New Roman"/>
                <w:color w:val="000000"/>
                <w:sz w:val="23"/>
                <w:szCs w:val="23"/>
              </w:rPr>
              <w:t xml:space="preserve"> </w:t>
            </w:r>
          </w:p>
        </w:tc>
        <w:tc>
          <w:tcPr>
            <w:tcW w:w="1776" w:type="dxa"/>
          </w:tcPr>
          <w:p w14:paraId="4CB2D780" w14:textId="30B43123" w:rsidR="00B8463D" w:rsidRDefault="00F40754" w:rsidP="00B7333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N/A</w:t>
            </w:r>
          </w:p>
        </w:tc>
        <w:tc>
          <w:tcPr>
            <w:tcW w:w="2291" w:type="dxa"/>
            <w:hideMark/>
          </w:tcPr>
          <w:p w14:paraId="0EF738BB" w14:textId="42F85A73" w:rsidR="00B8463D" w:rsidRPr="00B73335" w:rsidRDefault="00B8463D" w:rsidP="00B7333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0</w:t>
            </w:r>
          </w:p>
        </w:tc>
      </w:tr>
      <w:tr w:rsidR="00B8463D" w:rsidRPr="00B73335" w14:paraId="237FE4E6" w14:textId="77777777" w:rsidTr="00F40754">
        <w:trPr>
          <w:trHeight w:val="197"/>
        </w:trPr>
        <w:tc>
          <w:tcPr>
            <w:cnfStyle w:val="001000000000" w:firstRow="0" w:lastRow="0" w:firstColumn="1" w:lastColumn="0" w:oddVBand="0" w:evenVBand="0" w:oddHBand="0" w:evenHBand="0" w:firstRowFirstColumn="0" w:firstRowLastColumn="0" w:lastRowFirstColumn="0" w:lastRowLastColumn="0"/>
            <w:tcW w:w="2723" w:type="dxa"/>
            <w:hideMark/>
          </w:tcPr>
          <w:p w14:paraId="3206F232" w14:textId="77777777" w:rsidR="00B8463D" w:rsidRPr="00B73335" w:rsidRDefault="00B8463D" w:rsidP="00B73335">
            <w:pPr>
              <w:rPr>
                <w:rFonts w:ascii="Times New Roman" w:eastAsia="Times New Roman" w:hAnsi="Times New Roman" w:cs="Times New Roman"/>
                <w:color w:val="000000"/>
                <w:sz w:val="23"/>
                <w:szCs w:val="23"/>
              </w:rPr>
            </w:pPr>
            <w:r w:rsidRPr="00B73335">
              <w:rPr>
                <w:rFonts w:ascii="Times New Roman" w:eastAsia="Times New Roman" w:hAnsi="Times New Roman" w:cs="Times New Roman"/>
                <w:color w:val="000000"/>
                <w:sz w:val="23"/>
                <w:szCs w:val="23"/>
              </w:rPr>
              <w:t>Total</w:t>
            </w:r>
          </w:p>
        </w:tc>
        <w:tc>
          <w:tcPr>
            <w:tcW w:w="3280" w:type="dxa"/>
            <w:hideMark/>
          </w:tcPr>
          <w:p w14:paraId="4F86266E" w14:textId="39A4E4A4" w:rsidR="00B8463D" w:rsidRPr="00B73335" w:rsidRDefault="00B8463D" w:rsidP="00B7333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3"/>
                <w:szCs w:val="23"/>
              </w:rPr>
            </w:pPr>
            <w:r w:rsidRPr="00B73335">
              <w:rPr>
                <w:rFonts w:ascii="Times New Roman" w:eastAsia="Times New Roman" w:hAnsi="Times New Roman" w:cs="Times New Roman"/>
                <w:b/>
                <w:color w:val="000000"/>
                <w:sz w:val="23"/>
                <w:szCs w:val="23"/>
              </w:rPr>
              <w:t xml:space="preserve"> $        </w:t>
            </w:r>
            <w:r>
              <w:rPr>
                <w:rFonts w:ascii="Times New Roman" w:eastAsia="Times New Roman" w:hAnsi="Times New Roman" w:cs="Times New Roman"/>
                <w:b/>
                <w:color w:val="000000"/>
                <w:sz w:val="23"/>
                <w:szCs w:val="23"/>
              </w:rPr>
              <w:t>1</w:t>
            </w:r>
            <w:r w:rsidRPr="00B73335">
              <w:rPr>
                <w:rFonts w:ascii="Times New Roman" w:eastAsia="Times New Roman" w:hAnsi="Times New Roman" w:cs="Times New Roman"/>
                <w:b/>
                <w:color w:val="000000"/>
                <w:sz w:val="23"/>
                <w:szCs w:val="23"/>
              </w:rPr>
              <w:t>,82</w:t>
            </w:r>
            <w:r>
              <w:rPr>
                <w:rFonts w:ascii="Times New Roman" w:eastAsia="Times New Roman" w:hAnsi="Times New Roman" w:cs="Times New Roman"/>
                <w:b/>
                <w:color w:val="000000"/>
                <w:sz w:val="23"/>
                <w:szCs w:val="23"/>
              </w:rPr>
              <w:t>2</w:t>
            </w:r>
            <w:r w:rsidRPr="00B73335">
              <w:rPr>
                <w:rFonts w:ascii="Times New Roman" w:eastAsia="Times New Roman" w:hAnsi="Times New Roman" w:cs="Times New Roman"/>
                <w:b/>
                <w:color w:val="000000"/>
                <w:sz w:val="23"/>
                <w:szCs w:val="23"/>
              </w:rPr>
              <w:t>,</w:t>
            </w:r>
            <w:r>
              <w:rPr>
                <w:rFonts w:ascii="Times New Roman" w:eastAsia="Times New Roman" w:hAnsi="Times New Roman" w:cs="Times New Roman"/>
                <w:b/>
                <w:color w:val="000000"/>
                <w:sz w:val="23"/>
                <w:szCs w:val="23"/>
              </w:rPr>
              <w:t>541</w:t>
            </w:r>
            <w:r w:rsidRPr="00B73335">
              <w:rPr>
                <w:rFonts w:ascii="Times New Roman" w:eastAsia="Times New Roman" w:hAnsi="Times New Roman" w:cs="Times New Roman"/>
                <w:b/>
                <w:color w:val="000000"/>
                <w:sz w:val="23"/>
                <w:szCs w:val="23"/>
              </w:rPr>
              <w:t>,</w:t>
            </w:r>
            <w:r>
              <w:rPr>
                <w:rFonts w:ascii="Times New Roman" w:eastAsia="Times New Roman" w:hAnsi="Times New Roman" w:cs="Times New Roman"/>
                <w:b/>
                <w:color w:val="000000"/>
                <w:sz w:val="23"/>
                <w:szCs w:val="23"/>
              </w:rPr>
              <w:t>090</w:t>
            </w:r>
            <w:r w:rsidRPr="00B73335">
              <w:rPr>
                <w:rFonts w:ascii="Times New Roman" w:eastAsia="Times New Roman" w:hAnsi="Times New Roman" w:cs="Times New Roman"/>
                <w:b/>
                <w:color w:val="000000"/>
                <w:sz w:val="23"/>
                <w:szCs w:val="23"/>
              </w:rPr>
              <w:t xml:space="preserve"> </w:t>
            </w:r>
          </w:p>
        </w:tc>
        <w:tc>
          <w:tcPr>
            <w:tcW w:w="1776" w:type="dxa"/>
          </w:tcPr>
          <w:p w14:paraId="3C8C32EB" w14:textId="00D886E8" w:rsidR="00B8463D" w:rsidRDefault="00F40754" w:rsidP="00B7333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63%</w:t>
            </w:r>
          </w:p>
        </w:tc>
        <w:tc>
          <w:tcPr>
            <w:tcW w:w="2291" w:type="dxa"/>
            <w:noWrap/>
            <w:hideMark/>
          </w:tcPr>
          <w:p w14:paraId="687D21A0" w14:textId="2C0AFCAD" w:rsidR="00B8463D" w:rsidRPr="00B73335" w:rsidRDefault="00B8463D" w:rsidP="00B7333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56</w:t>
            </w:r>
          </w:p>
        </w:tc>
      </w:tr>
    </w:tbl>
    <w:p w14:paraId="7C7D0300" w14:textId="77777777" w:rsidR="00B73335" w:rsidRPr="00B73335" w:rsidRDefault="00B73335" w:rsidP="00B73335">
      <w:pPr>
        <w:spacing w:after="0" w:line="240" w:lineRule="auto"/>
        <w:rPr>
          <w:rFonts w:ascii="Times New Roman" w:hAnsi="Times New Roman" w:cs="Times New Roman"/>
          <w:color w:val="FF0000"/>
          <w:sz w:val="23"/>
          <w:szCs w:val="23"/>
        </w:rPr>
      </w:pPr>
    </w:p>
    <w:p w14:paraId="62E900B9" w14:textId="2D4CF88F" w:rsidR="00B73335" w:rsidRPr="003B7313" w:rsidRDefault="00B73335" w:rsidP="00B73335">
      <w:pPr>
        <w:spacing w:after="0"/>
        <w:rPr>
          <w:rFonts w:ascii="Times New Roman" w:hAnsi="Times New Roman" w:cs="Times New Roman"/>
          <w:b/>
          <w:sz w:val="24"/>
          <w:szCs w:val="24"/>
        </w:rPr>
      </w:pPr>
      <w:r w:rsidRPr="003B7313">
        <w:rPr>
          <w:rFonts w:ascii="Times New Roman" w:eastAsia="Times New Roman" w:hAnsi="Times New Roman" w:cs="Times New Roman"/>
          <w:color w:val="000000"/>
          <w:sz w:val="24"/>
          <w:szCs w:val="24"/>
        </w:rPr>
        <w:t xml:space="preserve">As illustrated in the above table, the Federal </w:t>
      </w:r>
      <w:r w:rsidR="00B036C7" w:rsidRPr="003B7313">
        <w:rPr>
          <w:rFonts w:ascii="Times New Roman" w:eastAsia="Times New Roman" w:hAnsi="Times New Roman" w:cs="Times New Roman"/>
          <w:color w:val="000000"/>
          <w:sz w:val="24"/>
          <w:szCs w:val="24"/>
        </w:rPr>
        <w:t>Student Aid</w:t>
      </w:r>
      <w:r w:rsidRPr="003B7313">
        <w:rPr>
          <w:rFonts w:ascii="Times New Roman" w:eastAsia="Times New Roman" w:hAnsi="Times New Roman" w:cs="Times New Roman"/>
          <w:color w:val="000000"/>
          <w:sz w:val="24"/>
          <w:szCs w:val="24"/>
        </w:rPr>
        <w:t xml:space="preserve"> (F</w:t>
      </w:r>
      <w:r w:rsidR="0046392A" w:rsidRPr="003B7313">
        <w:rPr>
          <w:rFonts w:ascii="Times New Roman" w:eastAsia="Times New Roman" w:hAnsi="Times New Roman" w:cs="Times New Roman"/>
          <w:color w:val="000000"/>
          <w:sz w:val="24"/>
          <w:szCs w:val="24"/>
        </w:rPr>
        <w:t>S</w:t>
      </w:r>
      <w:r w:rsidRPr="003B7313">
        <w:rPr>
          <w:rFonts w:ascii="Times New Roman" w:eastAsia="Times New Roman" w:hAnsi="Times New Roman" w:cs="Times New Roman"/>
          <w:color w:val="000000"/>
          <w:sz w:val="24"/>
          <w:szCs w:val="24"/>
        </w:rPr>
        <w:t>A) is the largest OA within the Department and has the highest amount of spend analyzed for the purpose of this review. In FY 201</w:t>
      </w:r>
      <w:r w:rsidR="002A5605" w:rsidRPr="003B7313">
        <w:rPr>
          <w:rFonts w:ascii="Times New Roman" w:eastAsia="Times New Roman" w:hAnsi="Times New Roman" w:cs="Times New Roman"/>
          <w:color w:val="000000"/>
          <w:sz w:val="24"/>
          <w:szCs w:val="24"/>
        </w:rPr>
        <w:t>9</w:t>
      </w:r>
      <w:r w:rsidRPr="003B7313">
        <w:rPr>
          <w:rFonts w:ascii="Times New Roman" w:eastAsia="Times New Roman" w:hAnsi="Times New Roman" w:cs="Times New Roman"/>
          <w:color w:val="000000"/>
          <w:sz w:val="24"/>
          <w:szCs w:val="24"/>
        </w:rPr>
        <w:t xml:space="preserve">, the </w:t>
      </w:r>
      <w:r w:rsidR="002A5605" w:rsidRPr="003B7313">
        <w:rPr>
          <w:rFonts w:ascii="Times New Roman" w:eastAsia="Times New Roman" w:hAnsi="Times New Roman" w:cs="Times New Roman"/>
          <w:color w:val="000000"/>
          <w:sz w:val="24"/>
          <w:szCs w:val="24"/>
        </w:rPr>
        <w:t>ED</w:t>
      </w:r>
      <w:r w:rsidRPr="003B7313">
        <w:rPr>
          <w:rFonts w:ascii="Times New Roman" w:eastAsia="Times New Roman" w:hAnsi="Times New Roman" w:cs="Times New Roman"/>
          <w:color w:val="000000"/>
          <w:sz w:val="24"/>
          <w:szCs w:val="24"/>
        </w:rPr>
        <w:t xml:space="preserve"> total contract spending was $</w:t>
      </w:r>
      <w:r w:rsidR="00E473C9" w:rsidRPr="003B7313">
        <w:rPr>
          <w:rFonts w:ascii="Times New Roman" w:eastAsia="Times New Roman" w:hAnsi="Times New Roman" w:cs="Times New Roman"/>
          <w:color w:val="000000"/>
          <w:sz w:val="24"/>
          <w:szCs w:val="24"/>
        </w:rPr>
        <w:t>2</w:t>
      </w:r>
      <w:r w:rsidRPr="003B7313">
        <w:rPr>
          <w:rFonts w:ascii="Times New Roman" w:eastAsia="Times New Roman" w:hAnsi="Times New Roman" w:cs="Times New Roman"/>
          <w:color w:val="000000"/>
          <w:sz w:val="24"/>
          <w:szCs w:val="24"/>
        </w:rPr>
        <w:t>.</w:t>
      </w:r>
      <w:r w:rsidR="00E473C9" w:rsidRPr="003B7313">
        <w:rPr>
          <w:rFonts w:ascii="Times New Roman" w:eastAsia="Times New Roman" w:hAnsi="Times New Roman" w:cs="Times New Roman"/>
          <w:color w:val="000000"/>
          <w:sz w:val="24"/>
          <w:szCs w:val="24"/>
        </w:rPr>
        <w:t>890</w:t>
      </w:r>
      <w:r w:rsidRPr="003B7313">
        <w:rPr>
          <w:rFonts w:ascii="Times New Roman" w:eastAsia="Times New Roman" w:hAnsi="Times New Roman" w:cs="Times New Roman"/>
          <w:color w:val="000000"/>
          <w:sz w:val="24"/>
          <w:szCs w:val="24"/>
        </w:rPr>
        <w:t xml:space="preserve"> billion; of that amount, F</w:t>
      </w:r>
      <w:r w:rsidR="002026E8" w:rsidRPr="003B7313">
        <w:rPr>
          <w:rFonts w:ascii="Times New Roman" w:eastAsia="Times New Roman" w:hAnsi="Times New Roman" w:cs="Times New Roman"/>
          <w:color w:val="000000"/>
          <w:sz w:val="24"/>
          <w:szCs w:val="24"/>
        </w:rPr>
        <w:t>S</w:t>
      </w:r>
      <w:r w:rsidRPr="003B7313">
        <w:rPr>
          <w:rFonts w:ascii="Times New Roman" w:eastAsia="Times New Roman" w:hAnsi="Times New Roman" w:cs="Times New Roman"/>
          <w:color w:val="000000"/>
          <w:sz w:val="24"/>
          <w:szCs w:val="24"/>
        </w:rPr>
        <w:t>A obligated $</w:t>
      </w:r>
      <w:r w:rsidR="005F5DCA" w:rsidRPr="003B7313">
        <w:rPr>
          <w:rFonts w:ascii="Times New Roman" w:eastAsia="Times New Roman" w:hAnsi="Times New Roman" w:cs="Times New Roman"/>
          <w:color w:val="000000"/>
          <w:sz w:val="24"/>
          <w:szCs w:val="24"/>
        </w:rPr>
        <w:t>2</w:t>
      </w:r>
      <w:r w:rsidRPr="003B7313">
        <w:rPr>
          <w:rFonts w:ascii="Times New Roman" w:eastAsia="Times New Roman" w:hAnsi="Times New Roman" w:cs="Times New Roman"/>
          <w:color w:val="000000"/>
          <w:sz w:val="24"/>
          <w:szCs w:val="24"/>
        </w:rPr>
        <w:t>.2</w:t>
      </w:r>
      <w:r w:rsidR="005F5DCA" w:rsidRPr="003B7313">
        <w:rPr>
          <w:rFonts w:ascii="Times New Roman" w:eastAsia="Times New Roman" w:hAnsi="Times New Roman" w:cs="Times New Roman"/>
          <w:color w:val="000000"/>
          <w:sz w:val="24"/>
          <w:szCs w:val="24"/>
        </w:rPr>
        <w:t>29</w:t>
      </w:r>
      <w:r w:rsidRPr="003B7313">
        <w:rPr>
          <w:rFonts w:ascii="Times New Roman" w:eastAsia="Times New Roman" w:hAnsi="Times New Roman" w:cs="Times New Roman"/>
          <w:color w:val="000000"/>
          <w:sz w:val="24"/>
          <w:szCs w:val="24"/>
        </w:rPr>
        <w:t xml:space="preserve"> billion or approximately </w:t>
      </w:r>
      <w:r w:rsidR="00926B4C" w:rsidRPr="003B7313">
        <w:rPr>
          <w:rFonts w:ascii="Times New Roman" w:eastAsia="Times New Roman" w:hAnsi="Times New Roman" w:cs="Times New Roman"/>
          <w:color w:val="000000"/>
          <w:sz w:val="24"/>
          <w:szCs w:val="24"/>
        </w:rPr>
        <w:t>7</w:t>
      </w:r>
      <w:r w:rsidRPr="003B7313">
        <w:rPr>
          <w:rFonts w:ascii="Times New Roman" w:eastAsia="Times New Roman" w:hAnsi="Times New Roman" w:cs="Times New Roman"/>
          <w:color w:val="000000"/>
          <w:sz w:val="24"/>
          <w:szCs w:val="24"/>
        </w:rPr>
        <w:t>7% of the total obligations</w:t>
      </w:r>
      <w:bookmarkEnd w:id="4"/>
      <w:r w:rsidR="00F40754" w:rsidRPr="003B7313">
        <w:rPr>
          <w:rFonts w:ascii="Times New Roman" w:eastAsia="Times New Roman" w:hAnsi="Times New Roman" w:cs="Times New Roman"/>
          <w:color w:val="000000"/>
          <w:sz w:val="24"/>
          <w:szCs w:val="24"/>
        </w:rPr>
        <w:t xml:space="preserve">. </w:t>
      </w:r>
    </w:p>
    <w:p w14:paraId="1FCD9E70" w14:textId="77777777" w:rsidR="00B73335" w:rsidRPr="003B7313" w:rsidRDefault="00B73335" w:rsidP="00B73335">
      <w:pPr>
        <w:keepNext/>
        <w:spacing w:before="200" w:line="240" w:lineRule="auto"/>
        <w:ind w:left="720" w:hanging="720"/>
        <w:outlineLvl w:val="0"/>
        <w:rPr>
          <w:rFonts w:ascii="Times New Roman" w:eastAsia="Times New Roman" w:hAnsi="Times New Roman" w:cs="Times New Roman"/>
          <w:b/>
          <w:bCs/>
          <w:caps/>
          <w:kern w:val="32"/>
          <w:sz w:val="24"/>
          <w:szCs w:val="24"/>
        </w:rPr>
      </w:pPr>
      <w:bookmarkStart w:id="6" w:name="_Toc3887237"/>
      <w:r w:rsidRPr="003B7313">
        <w:rPr>
          <w:rFonts w:ascii="Times New Roman" w:eastAsia="Times New Roman" w:hAnsi="Times New Roman" w:cs="Times New Roman"/>
          <w:b/>
          <w:bCs/>
          <w:caps/>
          <w:kern w:val="32"/>
          <w:sz w:val="24"/>
          <w:szCs w:val="24"/>
        </w:rPr>
        <w:lastRenderedPageBreak/>
        <w:t>4.0 – Agency Findings</w:t>
      </w:r>
      <w:bookmarkEnd w:id="6"/>
    </w:p>
    <w:p w14:paraId="44530F95" w14:textId="3525ACAC" w:rsidR="00B73335" w:rsidRPr="003B7313" w:rsidRDefault="00B73335" w:rsidP="00B73335">
      <w:pPr>
        <w:rPr>
          <w:rFonts w:ascii="Times New Roman" w:eastAsia="Times New Roman" w:hAnsi="Times New Roman" w:cs="Times New Roman"/>
          <w:sz w:val="24"/>
          <w:szCs w:val="24"/>
        </w:rPr>
      </w:pPr>
    </w:p>
    <w:p w14:paraId="4189A0E5" w14:textId="77777777" w:rsidR="00B73335" w:rsidRPr="003B7313" w:rsidRDefault="00B73335" w:rsidP="00B73335">
      <w:pPr>
        <w:spacing w:after="0" w:line="240" w:lineRule="auto"/>
        <w:ind w:firstLine="36"/>
        <w:contextualSpacing/>
        <w:rPr>
          <w:rFonts w:ascii="Times New Roman" w:hAnsi="Times New Roman" w:cs="Times New Roman"/>
          <w:bCs/>
          <w:color w:val="000000"/>
          <w:sz w:val="24"/>
          <w:szCs w:val="24"/>
          <w:u w:val="single"/>
        </w:rPr>
      </w:pPr>
      <w:r w:rsidRPr="003B7313">
        <w:rPr>
          <w:rFonts w:ascii="Times New Roman" w:hAnsi="Times New Roman" w:cs="Times New Roman"/>
          <w:bCs/>
          <w:color w:val="000000"/>
          <w:sz w:val="24"/>
          <w:szCs w:val="24"/>
          <w:u w:val="single"/>
        </w:rPr>
        <w:t>Use of contractors to perform inherently governmental functions or functions closely associated with inherently governmental functions</w:t>
      </w:r>
      <w:r w:rsidRPr="003B7313">
        <w:rPr>
          <w:rFonts w:ascii="Times New Roman" w:hAnsi="Times New Roman" w:cs="Times New Roman"/>
          <w:bCs/>
          <w:color w:val="000000"/>
          <w:sz w:val="24"/>
          <w:szCs w:val="24"/>
          <w:u w:val="single"/>
          <w:vertAlign w:val="superscript"/>
        </w:rPr>
        <w:footnoteReference w:id="9"/>
      </w:r>
    </w:p>
    <w:p w14:paraId="57EE3BE5" w14:textId="77777777" w:rsidR="00B73335" w:rsidRPr="003B7313" w:rsidRDefault="00B73335" w:rsidP="00B73335">
      <w:pPr>
        <w:spacing w:after="0" w:line="240" w:lineRule="auto"/>
        <w:ind w:firstLine="36"/>
        <w:contextualSpacing/>
        <w:rPr>
          <w:rFonts w:ascii="Times New Roman" w:hAnsi="Times New Roman" w:cs="Times New Roman"/>
          <w:bCs/>
          <w:color w:val="000000"/>
          <w:sz w:val="24"/>
          <w:szCs w:val="24"/>
          <w:u w:val="single"/>
        </w:rPr>
      </w:pPr>
    </w:p>
    <w:p w14:paraId="697C9DB3" w14:textId="17FBFA9B" w:rsidR="00B73335" w:rsidRPr="003B7313" w:rsidRDefault="00BB5636" w:rsidP="00B73335">
      <w:pPr>
        <w:spacing w:after="0" w:line="240" w:lineRule="auto"/>
        <w:ind w:firstLine="36"/>
        <w:contextualSpacing/>
        <w:rPr>
          <w:rFonts w:ascii="Times New Roman" w:hAnsi="Times New Roman" w:cs="Times New Roman"/>
          <w:bCs/>
          <w:color w:val="000000"/>
          <w:sz w:val="24"/>
          <w:szCs w:val="24"/>
        </w:rPr>
      </w:pPr>
      <w:r w:rsidRPr="003B7313">
        <w:rPr>
          <w:rFonts w:ascii="Times New Roman" w:hAnsi="Times New Roman" w:cs="Times New Roman"/>
          <w:color w:val="000000"/>
          <w:sz w:val="24"/>
          <w:szCs w:val="24"/>
        </w:rPr>
        <w:t>ED</w:t>
      </w:r>
      <w:r w:rsidR="00B73335" w:rsidRPr="003B7313">
        <w:rPr>
          <w:rFonts w:ascii="Times New Roman" w:hAnsi="Times New Roman" w:cs="Times New Roman"/>
          <w:color w:val="000000"/>
          <w:sz w:val="24"/>
          <w:szCs w:val="24"/>
        </w:rPr>
        <w:t>’s analysis</w:t>
      </w:r>
      <w:r w:rsidR="00B73335" w:rsidRPr="003B7313">
        <w:rPr>
          <w:rFonts w:ascii="Times New Roman" w:hAnsi="Times New Roman" w:cs="Times New Roman"/>
          <w:bCs/>
          <w:color w:val="000000"/>
          <w:sz w:val="24"/>
          <w:szCs w:val="24"/>
        </w:rPr>
        <w:t xml:space="preserve"> confirmed that </w:t>
      </w:r>
      <w:r w:rsidR="004267C1" w:rsidRPr="003B7313">
        <w:rPr>
          <w:rFonts w:ascii="Times New Roman" w:hAnsi="Times New Roman" w:cs="Times New Roman"/>
          <w:bCs/>
          <w:color w:val="000000"/>
          <w:sz w:val="24"/>
          <w:szCs w:val="24"/>
        </w:rPr>
        <w:t>ED</w:t>
      </w:r>
      <w:r w:rsidR="00B73335" w:rsidRPr="003B7313">
        <w:rPr>
          <w:rFonts w:ascii="Times New Roman" w:hAnsi="Times New Roman" w:cs="Times New Roman"/>
          <w:bCs/>
          <w:color w:val="000000"/>
          <w:sz w:val="24"/>
          <w:szCs w:val="24"/>
        </w:rPr>
        <w:t>’s FY 201</w:t>
      </w:r>
      <w:r w:rsidR="004267C1" w:rsidRPr="003B7313">
        <w:rPr>
          <w:rFonts w:ascii="Times New Roman" w:hAnsi="Times New Roman" w:cs="Times New Roman"/>
          <w:bCs/>
          <w:color w:val="000000"/>
          <w:sz w:val="24"/>
          <w:szCs w:val="24"/>
        </w:rPr>
        <w:t>9</w:t>
      </w:r>
      <w:r w:rsidR="00B73335" w:rsidRPr="003B7313">
        <w:rPr>
          <w:rFonts w:ascii="Times New Roman" w:hAnsi="Times New Roman" w:cs="Times New Roman"/>
          <w:bCs/>
          <w:color w:val="000000"/>
          <w:sz w:val="24"/>
          <w:szCs w:val="24"/>
        </w:rPr>
        <w:t xml:space="preserve"> SCI did not include any awards that are inherently governmental functions. </w:t>
      </w:r>
      <w:r w:rsidR="006F0279" w:rsidRPr="003B7313">
        <w:rPr>
          <w:rFonts w:ascii="Times New Roman" w:hAnsi="Times New Roman" w:cs="Times New Roman"/>
          <w:bCs/>
          <w:sz w:val="24"/>
          <w:szCs w:val="24"/>
        </w:rPr>
        <w:t xml:space="preserve">However, there </w:t>
      </w:r>
      <w:r w:rsidR="00927CE7" w:rsidRPr="003B7313">
        <w:rPr>
          <w:rFonts w:ascii="Times New Roman" w:hAnsi="Times New Roman" w:cs="Times New Roman"/>
          <w:bCs/>
          <w:sz w:val="24"/>
          <w:szCs w:val="24"/>
        </w:rPr>
        <w:t>was</w:t>
      </w:r>
      <w:r w:rsidR="00480522" w:rsidRPr="003B7313">
        <w:rPr>
          <w:rFonts w:ascii="Times New Roman" w:hAnsi="Times New Roman" w:cs="Times New Roman"/>
          <w:bCs/>
          <w:sz w:val="24"/>
          <w:szCs w:val="24"/>
        </w:rPr>
        <w:t xml:space="preserve"> one</w:t>
      </w:r>
      <w:r w:rsidR="006F0279" w:rsidRPr="003B7313">
        <w:rPr>
          <w:rFonts w:ascii="Times New Roman" w:hAnsi="Times New Roman" w:cs="Times New Roman"/>
          <w:bCs/>
          <w:sz w:val="24"/>
          <w:szCs w:val="24"/>
        </w:rPr>
        <w:t xml:space="preserve"> instances in which closely associated to inherently governmental functions, were being performed under </w:t>
      </w:r>
      <w:r w:rsidR="00480522" w:rsidRPr="003B7313">
        <w:rPr>
          <w:rFonts w:ascii="Times New Roman" w:hAnsi="Times New Roman" w:cs="Times New Roman"/>
          <w:bCs/>
          <w:sz w:val="24"/>
          <w:szCs w:val="24"/>
        </w:rPr>
        <w:t xml:space="preserve">an </w:t>
      </w:r>
      <w:r w:rsidR="006F0279" w:rsidRPr="003B7313">
        <w:rPr>
          <w:rFonts w:ascii="Times New Roman" w:hAnsi="Times New Roman" w:cs="Times New Roman"/>
          <w:bCs/>
          <w:sz w:val="24"/>
          <w:szCs w:val="24"/>
        </w:rPr>
        <w:t xml:space="preserve">ED contract – </w:t>
      </w:r>
      <w:r w:rsidR="00C83C30" w:rsidRPr="003B7313">
        <w:rPr>
          <w:rFonts w:ascii="Times New Roman" w:hAnsi="Times New Roman" w:cs="Times New Roman"/>
          <w:bCs/>
          <w:sz w:val="24"/>
          <w:szCs w:val="24"/>
        </w:rPr>
        <w:t>it was</w:t>
      </w:r>
      <w:r w:rsidR="006F0279" w:rsidRPr="003B7313">
        <w:rPr>
          <w:rFonts w:ascii="Times New Roman" w:hAnsi="Times New Roman" w:cs="Times New Roman"/>
          <w:bCs/>
          <w:sz w:val="24"/>
          <w:szCs w:val="24"/>
        </w:rPr>
        <w:t xml:space="preserve"> being performed based on appropriate statutory authority.</w:t>
      </w:r>
    </w:p>
    <w:p w14:paraId="6CBAD03D" w14:textId="77777777" w:rsidR="00B73335" w:rsidRPr="003B7313" w:rsidRDefault="00B73335" w:rsidP="00B73335">
      <w:pPr>
        <w:spacing w:after="0" w:line="240" w:lineRule="auto"/>
        <w:ind w:firstLine="36"/>
        <w:contextualSpacing/>
        <w:rPr>
          <w:rFonts w:ascii="Times New Roman" w:hAnsi="Times New Roman" w:cs="Times New Roman"/>
          <w:sz w:val="24"/>
          <w:szCs w:val="24"/>
        </w:rPr>
      </w:pPr>
    </w:p>
    <w:p w14:paraId="55D3A9CC" w14:textId="77777777" w:rsidR="00B73335" w:rsidRPr="003B7313" w:rsidRDefault="00B73335" w:rsidP="00B73335">
      <w:pPr>
        <w:spacing w:after="0" w:line="240" w:lineRule="auto"/>
        <w:ind w:firstLine="36"/>
        <w:contextualSpacing/>
        <w:rPr>
          <w:rFonts w:ascii="Times New Roman" w:hAnsi="Times New Roman" w:cs="Times New Roman"/>
          <w:bCs/>
          <w:color w:val="000000"/>
          <w:sz w:val="24"/>
          <w:szCs w:val="24"/>
          <w:u w:val="single"/>
        </w:rPr>
      </w:pPr>
      <w:r w:rsidRPr="003B7313">
        <w:rPr>
          <w:rFonts w:ascii="Times New Roman" w:hAnsi="Times New Roman" w:cs="Times New Roman"/>
          <w:bCs/>
          <w:color w:val="000000"/>
          <w:sz w:val="24"/>
          <w:szCs w:val="24"/>
          <w:u w:val="single"/>
        </w:rPr>
        <w:t>Use of contractors to perform critical functions in such a way that could affect the ability of the agency to maintain control of its mission and operations</w:t>
      </w:r>
      <w:r w:rsidRPr="003B7313">
        <w:rPr>
          <w:rFonts w:ascii="Times New Roman" w:hAnsi="Times New Roman" w:cs="Times New Roman"/>
          <w:b/>
          <w:bCs/>
          <w:color w:val="000000"/>
          <w:sz w:val="24"/>
          <w:szCs w:val="24"/>
        </w:rPr>
        <w:t xml:space="preserve"> </w:t>
      </w:r>
      <w:r w:rsidRPr="003B7313">
        <w:rPr>
          <w:rFonts w:ascii="Times New Roman" w:hAnsi="Times New Roman" w:cs="Times New Roman"/>
          <w:bCs/>
          <w:color w:val="000000"/>
          <w:sz w:val="24"/>
          <w:szCs w:val="24"/>
          <w:vertAlign w:val="superscript"/>
        </w:rPr>
        <w:footnoteReference w:id="10"/>
      </w:r>
      <w:r w:rsidRPr="003B7313">
        <w:rPr>
          <w:rFonts w:ascii="Times New Roman" w:hAnsi="Times New Roman" w:cs="Times New Roman"/>
          <w:bCs/>
          <w:color w:val="000000"/>
          <w:sz w:val="24"/>
          <w:szCs w:val="24"/>
        </w:rPr>
        <w:t xml:space="preserve"> </w:t>
      </w:r>
    </w:p>
    <w:p w14:paraId="3425D7D8" w14:textId="77777777" w:rsidR="00B73335" w:rsidRPr="003B7313" w:rsidRDefault="00B73335" w:rsidP="00B73335">
      <w:pPr>
        <w:autoSpaceDE w:val="0"/>
        <w:autoSpaceDN w:val="0"/>
        <w:adjustRightInd w:val="0"/>
        <w:spacing w:after="0" w:line="240" w:lineRule="auto"/>
        <w:rPr>
          <w:rFonts w:ascii="Times New Roman" w:hAnsi="Times New Roman" w:cs="Times New Roman"/>
          <w:sz w:val="24"/>
          <w:szCs w:val="24"/>
        </w:rPr>
      </w:pPr>
    </w:p>
    <w:p w14:paraId="2AD6400E" w14:textId="0B5E7A25" w:rsidR="00B73335" w:rsidRPr="003B7313" w:rsidRDefault="000E23ED" w:rsidP="00B73335">
      <w:pPr>
        <w:autoSpaceDE w:val="0"/>
        <w:autoSpaceDN w:val="0"/>
        <w:adjustRightInd w:val="0"/>
        <w:spacing w:after="0" w:line="240" w:lineRule="auto"/>
        <w:rPr>
          <w:rFonts w:ascii="Times New Roman" w:hAnsi="Times New Roman" w:cs="Times New Roman"/>
          <w:sz w:val="24"/>
          <w:szCs w:val="24"/>
        </w:rPr>
      </w:pPr>
      <w:bookmarkStart w:id="7" w:name="_Hlk3371043"/>
      <w:r w:rsidRPr="003B7313">
        <w:rPr>
          <w:rFonts w:ascii="Times New Roman" w:hAnsi="Times New Roman" w:cs="Times New Roman"/>
          <w:color w:val="000000"/>
          <w:sz w:val="24"/>
          <w:szCs w:val="24"/>
        </w:rPr>
        <w:t>ED</w:t>
      </w:r>
      <w:r w:rsidR="00B73335" w:rsidRPr="003B7313">
        <w:rPr>
          <w:rFonts w:ascii="Times New Roman" w:hAnsi="Times New Roman" w:cs="Times New Roman"/>
          <w:color w:val="000000"/>
          <w:sz w:val="24"/>
          <w:szCs w:val="24"/>
        </w:rPr>
        <w:t>’s FY 201</w:t>
      </w:r>
      <w:r w:rsidRPr="003B7313">
        <w:rPr>
          <w:rFonts w:ascii="Times New Roman" w:hAnsi="Times New Roman" w:cs="Times New Roman"/>
          <w:color w:val="000000"/>
          <w:sz w:val="24"/>
          <w:szCs w:val="24"/>
        </w:rPr>
        <w:t>9</w:t>
      </w:r>
      <w:r w:rsidR="00B73335" w:rsidRPr="003B7313">
        <w:rPr>
          <w:rFonts w:ascii="Times New Roman" w:hAnsi="Times New Roman" w:cs="Times New Roman"/>
          <w:color w:val="000000"/>
          <w:sz w:val="24"/>
          <w:szCs w:val="24"/>
        </w:rPr>
        <w:t xml:space="preserve"> SCI analysis revealed that </w:t>
      </w:r>
      <w:r w:rsidR="006C38F4" w:rsidRPr="003B7313">
        <w:rPr>
          <w:rFonts w:ascii="Times New Roman" w:hAnsi="Times New Roman" w:cs="Times New Roman"/>
          <w:color w:val="000000"/>
          <w:sz w:val="24"/>
          <w:szCs w:val="24"/>
        </w:rPr>
        <w:t>ED</w:t>
      </w:r>
      <w:r w:rsidR="00B73335" w:rsidRPr="003B7313">
        <w:rPr>
          <w:rFonts w:ascii="Times New Roman" w:hAnsi="Times New Roman" w:cs="Times New Roman"/>
          <w:color w:val="000000"/>
          <w:sz w:val="24"/>
          <w:szCs w:val="24"/>
        </w:rPr>
        <w:t xml:space="preserve"> OAs utilized contractor personnel to perform critical functions: F</w:t>
      </w:r>
      <w:r w:rsidR="006C38F4" w:rsidRPr="003B7313">
        <w:rPr>
          <w:rFonts w:ascii="Times New Roman" w:hAnsi="Times New Roman" w:cs="Times New Roman"/>
          <w:color w:val="000000"/>
          <w:sz w:val="24"/>
          <w:szCs w:val="24"/>
        </w:rPr>
        <w:t>S</w:t>
      </w:r>
      <w:r w:rsidR="00B73335" w:rsidRPr="003B7313">
        <w:rPr>
          <w:rFonts w:ascii="Times New Roman" w:hAnsi="Times New Roman" w:cs="Times New Roman"/>
          <w:color w:val="000000"/>
          <w:sz w:val="24"/>
          <w:szCs w:val="24"/>
        </w:rPr>
        <w:t>A</w:t>
      </w:r>
      <w:r w:rsidR="006C38F4" w:rsidRPr="003B7313">
        <w:rPr>
          <w:rFonts w:ascii="Times New Roman" w:hAnsi="Times New Roman" w:cs="Times New Roman"/>
          <w:color w:val="000000"/>
          <w:sz w:val="24"/>
          <w:szCs w:val="24"/>
        </w:rPr>
        <w:t xml:space="preserve"> </w:t>
      </w:r>
      <w:r w:rsidR="00B73335" w:rsidRPr="003B7313">
        <w:rPr>
          <w:rFonts w:ascii="Times New Roman" w:hAnsi="Times New Roman" w:cs="Times New Roman"/>
          <w:color w:val="000000"/>
          <w:sz w:val="24"/>
          <w:szCs w:val="24"/>
        </w:rPr>
        <w:t xml:space="preserve">and </w:t>
      </w:r>
      <w:r w:rsidR="006C38F4" w:rsidRPr="003B7313">
        <w:rPr>
          <w:rFonts w:ascii="Times New Roman" w:hAnsi="Times New Roman" w:cs="Times New Roman"/>
          <w:color w:val="000000"/>
          <w:sz w:val="24"/>
          <w:szCs w:val="24"/>
        </w:rPr>
        <w:t>CAM</w:t>
      </w:r>
      <w:r w:rsidR="00B73335" w:rsidRPr="003B7313">
        <w:rPr>
          <w:rFonts w:ascii="Times New Roman" w:hAnsi="Times New Roman" w:cs="Times New Roman"/>
          <w:color w:val="000000"/>
          <w:sz w:val="24"/>
          <w:szCs w:val="24"/>
        </w:rPr>
        <w:t xml:space="preserve">. </w:t>
      </w:r>
    </w:p>
    <w:bookmarkEnd w:id="7"/>
    <w:p w14:paraId="7864109B" w14:textId="77777777" w:rsidR="00B73335" w:rsidRPr="003B7313" w:rsidRDefault="00B73335" w:rsidP="00B73335">
      <w:pPr>
        <w:spacing w:after="0" w:line="240" w:lineRule="auto"/>
        <w:rPr>
          <w:rFonts w:ascii="Times New Roman" w:hAnsi="Times New Roman" w:cs="Times New Roman"/>
          <w:b/>
          <w:bCs/>
          <w:color w:val="000000"/>
          <w:sz w:val="24"/>
          <w:szCs w:val="24"/>
        </w:rPr>
      </w:pPr>
    </w:p>
    <w:p w14:paraId="47E7CEFD" w14:textId="199B3B9D" w:rsidR="00120289" w:rsidRPr="003B7313" w:rsidRDefault="00B73335" w:rsidP="00120289">
      <w:pPr>
        <w:spacing w:after="0" w:line="240" w:lineRule="auto"/>
        <w:rPr>
          <w:rFonts w:ascii="Times New Roman" w:hAnsi="Times New Roman" w:cs="Times New Roman"/>
          <w:bCs/>
          <w:color w:val="000000"/>
          <w:sz w:val="24"/>
          <w:szCs w:val="24"/>
        </w:rPr>
      </w:pPr>
      <w:r w:rsidRPr="003B7313">
        <w:rPr>
          <w:rFonts w:ascii="Times New Roman" w:hAnsi="Times New Roman" w:cs="Times New Roman"/>
          <w:bCs/>
          <w:color w:val="000000"/>
          <w:sz w:val="24"/>
          <w:szCs w:val="24"/>
        </w:rPr>
        <w:t xml:space="preserve">In </w:t>
      </w:r>
      <w:r w:rsidR="003835A9" w:rsidRPr="003B7313">
        <w:rPr>
          <w:rFonts w:ascii="Times New Roman" w:hAnsi="Times New Roman" w:cs="Times New Roman"/>
          <w:bCs/>
          <w:color w:val="000000"/>
          <w:sz w:val="24"/>
          <w:szCs w:val="24"/>
        </w:rPr>
        <w:t>FSA</w:t>
      </w:r>
      <w:r w:rsidRPr="003B7313">
        <w:rPr>
          <w:rFonts w:ascii="Times New Roman" w:hAnsi="Times New Roman" w:cs="Times New Roman"/>
          <w:bCs/>
          <w:color w:val="000000"/>
          <w:sz w:val="24"/>
          <w:szCs w:val="24"/>
        </w:rPr>
        <w:t xml:space="preserve">, contractor’s assist government personnel </w:t>
      </w:r>
      <w:r w:rsidR="00BA17EC" w:rsidRPr="003B7313">
        <w:rPr>
          <w:rFonts w:ascii="Times New Roman" w:hAnsi="Times New Roman" w:cs="Times New Roman"/>
          <w:bCs/>
          <w:color w:val="000000"/>
          <w:sz w:val="24"/>
          <w:szCs w:val="24"/>
        </w:rPr>
        <w:t xml:space="preserve">with </w:t>
      </w:r>
      <w:r w:rsidR="00C944D6" w:rsidRPr="003B7313">
        <w:rPr>
          <w:rFonts w:ascii="Times New Roman" w:hAnsi="Times New Roman" w:cs="Times New Roman"/>
          <w:bCs/>
          <w:color w:val="000000"/>
          <w:sz w:val="24"/>
          <w:szCs w:val="24"/>
        </w:rPr>
        <w:t>t</w:t>
      </w:r>
      <w:r w:rsidR="001039B9" w:rsidRPr="003B7313">
        <w:rPr>
          <w:rFonts w:ascii="Times New Roman" w:hAnsi="Times New Roman" w:cs="Times New Roman"/>
          <w:bCs/>
          <w:color w:val="000000"/>
          <w:sz w:val="24"/>
          <w:szCs w:val="24"/>
        </w:rPr>
        <w:t>hese</w:t>
      </w:r>
      <w:r w:rsidR="00C944D6" w:rsidRPr="003B7313">
        <w:rPr>
          <w:rFonts w:ascii="Times New Roman" w:hAnsi="Times New Roman" w:cs="Times New Roman"/>
          <w:bCs/>
          <w:color w:val="000000"/>
          <w:sz w:val="24"/>
          <w:szCs w:val="24"/>
        </w:rPr>
        <w:t xml:space="preserve"> mission critical </w:t>
      </w:r>
      <w:r w:rsidR="007F03E9" w:rsidRPr="003B7313">
        <w:rPr>
          <w:rFonts w:ascii="Times New Roman" w:hAnsi="Times New Roman" w:cs="Times New Roman"/>
          <w:bCs/>
          <w:color w:val="000000"/>
          <w:sz w:val="24"/>
          <w:szCs w:val="24"/>
        </w:rPr>
        <w:t>functions</w:t>
      </w:r>
      <w:r w:rsidR="00120289" w:rsidRPr="003B7313">
        <w:rPr>
          <w:rFonts w:ascii="Times New Roman" w:hAnsi="Times New Roman" w:cs="Times New Roman"/>
          <w:bCs/>
          <w:color w:val="000000"/>
          <w:sz w:val="24"/>
          <w:szCs w:val="24"/>
        </w:rPr>
        <w:t>, the Customer Relationship Management (CRM) tool</w:t>
      </w:r>
      <w:r w:rsidR="005F511F" w:rsidRPr="003B7313">
        <w:rPr>
          <w:rFonts w:ascii="Times New Roman" w:hAnsi="Times New Roman" w:cs="Times New Roman"/>
          <w:bCs/>
          <w:color w:val="000000"/>
          <w:sz w:val="24"/>
          <w:szCs w:val="24"/>
        </w:rPr>
        <w:t>,</w:t>
      </w:r>
      <w:r w:rsidR="001039B9" w:rsidRPr="003B7313">
        <w:rPr>
          <w:rFonts w:ascii="Times New Roman" w:hAnsi="Times New Roman" w:cs="Times New Roman"/>
          <w:bCs/>
          <w:color w:val="000000"/>
          <w:sz w:val="24"/>
          <w:szCs w:val="24"/>
        </w:rPr>
        <w:t xml:space="preserve"> which </w:t>
      </w:r>
      <w:r w:rsidR="00120289" w:rsidRPr="003B7313">
        <w:rPr>
          <w:rFonts w:ascii="Times New Roman" w:hAnsi="Times New Roman" w:cs="Times New Roman"/>
          <w:bCs/>
          <w:color w:val="000000"/>
          <w:sz w:val="24"/>
          <w:szCs w:val="24"/>
        </w:rPr>
        <w:t xml:space="preserve">supports a platform based on salesforce, and </w:t>
      </w:r>
      <w:r w:rsidR="00DB4E94" w:rsidRPr="003B7313">
        <w:rPr>
          <w:rFonts w:ascii="Times New Roman" w:hAnsi="Times New Roman" w:cs="Times New Roman"/>
          <w:bCs/>
          <w:color w:val="000000"/>
          <w:sz w:val="24"/>
          <w:szCs w:val="24"/>
        </w:rPr>
        <w:t>a</w:t>
      </w:r>
    </w:p>
    <w:p w14:paraId="6A6B3D3C" w14:textId="112FA052" w:rsidR="00434603" w:rsidRPr="003B7313" w:rsidRDefault="00120289" w:rsidP="00120289">
      <w:pPr>
        <w:spacing w:after="0" w:line="240" w:lineRule="auto"/>
        <w:rPr>
          <w:rFonts w:ascii="Times New Roman" w:hAnsi="Times New Roman" w:cs="Times New Roman"/>
          <w:bCs/>
          <w:color w:val="000000"/>
          <w:sz w:val="24"/>
          <w:szCs w:val="24"/>
        </w:rPr>
      </w:pPr>
      <w:r w:rsidRPr="003B7313">
        <w:rPr>
          <w:rFonts w:ascii="Times New Roman" w:hAnsi="Times New Roman" w:cs="Times New Roman"/>
          <w:bCs/>
          <w:color w:val="000000"/>
          <w:sz w:val="24"/>
          <w:szCs w:val="24"/>
        </w:rPr>
        <w:t xml:space="preserve">Customer Call Center (FDMS/Ombudsman, Borrower Defense (BD), </w:t>
      </w:r>
      <w:r w:rsidR="0001443D" w:rsidRPr="003B7313">
        <w:rPr>
          <w:rFonts w:ascii="Times New Roman" w:hAnsi="Times New Roman" w:cs="Times New Roman"/>
          <w:bCs/>
          <w:color w:val="000000"/>
          <w:sz w:val="24"/>
          <w:szCs w:val="24"/>
        </w:rPr>
        <w:t>this</w:t>
      </w:r>
      <w:r w:rsidR="00DB4E94" w:rsidRPr="003B7313">
        <w:rPr>
          <w:rFonts w:ascii="Times New Roman" w:hAnsi="Times New Roman" w:cs="Times New Roman"/>
          <w:bCs/>
          <w:color w:val="000000"/>
          <w:sz w:val="24"/>
          <w:szCs w:val="24"/>
        </w:rPr>
        <w:t xml:space="preserve"> call center</w:t>
      </w:r>
      <w:r w:rsidR="0001443D" w:rsidRPr="003B7313">
        <w:rPr>
          <w:rFonts w:ascii="Times New Roman" w:hAnsi="Times New Roman" w:cs="Times New Roman"/>
          <w:bCs/>
          <w:color w:val="000000"/>
          <w:sz w:val="24"/>
          <w:szCs w:val="24"/>
        </w:rPr>
        <w:t xml:space="preserve"> </w:t>
      </w:r>
      <w:r w:rsidR="00CD4FF1" w:rsidRPr="003B7313">
        <w:rPr>
          <w:rFonts w:ascii="Times New Roman" w:hAnsi="Times New Roman" w:cs="Times New Roman"/>
          <w:bCs/>
          <w:color w:val="000000"/>
          <w:sz w:val="24"/>
          <w:szCs w:val="24"/>
        </w:rPr>
        <w:t xml:space="preserve">provides </w:t>
      </w:r>
      <w:r w:rsidR="0001443D" w:rsidRPr="003B7313">
        <w:rPr>
          <w:rFonts w:ascii="Times New Roman" w:hAnsi="Times New Roman" w:cs="Times New Roman"/>
          <w:bCs/>
          <w:color w:val="000000"/>
          <w:sz w:val="24"/>
          <w:szCs w:val="24"/>
        </w:rPr>
        <w:t>s</w:t>
      </w:r>
      <w:r w:rsidRPr="003B7313">
        <w:rPr>
          <w:rFonts w:ascii="Times New Roman" w:hAnsi="Times New Roman" w:cs="Times New Roman"/>
          <w:bCs/>
          <w:color w:val="000000"/>
          <w:sz w:val="24"/>
          <w:szCs w:val="24"/>
        </w:rPr>
        <w:t>upport for various business unit</w:t>
      </w:r>
      <w:r w:rsidR="00DB4E94" w:rsidRPr="003B7313">
        <w:rPr>
          <w:rFonts w:ascii="Times New Roman" w:hAnsi="Times New Roman" w:cs="Times New Roman"/>
          <w:bCs/>
          <w:color w:val="000000"/>
          <w:sz w:val="24"/>
          <w:szCs w:val="24"/>
        </w:rPr>
        <w:t>s</w:t>
      </w:r>
      <w:r w:rsidRPr="003B7313">
        <w:rPr>
          <w:rFonts w:ascii="Times New Roman" w:hAnsi="Times New Roman" w:cs="Times New Roman"/>
          <w:bCs/>
          <w:color w:val="000000"/>
          <w:sz w:val="24"/>
          <w:szCs w:val="24"/>
        </w:rPr>
        <w:t xml:space="preserve"> ranging from mailings to complaint resolutions.</w:t>
      </w:r>
      <w:r w:rsidR="005F511F" w:rsidRPr="003B7313">
        <w:rPr>
          <w:rFonts w:ascii="Times New Roman" w:hAnsi="Times New Roman" w:cs="Times New Roman"/>
          <w:bCs/>
          <w:color w:val="000000"/>
          <w:sz w:val="24"/>
          <w:szCs w:val="24"/>
        </w:rPr>
        <w:t xml:space="preserve">  </w:t>
      </w:r>
    </w:p>
    <w:p w14:paraId="6F5C6650" w14:textId="77777777" w:rsidR="00434603" w:rsidRPr="003B7313" w:rsidRDefault="00434603" w:rsidP="00120289">
      <w:pPr>
        <w:spacing w:after="0" w:line="240" w:lineRule="auto"/>
        <w:rPr>
          <w:rFonts w:ascii="Times New Roman" w:hAnsi="Times New Roman" w:cs="Times New Roman"/>
          <w:bCs/>
          <w:color w:val="000000"/>
          <w:sz w:val="24"/>
          <w:szCs w:val="24"/>
        </w:rPr>
      </w:pPr>
    </w:p>
    <w:p w14:paraId="280097C0" w14:textId="33505305" w:rsidR="00996D41" w:rsidRPr="003B7313" w:rsidRDefault="00F86031" w:rsidP="00996D41">
      <w:pPr>
        <w:spacing w:after="0" w:line="240" w:lineRule="auto"/>
        <w:rPr>
          <w:rFonts w:ascii="Times New Roman" w:hAnsi="Times New Roman" w:cs="Times New Roman"/>
          <w:bCs/>
          <w:color w:val="000000"/>
          <w:sz w:val="24"/>
          <w:szCs w:val="24"/>
        </w:rPr>
      </w:pPr>
      <w:r w:rsidRPr="003B7313">
        <w:rPr>
          <w:rFonts w:ascii="Times New Roman" w:hAnsi="Times New Roman" w:cs="Times New Roman"/>
          <w:bCs/>
          <w:color w:val="000000"/>
          <w:sz w:val="24"/>
          <w:szCs w:val="24"/>
        </w:rPr>
        <w:t xml:space="preserve">In CAM, contractor’s assist government personnel with these mission critical functions, </w:t>
      </w:r>
      <w:r w:rsidR="00434603" w:rsidRPr="003B7313">
        <w:rPr>
          <w:rFonts w:ascii="Times New Roman" w:hAnsi="Times New Roman" w:cs="Times New Roman"/>
          <w:bCs/>
          <w:color w:val="000000"/>
          <w:sz w:val="24"/>
          <w:szCs w:val="24"/>
        </w:rPr>
        <w:t xml:space="preserve">the PIVOT-O Contractor provides the Department with support services for oversight of Planning, Programming, and Operations activities within the PIVOT infrastructure, </w:t>
      </w:r>
      <w:r w:rsidR="00B806AC" w:rsidRPr="003B7313">
        <w:rPr>
          <w:rFonts w:ascii="Times New Roman" w:hAnsi="Times New Roman" w:cs="Times New Roman"/>
          <w:bCs/>
          <w:color w:val="000000"/>
          <w:sz w:val="24"/>
          <w:szCs w:val="24"/>
        </w:rPr>
        <w:t xml:space="preserve">including </w:t>
      </w:r>
      <w:r w:rsidR="00434603" w:rsidRPr="003B7313">
        <w:rPr>
          <w:rFonts w:ascii="Times New Roman" w:hAnsi="Times New Roman" w:cs="Times New Roman"/>
          <w:bCs/>
          <w:color w:val="000000"/>
          <w:sz w:val="24"/>
          <w:szCs w:val="24"/>
        </w:rPr>
        <w:t>detailed monitoring and analysis of data as well as providing expert advice to the Department</w:t>
      </w:r>
      <w:r w:rsidR="00432E90" w:rsidRPr="003B7313">
        <w:rPr>
          <w:rFonts w:ascii="Times New Roman" w:hAnsi="Times New Roman" w:cs="Times New Roman"/>
          <w:bCs/>
          <w:color w:val="000000"/>
          <w:sz w:val="24"/>
          <w:szCs w:val="24"/>
        </w:rPr>
        <w:t>;</w:t>
      </w:r>
      <w:r w:rsidR="00D25E06" w:rsidRPr="003B7313">
        <w:rPr>
          <w:rFonts w:ascii="Times New Roman" w:hAnsi="Times New Roman" w:cs="Times New Roman"/>
          <w:bCs/>
          <w:color w:val="000000"/>
          <w:sz w:val="24"/>
          <w:szCs w:val="24"/>
        </w:rPr>
        <w:t xml:space="preserve"> </w:t>
      </w:r>
      <w:r w:rsidR="00434603" w:rsidRPr="003B7313">
        <w:rPr>
          <w:rFonts w:ascii="Times New Roman" w:hAnsi="Times New Roman" w:cs="Times New Roman"/>
          <w:bCs/>
          <w:color w:val="000000"/>
          <w:sz w:val="24"/>
          <w:szCs w:val="24"/>
        </w:rPr>
        <w:t xml:space="preserve"> </w:t>
      </w:r>
      <w:r w:rsidR="00B806AC" w:rsidRPr="003B7313">
        <w:rPr>
          <w:rFonts w:ascii="Times New Roman" w:hAnsi="Times New Roman" w:cs="Times New Roman"/>
          <w:bCs/>
          <w:color w:val="000000"/>
          <w:sz w:val="24"/>
          <w:szCs w:val="24"/>
        </w:rPr>
        <w:t>Cyber Security Operations Support</w:t>
      </w:r>
      <w:r w:rsidR="00A44FE4" w:rsidRPr="003B7313">
        <w:rPr>
          <w:rFonts w:ascii="Times New Roman" w:hAnsi="Times New Roman" w:cs="Times New Roman"/>
          <w:bCs/>
          <w:color w:val="000000"/>
          <w:sz w:val="24"/>
          <w:szCs w:val="24"/>
        </w:rPr>
        <w:t>, which includes t</w:t>
      </w:r>
      <w:r w:rsidR="002318F4" w:rsidRPr="003B7313">
        <w:rPr>
          <w:rFonts w:ascii="Times New Roman" w:hAnsi="Times New Roman" w:cs="Times New Roman"/>
          <w:bCs/>
          <w:color w:val="000000"/>
          <w:sz w:val="24"/>
          <w:szCs w:val="24"/>
        </w:rPr>
        <w:t>echnical, engineering, management, operation, logistical and administrative support to plan, coordinate, integrate, and conduct the activities necessary to ensure the protection and availability of the Department’s information infrastructure and assets</w:t>
      </w:r>
      <w:r w:rsidR="00996D41" w:rsidRPr="003B7313">
        <w:rPr>
          <w:rFonts w:ascii="Times New Roman" w:hAnsi="Times New Roman" w:cs="Times New Roman"/>
          <w:bCs/>
          <w:color w:val="000000"/>
          <w:sz w:val="24"/>
          <w:szCs w:val="24"/>
        </w:rPr>
        <w:t xml:space="preserve">; </w:t>
      </w:r>
      <w:r w:rsidR="00012B6A" w:rsidRPr="003B7313">
        <w:rPr>
          <w:rFonts w:ascii="Times New Roman" w:hAnsi="Times New Roman" w:cs="Times New Roman"/>
          <w:bCs/>
          <w:color w:val="000000"/>
          <w:sz w:val="24"/>
          <w:szCs w:val="24"/>
        </w:rPr>
        <w:t xml:space="preserve">Annual Report to Congress (ARC), </w:t>
      </w:r>
      <w:r w:rsidR="002B0D87" w:rsidRPr="003B7313">
        <w:rPr>
          <w:rFonts w:ascii="Times New Roman" w:hAnsi="Times New Roman" w:cs="Times New Roman"/>
          <w:bCs/>
          <w:color w:val="000000"/>
          <w:sz w:val="24"/>
          <w:szCs w:val="24"/>
        </w:rPr>
        <w:t>a c</w:t>
      </w:r>
      <w:r w:rsidR="00996D41" w:rsidRPr="003B7313">
        <w:rPr>
          <w:rFonts w:ascii="Times New Roman" w:hAnsi="Times New Roman" w:cs="Times New Roman"/>
          <w:bCs/>
          <w:color w:val="000000"/>
          <w:sz w:val="24"/>
          <w:szCs w:val="24"/>
        </w:rPr>
        <w:t xml:space="preserve">ontractor prepares the </w:t>
      </w:r>
      <w:r w:rsidR="002B0D87" w:rsidRPr="003B7313">
        <w:rPr>
          <w:rFonts w:ascii="Times New Roman" w:hAnsi="Times New Roman" w:cs="Times New Roman"/>
          <w:bCs/>
          <w:color w:val="000000"/>
          <w:sz w:val="24"/>
          <w:szCs w:val="24"/>
        </w:rPr>
        <w:t>a</w:t>
      </w:r>
      <w:r w:rsidR="00996D41" w:rsidRPr="003B7313">
        <w:rPr>
          <w:rFonts w:ascii="Times New Roman" w:hAnsi="Times New Roman" w:cs="Times New Roman"/>
          <w:bCs/>
          <w:color w:val="000000"/>
          <w:sz w:val="24"/>
          <w:szCs w:val="24"/>
        </w:rPr>
        <w:t xml:space="preserve">nnual </w:t>
      </w:r>
      <w:r w:rsidR="002B0D87" w:rsidRPr="003B7313">
        <w:rPr>
          <w:rFonts w:ascii="Times New Roman" w:hAnsi="Times New Roman" w:cs="Times New Roman"/>
          <w:bCs/>
          <w:color w:val="000000"/>
          <w:sz w:val="24"/>
          <w:szCs w:val="24"/>
        </w:rPr>
        <w:t>r</w:t>
      </w:r>
      <w:r w:rsidR="00996D41" w:rsidRPr="003B7313">
        <w:rPr>
          <w:rFonts w:ascii="Times New Roman" w:hAnsi="Times New Roman" w:cs="Times New Roman"/>
          <w:bCs/>
          <w:color w:val="000000"/>
          <w:sz w:val="24"/>
          <w:szCs w:val="24"/>
        </w:rPr>
        <w:t xml:space="preserve">eport to </w:t>
      </w:r>
      <w:r w:rsidR="002B0D87" w:rsidRPr="003B7313">
        <w:rPr>
          <w:rFonts w:ascii="Times New Roman" w:hAnsi="Times New Roman" w:cs="Times New Roman"/>
          <w:bCs/>
          <w:color w:val="000000"/>
          <w:sz w:val="24"/>
          <w:szCs w:val="24"/>
        </w:rPr>
        <w:t>c</w:t>
      </w:r>
      <w:r w:rsidR="00996D41" w:rsidRPr="003B7313">
        <w:rPr>
          <w:rFonts w:ascii="Times New Roman" w:hAnsi="Times New Roman" w:cs="Times New Roman"/>
          <w:bCs/>
          <w:color w:val="000000"/>
          <w:sz w:val="24"/>
          <w:szCs w:val="24"/>
        </w:rPr>
        <w:t>ongress</w:t>
      </w:r>
      <w:r w:rsidR="002B0D87" w:rsidRPr="003B7313">
        <w:rPr>
          <w:rFonts w:ascii="Times New Roman" w:hAnsi="Times New Roman" w:cs="Times New Roman"/>
          <w:bCs/>
          <w:color w:val="000000"/>
          <w:sz w:val="24"/>
          <w:szCs w:val="24"/>
        </w:rPr>
        <w:t>, which is</w:t>
      </w:r>
      <w:r w:rsidR="00996D41" w:rsidRPr="003B7313">
        <w:rPr>
          <w:rFonts w:ascii="Times New Roman" w:hAnsi="Times New Roman" w:cs="Times New Roman"/>
          <w:bCs/>
          <w:color w:val="000000"/>
          <w:sz w:val="24"/>
          <w:szCs w:val="24"/>
        </w:rPr>
        <w:t xml:space="preserve"> required by P.L. 108-446, the Individuals with Disabilities Education Improvement Act of 2004 (IDEA)</w:t>
      </w:r>
      <w:r w:rsidR="002B0D87" w:rsidRPr="003B7313">
        <w:rPr>
          <w:rFonts w:ascii="Times New Roman" w:hAnsi="Times New Roman" w:cs="Times New Roman"/>
          <w:bCs/>
          <w:color w:val="000000"/>
          <w:sz w:val="24"/>
          <w:szCs w:val="24"/>
        </w:rPr>
        <w:t xml:space="preserve">; and </w:t>
      </w:r>
      <w:r w:rsidR="003D48B1" w:rsidRPr="003B7313">
        <w:rPr>
          <w:rFonts w:ascii="Times New Roman" w:hAnsi="Times New Roman" w:cs="Times New Roman"/>
          <w:bCs/>
          <w:color w:val="000000"/>
          <w:sz w:val="24"/>
          <w:szCs w:val="24"/>
        </w:rPr>
        <w:t xml:space="preserve">Annual Performance Reports (APRs), is also </w:t>
      </w:r>
      <w:r w:rsidR="009C0891" w:rsidRPr="003B7313">
        <w:rPr>
          <w:rFonts w:ascii="Times New Roman" w:hAnsi="Times New Roman" w:cs="Times New Roman"/>
          <w:bCs/>
          <w:color w:val="000000"/>
          <w:sz w:val="24"/>
          <w:szCs w:val="24"/>
        </w:rPr>
        <w:t xml:space="preserve">supported </w:t>
      </w:r>
      <w:r w:rsidR="00965419" w:rsidRPr="003B7313">
        <w:rPr>
          <w:rFonts w:ascii="Times New Roman" w:hAnsi="Times New Roman" w:cs="Times New Roman"/>
          <w:bCs/>
          <w:color w:val="000000"/>
          <w:sz w:val="24"/>
          <w:szCs w:val="24"/>
        </w:rPr>
        <w:t>by</w:t>
      </w:r>
      <w:r w:rsidR="003D48B1" w:rsidRPr="003B7313">
        <w:rPr>
          <w:rFonts w:ascii="Times New Roman" w:hAnsi="Times New Roman" w:cs="Times New Roman"/>
          <w:bCs/>
          <w:color w:val="000000"/>
          <w:sz w:val="24"/>
          <w:szCs w:val="24"/>
        </w:rPr>
        <w:t xml:space="preserve"> a</w:t>
      </w:r>
      <w:r w:rsidR="00763579">
        <w:rPr>
          <w:rFonts w:ascii="Times New Roman" w:hAnsi="Times New Roman" w:cs="Times New Roman"/>
          <w:bCs/>
          <w:color w:val="000000"/>
          <w:sz w:val="24"/>
          <w:szCs w:val="24"/>
        </w:rPr>
        <w:t xml:space="preserve"> </w:t>
      </w:r>
      <w:r w:rsidR="001C2055" w:rsidRPr="003B7313">
        <w:rPr>
          <w:rFonts w:ascii="Times New Roman" w:hAnsi="Times New Roman" w:cs="Times New Roman"/>
          <w:bCs/>
          <w:color w:val="000000"/>
          <w:sz w:val="24"/>
          <w:szCs w:val="24"/>
        </w:rPr>
        <w:t>c</w:t>
      </w:r>
      <w:r w:rsidR="00996D41" w:rsidRPr="003B7313">
        <w:rPr>
          <w:rFonts w:ascii="Times New Roman" w:hAnsi="Times New Roman" w:cs="Times New Roman"/>
          <w:bCs/>
          <w:color w:val="000000"/>
          <w:sz w:val="24"/>
          <w:szCs w:val="24"/>
        </w:rPr>
        <w:t>ontractor</w:t>
      </w:r>
      <w:r w:rsidR="009C0891" w:rsidRPr="003B7313">
        <w:rPr>
          <w:rFonts w:ascii="Times New Roman" w:hAnsi="Times New Roman" w:cs="Times New Roman"/>
          <w:bCs/>
          <w:color w:val="000000"/>
          <w:sz w:val="24"/>
          <w:szCs w:val="24"/>
        </w:rPr>
        <w:t xml:space="preserve"> which</w:t>
      </w:r>
      <w:r w:rsidR="00996D41" w:rsidRPr="003B7313">
        <w:rPr>
          <w:rFonts w:ascii="Times New Roman" w:hAnsi="Times New Roman" w:cs="Times New Roman"/>
          <w:bCs/>
          <w:color w:val="000000"/>
          <w:sz w:val="24"/>
          <w:szCs w:val="24"/>
        </w:rPr>
        <w:t xml:space="preserve"> conducts analyses of grantees' data, as presented in their Annual Performance Reports (APRs)</w:t>
      </w:r>
      <w:r w:rsidR="001C2055" w:rsidRPr="003B7313">
        <w:rPr>
          <w:rFonts w:ascii="Times New Roman" w:hAnsi="Times New Roman" w:cs="Times New Roman"/>
          <w:bCs/>
          <w:color w:val="000000"/>
          <w:sz w:val="24"/>
          <w:szCs w:val="24"/>
        </w:rPr>
        <w:t>.</w:t>
      </w:r>
    </w:p>
    <w:p w14:paraId="48F377D9" w14:textId="3F498E0F" w:rsidR="00FE2681" w:rsidRPr="003B7313" w:rsidRDefault="00FE2681" w:rsidP="00B73335">
      <w:pPr>
        <w:spacing w:after="0" w:line="240" w:lineRule="auto"/>
        <w:rPr>
          <w:rFonts w:ascii="Times New Roman" w:hAnsi="Times New Roman" w:cs="Times New Roman"/>
          <w:bCs/>
          <w:color w:val="000000"/>
          <w:sz w:val="24"/>
          <w:szCs w:val="24"/>
        </w:rPr>
      </w:pPr>
    </w:p>
    <w:p w14:paraId="2AA77344" w14:textId="6616D67E" w:rsidR="00B73335" w:rsidRPr="003B7313" w:rsidRDefault="00B73335" w:rsidP="00B73335">
      <w:pPr>
        <w:autoSpaceDE w:val="0"/>
        <w:autoSpaceDN w:val="0"/>
        <w:adjustRightInd w:val="0"/>
        <w:spacing w:after="0" w:line="240" w:lineRule="auto"/>
        <w:rPr>
          <w:rFonts w:ascii="Times New Roman" w:hAnsi="Times New Roman" w:cs="Times New Roman"/>
          <w:sz w:val="24"/>
          <w:szCs w:val="24"/>
        </w:rPr>
      </w:pPr>
      <w:r w:rsidRPr="003B7313">
        <w:rPr>
          <w:rFonts w:ascii="Times New Roman" w:hAnsi="Times New Roman" w:cs="Times New Roman"/>
          <w:bCs/>
          <w:color w:val="000000"/>
          <w:sz w:val="24"/>
          <w:szCs w:val="24"/>
        </w:rPr>
        <w:t>In all instances, the OA</w:t>
      </w:r>
      <w:r w:rsidR="00763579">
        <w:rPr>
          <w:rFonts w:ascii="Times New Roman" w:hAnsi="Times New Roman" w:cs="Times New Roman"/>
          <w:bCs/>
          <w:color w:val="000000"/>
          <w:sz w:val="24"/>
          <w:szCs w:val="24"/>
        </w:rPr>
        <w:t>’</w:t>
      </w:r>
      <w:r w:rsidRPr="003B7313">
        <w:rPr>
          <w:rFonts w:ascii="Times New Roman" w:hAnsi="Times New Roman" w:cs="Times New Roman"/>
          <w:bCs/>
          <w:color w:val="000000"/>
          <w:sz w:val="24"/>
          <w:szCs w:val="24"/>
        </w:rPr>
        <w:t>s have sufficient internal capability to maintain control over functions that are essential to the agency’s mission and operations.  The OA</w:t>
      </w:r>
      <w:r w:rsidR="00763579">
        <w:rPr>
          <w:rFonts w:ascii="Times New Roman" w:hAnsi="Times New Roman" w:cs="Times New Roman"/>
          <w:bCs/>
          <w:color w:val="000000"/>
          <w:sz w:val="24"/>
          <w:szCs w:val="24"/>
        </w:rPr>
        <w:t>’</w:t>
      </w:r>
      <w:r w:rsidRPr="003B7313">
        <w:rPr>
          <w:rFonts w:ascii="Times New Roman" w:hAnsi="Times New Roman" w:cs="Times New Roman"/>
          <w:bCs/>
          <w:color w:val="000000"/>
          <w:sz w:val="24"/>
          <w:szCs w:val="24"/>
        </w:rPr>
        <w:t>s sufficiently manage these functions by having a trained Federal Acquisition Certification-Project/Program Manager (FAC-P/PM), FAC-Contracting Officer’s Representatives (FAC-COR) and FAC-Contracting (FAC-C) individuals assigned to these contracts – as required by the FAR – to monitor and conduct surveillance to ensure contracts do not become inherently governmental.  R</w:t>
      </w:r>
      <w:r w:rsidRPr="003B7313">
        <w:rPr>
          <w:rFonts w:ascii="Times New Roman" w:hAnsi="Times New Roman" w:cs="Times New Roman"/>
          <w:sz w:val="24"/>
          <w:szCs w:val="24"/>
        </w:rPr>
        <w:t xml:space="preserve">egular communication occurs between the Government and contractor to ensure that contract requirements are being met and that critical functions being performed do not transition into performance of inherently governmental functions by contractor employees. </w:t>
      </w:r>
    </w:p>
    <w:p w14:paraId="74FDCAA5" w14:textId="77777777" w:rsidR="00B73335" w:rsidRPr="003B7313" w:rsidRDefault="00B73335" w:rsidP="00B73335">
      <w:pPr>
        <w:spacing w:after="0" w:line="240" w:lineRule="auto"/>
        <w:rPr>
          <w:rFonts w:ascii="Times New Roman" w:hAnsi="Times New Roman" w:cs="Times New Roman"/>
          <w:bCs/>
          <w:color w:val="000000"/>
          <w:sz w:val="24"/>
          <w:szCs w:val="24"/>
        </w:rPr>
      </w:pPr>
    </w:p>
    <w:p w14:paraId="47541F11" w14:textId="77777777" w:rsidR="00B73335" w:rsidRPr="003B7313" w:rsidRDefault="00B73335" w:rsidP="00B73335">
      <w:pPr>
        <w:autoSpaceDE w:val="0"/>
        <w:autoSpaceDN w:val="0"/>
        <w:adjustRightInd w:val="0"/>
        <w:spacing w:after="0" w:line="240" w:lineRule="auto"/>
        <w:rPr>
          <w:rFonts w:ascii="Times New Roman" w:hAnsi="Times New Roman" w:cs="Times New Roman"/>
          <w:sz w:val="24"/>
          <w:szCs w:val="24"/>
          <w:u w:val="single"/>
        </w:rPr>
      </w:pPr>
      <w:r w:rsidRPr="003B7313">
        <w:rPr>
          <w:rFonts w:ascii="Times New Roman" w:hAnsi="Times New Roman" w:cs="Times New Roman"/>
          <w:sz w:val="24"/>
          <w:szCs w:val="24"/>
          <w:u w:val="single"/>
        </w:rPr>
        <w:t>Assessment of the effective balancing of contracted and government resources for service contracts</w:t>
      </w:r>
    </w:p>
    <w:p w14:paraId="0138A439" w14:textId="77777777" w:rsidR="00B73335" w:rsidRPr="003B7313" w:rsidRDefault="00B73335" w:rsidP="00B73335">
      <w:pPr>
        <w:autoSpaceDE w:val="0"/>
        <w:autoSpaceDN w:val="0"/>
        <w:adjustRightInd w:val="0"/>
        <w:spacing w:after="0" w:line="240" w:lineRule="auto"/>
        <w:rPr>
          <w:rFonts w:ascii="Times New Roman" w:hAnsi="Times New Roman" w:cs="Times New Roman"/>
          <w:sz w:val="24"/>
          <w:szCs w:val="24"/>
          <w:u w:val="single"/>
        </w:rPr>
      </w:pPr>
    </w:p>
    <w:p w14:paraId="37BE4DF4" w14:textId="65B11A47" w:rsidR="006566A0" w:rsidRPr="003B7313" w:rsidRDefault="00D9176B" w:rsidP="006566A0">
      <w:pPr>
        <w:spacing w:line="240" w:lineRule="auto"/>
        <w:rPr>
          <w:rFonts w:ascii="Times New Roman" w:hAnsi="Times New Roman" w:cs="Times New Roman"/>
          <w:bCs/>
          <w:sz w:val="24"/>
          <w:szCs w:val="24"/>
        </w:rPr>
      </w:pPr>
      <w:r w:rsidRPr="003B7313">
        <w:rPr>
          <w:rFonts w:ascii="Times New Roman" w:hAnsi="Times New Roman" w:cs="Times New Roman"/>
          <w:sz w:val="24"/>
          <w:szCs w:val="24"/>
        </w:rPr>
        <w:t>During ED’</w:t>
      </w:r>
      <w:r w:rsidR="0067590D" w:rsidRPr="003B7313">
        <w:rPr>
          <w:rFonts w:ascii="Times New Roman" w:hAnsi="Times New Roman" w:cs="Times New Roman"/>
          <w:sz w:val="24"/>
          <w:szCs w:val="24"/>
        </w:rPr>
        <w:t xml:space="preserve">s FY 2019 SCI, “No” </w:t>
      </w:r>
      <w:r w:rsidR="00B73335" w:rsidRPr="003B7313">
        <w:rPr>
          <w:rFonts w:ascii="Times New Roman" w:hAnsi="Times New Roman" w:cs="Times New Roman"/>
          <w:sz w:val="24"/>
          <w:szCs w:val="24"/>
        </w:rPr>
        <w:t xml:space="preserve">inherently governmental </w:t>
      </w:r>
      <w:r w:rsidR="00096511" w:rsidRPr="003B7313">
        <w:rPr>
          <w:rFonts w:ascii="Times New Roman" w:hAnsi="Times New Roman" w:cs="Times New Roman"/>
          <w:sz w:val="24"/>
          <w:szCs w:val="24"/>
        </w:rPr>
        <w:t>contracts were identified</w:t>
      </w:r>
      <w:r w:rsidR="00736FAB" w:rsidRPr="003B7313">
        <w:rPr>
          <w:rFonts w:ascii="Times New Roman" w:hAnsi="Times New Roman" w:cs="Times New Roman"/>
          <w:sz w:val="24"/>
          <w:szCs w:val="24"/>
        </w:rPr>
        <w:t xml:space="preserve">; however, </w:t>
      </w:r>
      <w:r w:rsidR="006566A0" w:rsidRPr="003B7313">
        <w:rPr>
          <w:rFonts w:ascii="Times New Roman" w:hAnsi="Times New Roman" w:cs="Times New Roman"/>
          <w:bCs/>
          <w:sz w:val="24"/>
          <w:szCs w:val="24"/>
        </w:rPr>
        <w:t>there were limited instances in which closely associated to inherently governmental functions, and critical functions were being performed under ED contracts</w:t>
      </w:r>
      <w:r w:rsidR="008C2E96" w:rsidRPr="003B7313">
        <w:rPr>
          <w:rFonts w:ascii="Times New Roman" w:hAnsi="Times New Roman" w:cs="Times New Roman"/>
          <w:bCs/>
          <w:sz w:val="24"/>
          <w:szCs w:val="24"/>
        </w:rPr>
        <w:t xml:space="preserve">. </w:t>
      </w:r>
      <w:r w:rsidR="00D92774" w:rsidRPr="003B7313">
        <w:rPr>
          <w:rFonts w:ascii="Times New Roman" w:hAnsi="Times New Roman" w:cs="Times New Roman"/>
          <w:bCs/>
          <w:sz w:val="24"/>
          <w:szCs w:val="24"/>
        </w:rPr>
        <w:t>The number and respective distribution of such</w:t>
      </w:r>
      <w:r w:rsidR="00F426C5" w:rsidRPr="003B7313">
        <w:rPr>
          <w:rFonts w:ascii="Times New Roman" w:hAnsi="Times New Roman" w:cs="Times New Roman"/>
          <w:bCs/>
          <w:sz w:val="24"/>
          <w:szCs w:val="24"/>
        </w:rPr>
        <w:t xml:space="preserve"> are as follows, </w:t>
      </w:r>
      <w:r w:rsidR="00850719" w:rsidRPr="003B7313">
        <w:rPr>
          <w:rFonts w:ascii="Times New Roman" w:hAnsi="Times New Roman" w:cs="Times New Roman"/>
          <w:bCs/>
          <w:sz w:val="24"/>
          <w:szCs w:val="24"/>
        </w:rPr>
        <w:t xml:space="preserve">one </w:t>
      </w:r>
      <w:r w:rsidR="005B0119" w:rsidRPr="003B7313">
        <w:rPr>
          <w:rFonts w:ascii="Times New Roman" w:hAnsi="Times New Roman" w:cs="Times New Roman"/>
          <w:bCs/>
          <w:sz w:val="24"/>
          <w:szCs w:val="24"/>
        </w:rPr>
        <w:t xml:space="preserve">instances germane to </w:t>
      </w:r>
      <w:r w:rsidR="009256C3" w:rsidRPr="003B7313">
        <w:rPr>
          <w:rFonts w:ascii="Times New Roman" w:hAnsi="Times New Roman" w:cs="Times New Roman"/>
          <w:bCs/>
          <w:sz w:val="24"/>
          <w:szCs w:val="24"/>
        </w:rPr>
        <w:t>“closely associated to inherently governme</w:t>
      </w:r>
      <w:r w:rsidR="00D45159" w:rsidRPr="003B7313">
        <w:rPr>
          <w:rFonts w:ascii="Times New Roman" w:hAnsi="Times New Roman" w:cs="Times New Roman"/>
          <w:bCs/>
          <w:sz w:val="24"/>
          <w:szCs w:val="24"/>
        </w:rPr>
        <w:t>ntal</w:t>
      </w:r>
      <w:r w:rsidR="00832BDF" w:rsidRPr="003B7313">
        <w:rPr>
          <w:rFonts w:ascii="Times New Roman" w:hAnsi="Times New Roman" w:cs="Times New Roman"/>
          <w:bCs/>
          <w:sz w:val="24"/>
          <w:szCs w:val="24"/>
        </w:rPr>
        <w:t>”</w:t>
      </w:r>
      <w:r w:rsidR="00D45159" w:rsidRPr="003B7313">
        <w:rPr>
          <w:rFonts w:ascii="Times New Roman" w:hAnsi="Times New Roman" w:cs="Times New Roman"/>
          <w:bCs/>
          <w:sz w:val="24"/>
          <w:szCs w:val="24"/>
        </w:rPr>
        <w:t xml:space="preserve"> and six instances </w:t>
      </w:r>
      <w:r w:rsidR="00A45A24" w:rsidRPr="003B7313">
        <w:rPr>
          <w:rFonts w:ascii="Times New Roman" w:hAnsi="Times New Roman" w:cs="Times New Roman"/>
          <w:bCs/>
          <w:sz w:val="24"/>
          <w:szCs w:val="24"/>
        </w:rPr>
        <w:t xml:space="preserve">germane to </w:t>
      </w:r>
      <w:r w:rsidR="00B675EC" w:rsidRPr="003B7313">
        <w:rPr>
          <w:rFonts w:ascii="Times New Roman" w:hAnsi="Times New Roman" w:cs="Times New Roman"/>
          <w:bCs/>
          <w:sz w:val="24"/>
          <w:szCs w:val="24"/>
        </w:rPr>
        <w:t>“critical functions”</w:t>
      </w:r>
      <w:r w:rsidR="006566A0" w:rsidRPr="003B7313">
        <w:rPr>
          <w:rFonts w:ascii="Times New Roman" w:hAnsi="Times New Roman" w:cs="Times New Roman"/>
          <w:bCs/>
          <w:sz w:val="24"/>
          <w:szCs w:val="24"/>
        </w:rPr>
        <w:t xml:space="preserve"> – and all were being performed based on appropriate statutory authority. </w:t>
      </w:r>
    </w:p>
    <w:p w14:paraId="681763D6" w14:textId="645DF66F" w:rsidR="00851275" w:rsidRPr="003B7313" w:rsidRDefault="00851275" w:rsidP="006566A0">
      <w:pPr>
        <w:spacing w:line="240" w:lineRule="auto"/>
        <w:rPr>
          <w:rFonts w:ascii="Times New Roman" w:hAnsi="Times New Roman" w:cs="Times New Roman"/>
          <w:bCs/>
          <w:sz w:val="24"/>
          <w:szCs w:val="24"/>
        </w:rPr>
      </w:pPr>
    </w:p>
    <w:p w14:paraId="699E91B5" w14:textId="74498F20" w:rsidR="00851275" w:rsidRPr="003B7313" w:rsidRDefault="00F07174" w:rsidP="00851275">
      <w:pPr>
        <w:autoSpaceDE w:val="0"/>
        <w:autoSpaceDN w:val="0"/>
        <w:adjustRightInd w:val="0"/>
        <w:spacing w:after="0" w:line="240" w:lineRule="auto"/>
        <w:rPr>
          <w:rFonts w:ascii="Times New Roman" w:hAnsi="Times New Roman" w:cs="Times New Roman"/>
          <w:sz w:val="24"/>
          <w:szCs w:val="24"/>
          <w:u w:val="single"/>
        </w:rPr>
      </w:pPr>
      <w:r w:rsidRPr="003B7313">
        <w:rPr>
          <w:rFonts w:ascii="Times New Roman" w:hAnsi="Times New Roman" w:cs="Times New Roman"/>
          <w:sz w:val="24"/>
          <w:szCs w:val="24"/>
          <w:u w:val="single"/>
        </w:rPr>
        <w:t>Other - Compliance with applicable FAR clauses</w:t>
      </w:r>
    </w:p>
    <w:p w14:paraId="56FB0E01" w14:textId="77777777" w:rsidR="00851275" w:rsidRPr="003B7313" w:rsidRDefault="00851275" w:rsidP="006566A0">
      <w:pPr>
        <w:spacing w:line="240" w:lineRule="auto"/>
        <w:rPr>
          <w:rFonts w:ascii="Times New Roman" w:hAnsi="Times New Roman" w:cs="Times New Roman"/>
          <w:bCs/>
          <w:sz w:val="24"/>
          <w:szCs w:val="24"/>
        </w:rPr>
      </w:pPr>
    </w:p>
    <w:p w14:paraId="5649FADF" w14:textId="494AEE58" w:rsidR="00851275" w:rsidRPr="003B7313" w:rsidRDefault="00851275" w:rsidP="006566A0">
      <w:pPr>
        <w:spacing w:line="240" w:lineRule="auto"/>
        <w:rPr>
          <w:rFonts w:ascii="Times New Roman" w:hAnsi="Times New Roman" w:cs="Times New Roman"/>
          <w:bCs/>
          <w:sz w:val="24"/>
          <w:szCs w:val="24"/>
        </w:rPr>
      </w:pPr>
      <w:r w:rsidRPr="00763579">
        <w:rPr>
          <w:rFonts w:ascii="Times New Roman" w:hAnsi="Times New Roman" w:cs="Times New Roman"/>
          <w:bCs/>
          <w:sz w:val="24"/>
          <w:szCs w:val="24"/>
        </w:rPr>
        <w:t>ED’s review found that, although the OAs reported sufficient balancing of contracted efforts and agency resources to effectively manage and oversee contracts.  While, contracts are administered by a team of highly trained and qualified acquisition professionals, there were limited instances wherein the contractor appears to have not complied with FAR 52.204-14, Service Contract Reporting Requirements or  52.204-15 Service Contract Reporting Requirements for Indefinite-Delivery Contracts; and likewise has not filed the required    “Services Contract Inventory Report.”  These limited instances of omission are not deemed as putting the Department at significant risk; however, the Department is swiftly working to resolve these types of omissions going forward</w:t>
      </w:r>
      <w:r w:rsidR="00283B11" w:rsidRPr="00763579">
        <w:rPr>
          <w:rFonts w:ascii="Times New Roman" w:hAnsi="Times New Roman" w:cs="Times New Roman"/>
          <w:bCs/>
          <w:sz w:val="24"/>
          <w:szCs w:val="24"/>
        </w:rPr>
        <w:t>.</w:t>
      </w:r>
    </w:p>
    <w:p w14:paraId="3CEC58AB" w14:textId="77777777" w:rsidR="00851275" w:rsidRPr="003B7313" w:rsidRDefault="00851275" w:rsidP="006566A0">
      <w:pPr>
        <w:spacing w:line="240" w:lineRule="auto"/>
        <w:rPr>
          <w:rFonts w:ascii="Times New Roman" w:hAnsi="Times New Roman" w:cs="Times New Roman"/>
          <w:bCs/>
          <w:sz w:val="24"/>
          <w:szCs w:val="24"/>
        </w:rPr>
      </w:pPr>
    </w:p>
    <w:p w14:paraId="3FAA8F6A" w14:textId="40B1A27A" w:rsidR="00EF5AA1" w:rsidRPr="003B7313" w:rsidRDefault="00EF5AA1" w:rsidP="00EF5AA1">
      <w:pPr>
        <w:keepNext/>
        <w:spacing w:before="200" w:line="240" w:lineRule="auto"/>
        <w:outlineLvl w:val="0"/>
        <w:rPr>
          <w:rFonts w:ascii="Times New Roman" w:eastAsia="Times New Roman" w:hAnsi="Times New Roman" w:cs="Times New Roman"/>
          <w:b/>
          <w:bCs/>
          <w:caps/>
          <w:kern w:val="32"/>
          <w:sz w:val="24"/>
          <w:szCs w:val="24"/>
        </w:rPr>
      </w:pPr>
      <w:r w:rsidRPr="003B7313">
        <w:rPr>
          <w:rFonts w:ascii="Times New Roman" w:eastAsia="Times New Roman" w:hAnsi="Times New Roman" w:cs="Times New Roman"/>
          <w:b/>
          <w:bCs/>
          <w:caps/>
          <w:kern w:val="32"/>
          <w:sz w:val="24"/>
          <w:szCs w:val="24"/>
        </w:rPr>
        <w:t xml:space="preserve">5.0 – </w:t>
      </w:r>
      <w:r w:rsidR="00283B11" w:rsidRPr="003B7313">
        <w:rPr>
          <w:rFonts w:ascii="Times New Roman" w:eastAsia="Times New Roman" w:hAnsi="Times New Roman" w:cs="Times New Roman"/>
          <w:b/>
          <w:bCs/>
          <w:caps/>
          <w:kern w:val="32"/>
          <w:sz w:val="24"/>
          <w:szCs w:val="24"/>
        </w:rPr>
        <w:t>Actions Taken or Planned</w:t>
      </w:r>
    </w:p>
    <w:p w14:paraId="0D4C9C9E" w14:textId="4D46D76C" w:rsidR="00EF5AA1" w:rsidRPr="003B7313" w:rsidRDefault="00681A1E" w:rsidP="00BA08B3">
      <w:pPr>
        <w:pStyle w:val="Heading4"/>
        <w:shd w:val="clear" w:color="auto" w:fill="FFFFFF"/>
        <w:spacing w:before="0"/>
        <w:textAlignment w:val="top"/>
        <w:rPr>
          <w:rFonts w:ascii="Times New Roman" w:hAnsi="Times New Roman" w:cs="Times New Roman"/>
          <w:bCs/>
          <w:i w:val="0"/>
          <w:iCs w:val="0"/>
          <w:sz w:val="24"/>
          <w:szCs w:val="24"/>
        </w:rPr>
      </w:pPr>
      <w:r w:rsidRPr="003B7313">
        <w:rPr>
          <w:rFonts w:ascii="Times New Roman" w:hAnsi="Times New Roman" w:cs="Times New Roman"/>
          <w:bCs/>
          <w:i w:val="0"/>
          <w:iCs w:val="0"/>
          <w:color w:val="auto"/>
          <w:sz w:val="24"/>
          <w:szCs w:val="24"/>
        </w:rPr>
        <w:t xml:space="preserve">Based </w:t>
      </w:r>
      <w:r w:rsidR="00BA08B3" w:rsidRPr="003B7313">
        <w:rPr>
          <w:rFonts w:ascii="Times New Roman" w:hAnsi="Times New Roman" w:cs="Times New Roman"/>
          <w:bCs/>
          <w:i w:val="0"/>
          <w:iCs w:val="0"/>
          <w:color w:val="auto"/>
          <w:sz w:val="24"/>
          <w:szCs w:val="24"/>
        </w:rPr>
        <w:t xml:space="preserve">on </w:t>
      </w:r>
      <w:r w:rsidR="00EF5AA1" w:rsidRPr="003B7313">
        <w:rPr>
          <w:rFonts w:ascii="Times New Roman" w:hAnsi="Times New Roman" w:cs="Times New Roman"/>
          <w:bCs/>
          <w:i w:val="0"/>
          <w:iCs w:val="0"/>
          <w:color w:val="auto"/>
          <w:sz w:val="24"/>
          <w:szCs w:val="24"/>
        </w:rPr>
        <w:t>ED’s review</w:t>
      </w:r>
      <w:r w:rsidRPr="003B7313">
        <w:rPr>
          <w:rFonts w:ascii="Times New Roman" w:hAnsi="Times New Roman" w:cs="Times New Roman"/>
          <w:bCs/>
          <w:i w:val="0"/>
          <w:iCs w:val="0"/>
          <w:color w:val="auto"/>
          <w:sz w:val="24"/>
          <w:szCs w:val="24"/>
        </w:rPr>
        <w:t xml:space="preserve">, </w:t>
      </w:r>
      <w:r w:rsidR="00CA791C" w:rsidRPr="003B7313">
        <w:rPr>
          <w:rFonts w:ascii="Times New Roman" w:hAnsi="Times New Roman" w:cs="Times New Roman"/>
          <w:bCs/>
          <w:i w:val="0"/>
          <w:iCs w:val="0"/>
          <w:color w:val="auto"/>
          <w:sz w:val="24"/>
          <w:szCs w:val="24"/>
        </w:rPr>
        <w:t xml:space="preserve">and </w:t>
      </w:r>
      <w:r w:rsidR="004F3057" w:rsidRPr="003B7313">
        <w:rPr>
          <w:rFonts w:ascii="Times New Roman" w:hAnsi="Times New Roman" w:cs="Times New Roman"/>
          <w:bCs/>
          <w:i w:val="0"/>
          <w:iCs w:val="0"/>
          <w:color w:val="auto"/>
          <w:sz w:val="24"/>
          <w:szCs w:val="24"/>
        </w:rPr>
        <w:t xml:space="preserve">in </w:t>
      </w:r>
      <w:r w:rsidR="00CA791C" w:rsidRPr="003B7313">
        <w:rPr>
          <w:rFonts w:ascii="Times New Roman" w:hAnsi="Times New Roman" w:cs="Times New Roman"/>
          <w:bCs/>
          <w:i w:val="0"/>
          <w:iCs w:val="0"/>
          <w:color w:val="auto"/>
          <w:sz w:val="24"/>
          <w:szCs w:val="24"/>
        </w:rPr>
        <w:t>response to the limited instances wherein the contractor appears to have not complied with FAR 52.204-14, Service Contract Reporting Requirements or 52.204-15 Service Contract Reporting Requirements for Indefinite-Delivery Contracts.</w:t>
      </w:r>
      <w:r w:rsidR="00CA791C" w:rsidRPr="003B7313">
        <w:rPr>
          <w:rFonts w:ascii="Times New Roman" w:hAnsi="Times New Roman" w:cs="Times New Roman"/>
          <w:bCs/>
          <w:color w:val="auto"/>
          <w:sz w:val="24"/>
          <w:szCs w:val="24"/>
        </w:rPr>
        <w:t xml:space="preserve"> </w:t>
      </w:r>
      <w:r w:rsidR="00CA791C" w:rsidRPr="003B7313">
        <w:rPr>
          <w:rFonts w:ascii="Times New Roman" w:hAnsi="Times New Roman" w:cs="Times New Roman"/>
          <w:bCs/>
          <w:i w:val="0"/>
          <w:iCs w:val="0"/>
          <w:color w:val="auto"/>
          <w:sz w:val="24"/>
          <w:szCs w:val="24"/>
        </w:rPr>
        <w:t xml:space="preserve"> The following action is recommended</w:t>
      </w:r>
      <w:r w:rsidR="004F3057" w:rsidRPr="003B7313">
        <w:rPr>
          <w:rFonts w:ascii="Times New Roman" w:hAnsi="Times New Roman" w:cs="Times New Roman"/>
          <w:bCs/>
          <w:i w:val="0"/>
          <w:iCs w:val="0"/>
          <w:color w:val="auto"/>
          <w:sz w:val="24"/>
          <w:szCs w:val="24"/>
        </w:rPr>
        <w:t>,</w:t>
      </w:r>
      <w:r w:rsidR="00CA791C" w:rsidRPr="003B7313">
        <w:rPr>
          <w:rFonts w:ascii="Times New Roman" w:hAnsi="Times New Roman" w:cs="Times New Roman"/>
          <w:bCs/>
          <w:i w:val="0"/>
          <w:iCs w:val="0"/>
          <w:color w:val="auto"/>
          <w:sz w:val="24"/>
          <w:szCs w:val="24"/>
        </w:rPr>
        <w:t xml:space="preserve"> </w:t>
      </w:r>
      <w:r w:rsidRPr="003B7313">
        <w:rPr>
          <w:rFonts w:ascii="Times New Roman" w:hAnsi="Times New Roman" w:cs="Times New Roman"/>
          <w:bCs/>
          <w:i w:val="0"/>
          <w:iCs w:val="0"/>
          <w:color w:val="auto"/>
          <w:sz w:val="24"/>
          <w:szCs w:val="24"/>
        </w:rPr>
        <w:t xml:space="preserve">it is encouraged that all acquisition professionals within the Department </w:t>
      </w:r>
      <w:r w:rsidR="00CA791C" w:rsidRPr="003B7313">
        <w:rPr>
          <w:rFonts w:ascii="Times New Roman" w:hAnsi="Times New Roman" w:cs="Times New Roman"/>
          <w:bCs/>
          <w:i w:val="0"/>
          <w:iCs w:val="0"/>
          <w:color w:val="auto"/>
          <w:sz w:val="24"/>
          <w:szCs w:val="24"/>
        </w:rPr>
        <w:t>become familiar with</w:t>
      </w:r>
      <w:r w:rsidRPr="003B7313">
        <w:rPr>
          <w:rFonts w:ascii="Times New Roman" w:hAnsi="Times New Roman" w:cs="Times New Roman"/>
          <w:bCs/>
          <w:i w:val="0"/>
          <w:iCs w:val="0"/>
          <w:color w:val="auto"/>
          <w:sz w:val="24"/>
          <w:szCs w:val="24"/>
        </w:rPr>
        <w:t xml:space="preserve"> the applicable sections of the FAR </w:t>
      </w:r>
      <w:r w:rsidR="00E8111A" w:rsidRPr="003B7313">
        <w:rPr>
          <w:rFonts w:ascii="Times New Roman" w:hAnsi="Times New Roman" w:cs="Times New Roman"/>
          <w:bCs/>
          <w:i w:val="0"/>
          <w:iCs w:val="0"/>
          <w:color w:val="auto"/>
          <w:sz w:val="24"/>
          <w:szCs w:val="24"/>
        </w:rPr>
        <w:t xml:space="preserve">(Subpart 4.17-Service Contracts Inventory) </w:t>
      </w:r>
      <w:r w:rsidR="00CA791C" w:rsidRPr="003B7313">
        <w:rPr>
          <w:rFonts w:ascii="Times New Roman" w:hAnsi="Times New Roman" w:cs="Times New Roman"/>
          <w:bCs/>
          <w:i w:val="0"/>
          <w:iCs w:val="0"/>
          <w:color w:val="auto"/>
          <w:sz w:val="24"/>
          <w:szCs w:val="24"/>
        </w:rPr>
        <w:t>and</w:t>
      </w:r>
      <w:r w:rsidR="00E8111A" w:rsidRPr="003B7313">
        <w:rPr>
          <w:rFonts w:ascii="Times New Roman" w:hAnsi="Times New Roman" w:cs="Times New Roman"/>
          <w:bCs/>
          <w:i w:val="0"/>
          <w:iCs w:val="0"/>
          <w:color w:val="auto"/>
          <w:sz w:val="24"/>
          <w:szCs w:val="24"/>
        </w:rPr>
        <w:t xml:space="preserve"> </w:t>
      </w:r>
      <w:r w:rsidR="00CA791C" w:rsidRPr="003B7313">
        <w:rPr>
          <w:rFonts w:ascii="Times New Roman" w:hAnsi="Times New Roman" w:cs="Times New Roman"/>
          <w:bCs/>
          <w:i w:val="0"/>
          <w:iCs w:val="0"/>
          <w:color w:val="auto"/>
          <w:sz w:val="24"/>
          <w:szCs w:val="24"/>
        </w:rPr>
        <w:t>additionally, they</w:t>
      </w:r>
      <w:r w:rsidR="00E8111A" w:rsidRPr="003B7313">
        <w:rPr>
          <w:rFonts w:ascii="Times New Roman" w:hAnsi="Times New Roman" w:cs="Times New Roman"/>
          <w:bCs/>
          <w:i w:val="0"/>
          <w:iCs w:val="0"/>
          <w:color w:val="auto"/>
          <w:sz w:val="24"/>
          <w:szCs w:val="24"/>
        </w:rPr>
        <w:t xml:space="preserve"> </w:t>
      </w:r>
      <w:r w:rsidR="00CA791C" w:rsidRPr="003B7313">
        <w:rPr>
          <w:rFonts w:ascii="Times New Roman" w:hAnsi="Times New Roman" w:cs="Times New Roman"/>
          <w:bCs/>
          <w:i w:val="0"/>
          <w:iCs w:val="0"/>
          <w:color w:val="auto"/>
          <w:sz w:val="24"/>
          <w:szCs w:val="24"/>
        </w:rPr>
        <w:t xml:space="preserve">should </w:t>
      </w:r>
      <w:r w:rsidR="00E8111A" w:rsidRPr="003B7313">
        <w:rPr>
          <w:rFonts w:ascii="Times New Roman" w:hAnsi="Times New Roman" w:cs="Times New Roman"/>
          <w:bCs/>
          <w:i w:val="0"/>
          <w:iCs w:val="0"/>
          <w:color w:val="auto"/>
          <w:sz w:val="24"/>
          <w:szCs w:val="24"/>
        </w:rPr>
        <w:t xml:space="preserve">review the </w:t>
      </w:r>
      <w:r w:rsidR="00BA08B3" w:rsidRPr="003B7313">
        <w:rPr>
          <w:rFonts w:ascii="Times New Roman" w:hAnsi="Times New Roman" w:cs="Times New Roman"/>
          <w:bCs/>
          <w:i w:val="0"/>
          <w:iCs w:val="0"/>
          <w:color w:val="auto"/>
          <w:sz w:val="24"/>
          <w:szCs w:val="24"/>
        </w:rPr>
        <w:t xml:space="preserve">“ </w:t>
      </w:r>
      <w:r w:rsidR="00BA08B3" w:rsidRPr="003B7313">
        <w:rPr>
          <w:rFonts w:ascii="Times New Roman" w:eastAsia="Times New Roman" w:hAnsi="Times New Roman" w:cs="Times New Roman"/>
          <w:bCs/>
          <w:color w:val="auto"/>
          <w:sz w:val="24"/>
          <w:szCs w:val="24"/>
        </w:rPr>
        <w:t xml:space="preserve">Quick Start Guide for Service Contract Reporting (SCR) located within the </w:t>
      </w:r>
      <w:r w:rsidR="00BA08B3" w:rsidRPr="003B7313">
        <w:rPr>
          <w:rFonts w:ascii="Times New Roman" w:hAnsi="Times New Roman" w:cs="Times New Roman"/>
          <w:bCs/>
          <w:color w:val="auto"/>
          <w:sz w:val="24"/>
          <w:szCs w:val="24"/>
        </w:rPr>
        <w:t>SAM.Gov site</w:t>
      </w:r>
      <w:r w:rsidR="00BA08B3" w:rsidRPr="003B7313">
        <w:rPr>
          <w:rFonts w:ascii="Times New Roman" w:hAnsi="Times New Roman" w:cs="Times New Roman"/>
          <w:bCs/>
          <w:i w:val="0"/>
          <w:iCs w:val="0"/>
          <w:color w:val="auto"/>
          <w:sz w:val="24"/>
          <w:szCs w:val="24"/>
        </w:rPr>
        <w:t xml:space="preserve">.  Contracting professionals should encourage contractors to comply when applicable and likewise hold them accountable when it’s been determined that compliance has not </w:t>
      </w:r>
      <w:r w:rsidR="00CA791C" w:rsidRPr="003B7313">
        <w:rPr>
          <w:rFonts w:ascii="Times New Roman" w:hAnsi="Times New Roman" w:cs="Times New Roman"/>
          <w:bCs/>
          <w:i w:val="0"/>
          <w:iCs w:val="0"/>
          <w:color w:val="auto"/>
          <w:sz w:val="24"/>
          <w:szCs w:val="24"/>
        </w:rPr>
        <w:t>occurred.</w:t>
      </w:r>
    </w:p>
    <w:p w14:paraId="75AB66BA" w14:textId="77777777" w:rsidR="00EF5AA1" w:rsidRPr="003B7313" w:rsidRDefault="00EF5AA1" w:rsidP="006566A0">
      <w:pPr>
        <w:spacing w:line="240" w:lineRule="auto"/>
        <w:rPr>
          <w:rFonts w:ascii="Times New Roman" w:hAnsi="Times New Roman" w:cs="Times New Roman"/>
          <w:bCs/>
          <w:sz w:val="24"/>
          <w:szCs w:val="24"/>
        </w:rPr>
      </w:pPr>
    </w:p>
    <w:p w14:paraId="7CA46763" w14:textId="77777777" w:rsidR="00B73335" w:rsidRPr="003B7313" w:rsidRDefault="00B73335" w:rsidP="00B73335">
      <w:pPr>
        <w:spacing w:after="0" w:line="240" w:lineRule="auto"/>
        <w:rPr>
          <w:rFonts w:ascii="Times New Roman" w:hAnsi="Times New Roman" w:cs="Times New Roman"/>
          <w:sz w:val="24"/>
          <w:szCs w:val="24"/>
          <w:u w:val="single"/>
        </w:rPr>
      </w:pPr>
    </w:p>
    <w:p w14:paraId="5B09463F" w14:textId="77777777" w:rsidR="00B73335" w:rsidRPr="003B7313" w:rsidRDefault="00B73335" w:rsidP="00B73335">
      <w:pPr>
        <w:keepNext/>
        <w:spacing w:before="200" w:line="240" w:lineRule="auto"/>
        <w:outlineLvl w:val="0"/>
        <w:rPr>
          <w:rFonts w:ascii="Times New Roman" w:eastAsia="Times New Roman" w:hAnsi="Times New Roman" w:cs="Times New Roman"/>
          <w:b/>
          <w:bCs/>
          <w:caps/>
          <w:kern w:val="32"/>
          <w:sz w:val="24"/>
          <w:szCs w:val="24"/>
        </w:rPr>
      </w:pPr>
      <w:bookmarkStart w:id="8" w:name="_Toc3887239"/>
      <w:r w:rsidRPr="003B7313">
        <w:rPr>
          <w:rFonts w:ascii="Times New Roman" w:eastAsia="Times New Roman" w:hAnsi="Times New Roman" w:cs="Times New Roman"/>
          <w:b/>
          <w:bCs/>
          <w:caps/>
          <w:kern w:val="32"/>
          <w:sz w:val="24"/>
          <w:szCs w:val="24"/>
        </w:rPr>
        <w:t>6.0 – Conclusion</w:t>
      </w:r>
      <w:bookmarkEnd w:id="8"/>
    </w:p>
    <w:p w14:paraId="433BD510" w14:textId="69EE6F5A" w:rsidR="00B73335" w:rsidRPr="003B7313" w:rsidRDefault="000A0BF7" w:rsidP="00B73335">
      <w:pPr>
        <w:autoSpaceDE w:val="0"/>
        <w:autoSpaceDN w:val="0"/>
        <w:adjustRightInd w:val="0"/>
        <w:spacing w:after="0" w:line="240" w:lineRule="auto"/>
        <w:rPr>
          <w:rFonts w:ascii="Times New Roman" w:hAnsi="Times New Roman" w:cs="Times New Roman"/>
          <w:bCs/>
          <w:sz w:val="24"/>
          <w:szCs w:val="24"/>
        </w:rPr>
      </w:pPr>
      <w:r w:rsidRPr="003B7313">
        <w:rPr>
          <w:rFonts w:ascii="Times New Roman" w:hAnsi="Times New Roman" w:cs="Times New Roman"/>
          <w:bCs/>
          <w:sz w:val="24"/>
          <w:szCs w:val="24"/>
        </w:rPr>
        <w:t>ED</w:t>
      </w:r>
      <w:r w:rsidR="00B73335" w:rsidRPr="003B7313">
        <w:rPr>
          <w:rFonts w:ascii="Times New Roman" w:hAnsi="Times New Roman" w:cs="Times New Roman"/>
          <w:bCs/>
          <w:sz w:val="24"/>
          <w:szCs w:val="24"/>
        </w:rPr>
        <w:t xml:space="preserve">’s review found that </w:t>
      </w:r>
      <w:r w:rsidRPr="003B7313">
        <w:rPr>
          <w:rFonts w:ascii="Times New Roman" w:hAnsi="Times New Roman" w:cs="Times New Roman"/>
          <w:bCs/>
          <w:sz w:val="24"/>
          <w:szCs w:val="24"/>
        </w:rPr>
        <w:t>the</w:t>
      </w:r>
      <w:r w:rsidR="00B73335" w:rsidRPr="003B7313">
        <w:rPr>
          <w:rFonts w:ascii="Times New Roman" w:hAnsi="Times New Roman" w:cs="Times New Roman"/>
          <w:bCs/>
          <w:sz w:val="24"/>
          <w:szCs w:val="24"/>
        </w:rPr>
        <w:t xml:space="preserve"> OAs reported sufficient balancing of contracted efforts and agency resources to effectively manage and oversee contracts.  All contracts are administered by a team of highly trained and qualified acquisition professionals, such as project/program managers, CORs, contracting officers and contract specialists. All individuals performing official roles are certified at an appropriate FAC-level and have various other relevant experience and training. </w:t>
      </w:r>
      <w:r w:rsidR="003A1472" w:rsidRPr="003B7313">
        <w:rPr>
          <w:rFonts w:ascii="Times New Roman" w:hAnsi="Times New Roman" w:cs="Times New Roman"/>
          <w:bCs/>
          <w:sz w:val="24"/>
          <w:szCs w:val="24"/>
        </w:rPr>
        <w:t xml:space="preserve">Therefore, based on this review/analysis, it’s determined that </w:t>
      </w:r>
      <w:r w:rsidR="007E4528" w:rsidRPr="003B7313">
        <w:rPr>
          <w:rFonts w:ascii="Times New Roman" w:hAnsi="Times New Roman" w:cs="Times New Roman"/>
          <w:bCs/>
          <w:sz w:val="24"/>
          <w:szCs w:val="24"/>
        </w:rPr>
        <w:t xml:space="preserve">no </w:t>
      </w:r>
      <w:r w:rsidR="005A7618" w:rsidRPr="003B7313">
        <w:rPr>
          <w:rFonts w:ascii="Times New Roman" w:hAnsi="Times New Roman" w:cs="Times New Roman"/>
          <w:bCs/>
          <w:sz w:val="24"/>
          <w:szCs w:val="24"/>
        </w:rPr>
        <w:t xml:space="preserve">further actions are required </w:t>
      </w:r>
      <w:r w:rsidR="00681A1E" w:rsidRPr="003B7313">
        <w:rPr>
          <w:rFonts w:ascii="Times New Roman" w:hAnsi="Times New Roman" w:cs="Times New Roman"/>
          <w:bCs/>
          <w:sz w:val="24"/>
          <w:szCs w:val="24"/>
        </w:rPr>
        <w:t xml:space="preserve">beyond that which has been noted within section 5.0 above </w:t>
      </w:r>
      <w:r w:rsidR="005A7618" w:rsidRPr="003B7313">
        <w:rPr>
          <w:rFonts w:ascii="Times New Roman" w:hAnsi="Times New Roman" w:cs="Times New Roman"/>
          <w:bCs/>
          <w:sz w:val="24"/>
          <w:szCs w:val="24"/>
        </w:rPr>
        <w:t xml:space="preserve">and that there are no “Personal Service Contract” within ED and likewise no </w:t>
      </w:r>
      <w:r w:rsidR="002210C3" w:rsidRPr="003B7313">
        <w:rPr>
          <w:rFonts w:ascii="Times New Roman" w:hAnsi="Times New Roman" w:cs="Times New Roman"/>
          <w:bCs/>
          <w:sz w:val="24"/>
          <w:szCs w:val="24"/>
        </w:rPr>
        <w:t xml:space="preserve">contracts </w:t>
      </w:r>
      <w:r w:rsidR="00F75F45" w:rsidRPr="003B7313">
        <w:rPr>
          <w:rFonts w:ascii="Times New Roman" w:hAnsi="Times New Roman" w:cs="Times New Roman"/>
          <w:bCs/>
          <w:sz w:val="24"/>
          <w:szCs w:val="24"/>
        </w:rPr>
        <w:t>to recommend for further in-sourcing study.</w:t>
      </w:r>
    </w:p>
    <w:p w14:paraId="6969AE96" w14:textId="77777777" w:rsidR="00B73335" w:rsidRPr="003B7313" w:rsidRDefault="00B73335" w:rsidP="00B73335">
      <w:pPr>
        <w:keepNext/>
        <w:spacing w:before="200" w:line="240" w:lineRule="auto"/>
        <w:outlineLvl w:val="0"/>
        <w:rPr>
          <w:rFonts w:ascii="Times New Roman" w:eastAsia="Times New Roman" w:hAnsi="Times New Roman" w:cs="Times New Roman"/>
          <w:b/>
          <w:bCs/>
          <w:caps/>
          <w:kern w:val="32"/>
          <w:sz w:val="24"/>
          <w:szCs w:val="24"/>
        </w:rPr>
      </w:pPr>
      <w:bookmarkStart w:id="9" w:name="_Toc3887240"/>
      <w:r w:rsidRPr="003B7313">
        <w:rPr>
          <w:rFonts w:ascii="Times New Roman" w:eastAsia="Times New Roman" w:hAnsi="Times New Roman" w:cs="Times New Roman"/>
          <w:b/>
          <w:bCs/>
          <w:caps/>
          <w:kern w:val="32"/>
          <w:sz w:val="24"/>
          <w:szCs w:val="24"/>
        </w:rPr>
        <w:lastRenderedPageBreak/>
        <w:t>7.0 – Accountable Official:</w:t>
      </w:r>
      <w:bookmarkEnd w:id="9"/>
    </w:p>
    <w:p w14:paraId="165BA04A" w14:textId="14FA0095" w:rsidR="00B73335" w:rsidRPr="003B7313" w:rsidRDefault="004467BE" w:rsidP="00806B85">
      <w:pPr>
        <w:rPr>
          <w:rFonts w:ascii="Times New Roman" w:hAnsi="Times New Roman" w:cs="Times New Roman"/>
          <w:sz w:val="24"/>
          <w:szCs w:val="24"/>
        </w:rPr>
      </w:pPr>
      <w:r w:rsidRPr="003B7313">
        <w:rPr>
          <w:rFonts w:ascii="Times New Roman" w:hAnsi="Times New Roman" w:cs="Times New Roman"/>
          <w:sz w:val="24"/>
          <w:szCs w:val="24"/>
        </w:rPr>
        <w:t>Phillip</w:t>
      </w:r>
      <w:r w:rsidR="00A248E3" w:rsidRPr="003B7313">
        <w:rPr>
          <w:rFonts w:ascii="Times New Roman" w:hAnsi="Times New Roman" w:cs="Times New Roman"/>
          <w:sz w:val="24"/>
          <w:szCs w:val="24"/>
        </w:rPr>
        <w:t xml:space="preserve"> R.</w:t>
      </w:r>
      <w:r w:rsidRPr="003B7313">
        <w:rPr>
          <w:rFonts w:ascii="Times New Roman" w:hAnsi="Times New Roman" w:cs="Times New Roman"/>
          <w:sz w:val="24"/>
          <w:szCs w:val="24"/>
        </w:rPr>
        <w:t xml:space="preserve"> J</w:t>
      </w:r>
      <w:r w:rsidR="00CC7EE1" w:rsidRPr="003B7313">
        <w:rPr>
          <w:rFonts w:ascii="Times New Roman" w:hAnsi="Times New Roman" w:cs="Times New Roman"/>
          <w:sz w:val="24"/>
          <w:szCs w:val="24"/>
        </w:rPr>
        <w:t>uen</w:t>
      </w:r>
      <w:r w:rsidR="00C03D66" w:rsidRPr="003B7313">
        <w:rPr>
          <w:rFonts w:ascii="Times New Roman" w:hAnsi="Times New Roman" w:cs="Times New Roman"/>
          <w:sz w:val="24"/>
          <w:szCs w:val="24"/>
        </w:rPr>
        <w:t>gst</w:t>
      </w:r>
      <w:r w:rsidR="00B73335" w:rsidRPr="003B7313">
        <w:rPr>
          <w:rFonts w:ascii="Times New Roman" w:hAnsi="Times New Roman" w:cs="Times New Roman"/>
          <w:sz w:val="24"/>
          <w:szCs w:val="24"/>
        </w:rPr>
        <w:br/>
      </w:r>
      <w:r w:rsidR="00806B85" w:rsidRPr="003B7313">
        <w:rPr>
          <w:rFonts w:ascii="Times New Roman" w:eastAsia="Times New Roman" w:hAnsi="Times New Roman" w:cs="Times New Roman"/>
          <w:sz w:val="24"/>
          <w:szCs w:val="24"/>
        </w:rPr>
        <w:t>Deputy Assistant Secretary for Acquisition and Grants Administration</w:t>
      </w:r>
      <w:r w:rsidR="00806B85" w:rsidRPr="003B7313">
        <w:rPr>
          <w:rFonts w:ascii="Times New Roman" w:eastAsia="Times New Roman" w:hAnsi="Times New Roman" w:cs="Times New Roman"/>
          <w:sz w:val="24"/>
          <w:szCs w:val="24"/>
        </w:rPr>
        <w:br/>
        <w:t>Senior Procurement Executive</w:t>
      </w:r>
      <w:r w:rsidR="00B73335" w:rsidRPr="003B7313">
        <w:rPr>
          <w:rFonts w:ascii="Times New Roman" w:hAnsi="Times New Roman" w:cs="Times New Roman"/>
          <w:sz w:val="24"/>
          <w:szCs w:val="24"/>
        </w:rPr>
        <w:br/>
        <w:t xml:space="preserve">U.S. Department of </w:t>
      </w:r>
      <w:r w:rsidR="00B64649" w:rsidRPr="003B7313">
        <w:rPr>
          <w:rFonts w:ascii="Times New Roman" w:hAnsi="Times New Roman" w:cs="Times New Roman"/>
          <w:sz w:val="24"/>
          <w:szCs w:val="24"/>
        </w:rPr>
        <w:t>Education</w:t>
      </w:r>
      <w:r w:rsidR="00B73335" w:rsidRPr="003B7313">
        <w:rPr>
          <w:rFonts w:ascii="Times New Roman" w:hAnsi="Times New Roman" w:cs="Times New Roman"/>
          <w:sz w:val="24"/>
          <w:szCs w:val="24"/>
        </w:rPr>
        <w:br/>
      </w:r>
      <w:r w:rsidR="0026435F" w:rsidRPr="003B7313">
        <w:rPr>
          <w:rFonts w:ascii="Times New Roman" w:hAnsi="Times New Roman" w:cs="Times New Roman"/>
          <w:sz w:val="24"/>
          <w:szCs w:val="24"/>
        </w:rPr>
        <w:t>4</w:t>
      </w:r>
      <w:r w:rsidR="00B73335" w:rsidRPr="003B7313">
        <w:rPr>
          <w:rFonts w:ascii="Times New Roman" w:hAnsi="Times New Roman" w:cs="Times New Roman"/>
          <w:sz w:val="24"/>
          <w:szCs w:val="24"/>
        </w:rPr>
        <w:t xml:space="preserve">00 </w:t>
      </w:r>
      <w:r w:rsidR="0026435F" w:rsidRPr="003B7313">
        <w:rPr>
          <w:rFonts w:ascii="Times New Roman" w:hAnsi="Times New Roman" w:cs="Times New Roman"/>
          <w:sz w:val="24"/>
          <w:szCs w:val="24"/>
        </w:rPr>
        <w:t>Maryland</w:t>
      </w:r>
      <w:r w:rsidR="00B73335" w:rsidRPr="003B7313">
        <w:rPr>
          <w:rFonts w:ascii="Times New Roman" w:hAnsi="Times New Roman" w:cs="Times New Roman"/>
          <w:sz w:val="24"/>
          <w:szCs w:val="24"/>
        </w:rPr>
        <w:t xml:space="preserve"> Avenue</w:t>
      </w:r>
      <w:r w:rsidR="00E70669" w:rsidRPr="003B7313">
        <w:rPr>
          <w:rFonts w:ascii="Times New Roman" w:hAnsi="Times New Roman" w:cs="Times New Roman"/>
          <w:sz w:val="24"/>
          <w:szCs w:val="24"/>
        </w:rPr>
        <w:t xml:space="preserve"> </w:t>
      </w:r>
      <w:r w:rsidR="00B73335" w:rsidRPr="003B7313">
        <w:rPr>
          <w:rFonts w:ascii="Times New Roman" w:hAnsi="Times New Roman" w:cs="Times New Roman"/>
          <w:sz w:val="24"/>
          <w:szCs w:val="24"/>
        </w:rPr>
        <w:br/>
        <w:t>Washington, DC 20</w:t>
      </w:r>
      <w:r w:rsidR="00E70669" w:rsidRPr="003B7313">
        <w:rPr>
          <w:rFonts w:ascii="Times New Roman" w:hAnsi="Times New Roman" w:cs="Times New Roman"/>
          <w:sz w:val="24"/>
          <w:szCs w:val="24"/>
        </w:rPr>
        <w:t>202</w:t>
      </w:r>
    </w:p>
    <w:p w14:paraId="5420EAA8" w14:textId="77777777" w:rsidR="00B73335" w:rsidRPr="003B7313" w:rsidRDefault="00B73335" w:rsidP="00B73335">
      <w:pPr>
        <w:keepNext/>
        <w:spacing w:before="200" w:line="240" w:lineRule="auto"/>
        <w:outlineLvl w:val="0"/>
        <w:rPr>
          <w:rFonts w:ascii="Times New Roman" w:eastAsia="Times New Roman" w:hAnsi="Times New Roman" w:cs="Times New Roman"/>
          <w:b/>
          <w:bCs/>
          <w:caps/>
          <w:kern w:val="32"/>
          <w:sz w:val="24"/>
          <w:szCs w:val="24"/>
        </w:rPr>
      </w:pPr>
      <w:r w:rsidRPr="003B7313">
        <w:rPr>
          <w:rFonts w:ascii="Times New Roman" w:eastAsia="Times New Roman" w:hAnsi="Times New Roman" w:cs="Times New Roman"/>
          <w:b/>
          <w:bCs/>
          <w:caps/>
          <w:kern w:val="32"/>
          <w:sz w:val="24"/>
          <w:szCs w:val="24"/>
        </w:rPr>
        <w:t>8.0 – ATTACHMENTS:</w:t>
      </w:r>
    </w:p>
    <w:p w14:paraId="38EEF035" w14:textId="59854275" w:rsidR="00B73335" w:rsidRPr="003B7313" w:rsidRDefault="00E70669" w:rsidP="00B73335">
      <w:pPr>
        <w:numPr>
          <w:ilvl w:val="0"/>
          <w:numId w:val="9"/>
        </w:numPr>
        <w:spacing w:line="240" w:lineRule="auto"/>
        <w:contextualSpacing/>
        <w:rPr>
          <w:rFonts w:ascii="Times New Roman" w:hAnsi="Times New Roman" w:cs="Times New Roman"/>
          <w:sz w:val="24"/>
          <w:szCs w:val="24"/>
        </w:rPr>
      </w:pPr>
      <w:r w:rsidRPr="003B7313">
        <w:rPr>
          <w:rFonts w:ascii="Times New Roman" w:hAnsi="Times New Roman" w:cs="Times New Roman"/>
          <w:sz w:val="24"/>
          <w:szCs w:val="24"/>
        </w:rPr>
        <w:t>ED</w:t>
      </w:r>
      <w:r w:rsidR="00B73335" w:rsidRPr="003B7313">
        <w:rPr>
          <w:rFonts w:ascii="Times New Roman" w:hAnsi="Times New Roman" w:cs="Times New Roman"/>
          <w:sz w:val="24"/>
          <w:szCs w:val="24"/>
        </w:rPr>
        <w:t xml:space="preserve"> FY 20</w:t>
      </w:r>
      <w:r w:rsidR="006049EC" w:rsidRPr="003B7313">
        <w:rPr>
          <w:rFonts w:ascii="Times New Roman" w:hAnsi="Times New Roman" w:cs="Times New Roman"/>
          <w:sz w:val="24"/>
          <w:szCs w:val="24"/>
        </w:rPr>
        <w:t>20</w:t>
      </w:r>
      <w:r w:rsidR="00B73335" w:rsidRPr="003B7313">
        <w:rPr>
          <w:rFonts w:ascii="Times New Roman" w:hAnsi="Times New Roman" w:cs="Times New Roman"/>
          <w:sz w:val="24"/>
          <w:szCs w:val="24"/>
        </w:rPr>
        <w:t xml:space="preserve"> S</w:t>
      </w:r>
      <w:r w:rsidR="0013663D" w:rsidRPr="003B7313">
        <w:rPr>
          <w:rFonts w:ascii="Times New Roman" w:hAnsi="Times New Roman" w:cs="Times New Roman"/>
          <w:sz w:val="24"/>
          <w:szCs w:val="24"/>
        </w:rPr>
        <w:t xml:space="preserve">ervice </w:t>
      </w:r>
      <w:r w:rsidR="00B73335" w:rsidRPr="003B7313">
        <w:rPr>
          <w:rFonts w:ascii="Times New Roman" w:hAnsi="Times New Roman" w:cs="Times New Roman"/>
          <w:sz w:val="24"/>
          <w:szCs w:val="24"/>
        </w:rPr>
        <w:t>C</w:t>
      </w:r>
      <w:r w:rsidR="0013663D" w:rsidRPr="003B7313">
        <w:rPr>
          <w:rFonts w:ascii="Times New Roman" w:hAnsi="Times New Roman" w:cs="Times New Roman"/>
          <w:sz w:val="24"/>
          <w:szCs w:val="24"/>
        </w:rPr>
        <w:t xml:space="preserve">ontract </w:t>
      </w:r>
      <w:r w:rsidR="00B73335" w:rsidRPr="003B7313">
        <w:rPr>
          <w:rFonts w:ascii="Times New Roman" w:hAnsi="Times New Roman" w:cs="Times New Roman"/>
          <w:sz w:val="24"/>
          <w:szCs w:val="24"/>
        </w:rPr>
        <w:t>I</w:t>
      </w:r>
      <w:r w:rsidR="0013663D" w:rsidRPr="003B7313">
        <w:rPr>
          <w:rFonts w:ascii="Times New Roman" w:hAnsi="Times New Roman" w:cs="Times New Roman"/>
          <w:sz w:val="24"/>
          <w:szCs w:val="24"/>
        </w:rPr>
        <w:t>nventory</w:t>
      </w:r>
      <w:r w:rsidR="00B73335" w:rsidRPr="003B7313">
        <w:rPr>
          <w:rFonts w:ascii="Times New Roman" w:hAnsi="Times New Roman" w:cs="Times New Roman"/>
          <w:sz w:val="24"/>
          <w:szCs w:val="24"/>
        </w:rPr>
        <w:t xml:space="preserve"> Plan</w:t>
      </w:r>
      <w:r w:rsidR="004F3057" w:rsidRPr="003B7313">
        <w:rPr>
          <w:rFonts w:ascii="Times New Roman" w:hAnsi="Times New Roman" w:cs="Times New Roman"/>
          <w:sz w:val="24"/>
          <w:szCs w:val="24"/>
        </w:rPr>
        <w:t xml:space="preserve"> </w:t>
      </w:r>
      <w:r w:rsidR="0013663D" w:rsidRPr="003B7313">
        <w:rPr>
          <w:rFonts w:ascii="Times New Roman" w:hAnsi="Times New Roman" w:cs="Times New Roman"/>
          <w:sz w:val="24"/>
          <w:szCs w:val="24"/>
        </w:rPr>
        <w:t>for Analysis</w:t>
      </w:r>
    </w:p>
    <w:p w14:paraId="7FE594EA" w14:textId="258EDE6E" w:rsidR="00745749" w:rsidRPr="003B7313" w:rsidRDefault="00745749" w:rsidP="00B73335">
      <w:pPr>
        <w:numPr>
          <w:ilvl w:val="0"/>
          <w:numId w:val="9"/>
        </w:numPr>
        <w:spacing w:line="240" w:lineRule="auto"/>
        <w:contextualSpacing/>
        <w:rPr>
          <w:rFonts w:ascii="Times New Roman" w:hAnsi="Times New Roman" w:cs="Times New Roman"/>
          <w:sz w:val="24"/>
          <w:szCs w:val="24"/>
        </w:rPr>
      </w:pPr>
      <w:r w:rsidRPr="003B7313">
        <w:rPr>
          <w:rFonts w:ascii="Times New Roman" w:hAnsi="Times New Roman" w:cs="Times New Roman"/>
          <w:sz w:val="24"/>
          <w:szCs w:val="24"/>
        </w:rPr>
        <w:t>ED SCI Analysis Spreadsheet Template</w:t>
      </w:r>
    </w:p>
    <w:p w14:paraId="41BF54B2" w14:textId="428D7AEC" w:rsidR="009D2E27" w:rsidRDefault="009D2E27" w:rsidP="00936028">
      <w:pPr>
        <w:spacing w:after="0" w:line="240" w:lineRule="auto"/>
        <w:rPr>
          <w:rFonts w:ascii="Times New Roman" w:eastAsia="Calibri" w:hAnsi="Times New Roman" w:cs="Times New Roman"/>
          <w:sz w:val="24"/>
          <w:szCs w:val="24"/>
        </w:rPr>
      </w:pPr>
    </w:p>
    <w:p w14:paraId="48B17F88" w14:textId="5C766F67" w:rsidR="003D4C85" w:rsidRDefault="003D4C85" w:rsidP="00936028">
      <w:pPr>
        <w:spacing w:after="0" w:line="240" w:lineRule="auto"/>
        <w:rPr>
          <w:rFonts w:ascii="Times New Roman" w:eastAsia="Calibri" w:hAnsi="Times New Roman" w:cs="Times New Roman"/>
          <w:sz w:val="24"/>
          <w:szCs w:val="24"/>
        </w:rPr>
      </w:pPr>
    </w:p>
    <w:p w14:paraId="469CAAF1" w14:textId="0356C84E" w:rsidR="003D4C85" w:rsidRDefault="003D4C85" w:rsidP="00936028">
      <w:pPr>
        <w:spacing w:after="0" w:line="240" w:lineRule="auto"/>
        <w:rPr>
          <w:rFonts w:ascii="Times New Roman" w:eastAsia="Calibri" w:hAnsi="Times New Roman" w:cs="Times New Roman"/>
          <w:sz w:val="24"/>
          <w:szCs w:val="24"/>
        </w:rPr>
      </w:pPr>
    </w:p>
    <w:p w14:paraId="334F0944" w14:textId="7A2340A1" w:rsidR="003D4C85" w:rsidRDefault="003D4C85" w:rsidP="00936028">
      <w:pPr>
        <w:spacing w:after="0" w:line="240" w:lineRule="auto"/>
        <w:rPr>
          <w:rFonts w:ascii="Times New Roman" w:eastAsia="Calibri" w:hAnsi="Times New Roman" w:cs="Times New Roman"/>
          <w:sz w:val="24"/>
          <w:szCs w:val="24"/>
        </w:rPr>
      </w:pPr>
    </w:p>
    <w:p w14:paraId="357352E8" w14:textId="24404FD8" w:rsidR="003D4C85" w:rsidRDefault="003D4C85" w:rsidP="00936028">
      <w:pPr>
        <w:spacing w:after="0" w:line="240" w:lineRule="auto"/>
        <w:rPr>
          <w:rFonts w:ascii="Times New Roman" w:eastAsia="Calibri" w:hAnsi="Times New Roman" w:cs="Times New Roman"/>
          <w:sz w:val="24"/>
          <w:szCs w:val="24"/>
        </w:rPr>
      </w:pPr>
    </w:p>
    <w:p w14:paraId="5243E8D6" w14:textId="12482BA4" w:rsidR="003D4C85" w:rsidRDefault="003D4C85" w:rsidP="00936028">
      <w:pPr>
        <w:spacing w:after="0" w:line="240" w:lineRule="auto"/>
        <w:rPr>
          <w:rFonts w:ascii="Times New Roman" w:eastAsia="Calibri" w:hAnsi="Times New Roman" w:cs="Times New Roman"/>
          <w:sz w:val="24"/>
          <w:szCs w:val="24"/>
        </w:rPr>
      </w:pPr>
    </w:p>
    <w:p w14:paraId="75BEFA82" w14:textId="3A9D3574" w:rsidR="003D4C85" w:rsidRDefault="003D4C85" w:rsidP="00936028">
      <w:pPr>
        <w:spacing w:after="0" w:line="240" w:lineRule="auto"/>
        <w:rPr>
          <w:rFonts w:ascii="Times New Roman" w:eastAsia="Calibri" w:hAnsi="Times New Roman" w:cs="Times New Roman"/>
          <w:sz w:val="24"/>
          <w:szCs w:val="24"/>
        </w:rPr>
      </w:pPr>
    </w:p>
    <w:p w14:paraId="3C187018" w14:textId="1091111A" w:rsidR="003D4C85" w:rsidRDefault="003D4C85" w:rsidP="00936028">
      <w:pPr>
        <w:spacing w:after="0" w:line="240" w:lineRule="auto"/>
        <w:rPr>
          <w:rFonts w:ascii="Times New Roman" w:eastAsia="Calibri" w:hAnsi="Times New Roman" w:cs="Times New Roman"/>
          <w:sz w:val="24"/>
          <w:szCs w:val="24"/>
        </w:rPr>
      </w:pPr>
    </w:p>
    <w:p w14:paraId="2849D7C1" w14:textId="33E6E1A1" w:rsidR="003D4C85" w:rsidRDefault="003D4C85" w:rsidP="00936028">
      <w:pPr>
        <w:spacing w:after="0" w:line="240" w:lineRule="auto"/>
        <w:rPr>
          <w:rFonts w:ascii="Times New Roman" w:eastAsia="Calibri" w:hAnsi="Times New Roman" w:cs="Times New Roman"/>
          <w:sz w:val="24"/>
          <w:szCs w:val="24"/>
        </w:rPr>
      </w:pPr>
    </w:p>
    <w:p w14:paraId="3B6AA126" w14:textId="04B50979" w:rsidR="003D4C85" w:rsidRDefault="003D4C85" w:rsidP="00936028">
      <w:pPr>
        <w:spacing w:after="0" w:line="240" w:lineRule="auto"/>
        <w:rPr>
          <w:rFonts w:ascii="Times New Roman" w:eastAsia="Calibri" w:hAnsi="Times New Roman" w:cs="Times New Roman"/>
          <w:sz w:val="24"/>
          <w:szCs w:val="24"/>
        </w:rPr>
      </w:pPr>
    </w:p>
    <w:p w14:paraId="30391231" w14:textId="187BB43A" w:rsidR="003D4C85" w:rsidRDefault="003D4C85" w:rsidP="00936028">
      <w:pPr>
        <w:spacing w:after="0" w:line="240" w:lineRule="auto"/>
        <w:rPr>
          <w:rFonts w:ascii="Times New Roman" w:eastAsia="Calibri" w:hAnsi="Times New Roman" w:cs="Times New Roman"/>
          <w:sz w:val="24"/>
          <w:szCs w:val="24"/>
        </w:rPr>
      </w:pPr>
    </w:p>
    <w:p w14:paraId="5CBDC10D" w14:textId="76A40176" w:rsidR="003D4C85" w:rsidRDefault="003D4C85" w:rsidP="00936028">
      <w:pPr>
        <w:spacing w:after="0" w:line="240" w:lineRule="auto"/>
        <w:rPr>
          <w:rFonts w:ascii="Times New Roman" w:eastAsia="Calibri" w:hAnsi="Times New Roman" w:cs="Times New Roman"/>
          <w:sz w:val="24"/>
          <w:szCs w:val="24"/>
        </w:rPr>
      </w:pPr>
    </w:p>
    <w:p w14:paraId="0CD901BC" w14:textId="7C243221" w:rsidR="003D4C85" w:rsidRDefault="003D4C85" w:rsidP="00936028">
      <w:pPr>
        <w:spacing w:after="0" w:line="240" w:lineRule="auto"/>
        <w:rPr>
          <w:rFonts w:ascii="Times New Roman" w:eastAsia="Calibri" w:hAnsi="Times New Roman" w:cs="Times New Roman"/>
          <w:sz w:val="24"/>
          <w:szCs w:val="24"/>
        </w:rPr>
      </w:pPr>
    </w:p>
    <w:p w14:paraId="13A41BF8" w14:textId="19D1B5DD" w:rsidR="003D4C85" w:rsidRDefault="003D4C85" w:rsidP="00936028">
      <w:pPr>
        <w:spacing w:after="0" w:line="240" w:lineRule="auto"/>
        <w:rPr>
          <w:rFonts w:ascii="Times New Roman" w:eastAsia="Calibri" w:hAnsi="Times New Roman" w:cs="Times New Roman"/>
          <w:sz w:val="24"/>
          <w:szCs w:val="24"/>
        </w:rPr>
      </w:pPr>
    </w:p>
    <w:p w14:paraId="1D3A9EAD" w14:textId="6CE61FF2" w:rsidR="003D4C85" w:rsidRDefault="003D4C85" w:rsidP="00936028">
      <w:pPr>
        <w:spacing w:after="0" w:line="240" w:lineRule="auto"/>
        <w:rPr>
          <w:rFonts w:ascii="Times New Roman" w:eastAsia="Calibri" w:hAnsi="Times New Roman" w:cs="Times New Roman"/>
          <w:sz w:val="24"/>
          <w:szCs w:val="24"/>
        </w:rPr>
      </w:pPr>
    </w:p>
    <w:p w14:paraId="53648398" w14:textId="521941A6" w:rsidR="003D4C85" w:rsidRDefault="003D4C85" w:rsidP="00936028">
      <w:pPr>
        <w:spacing w:after="0" w:line="240" w:lineRule="auto"/>
        <w:rPr>
          <w:rFonts w:ascii="Times New Roman" w:eastAsia="Calibri" w:hAnsi="Times New Roman" w:cs="Times New Roman"/>
          <w:sz w:val="24"/>
          <w:szCs w:val="24"/>
        </w:rPr>
      </w:pPr>
    </w:p>
    <w:p w14:paraId="2DF85892" w14:textId="2B6A95A8" w:rsidR="003D4C85" w:rsidRDefault="003D4C85" w:rsidP="00936028">
      <w:pPr>
        <w:spacing w:after="0" w:line="240" w:lineRule="auto"/>
        <w:rPr>
          <w:rFonts w:ascii="Times New Roman" w:eastAsia="Calibri" w:hAnsi="Times New Roman" w:cs="Times New Roman"/>
          <w:sz w:val="24"/>
          <w:szCs w:val="24"/>
        </w:rPr>
      </w:pPr>
    </w:p>
    <w:p w14:paraId="32FC25D9" w14:textId="0E44CB2E" w:rsidR="003D4C85" w:rsidRDefault="003D4C85" w:rsidP="00936028">
      <w:pPr>
        <w:spacing w:after="0" w:line="240" w:lineRule="auto"/>
        <w:rPr>
          <w:rFonts w:ascii="Times New Roman" w:eastAsia="Calibri" w:hAnsi="Times New Roman" w:cs="Times New Roman"/>
          <w:sz w:val="24"/>
          <w:szCs w:val="24"/>
        </w:rPr>
      </w:pPr>
    </w:p>
    <w:p w14:paraId="003352EC" w14:textId="4C00C57B" w:rsidR="003D4C85" w:rsidRDefault="003D4C85" w:rsidP="00936028">
      <w:pPr>
        <w:spacing w:after="0" w:line="240" w:lineRule="auto"/>
        <w:rPr>
          <w:rFonts w:ascii="Times New Roman" w:eastAsia="Calibri" w:hAnsi="Times New Roman" w:cs="Times New Roman"/>
          <w:sz w:val="24"/>
          <w:szCs w:val="24"/>
        </w:rPr>
      </w:pPr>
    </w:p>
    <w:p w14:paraId="54A4DDCB" w14:textId="53DDA25E" w:rsidR="003D4C85" w:rsidRDefault="003D4C85" w:rsidP="00936028">
      <w:pPr>
        <w:spacing w:after="0" w:line="240" w:lineRule="auto"/>
        <w:rPr>
          <w:rFonts w:ascii="Times New Roman" w:eastAsia="Calibri" w:hAnsi="Times New Roman" w:cs="Times New Roman"/>
          <w:sz w:val="24"/>
          <w:szCs w:val="24"/>
        </w:rPr>
      </w:pPr>
    </w:p>
    <w:p w14:paraId="27D58CDC" w14:textId="77777777" w:rsidR="004F3057" w:rsidRDefault="004F3057" w:rsidP="00174045">
      <w:pPr>
        <w:pStyle w:val="Default"/>
        <w:jc w:val="center"/>
        <w:rPr>
          <w:rFonts w:ascii="Times New Roman" w:hAnsi="Times New Roman" w:cs="Times New Roman"/>
          <w:b/>
          <w:bCs/>
        </w:rPr>
      </w:pPr>
    </w:p>
    <w:p w14:paraId="26ABB3C1" w14:textId="77777777" w:rsidR="004F3057" w:rsidRDefault="004F3057" w:rsidP="00174045">
      <w:pPr>
        <w:pStyle w:val="Default"/>
        <w:jc w:val="center"/>
        <w:rPr>
          <w:rFonts w:ascii="Times New Roman" w:hAnsi="Times New Roman" w:cs="Times New Roman"/>
          <w:b/>
          <w:bCs/>
        </w:rPr>
      </w:pPr>
    </w:p>
    <w:p w14:paraId="54261CC7" w14:textId="77777777" w:rsidR="004F3057" w:rsidRDefault="004F3057" w:rsidP="00174045">
      <w:pPr>
        <w:pStyle w:val="Default"/>
        <w:jc w:val="center"/>
        <w:rPr>
          <w:rFonts w:ascii="Times New Roman" w:hAnsi="Times New Roman" w:cs="Times New Roman"/>
          <w:b/>
          <w:bCs/>
        </w:rPr>
      </w:pPr>
    </w:p>
    <w:p w14:paraId="66F78A6D" w14:textId="77777777" w:rsidR="004F3057" w:rsidRDefault="004F3057" w:rsidP="00174045">
      <w:pPr>
        <w:pStyle w:val="Default"/>
        <w:jc w:val="center"/>
        <w:rPr>
          <w:rFonts w:ascii="Times New Roman" w:hAnsi="Times New Roman" w:cs="Times New Roman"/>
          <w:b/>
          <w:bCs/>
        </w:rPr>
      </w:pPr>
    </w:p>
    <w:p w14:paraId="5E83A715" w14:textId="77777777" w:rsidR="004F3057" w:rsidRDefault="004F3057" w:rsidP="00174045">
      <w:pPr>
        <w:pStyle w:val="Default"/>
        <w:jc w:val="center"/>
        <w:rPr>
          <w:rFonts w:ascii="Times New Roman" w:hAnsi="Times New Roman" w:cs="Times New Roman"/>
          <w:b/>
          <w:bCs/>
        </w:rPr>
      </w:pPr>
    </w:p>
    <w:p w14:paraId="53E40790" w14:textId="77777777" w:rsidR="004F3057" w:rsidRDefault="004F3057" w:rsidP="00174045">
      <w:pPr>
        <w:pStyle w:val="Default"/>
        <w:jc w:val="center"/>
        <w:rPr>
          <w:rFonts w:ascii="Times New Roman" w:hAnsi="Times New Roman" w:cs="Times New Roman"/>
          <w:b/>
          <w:bCs/>
        </w:rPr>
      </w:pPr>
    </w:p>
    <w:p w14:paraId="032E5E11" w14:textId="77777777" w:rsidR="004F3057" w:rsidRDefault="004F3057" w:rsidP="00174045">
      <w:pPr>
        <w:pStyle w:val="Default"/>
        <w:jc w:val="center"/>
        <w:rPr>
          <w:rFonts w:ascii="Times New Roman" w:hAnsi="Times New Roman" w:cs="Times New Roman"/>
          <w:b/>
          <w:bCs/>
        </w:rPr>
      </w:pPr>
    </w:p>
    <w:p w14:paraId="11D17295" w14:textId="77777777" w:rsidR="004F3057" w:rsidRDefault="004F3057" w:rsidP="00174045">
      <w:pPr>
        <w:pStyle w:val="Default"/>
        <w:jc w:val="center"/>
        <w:rPr>
          <w:rFonts w:ascii="Times New Roman" w:hAnsi="Times New Roman" w:cs="Times New Roman"/>
          <w:b/>
          <w:bCs/>
        </w:rPr>
      </w:pPr>
    </w:p>
    <w:p w14:paraId="5A6F4BD8" w14:textId="77777777" w:rsidR="004F3057" w:rsidRDefault="004F3057" w:rsidP="00174045">
      <w:pPr>
        <w:pStyle w:val="Default"/>
        <w:jc w:val="center"/>
        <w:rPr>
          <w:rFonts w:ascii="Times New Roman" w:hAnsi="Times New Roman" w:cs="Times New Roman"/>
          <w:b/>
          <w:bCs/>
        </w:rPr>
      </w:pPr>
    </w:p>
    <w:p w14:paraId="5473E264" w14:textId="77777777" w:rsidR="004F3057" w:rsidRDefault="004F3057" w:rsidP="00174045">
      <w:pPr>
        <w:pStyle w:val="Default"/>
        <w:jc w:val="center"/>
        <w:rPr>
          <w:rFonts w:ascii="Times New Roman" w:hAnsi="Times New Roman" w:cs="Times New Roman"/>
          <w:b/>
          <w:bCs/>
        </w:rPr>
      </w:pPr>
    </w:p>
    <w:p w14:paraId="143A0BB9" w14:textId="77777777" w:rsidR="004F3057" w:rsidRDefault="004F3057" w:rsidP="00174045">
      <w:pPr>
        <w:pStyle w:val="Default"/>
        <w:jc w:val="center"/>
        <w:rPr>
          <w:rFonts w:ascii="Times New Roman" w:hAnsi="Times New Roman" w:cs="Times New Roman"/>
          <w:b/>
          <w:bCs/>
        </w:rPr>
      </w:pPr>
    </w:p>
    <w:p w14:paraId="6A3C627C" w14:textId="77777777" w:rsidR="004F3057" w:rsidRDefault="004F3057" w:rsidP="00174045">
      <w:pPr>
        <w:pStyle w:val="Default"/>
        <w:jc w:val="center"/>
        <w:rPr>
          <w:rFonts w:ascii="Times New Roman" w:hAnsi="Times New Roman" w:cs="Times New Roman"/>
          <w:b/>
          <w:bCs/>
        </w:rPr>
      </w:pPr>
    </w:p>
    <w:p w14:paraId="3ECFDA2F" w14:textId="77777777" w:rsidR="004F3057" w:rsidRDefault="004F3057" w:rsidP="00174045">
      <w:pPr>
        <w:pStyle w:val="Default"/>
        <w:jc w:val="center"/>
        <w:rPr>
          <w:rFonts w:ascii="Times New Roman" w:hAnsi="Times New Roman" w:cs="Times New Roman"/>
          <w:b/>
          <w:bCs/>
        </w:rPr>
      </w:pPr>
    </w:p>
    <w:p w14:paraId="511DD867" w14:textId="77777777" w:rsidR="004F3057" w:rsidRDefault="004F3057" w:rsidP="00174045">
      <w:pPr>
        <w:pStyle w:val="Default"/>
        <w:jc w:val="center"/>
        <w:rPr>
          <w:rFonts w:ascii="Times New Roman" w:hAnsi="Times New Roman" w:cs="Times New Roman"/>
          <w:b/>
          <w:bCs/>
        </w:rPr>
      </w:pPr>
    </w:p>
    <w:p w14:paraId="08C08B27" w14:textId="77777777" w:rsidR="004F3057" w:rsidRDefault="004F3057" w:rsidP="00174045">
      <w:pPr>
        <w:pStyle w:val="Default"/>
        <w:jc w:val="center"/>
        <w:rPr>
          <w:rFonts w:ascii="Times New Roman" w:hAnsi="Times New Roman" w:cs="Times New Roman"/>
          <w:b/>
          <w:bCs/>
        </w:rPr>
      </w:pPr>
    </w:p>
    <w:p w14:paraId="6AEBC926" w14:textId="77777777" w:rsidR="004F3057" w:rsidRDefault="004F3057" w:rsidP="00174045">
      <w:pPr>
        <w:pStyle w:val="Default"/>
        <w:jc w:val="center"/>
        <w:rPr>
          <w:rFonts w:ascii="Times New Roman" w:hAnsi="Times New Roman" w:cs="Times New Roman"/>
          <w:b/>
          <w:bCs/>
        </w:rPr>
      </w:pPr>
    </w:p>
    <w:p w14:paraId="043D6E46" w14:textId="77777777" w:rsidR="004F3057" w:rsidRDefault="004F3057" w:rsidP="00174045">
      <w:pPr>
        <w:pStyle w:val="Default"/>
        <w:jc w:val="center"/>
        <w:rPr>
          <w:rFonts w:ascii="Times New Roman" w:hAnsi="Times New Roman" w:cs="Times New Roman"/>
          <w:b/>
          <w:bCs/>
        </w:rPr>
        <w:sectPr w:rsidR="004F3057" w:rsidSect="009C534B">
          <w:headerReference w:type="default" r:id="rId14"/>
          <w:footerReference w:type="default" r:id="rId15"/>
          <w:footerReference w:type="first" r:id="rId16"/>
          <w:pgSz w:w="12240" w:h="15840" w:code="1"/>
          <w:pgMar w:top="1080" w:right="1080" w:bottom="1080" w:left="1080" w:header="720" w:footer="450" w:gutter="0"/>
          <w:paperSrc w:first="15"/>
          <w:pgNumType w:start="1"/>
          <w:cols w:space="720"/>
          <w:titlePg/>
          <w:docGrid w:linePitch="360"/>
        </w:sectPr>
      </w:pPr>
    </w:p>
    <w:p w14:paraId="33008DF6" w14:textId="7090F2B8" w:rsidR="004F3057" w:rsidRDefault="004F3057" w:rsidP="004F3057">
      <w:pPr>
        <w:pStyle w:val="Default"/>
        <w:rPr>
          <w:rFonts w:ascii="Times New Roman" w:hAnsi="Times New Roman" w:cs="Times New Roman"/>
          <w:b/>
          <w:bCs/>
        </w:rPr>
      </w:pPr>
      <w:r>
        <w:rPr>
          <w:rFonts w:ascii="Times New Roman" w:hAnsi="Times New Roman" w:cs="Times New Roman"/>
          <w:b/>
          <w:bCs/>
        </w:rPr>
        <w:lastRenderedPageBreak/>
        <w:t>ATTACHEMENT I</w:t>
      </w:r>
    </w:p>
    <w:p w14:paraId="705E0F61" w14:textId="77777777" w:rsidR="004F3057" w:rsidRDefault="004F3057" w:rsidP="00174045">
      <w:pPr>
        <w:pStyle w:val="Default"/>
        <w:jc w:val="center"/>
        <w:rPr>
          <w:rFonts w:ascii="Times New Roman" w:hAnsi="Times New Roman" w:cs="Times New Roman"/>
          <w:b/>
          <w:bCs/>
        </w:rPr>
      </w:pPr>
    </w:p>
    <w:p w14:paraId="565A7F10" w14:textId="03BC7841" w:rsidR="00174045" w:rsidRPr="0093536A" w:rsidRDefault="00174045" w:rsidP="00174045">
      <w:pPr>
        <w:pStyle w:val="Default"/>
        <w:jc w:val="center"/>
        <w:rPr>
          <w:rFonts w:ascii="Times New Roman" w:hAnsi="Times New Roman" w:cs="Times New Roman"/>
        </w:rPr>
      </w:pPr>
      <w:r w:rsidRPr="00AB7B2E">
        <w:rPr>
          <w:rFonts w:ascii="Times New Roman" w:hAnsi="Times New Roman" w:cs="Times New Roman"/>
          <w:b/>
          <w:bCs/>
        </w:rPr>
        <w:t>FY20</w:t>
      </w:r>
      <w:r w:rsidR="00342820">
        <w:rPr>
          <w:rFonts w:ascii="Times New Roman" w:hAnsi="Times New Roman" w:cs="Times New Roman"/>
          <w:b/>
          <w:bCs/>
        </w:rPr>
        <w:t>20</w:t>
      </w:r>
      <w:r w:rsidRPr="00AB7B2E">
        <w:rPr>
          <w:rFonts w:ascii="Times New Roman" w:hAnsi="Times New Roman" w:cs="Times New Roman"/>
          <w:b/>
          <w:bCs/>
        </w:rPr>
        <w:t xml:space="preserve"> Service Contract Inventory</w:t>
      </w:r>
      <w:r>
        <w:rPr>
          <w:rFonts w:ascii="Times New Roman" w:hAnsi="Times New Roman" w:cs="Times New Roman"/>
        </w:rPr>
        <w:t xml:space="preserve"> </w:t>
      </w:r>
      <w:r w:rsidRPr="00AB7B2E">
        <w:rPr>
          <w:rFonts w:ascii="Times New Roman" w:hAnsi="Times New Roman" w:cs="Times New Roman"/>
          <w:b/>
          <w:bCs/>
        </w:rPr>
        <w:t>Plan for Analysis</w:t>
      </w:r>
    </w:p>
    <w:p w14:paraId="565A7F11" w14:textId="77777777" w:rsidR="00174045" w:rsidRPr="00AB7B2E" w:rsidRDefault="00174045" w:rsidP="00174045">
      <w:pPr>
        <w:pStyle w:val="Default"/>
        <w:jc w:val="center"/>
        <w:rPr>
          <w:rFonts w:ascii="Times New Roman" w:hAnsi="Times New Roman" w:cs="Times New Roman"/>
          <w:b/>
          <w:bCs/>
        </w:rPr>
      </w:pPr>
    </w:p>
    <w:p w14:paraId="565A7F12" w14:textId="4C9891C0" w:rsidR="00174045" w:rsidRDefault="00174045" w:rsidP="00174045">
      <w:pPr>
        <w:pStyle w:val="Default"/>
        <w:rPr>
          <w:rFonts w:ascii="Times New Roman" w:hAnsi="Times New Roman" w:cs="Times New Roman"/>
        </w:rPr>
      </w:pPr>
      <w:r w:rsidRPr="00AB7B2E">
        <w:rPr>
          <w:rFonts w:ascii="Times New Roman" w:hAnsi="Times New Roman" w:cs="Times New Roman"/>
        </w:rPr>
        <w:t>The Department of Education (</w:t>
      </w:r>
      <w:r>
        <w:rPr>
          <w:rFonts w:ascii="Times New Roman" w:hAnsi="Times New Roman" w:cs="Times New Roman"/>
        </w:rPr>
        <w:t>ED</w:t>
      </w:r>
      <w:r w:rsidRPr="00AB7B2E">
        <w:rPr>
          <w:rFonts w:ascii="Times New Roman" w:hAnsi="Times New Roman" w:cs="Times New Roman"/>
        </w:rPr>
        <w:t xml:space="preserve">) </w:t>
      </w:r>
      <w:r w:rsidR="00AA350B">
        <w:rPr>
          <w:rFonts w:ascii="Times New Roman" w:hAnsi="Times New Roman" w:cs="Times New Roman"/>
        </w:rPr>
        <w:t>analysis</w:t>
      </w:r>
      <w:r w:rsidRPr="00AB7B2E">
        <w:rPr>
          <w:rFonts w:ascii="Times New Roman" w:hAnsi="Times New Roman" w:cs="Times New Roman"/>
        </w:rPr>
        <w:t xml:space="preserve"> will be performed in accordance with the criteria in Consolidated Appropriations Act, 2010, (Pub. L. No. 111-117, §743</w:t>
      </w:r>
      <w:r>
        <w:rPr>
          <w:rFonts w:ascii="Times New Roman" w:hAnsi="Times New Roman" w:cs="Times New Roman"/>
        </w:rPr>
        <w:t xml:space="preserve"> </w:t>
      </w:r>
      <w:r w:rsidR="00A320DD">
        <w:rPr>
          <w:rFonts w:ascii="Times New Roman" w:hAnsi="Times New Roman" w:cs="Times New Roman"/>
        </w:rPr>
        <w:t>–</w:t>
      </w:r>
      <w:r>
        <w:rPr>
          <w:rFonts w:ascii="Times New Roman" w:hAnsi="Times New Roman" w:cs="Times New Roman"/>
        </w:rPr>
        <w:t xml:space="preserve"> </w:t>
      </w:r>
      <w:r w:rsidRPr="00AB7B2E">
        <w:rPr>
          <w:rFonts w:ascii="Times New Roman" w:hAnsi="Times New Roman" w:cs="Times New Roman"/>
        </w:rPr>
        <w:t>2009</w:t>
      </w:r>
      <w:r w:rsidR="00A320DD">
        <w:rPr>
          <w:rFonts w:ascii="Times New Roman" w:hAnsi="Times New Roman" w:cs="Times New Roman"/>
        </w:rPr>
        <w:t>)</w:t>
      </w:r>
      <w:r>
        <w:rPr>
          <w:rFonts w:ascii="Times New Roman" w:hAnsi="Times New Roman" w:cs="Times New Roman"/>
        </w:rPr>
        <w:t>. ED</w:t>
      </w:r>
      <w:r w:rsidRPr="00AB7B2E">
        <w:rPr>
          <w:rFonts w:ascii="Times New Roman" w:hAnsi="Times New Roman" w:cs="Times New Roman"/>
        </w:rPr>
        <w:t xml:space="preserve"> will develop the basic inventory </w:t>
      </w:r>
      <w:r w:rsidR="00E557CE">
        <w:rPr>
          <w:rFonts w:ascii="Times New Roman" w:hAnsi="Times New Roman" w:cs="Times New Roman"/>
        </w:rPr>
        <w:t xml:space="preserve">analysis </w:t>
      </w:r>
      <w:r w:rsidR="00150C0E">
        <w:rPr>
          <w:rFonts w:ascii="Times New Roman" w:hAnsi="Times New Roman" w:cs="Times New Roman"/>
        </w:rPr>
        <w:t>as directed and encouraged by OMB’s</w:t>
      </w:r>
      <w:r w:rsidRPr="00AB7B2E">
        <w:rPr>
          <w:rFonts w:ascii="Times New Roman" w:hAnsi="Times New Roman" w:cs="Times New Roman"/>
        </w:rPr>
        <w:t xml:space="preserve"> guidance using FPDS-NG data</w:t>
      </w:r>
      <w:r w:rsidR="00E557CE">
        <w:rPr>
          <w:rFonts w:ascii="Times New Roman" w:hAnsi="Times New Roman" w:cs="Times New Roman"/>
        </w:rPr>
        <w:t xml:space="preserve">. The following is a </w:t>
      </w:r>
      <w:r w:rsidRPr="00AB7B2E">
        <w:rPr>
          <w:rFonts w:ascii="Times New Roman" w:hAnsi="Times New Roman" w:cs="Times New Roman"/>
        </w:rPr>
        <w:t xml:space="preserve">list of </w:t>
      </w:r>
      <w:r w:rsidR="00E557CE">
        <w:rPr>
          <w:rFonts w:ascii="Times New Roman" w:hAnsi="Times New Roman" w:cs="Times New Roman"/>
        </w:rPr>
        <w:t xml:space="preserve">PSC </w:t>
      </w:r>
      <w:r w:rsidRPr="00AB7B2E">
        <w:rPr>
          <w:rFonts w:ascii="Times New Roman" w:hAnsi="Times New Roman" w:cs="Times New Roman"/>
        </w:rPr>
        <w:t>special interest functions</w:t>
      </w:r>
      <w:r w:rsidR="00E557CE">
        <w:rPr>
          <w:rFonts w:ascii="Times New Roman" w:hAnsi="Times New Roman" w:cs="Times New Roman"/>
        </w:rPr>
        <w:t xml:space="preserve"> that will be used in the Departments analysis</w:t>
      </w:r>
      <w:r w:rsidR="00763579">
        <w:rPr>
          <w:rFonts w:ascii="Times New Roman" w:hAnsi="Times New Roman" w:cs="Times New Roman"/>
        </w:rPr>
        <w:t xml:space="preserve"> for</w:t>
      </w:r>
      <w:r w:rsidR="00CA7961">
        <w:rPr>
          <w:rFonts w:ascii="Times New Roman" w:hAnsi="Times New Roman" w:cs="Times New Roman"/>
        </w:rPr>
        <w:t xml:space="preserve"> FY 2020</w:t>
      </w:r>
      <w:r w:rsidR="00E557CE">
        <w:rPr>
          <w:rFonts w:ascii="Times New Roman" w:hAnsi="Times New Roman" w:cs="Times New Roman"/>
        </w:rPr>
        <w:t>:</w:t>
      </w:r>
    </w:p>
    <w:p w14:paraId="565A7F13" w14:textId="77777777" w:rsidR="00174045" w:rsidRDefault="00174045" w:rsidP="00174045">
      <w:pPr>
        <w:pStyle w:val="Default"/>
        <w:rPr>
          <w:rFonts w:ascii="Times New Roman" w:hAnsi="Times New Roman" w:cs="Times New Roman"/>
        </w:rPr>
      </w:pPr>
    </w:p>
    <w:tbl>
      <w:tblPr>
        <w:tblStyle w:val="GridTable4-Accent1"/>
        <w:tblW w:w="0" w:type="auto"/>
        <w:tblLook w:val="04A0" w:firstRow="1" w:lastRow="0" w:firstColumn="1" w:lastColumn="0" w:noHBand="0" w:noVBand="1"/>
      </w:tblPr>
      <w:tblGrid>
        <w:gridCol w:w="683"/>
        <w:gridCol w:w="7190"/>
      </w:tblGrid>
      <w:tr w:rsidR="00EE25EC" w:rsidRPr="00BC6244" w14:paraId="565A7F16" w14:textId="77777777" w:rsidTr="00F75F45">
        <w:trPr>
          <w:cnfStyle w:val="100000000000" w:firstRow="1" w:lastRow="0" w:firstColumn="0" w:lastColumn="0" w:oddVBand="0" w:evenVBand="0" w:oddHBand="0"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661" w:type="dxa"/>
            <w:noWrap/>
          </w:tcPr>
          <w:p w14:paraId="565A7F14" w14:textId="273FB582" w:rsidR="00EE25EC" w:rsidRPr="00BC6244" w:rsidRDefault="00EE25EC" w:rsidP="00417F6C">
            <w:pPr>
              <w:pStyle w:val="Default"/>
              <w:rPr>
                <w:rFonts w:ascii="Times New Roman" w:hAnsi="Times New Roman" w:cs="Times New Roman"/>
                <w:b w:val="0"/>
                <w:sz w:val="18"/>
                <w:szCs w:val="18"/>
              </w:rPr>
            </w:pPr>
          </w:p>
        </w:tc>
        <w:tc>
          <w:tcPr>
            <w:tcW w:w="7190" w:type="dxa"/>
            <w:noWrap/>
          </w:tcPr>
          <w:p w14:paraId="3F3FF22A" w14:textId="77777777" w:rsidR="00EE25EC" w:rsidRPr="00BC6244" w:rsidRDefault="00EE25EC" w:rsidP="00417F6C">
            <w:pPr>
              <w:pStyle w:val="Defaul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8"/>
                <w:szCs w:val="18"/>
                <w:highlight w:val="yellow"/>
              </w:rPr>
            </w:pPr>
          </w:p>
          <w:p w14:paraId="365938A2" w14:textId="649EFE98" w:rsidR="00EE25EC" w:rsidRPr="00641F05" w:rsidRDefault="00EE25EC" w:rsidP="00417F6C">
            <w:pPr>
              <w:pStyle w:val="Defaul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sz w:val="20"/>
                <w:szCs w:val="20"/>
              </w:rPr>
            </w:pPr>
            <w:r w:rsidRPr="00641F05">
              <w:rPr>
                <w:rFonts w:ascii="Times New Roman" w:hAnsi="Times New Roman" w:cs="Times New Roman"/>
                <w:color w:val="FFFFFF" w:themeColor="background1"/>
                <w:sz w:val="20"/>
                <w:szCs w:val="20"/>
              </w:rPr>
              <w:t>OMB’s suggested PSC to review:</w:t>
            </w:r>
          </w:p>
          <w:p w14:paraId="565A7F15" w14:textId="133A158B" w:rsidR="00EE25EC" w:rsidRPr="00BC6244" w:rsidRDefault="00EE25EC" w:rsidP="00417F6C">
            <w:pPr>
              <w:pStyle w:val="Defaul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p>
        </w:tc>
      </w:tr>
      <w:tr w:rsidR="00EE25EC" w:rsidRPr="00BC6244" w14:paraId="35E918F1" w14:textId="77777777" w:rsidTr="00F75F45">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661" w:type="dxa"/>
            <w:noWrap/>
          </w:tcPr>
          <w:p w14:paraId="59D63481" w14:textId="2CD266FE" w:rsidR="00EE25EC" w:rsidRPr="00641F05" w:rsidRDefault="00EE25EC" w:rsidP="00EE25EC">
            <w:pPr>
              <w:pStyle w:val="Default"/>
              <w:rPr>
                <w:rFonts w:ascii="Times New Roman" w:hAnsi="Times New Roman" w:cs="Times New Roman"/>
                <w:sz w:val="20"/>
                <w:szCs w:val="20"/>
              </w:rPr>
            </w:pPr>
            <w:r w:rsidRPr="00641F05">
              <w:rPr>
                <w:rFonts w:ascii="Times New Roman" w:hAnsi="Times New Roman" w:cs="Times New Roman"/>
                <w:b w:val="0"/>
                <w:sz w:val="20"/>
                <w:szCs w:val="20"/>
              </w:rPr>
              <w:t>PSC</w:t>
            </w:r>
          </w:p>
        </w:tc>
        <w:tc>
          <w:tcPr>
            <w:tcW w:w="7190" w:type="dxa"/>
          </w:tcPr>
          <w:p w14:paraId="09A91075" w14:textId="2C1CBE96" w:rsidR="00EE25EC" w:rsidRPr="00641F05" w:rsidRDefault="00EE25EC" w:rsidP="00EE25EC">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641F05">
              <w:rPr>
                <w:rFonts w:ascii="Times New Roman" w:hAnsi="Times New Roman" w:cs="Times New Roman"/>
                <w:b/>
                <w:sz w:val="20"/>
                <w:szCs w:val="20"/>
              </w:rPr>
              <w:t>Descriptions</w:t>
            </w:r>
          </w:p>
        </w:tc>
      </w:tr>
      <w:tr w:rsidR="00EE25EC" w:rsidRPr="00BC6244" w14:paraId="0831DB20" w14:textId="77777777" w:rsidTr="00F75F45">
        <w:trPr>
          <w:trHeight w:val="197"/>
        </w:trPr>
        <w:tc>
          <w:tcPr>
            <w:cnfStyle w:val="001000000000" w:firstRow="0" w:lastRow="0" w:firstColumn="1" w:lastColumn="0" w:oddVBand="0" w:evenVBand="0" w:oddHBand="0" w:evenHBand="0" w:firstRowFirstColumn="0" w:firstRowLastColumn="0" w:lastRowFirstColumn="0" w:lastRowLastColumn="0"/>
            <w:tcW w:w="661" w:type="dxa"/>
            <w:noWrap/>
          </w:tcPr>
          <w:p w14:paraId="5959B338" w14:textId="522181D8" w:rsidR="00EE25EC" w:rsidRPr="00641F05" w:rsidRDefault="00EE25EC" w:rsidP="00EE25EC">
            <w:pPr>
              <w:pStyle w:val="Default"/>
              <w:rPr>
                <w:rFonts w:ascii="Times New Roman" w:hAnsi="Times New Roman" w:cs="Times New Roman"/>
                <w:sz w:val="20"/>
                <w:szCs w:val="20"/>
              </w:rPr>
            </w:pPr>
            <w:r w:rsidRPr="00641F05">
              <w:rPr>
                <w:rFonts w:ascii="Times New Roman" w:hAnsi="Times New Roman" w:cs="Times New Roman"/>
                <w:sz w:val="20"/>
                <w:szCs w:val="20"/>
              </w:rPr>
              <w:t>R499</w:t>
            </w:r>
          </w:p>
        </w:tc>
        <w:tc>
          <w:tcPr>
            <w:tcW w:w="7190" w:type="dxa"/>
          </w:tcPr>
          <w:p w14:paraId="613D4FF9" w14:textId="28BD453C" w:rsidR="00EE25EC" w:rsidRPr="00641F05" w:rsidRDefault="00EE25EC" w:rsidP="00EE25EC">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41F05">
              <w:rPr>
                <w:rFonts w:ascii="Times New Roman" w:hAnsi="Times New Roman" w:cs="Times New Roman"/>
                <w:sz w:val="20"/>
                <w:szCs w:val="20"/>
              </w:rPr>
              <w:t>SUPPORT - PROFESSIONAL: OTHER</w:t>
            </w:r>
          </w:p>
        </w:tc>
      </w:tr>
      <w:tr w:rsidR="00EE25EC" w:rsidRPr="00BC6244" w14:paraId="6759396D" w14:textId="77777777" w:rsidTr="00F75F4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61" w:type="dxa"/>
            <w:noWrap/>
          </w:tcPr>
          <w:p w14:paraId="79277ABD" w14:textId="60F564A1" w:rsidR="00EE25EC" w:rsidRPr="00641F05" w:rsidRDefault="00EE25EC" w:rsidP="00EE25EC">
            <w:pPr>
              <w:pStyle w:val="Default"/>
              <w:rPr>
                <w:rFonts w:ascii="Times New Roman" w:hAnsi="Times New Roman" w:cs="Times New Roman"/>
                <w:sz w:val="20"/>
                <w:szCs w:val="20"/>
              </w:rPr>
            </w:pPr>
            <w:r w:rsidRPr="00641F05">
              <w:rPr>
                <w:rFonts w:ascii="Times New Roman" w:hAnsi="Times New Roman" w:cs="Times New Roman"/>
                <w:sz w:val="20"/>
                <w:szCs w:val="20"/>
              </w:rPr>
              <w:t>R699</w:t>
            </w:r>
          </w:p>
        </w:tc>
        <w:tc>
          <w:tcPr>
            <w:tcW w:w="7190" w:type="dxa"/>
          </w:tcPr>
          <w:p w14:paraId="7A9CAB01" w14:textId="60231DC8" w:rsidR="00EE25EC" w:rsidRPr="00641F05" w:rsidRDefault="00EE25EC" w:rsidP="00EE25EC">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41F05">
              <w:rPr>
                <w:rFonts w:ascii="Times New Roman" w:hAnsi="Times New Roman" w:cs="Times New Roman"/>
                <w:sz w:val="20"/>
                <w:szCs w:val="20"/>
              </w:rPr>
              <w:t>SUPPORT - ADMINISTRATIVE: OTHER</w:t>
            </w:r>
          </w:p>
        </w:tc>
      </w:tr>
      <w:tr w:rsidR="00EE25EC" w:rsidRPr="00BC6244" w14:paraId="46EE2C98" w14:textId="77777777" w:rsidTr="00F75F45">
        <w:trPr>
          <w:trHeight w:val="20"/>
        </w:trPr>
        <w:tc>
          <w:tcPr>
            <w:cnfStyle w:val="001000000000" w:firstRow="0" w:lastRow="0" w:firstColumn="1" w:lastColumn="0" w:oddVBand="0" w:evenVBand="0" w:oddHBand="0" w:evenHBand="0" w:firstRowFirstColumn="0" w:firstRowLastColumn="0" w:lastRowFirstColumn="0" w:lastRowLastColumn="0"/>
            <w:tcW w:w="661" w:type="dxa"/>
            <w:noWrap/>
          </w:tcPr>
          <w:p w14:paraId="69B3E486" w14:textId="64753386" w:rsidR="00EE25EC" w:rsidRPr="00641F05" w:rsidRDefault="00EE25EC" w:rsidP="00EE25EC">
            <w:pPr>
              <w:pStyle w:val="Default"/>
              <w:rPr>
                <w:rFonts w:ascii="Times New Roman" w:hAnsi="Times New Roman" w:cs="Times New Roman"/>
                <w:sz w:val="20"/>
                <w:szCs w:val="20"/>
              </w:rPr>
            </w:pPr>
            <w:r w:rsidRPr="00641F05">
              <w:rPr>
                <w:rFonts w:ascii="Times New Roman" w:hAnsi="Times New Roman" w:cs="Times New Roman"/>
                <w:sz w:val="20"/>
                <w:szCs w:val="20"/>
              </w:rPr>
              <w:t>R799</w:t>
            </w:r>
          </w:p>
        </w:tc>
        <w:tc>
          <w:tcPr>
            <w:tcW w:w="7190" w:type="dxa"/>
          </w:tcPr>
          <w:p w14:paraId="3552DCD2" w14:textId="514A509F" w:rsidR="00EE25EC" w:rsidRPr="00641F05" w:rsidRDefault="00EE25EC" w:rsidP="00EE25EC">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41F05">
              <w:rPr>
                <w:rFonts w:ascii="Times New Roman" w:hAnsi="Times New Roman" w:cs="Times New Roman"/>
                <w:sz w:val="20"/>
                <w:szCs w:val="20"/>
              </w:rPr>
              <w:t>SUPPORT - MANAGEMENT: OTHER</w:t>
            </w:r>
          </w:p>
        </w:tc>
      </w:tr>
      <w:tr w:rsidR="00EE25EC" w:rsidRPr="00BC6244" w14:paraId="37AC92FB" w14:textId="77777777" w:rsidTr="00F75F4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61" w:type="dxa"/>
            <w:noWrap/>
          </w:tcPr>
          <w:p w14:paraId="02B41D61" w14:textId="2B03B669" w:rsidR="00EE25EC" w:rsidRPr="00641F05" w:rsidRDefault="00EE25EC" w:rsidP="00EE25EC">
            <w:pPr>
              <w:pStyle w:val="Default"/>
              <w:rPr>
                <w:rFonts w:ascii="Times New Roman" w:hAnsi="Times New Roman" w:cs="Times New Roman"/>
                <w:sz w:val="20"/>
                <w:szCs w:val="20"/>
                <w:highlight w:val="yellow"/>
              </w:rPr>
            </w:pPr>
          </w:p>
        </w:tc>
        <w:tc>
          <w:tcPr>
            <w:tcW w:w="7190" w:type="dxa"/>
          </w:tcPr>
          <w:p w14:paraId="52D7B0F5" w14:textId="48799B08" w:rsidR="00EE25EC" w:rsidRPr="00641F05" w:rsidRDefault="00EE25EC" w:rsidP="00EE25EC">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highlight w:val="yellow"/>
              </w:rPr>
            </w:pPr>
          </w:p>
        </w:tc>
      </w:tr>
      <w:tr w:rsidR="00EE25EC" w:rsidRPr="00BC6244" w14:paraId="205AF4D9" w14:textId="77777777" w:rsidTr="00F75F45">
        <w:trPr>
          <w:trHeight w:val="458"/>
        </w:trPr>
        <w:tc>
          <w:tcPr>
            <w:cnfStyle w:val="001000000000" w:firstRow="0" w:lastRow="0" w:firstColumn="1" w:lastColumn="0" w:oddVBand="0" w:evenVBand="0" w:oddHBand="0" w:evenHBand="0" w:firstRowFirstColumn="0" w:firstRowLastColumn="0" w:lastRowFirstColumn="0" w:lastRowLastColumn="0"/>
            <w:tcW w:w="661" w:type="dxa"/>
            <w:noWrap/>
          </w:tcPr>
          <w:p w14:paraId="2B2B84D5" w14:textId="77777777" w:rsidR="00EE25EC" w:rsidRPr="00641F05" w:rsidRDefault="00EE25EC" w:rsidP="00EE25EC">
            <w:pPr>
              <w:pStyle w:val="Default"/>
              <w:rPr>
                <w:rFonts w:ascii="Times New Roman" w:hAnsi="Times New Roman" w:cs="Times New Roman"/>
                <w:sz w:val="20"/>
                <w:szCs w:val="20"/>
                <w:highlight w:val="yellow"/>
              </w:rPr>
            </w:pPr>
          </w:p>
        </w:tc>
        <w:tc>
          <w:tcPr>
            <w:tcW w:w="7190" w:type="dxa"/>
          </w:tcPr>
          <w:p w14:paraId="4EC650C3" w14:textId="77777777" w:rsidR="00EE25EC" w:rsidRPr="00641F05" w:rsidRDefault="00EE25EC" w:rsidP="00EE25EC">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highlight w:val="yellow"/>
              </w:rPr>
            </w:pPr>
          </w:p>
          <w:p w14:paraId="2AFA1DB8" w14:textId="7037F8AD" w:rsidR="00EE25EC" w:rsidRPr="00641F05" w:rsidRDefault="00EE25EC" w:rsidP="00EE25EC">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641F05">
              <w:rPr>
                <w:rFonts w:ascii="Times New Roman" w:hAnsi="Times New Roman" w:cs="Times New Roman"/>
                <w:b/>
                <w:bCs/>
                <w:sz w:val="20"/>
                <w:szCs w:val="20"/>
              </w:rPr>
              <w:t>ED’s planned PSC to review:</w:t>
            </w:r>
          </w:p>
          <w:p w14:paraId="3F93B386" w14:textId="2915235B" w:rsidR="00EE25EC" w:rsidRPr="00641F05" w:rsidRDefault="00EE25EC" w:rsidP="00EE25EC">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yellow"/>
              </w:rPr>
            </w:pPr>
          </w:p>
        </w:tc>
      </w:tr>
      <w:tr w:rsidR="00EE25EC" w:rsidRPr="00BC6244" w14:paraId="4E21C141" w14:textId="77777777" w:rsidTr="00F75F45">
        <w:trPr>
          <w:cnfStyle w:val="000000100000" w:firstRow="0" w:lastRow="0" w:firstColumn="0" w:lastColumn="0" w:oddVBand="0" w:evenVBand="0" w:oddHBand="1" w:evenHBand="0" w:firstRowFirstColumn="0" w:firstRowLastColumn="0" w:lastRowFirstColumn="0" w:lastRowLastColumn="0"/>
          <w:trHeight w:val="125"/>
        </w:trPr>
        <w:tc>
          <w:tcPr>
            <w:cnfStyle w:val="001000000000" w:firstRow="0" w:lastRow="0" w:firstColumn="1" w:lastColumn="0" w:oddVBand="0" w:evenVBand="0" w:oddHBand="0" w:evenHBand="0" w:firstRowFirstColumn="0" w:firstRowLastColumn="0" w:lastRowFirstColumn="0" w:lastRowLastColumn="0"/>
            <w:tcW w:w="661" w:type="dxa"/>
            <w:noWrap/>
          </w:tcPr>
          <w:p w14:paraId="7FF23280" w14:textId="18ADFFB1" w:rsidR="00EE25EC" w:rsidRPr="00641F05" w:rsidRDefault="00EE25EC" w:rsidP="00EE25EC">
            <w:pPr>
              <w:pStyle w:val="Default"/>
              <w:rPr>
                <w:rFonts w:ascii="Times New Roman" w:hAnsi="Times New Roman" w:cs="Times New Roman"/>
                <w:sz w:val="20"/>
                <w:szCs w:val="20"/>
              </w:rPr>
            </w:pPr>
            <w:r w:rsidRPr="00641F05">
              <w:rPr>
                <w:rFonts w:ascii="Times New Roman" w:hAnsi="Times New Roman" w:cs="Times New Roman"/>
                <w:b w:val="0"/>
                <w:sz w:val="20"/>
                <w:szCs w:val="20"/>
              </w:rPr>
              <w:t>PSC</w:t>
            </w:r>
          </w:p>
        </w:tc>
        <w:tc>
          <w:tcPr>
            <w:tcW w:w="7190" w:type="dxa"/>
          </w:tcPr>
          <w:p w14:paraId="09885496" w14:textId="6636EC23" w:rsidR="00EE25EC" w:rsidRPr="00641F05" w:rsidRDefault="00EE25EC" w:rsidP="00EE25EC">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41F05">
              <w:rPr>
                <w:rFonts w:ascii="Times New Roman" w:hAnsi="Times New Roman" w:cs="Times New Roman"/>
                <w:b/>
                <w:sz w:val="20"/>
                <w:szCs w:val="20"/>
              </w:rPr>
              <w:t>Descriptions</w:t>
            </w:r>
          </w:p>
        </w:tc>
      </w:tr>
      <w:tr w:rsidR="00F35718" w:rsidRPr="00BC6244" w14:paraId="5E35057C" w14:textId="77777777" w:rsidTr="00F75F45">
        <w:trPr>
          <w:trHeight w:val="20"/>
        </w:trPr>
        <w:tc>
          <w:tcPr>
            <w:cnfStyle w:val="001000000000" w:firstRow="0" w:lastRow="0" w:firstColumn="1" w:lastColumn="0" w:oddVBand="0" w:evenVBand="0" w:oddHBand="0" w:evenHBand="0" w:firstRowFirstColumn="0" w:firstRowLastColumn="0" w:lastRowFirstColumn="0" w:lastRowLastColumn="0"/>
            <w:tcW w:w="661" w:type="dxa"/>
            <w:noWrap/>
          </w:tcPr>
          <w:p w14:paraId="481F4BAB" w14:textId="33EE42D8" w:rsidR="00F35718" w:rsidRPr="00641F05" w:rsidRDefault="00D456D4" w:rsidP="00F35718">
            <w:pPr>
              <w:pStyle w:val="Default"/>
              <w:rPr>
                <w:rFonts w:ascii="Times New Roman" w:eastAsia="Times New Roman" w:hAnsi="Times New Roman" w:cs="Times New Roman"/>
                <w:sz w:val="20"/>
                <w:szCs w:val="20"/>
              </w:rPr>
            </w:pPr>
            <w:r w:rsidRPr="00641F05">
              <w:rPr>
                <w:rFonts w:ascii="Times New Roman" w:hAnsi="Times New Roman" w:cs="Times New Roman"/>
                <w:sz w:val="20"/>
                <w:szCs w:val="20"/>
              </w:rPr>
              <w:t>D301</w:t>
            </w:r>
          </w:p>
        </w:tc>
        <w:tc>
          <w:tcPr>
            <w:tcW w:w="7190" w:type="dxa"/>
          </w:tcPr>
          <w:p w14:paraId="73A6B9DB" w14:textId="38C3771D" w:rsidR="00F35718" w:rsidRPr="00641F05" w:rsidRDefault="00D456D4" w:rsidP="00F35718">
            <w:pPr>
              <w:pStyle w:val="Defaul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641F05">
              <w:rPr>
                <w:rFonts w:ascii="Times New Roman" w:eastAsia="Times New Roman" w:hAnsi="Times New Roman" w:cs="Times New Roman"/>
                <w:sz w:val="20"/>
                <w:szCs w:val="20"/>
              </w:rPr>
              <w:t>IT AND TELECOM - FACILITY OPERATION AND MAINTENANCE</w:t>
            </w:r>
          </w:p>
        </w:tc>
      </w:tr>
      <w:tr w:rsidR="00F35718" w:rsidRPr="00BC6244" w14:paraId="3B1C4A89" w14:textId="77777777" w:rsidTr="00F75F4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61" w:type="dxa"/>
            <w:noWrap/>
          </w:tcPr>
          <w:p w14:paraId="24150B94" w14:textId="6AE4B4D3" w:rsidR="00F35718" w:rsidRPr="00641F05" w:rsidRDefault="00F35718" w:rsidP="00F35718">
            <w:pPr>
              <w:pStyle w:val="Default"/>
              <w:rPr>
                <w:rFonts w:ascii="Times New Roman" w:hAnsi="Times New Roman" w:cs="Times New Roman"/>
                <w:sz w:val="20"/>
                <w:szCs w:val="20"/>
              </w:rPr>
            </w:pPr>
            <w:r w:rsidRPr="00641F05">
              <w:rPr>
                <w:rFonts w:ascii="Times New Roman" w:eastAsia="Times New Roman" w:hAnsi="Times New Roman" w:cs="Times New Roman"/>
                <w:sz w:val="20"/>
                <w:szCs w:val="20"/>
              </w:rPr>
              <w:t>D3</w:t>
            </w:r>
            <w:r w:rsidR="00D456D4" w:rsidRPr="00641F05">
              <w:rPr>
                <w:rFonts w:ascii="Times New Roman" w:eastAsia="Times New Roman" w:hAnsi="Times New Roman" w:cs="Times New Roman"/>
                <w:sz w:val="20"/>
                <w:szCs w:val="20"/>
              </w:rPr>
              <w:t>13</w:t>
            </w:r>
          </w:p>
        </w:tc>
        <w:tc>
          <w:tcPr>
            <w:tcW w:w="7190" w:type="dxa"/>
          </w:tcPr>
          <w:p w14:paraId="5669FD03" w14:textId="64F2D8AB" w:rsidR="00F35718" w:rsidRPr="00641F05" w:rsidRDefault="00D456D4" w:rsidP="00F35718">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41F05">
              <w:rPr>
                <w:rFonts w:ascii="Times New Roman" w:hAnsi="Times New Roman" w:cs="Times New Roman"/>
                <w:sz w:val="20"/>
                <w:szCs w:val="20"/>
              </w:rPr>
              <w:t>IT AND TELECOM - COMPUTER AIDED DESIGN/COMPUTER AIDED MANUFACTURING (CAD/CAM)</w:t>
            </w:r>
          </w:p>
        </w:tc>
      </w:tr>
      <w:tr w:rsidR="00F35718" w:rsidRPr="00BC6244" w14:paraId="2EDD05C4" w14:textId="77777777" w:rsidTr="00F75F45">
        <w:trPr>
          <w:trHeight w:val="20"/>
        </w:trPr>
        <w:tc>
          <w:tcPr>
            <w:cnfStyle w:val="001000000000" w:firstRow="0" w:lastRow="0" w:firstColumn="1" w:lastColumn="0" w:oddVBand="0" w:evenVBand="0" w:oddHBand="0" w:evenHBand="0" w:firstRowFirstColumn="0" w:firstRowLastColumn="0" w:lastRowFirstColumn="0" w:lastRowLastColumn="0"/>
            <w:tcW w:w="661" w:type="dxa"/>
            <w:noWrap/>
          </w:tcPr>
          <w:p w14:paraId="7A71B4F2" w14:textId="0695C583" w:rsidR="00F35718" w:rsidRPr="00641F05" w:rsidRDefault="00F35718" w:rsidP="00F35718">
            <w:pPr>
              <w:pStyle w:val="Default"/>
              <w:rPr>
                <w:rFonts w:ascii="Times New Roman" w:hAnsi="Times New Roman" w:cs="Times New Roman"/>
                <w:sz w:val="20"/>
                <w:szCs w:val="20"/>
              </w:rPr>
            </w:pPr>
            <w:r w:rsidRPr="00641F05">
              <w:rPr>
                <w:rFonts w:ascii="Times New Roman" w:hAnsi="Times New Roman" w:cs="Times New Roman"/>
                <w:sz w:val="20"/>
                <w:szCs w:val="20"/>
              </w:rPr>
              <w:t>D31</w:t>
            </w:r>
            <w:r w:rsidR="00D456D4" w:rsidRPr="00641F05">
              <w:rPr>
                <w:rFonts w:ascii="Times New Roman" w:hAnsi="Times New Roman" w:cs="Times New Roman"/>
                <w:sz w:val="20"/>
                <w:szCs w:val="20"/>
              </w:rPr>
              <w:t>8</w:t>
            </w:r>
          </w:p>
        </w:tc>
        <w:tc>
          <w:tcPr>
            <w:tcW w:w="7190" w:type="dxa"/>
          </w:tcPr>
          <w:p w14:paraId="7737B30E" w14:textId="19288665" w:rsidR="00F35718" w:rsidRPr="00641F05" w:rsidRDefault="001C5583" w:rsidP="00F35718">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41F05">
              <w:rPr>
                <w:rFonts w:ascii="Times New Roman" w:eastAsia="Times New Roman" w:hAnsi="Times New Roman" w:cs="Times New Roman"/>
                <w:sz w:val="20"/>
                <w:szCs w:val="20"/>
              </w:rPr>
              <w:t xml:space="preserve">IT </w:t>
            </w:r>
            <w:r w:rsidR="00A625E9" w:rsidRPr="00641F05">
              <w:rPr>
                <w:rFonts w:ascii="Times New Roman" w:eastAsia="Times New Roman" w:hAnsi="Times New Roman" w:cs="Times New Roman"/>
                <w:sz w:val="20"/>
                <w:szCs w:val="20"/>
              </w:rPr>
              <w:t>AND</w:t>
            </w:r>
            <w:r w:rsidRPr="00641F05">
              <w:rPr>
                <w:rFonts w:ascii="Times New Roman" w:eastAsia="Times New Roman" w:hAnsi="Times New Roman" w:cs="Times New Roman"/>
                <w:sz w:val="20"/>
                <w:szCs w:val="20"/>
              </w:rPr>
              <w:t xml:space="preserve"> T</w:t>
            </w:r>
            <w:r w:rsidR="001B0B39" w:rsidRPr="00641F05">
              <w:rPr>
                <w:rFonts w:ascii="Times New Roman" w:eastAsia="Times New Roman" w:hAnsi="Times New Roman" w:cs="Times New Roman"/>
                <w:sz w:val="20"/>
                <w:szCs w:val="20"/>
              </w:rPr>
              <w:t>ELECOM</w:t>
            </w:r>
            <w:r w:rsidRPr="00641F05">
              <w:rPr>
                <w:rFonts w:ascii="Times New Roman" w:eastAsia="Times New Roman" w:hAnsi="Times New Roman" w:cs="Times New Roman"/>
                <w:sz w:val="20"/>
                <w:szCs w:val="20"/>
              </w:rPr>
              <w:t>- I</w:t>
            </w:r>
            <w:r w:rsidR="001B0B39" w:rsidRPr="00641F05">
              <w:rPr>
                <w:rFonts w:ascii="Times New Roman" w:eastAsia="Times New Roman" w:hAnsi="Times New Roman" w:cs="Times New Roman"/>
                <w:sz w:val="20"/>
                <w:szCs w:val="20"/>
              </w:rPr>
              <w:t>NTEGRATED</w:t>
            </w:r>
            <w:r w:rsidRPr="00641F05">
              <w:rPr>
                <w:rFonts w:ascii="Times New Roman" w:eastAsia="Times New Roman" w:hAnsi="Times New Roman" w:cs="Times New Roman"/>
                <w:sz w:val="20"/>
                <w:szCs w:val="20"/>
              </w:rPr>
              <w:t xml:space="preserve"> H</w:t>
            </w:r>
            <w:r w:rsidR="001409AB" w:rsidRPr="00641F05">
              <w:rPr>
                <w:rFonts w:ascii="Times New Roman" w:eastAsia="Times New Roman" w:hAnsi="Times New Roman" w:cs="Times New Roman"/>
                <w:sz w:val="20"/>
                <w:szCs w:val="20"/>
              </w:rPr>
              <w:t>ARDWARE</w:t>
            </w:r>
            <w:r w:rsidRPr="00641F05">
              <w:rPr>
                <w:rFonts w:ascii="Times New Roman" w:eastAsia="Times New Roman" w:hAnsi="Times New Roman" w:cs="Times New Roman"/>
                <w:sz w:val="20"/>
                <w:szCs w:val="20"/>
              </w:rPr>
              <w:t>/S</w:t>
            </w:r>
            <w:r w:rsidR="001409AB" w:rsidRPr="00641F05">
              <w:rPr>
                <w:rFonts w:ascii="Times New Roman" w:eastAsia="Times New Roman" w:hAnsi="Times New Roman" w:cs="Times New Roman"/>
                <w:sz w:val="20"/>
                <w:szCs w:val="20"/>
              </w:rPr>
              <w:t>OFTWARE</w:t>
            </w:r>
            <w:r w:rsidRPr="00641F05">
              <w:rPr>
                <w:rFonts w:ascii="Times New Roman" w:eastAsia="Times New Roman" w:hAnsi="Times New Roman" w:cs="Times New Roman"/>
                <w:sz w:val="20"/>
                <w:szCs w:val="20"/>
              </w:rPr>
              <w:t>/S</w:t>
            </w:r>
            <w:r w:rsidR="001409AB" w:rsidRPr="00641F05">
              <w:rPr>
                <w:rFonts w:ascii="Times New Roman" w:eastAsia="Times New Roman" w:hAnsi="Times New Roman" w:cs="Times New Roman"/>
                <w:sz w:val="20"/>
                <w:szCs w:val="20"/>
              </w:rPr>
              <w:t>ERVICES</w:t>
            </w:r>
            <w:r w:rsidRPr="00641F05">
              <w:rPr>
                <w:rFonts w:ascii="Times New Roman" w:eastAsia="Times New Roman" w:hAnsi="Times New Roman" w:cs="Times New Roman"/>
                <w:sz w:val="20"/>
                <w:szCs w:val="20"/>
              </w:rPr>
              <w:t xml:space="preserve"> S</w:t>
            </w:r>
            <w:r w:rsidR="001409AB" w:rsidRPr="00641F05">
              <w:rPr>
                <w:rFonts w:ascii="Times New Roman" w:eastAsia="Times New Roman" w:hAnsi="Times New Roman" w:cs="Times New Roman"/>
                <w:sz w:val="20"/>
                <w:szCs w:val="20"/>
              </w:rPr>
              <w:t>OLUTION</w:t>
            </w:r>
            <w:r w:rsidR="00BB1249" w:rsidRPr="00641F05">
              <w:rPr>
                <w:rFonts w:ascii="Times New Roman" w:eastAsia="Times New Roman" w:hAnsi="Times New Roman" w:cs="Times New Roman"/>
                <w:sz w:val="20"/>
                <w:szCs w:val="20"/>
              </w:rPr>
              <w:t>S</w:t>
            </w:r>
            <w:r w:rsidRPr="00641F05">
              <w:rPr>
                <w:rFonts w:ascii="Times New Roman" w:eastAsia="Times New Roman" w:hAnsi="Times New Roman" w:cs="Times New Roman"/>
                <w:sz w:val="20"/>
                <w:szCs w:val="20"/>
              </w:rPr>
              <w:t>, P</w:t>
            </w:r>
            <w:r w:rsidR="00BB1249" w:rsidRPr="00641F05">
              <w:rPr>
                <w:rFonts w:ascii="Times New Roman" w:eastAsia="Times New Roman" w:hAnsi="Times New Roman" w:cs="Times New Roman"/>
                <w:sz w:val="20"/>
                <w:szCs w:val="20"/>
              </w:rPr>
              <w:t>REDOMIN</w:t>
            </w:r>
            <w:r w:rsidR="00562F73" w:rsidRPr="00641F05">
              <w:rPr>
                <w:rFonts w:ascii="Times New Roman" w:eastAsia="Times New Roman" w:hAnsi="Times New Roman" w:cs="Times New Roman"/>
                <w:sz w:val="20"/>
                <w:szCs w:val="20"/>
              </w:rPr>
              <w:t>ANTLY</w:t>
            </w:r>
            <w:r w:rsidRPr="00641F05">
              <w:rPr>
                <w:rFonts w:ascii="Times New Roman" w:eastAsia="Times New Roman" w:hAnsi="Times New Roman" w:cs="Times New Roman"/>
                <w:sz w:val="20"/>
                <w:szCs w:val="20"/>
              </w:rPr>
              <w:t xml:space="preserve"> S</w:t>
            </w:r>
            <w:r w:rsidR="00562F73" w:rsidRPr="00641F05">
              <w:rPr>
                <w:rFonts w:ascii="Times New Roman" w:eastAsia="Times New Roman" w:hAnsi="Times New Roman" w:cs="Times New Roman"/>
                <w:sz w:val="20"/>
                <w:szCs w:val="20"/>
              </w:rPr>
              <w:t>ERVICES</w:t>
            </w:r>
          </w:p>
        </w:tc>
      </w:tr>
      <w:tr w:rsidR="00F35718" w:rsidRPr="00BC6244" w14:paraId="7E17B152" w14:textId="77777777" w:rsidTr="00F75F4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61" w:type="dxa"/>
            <w:noWrap/>
          </w:tcPr>
          <w:p w14:paraId="6B93759D" w14:textId="10B33DF1" w:rsidR="00F35718" w:rsidRPr="00641F05" w:rsidRDefault="00F35718" w:rsidP="00F35718">
            <w:pPr>
              <w:pStyle w:val="Default"/>
              <w:rPr>
                <w:rFonts w:ascii="Times New Roman" w:hAnsi="Times New Roman" w:cs="Times New Roman"/>
                <w:sz w:val="20"/>
                <w:szCs w:val="20"/>
              </w:rPr>
            </w:pPr>
            <w:r w:rsidRPr="00641F05">
              <w:rPr>
                <w:rFonts w:ascii="Times New Roman" w:hAnsi="Times New Roman" w:cs="Times New Roman"/>
                <w:sz w:val="20"/>
                <w:szCs w:val="20"/>
              </w:rPr>
              <w:t>D399</w:t>
            </w:r>
          </w:p>
        </w:tc>
        <w:tc>
          <w:tcPr>
            <w:tcW w:w="7190" w:type="dxa"/>
          </w:tcPr>
          <w:p w14:paraId="1313EA7E" w14:textId="6601978F" w:rsidR="00F35718" w:rsidRPr="00641F05" w:rsidRDefault="00F35718" w:rsidP="00F35718">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41F05">
              <w:rPr>
                <w:rFonts w:ascii="Times New Roman" w:hAnsi="Times New Roman" w:cs="Times New Roman"/>
                <w:sz w:val="20"/>
                <w:szCs w:val="20"/>
              </w:rPr>
              <w:t>IT AND TELECOM Other IT and TELECOMMUNICATION</w:t>
            </w:r>
            <w:r w:rsidR="00D86BA3" w:rsidRPr="00641F05">
              <w:rPr>
                <w:rFonts w:ascii="Times New Roman" w:hAnsi="Times New Roman" w:cs="Times New Roman"/>
                <w:sz w:val="20"/>
                <w:szCs w:val="20"/>
              </w:rPr>
              <w:t>S</w:t>
            </w:r>
          </w:p>
        </w:tc>
      </w:tr>
      <w:tr w:rsidR="00F35718" w:rsidRPr="00BC6244" w14:paraId="3F3634C7" w14:textId="77777777" w:rsidTr="00F75F45">
        <w:trPr>
          <w:trHeight w:val="20"/>
        </w:trPr>
        <w:tc>
          <w:tcPr>
            <w:cnfStyle w:val="001000000000" w:firstRow="0" w:lastRow="0" w:firstColumn="1" w:lastColumn="0" w:oddVBand="0" w:evenVBand="0" w:oddHBand="0" w:evenHBand="0" w:firstRowFirstColumn="0" w:firstRowLastColumn="0" w:lastRowFirstColumn="0" w:lastRowLastColumn="0"/>
            <w:tcW w:w="661" w:type="dxa"/>
            <w:noWrap/>
          </w:tcPr>
          <w:p w14:paraId="11D97A25" w14:textId="769D180D" w:rsidR="00F35718" w:rsidRPr="00641F05" w:rsidRDefault="00F35718" w:rsidP="00F35718">
            <w:pPr>
              <w:pStyle w:val="Default"/>
              <w:rPr>
                <w:rFonts w:ascii="Times New Roman" w:hAnsi="Times New Roman" w:cs="Times New Roman"/>
                <w:sz w:val="20"/>
                <w:szCs w:val="20"/>
              </w:rPr>
            </w:pPr>
            <w:r w:rsidRPr="00641F05">
              <w:rPr>
                <w:rFonts w:ascii="Times New Roman" w:hAnsi="Times New Roman" w:cs="Times New Roman"/>
                <w:sz w:val="20"/>
                <w:szCs w:val="20"/>
              </w:rPr>
              <w:t>R705</w:t>
            </w:r>
          </w:p>
        </w:tc>
        <w:tc>
          <w:tcPr>
            <w:tcW w:w="7190" w:type="dxa"/>
          </w:tcPr>
          <w:p w14:paraId="5F2F9363" w14:textId="03B099C5" w:rsidR="00F35718" w:rsidRPr="00641F05" w:rsidRDefault="00F35718" w:rsidP="00F35718">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641F05">
              <w:rPr>
                <w:rFonts w:ascii="Times New Roman" w:hAnsi="Times New Roman" w:cs="Times New Roman"/>
                <w:sz w:val="20"/>
                <w:szCs w:val="20"/>
              </w:rPr>
              <w:t>SUPPORT- MANAGEMENT: DEBT COLLECTION</w:t>
            </w:r>
          </w:p>
        </w:tc>
      </w:tr>
      <w:tr w:rsidR="00F35718" w:rsidRPr="00BC6244" w14:paraId="6618ADB9" w14:textId="77777777" w:rsidTr="00F75F4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61" w:type="dxa"/>
            <w:noWrap/>
          </w:tcPr>
          <w:p w14:paraId="6B140A36" w14:textId="59E0686B" w:rsidR="00F35718" w:rsidRPr="00641F05" w:rsidRDefault="00F35718" w:rsidP="00F35718">
            <w:pPr>
              <w:pStyle w:val="Default"/>
              <w:rPr>
                <w:rFonts w:ascii="Times New Roman" w:hAnsi="Times New Roman" w:cs="Times New Roman"/>
                <w:sz w:val="20"/>
                <w:szCs w:val="20"/>
              </w:rPr>
            </w:pPr>
            <w:r w:rsidRPr="00641F05">
              <w:rPr>
                <w:rFonts w:ascii="Times New Roman" w:hAnsi="Times New Roman" w:cs="Times New Roman"/>
                <w:sz w:val="20"/>
                <w:szCs w:val="20"/>
              </w:rPr>
              <w:t>R710</w:t>
            </w:r>
          </w:p>
        </w:tc>
        <w:tc>
          <w:tcPr>
            <w:tcW w:w="7190" w:type="dxa"/>
          </w:tcPr>
          <w:p w14:paraId="7AD8B159" w14:textId="1C52BE65" w:rsidR="00F35718" w:rsidRPr="00641F05" w:rsidRDefault="00F35718" w:rsidP="00F35718">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641F05">
              <w:rPr>
                <w:rFonts w:ascii="Times New Roman" w:hAnsi="Times New Roman" w:cs="Times New Roman"/>
                <w:sz w:val="20"/>
                <w:szCs w:val="20"/>
              </w:rPr>
              <w:t>SUPPORT- MANAGEMENT: FINANCIAL</w:t>
            </w:r>
          </w:p>
        </w:tc>
      </w:tr>
      <w:tr w:rsidR="00BC6244" w:rsidRPr="00BC6244" w14:paraId="565A7F19" w14:textId="77777777" w:rsidTr="00F75F45">
        <w:trPr>
          <w:trHeight w:val="170"/>
        </w:trPr>
        <w:tc>
          <w:tcPr>
            <w:cnfStyle w:val="001000000000" w:firstRow="0" w:lastRow="0" w:firstColumn="1" w:lastColumn="0" w:oddVBand="0" w:evenVBand="0" w:oddHBand="0" w:evenHBand="0" w:firstRowFirstColumn="0" w:firstRowLastColumn="0" w:lastRowFirstColumn="0" w:lastRowLastColumn="0"/>
            <w:tcW w:w="661" w:type="dxa"/>
            <w:noWrap/>
          </w:tcPr>
          <w:p w14:paraId="565A7F17" w14:textId="1ABC1C0E" w:rsidR="00BC6244" w:rsidRPr="00641F05" w:rsidRDefault="00BC6244" w:rsidP="00BC6244">
            <w:pPr>
              <w:pStyle w:val="Default"/>
              <w:rPr>
                <w:rFonts w:ascii="Times New Roman" w:hAnsi="Times New Roman" w:cs="Times New Roman"/>
                <w:sz w:val="20"/>
                <w:szCs w:val="20"/>
                <w:highlight w:val="yellow"/>
              </w:rPr>
            </w:pPr>
            <w:r w:rsidRPr="00641F05">
              <w:rPr>
                <w:rFonts w:ascii="Times New Roman" w:eastAsia="Times New Roman" w:hAnsi="Times New Roman" w:cs="Times New Roman"/>
                <w:sz w:val="20"/>
                <w:szCs w:val="20"/>
              </w:rPr>
              <w:t>AF11</w:t>
            </w:r>
          </w:p>
        </w:tc>
        <w:tc>
          <w:tcPr>
            <w:tcW w:w="7190" w:type="dxa"/>
          </w:tcPr>
          <w:p w14:paraId="565A7F18" w14:textId="3D8CF351" w:rsidR="00BC6244" w:rsidRPr="00641F05" w:rsidRDefault="00BC6244" w:rsidP="00BC6244">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highlight w:val="yellow"/>
              </w:rPr>
            </w:pPr>
            <w:r w:rsidRPr="00641F05">
              <w:rPr>
                <w:rFonts w:ascii="Times New Roman" w:eastAsia="Times New Roman" w:hAnsi="Times New Roman" w:cs="Times New Roman"/>
                <w:sz w:val="20"/>
                <w:szCs w:val="20"/>
              </w:rPr>
              <w:t>R&amp;D - EDUCATION: EDUCATIONAL (BASIC RESEARCH)</w:t>
            </w:r>
          </w:p>
        </w:tc>
      </w:tr>
      <w:tr w:rsidR="00BC6244" w:rsidRPr="00BC6244" w14:paraId="0B939E92" w14:textId="77777777" w:rsidTr="00F75F45">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661" w:type="dxa"/>
            <w:noWrap/>
          </w:tcPr>
          <w:p w14:paraId="08D0BBD1" w14:textId="77777777" w:rsidR="00BC6244" w:rsidRPr="00641F05" w:rsidRDefault="00BC6244" w:rsidP="00BC6244">
            <w:pPr>
              <w:pStyle w:val="Default"/>
              <w:rPr>
                <w:rFonts w:ascii="Times New Roman" w:eastAsia="Times New Roman" w:hAnsi="Times New Roman" w:cs="Times New Roman"/>
                <w:sz w:val="20"/>
                <w:szCs w:val="20"/>
              </w:rPr>
            </w:pPr>
          </w:p>
        </w:tc>
        <w:tc>
          <w:tcPr>
            <w:tcW w:w="7190" w:type="dxa"/>
          </w:tcPr>
          <w:p w14:paraId="4AC1E5A4" w14:textId="77777777" w:rsidR="00BC6244" w:rsidRPr="00641F05" w:rsidRDefault="00BC6244" w:rsidP="00BC6244">
            <w:pPr>
              <w:pStyle w:val="Defaul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bl>
    <w:p w14:paraId="565A7F37" w14:textId="77777777" w:rsidR="00174045" w:rsidRPr="00BC6244" w:rsidRDefault="00174045" w:rsidP="00174045">
      <w:pPr>
        <w:pStyle w:val="Default"/>
        <w:rPr>
          <w:rFonts w:ascii="Times New Roman" w:hAnsi="Times New Roman" w:cs="Times New Roman"/>
          <w:sz w:val="20"/>
          <w:szCs w:val="20"/>
        </w:rPr>
      </w:pPr>
    </w:p>
    <w:p w14:paraId="565A7F39" w14:textId="775DD7DA" w:rsidR="00014BEA" w:rsidRDefault="00174045" w:rsidP="00174045">
      <w:pPr>
        <w:pStyle w:val="Default"/>
        <w:rPr>
          <w:rFonts w:ascii="Times New Roman" w:hAnsi="Times New Roman" w:cs="Times New Roman"/>
        </w:rPr>
      </w:pPr>
      <w:r>
        <w:rPr>
          <w:rFonts w:ascii="Times New Roman" w:hAnsi="Times New Roman" w:cs="Times New Roman"/>
        </w:rPr>
        <w:t>ED</w:t>
      </w:r>
      <w:r w:rsidR="009E0B4C">
        <w:rPr>
          <w:rFonts w:ascii="Times New Roman" w:hAnsi="Times New Roman" w:cs="Times New Roman"/>
        </w:rPr>
        <w:t>’s</w:t>
      </w:r>
      <w:r>
        <w:rPr>
          <w:rFonts w:ascii="Times New Roman" w:hAnsi="Times New Roman" w:cs="Times New Roman"/>
        </w:rPr>
        <w:t xml:space="preserve"> Analysis Plan</w:t>
      </w:r>
      <w:r w:rsidRPr="00AB7B2E">
        <w:rPr>
          <w:rFonts w:ascii="Times New Roman" w:hAnsi="Times New Roman" w:cs="Times New Roman"/>
        </w:rPr>
        <w:t>:</w:t>
      </w:r>
      <w:r w:rsidR="009E0B4C">
        <w:rPr>
          <w:rFonts w:ascii="Times New Roman" w:hAnsi="Times New Roman" w:cs="Times New Roman"/>
        </w:rPr>
        <w:br/>
      </w:r>
    </w:p>
    <w:p w14:paraId="565A7F3B" w14:textId="1EA4BFA1" w:rsidR="00174045" w:rsidRDefault="00174045" w:rsidP="00174045">
      <w:pPr>
        <w:pStyle w:val="Default"/>
        <w:spacing w:after="150"/>
        <w:contextualSpacing/>
        <w:rPr>
          <w:rFonts w:ascii="Times New Roman" w:hAnsi="Times New Roman" w:cs="Times New Roman"/>
        </w:rPr>
      </w:pPr>
      <w:r w:rsidRPr="00AB7B2E">
        <w:rPr>
          <w:rFonts w:ascii="Times New Roman" w:hAnsi="Times New Roman" w:cs="Times New Roman"/>
          <w:b/>
          <w:bCs/>
        </w:rPr>
        <w:t xml:space="preserve">Step 1: </w:t>
      </w:r>
      <w:r w:rsidRPr="00AB7B2E">
        <w:rPr>
          <w:rFonts w:ascii="Times New Roman" w:hAnsi="Times New Roman" w:cs="Times New Roman"/>
        </w:rPr>
        <w:t xml:space="preserve">Identify </w:t>
      </w:r>
      <w:r w:rsidR="00CA7961">
        <w:rPr>
          <w:rFonts w:ascii="Times New Roman" w:hAnsi="Times New Roman" w:cs="Times New Roman"/>
        </w:rPr>
        <w:t xml:space="preserve">the </w:t>
      </w:r>
      <w:r w:rsidR="00672E70">
        <w:rPr>
          <w:rFonts w:ascii="Times New Roman" w:hAnsi="Times New Roman" w:cs="Times New Roman"/>
        </w:rPr>
        <w:t xml:space="preserve">pool of </w:t>
      </w:r>
      <w:r w:rsidRPr="00AB7B2E">
        <w:rPr>
          <w:rFonts w:ascii="Times New Roman" w:hAnsi="Times New Roman" w:cs="Times New Roman"/>
        </w:rPr>
        <w:t>service contracts w</w:t>
      </w:r>
      <w:r w:rsidR="00672E70">
        <w:rPr>
          <w:rFonts w:ascii="Times New Roman" w:hAnsi="Times New Roman" w:cs="Times New Roman"/>
        </w:rPr>
        <w:t>ith special interest functions.</w:t>
      </w:r>
    </w:p>
    <w:p w14:paraId="31E33310" w14:textId="49203612" w:rsidR="008852D7" w:rsidRDefault="00174045" w:rsidP="00174045">
      <w:pPr>
        <w:pStyle w:val="Default"/>
        <w:contextualSpacing/>
        <w:rPr>
          <w:rFonts w:ascii="Times New Roman" w:hAnsi="Times New Roman" w:cs="Times New Roman"/>
        </w:rPr>
      </w:pPr>
      <w:r w:rsidRPr="00AB7B2E">
        <w:rPr>
          <w:rFonts w:ascii="Times New Roman" w:hAnsi="Times New Roman" w:cs="Times New Roman"/>
          <w:b/>
          <w:bCs/>
        </w:rPr>
        <w:t xml:space="preserve">Step </w:t>
      </w:r>
      <w:r w:rsidR="009E0B4C">
        <w:rPr>
          <w:rFonts w:ascii="Times New Roman" w:hAnsi="Times New Roman" w:cs="Times New Roman"/>
          <w:b/>
          <w:bCs/>
        </w:rPr>
        <w:t>2</w:t>
      </w:r>
      <w:r w:rsidRPr="00AB7B2E">
        <w:rPr>
          <w:rFonts w:ascii="Times New Roman" w:hAnsi="Times New Roman" w:cs="Times New Roman"/>
          <w:b/>
          <w:bCs/>
        </w:rPr>
        <w:t xml:space="preserve">: </w:t>
      </w:r>
      <w:r w:rsidR="00014BEA" w:rsidRPr="00AA350B">
        <w:rPr>
          <w:rFonts w:ascii="Times New Roman" w:hAnsi="Times New Roman" w:cs="Times New Roman"/>
          <w:bCs/>
        </w:rPr>
        <w:t>I</w:t>
      </w:r>
      <w:r w:rsidRPr="00AB7B2E">
        <w:rPr>
          <w:rFonts w:ascii="Times New Roman" w:hAnsi="Times New Roman" w:cs="Times New Roman"/>
        </w:rPr>
        <w:t xml:space="preserve">dentify contracts for review </w:t>
      </w:r>
      <w:bookmarkStart w:id="10" w:name="_Hlk31209138"/>
      <w:r w:rsidR="00DC1093">
        <w:rPr>
          <w:rFonts w:ascii="Times New Roman" w:hAnsi="Times New Roman" w:cs="Times New Roman"/>
        </w:rPr>
        <w:t xml:space="preserve">by </w:t>
      </w:r>
      <w:r>
        <w:rPr>
          <w:rFonts w:ascii="Times New Roman" w:hAnsi="Times New Roman" w:cs="Times New Roman"/>
        </w:rPr>
        <w:t xml:space="preserve">using </w:t>
      </w:r>
      <w:r w:rsidR="00DC1093">
        <w:rPr>
          <w:rFonts w:ascii="Times New Roman" w:hAnsi="Times New Roman" w:cs="Times New Roman"/>
        </w:rPr>
        <w:t>OMB’s FY20</w:t>
      </w:r>
      <w:r w:rsidR="008852D7">
        <w:rPr>
          <w:rFonts w:ascii="Times New Roman" w:hAnsi="Times New Roman" w:cs="Times New Roman"/>
        </w:rPr>
        <w:t>20</w:t>
      </w:r>
      <w:r w:rsidR="00DC1093">
        <w:rPr>
          <w:rFonts w:ascii="Times New Roman" w:hAnsi="Times New Roman" w:cs="Times New Roman"/>
        </w:rPr>
        <w:t xml:space="preserve"> Government-wide Service Contract </w:t>
      </w:r>
      <w:r w:rsidR="0089330E">
        <w:rPr>
          <w:rFonts w:ascii="Times New Roman" w:hAnsi="Times New Roman" w:cs="Times New Roman"/>
        </w:rPr>
        <w:t xml:space="preserve"> </w:t>
      </w:r>
      <w:r w:rsidR="0089330E">
        <w:rPr>
          <w:rFonts w:ascii="Times New Roman" w:hAnsi="Times New Roman" w:cs="Times New Roman"/>
        </w:rPr>
        <w:br/>
        <w:t xml:space="preserve">             </w:t>
      </w:r>
      <w:r w:rsidR="00DC1093">
        <w:rPr>
          <w:rFonts w:ascii="Times New Roman" w:hAnsi="Times New Roman" w:cs="Times New Roman"/>
        </w:rPr>
        <w:t>Inventory</w:t>
      </w:r>
      <w:r w:rsidR="0089330E">
        <w:rPr>
          <w:rFonts w:ascii="Times New Roman" w:hAnsi="Times New Roman" w:cs="Times New Roman"/>
        </w:rPr>
        <w:t xml:space="preserve"> report</w:t>
      </w:r>
      <w:r>
        <w:rPr>
          <w:rFonts w:ascii="Times New Roman" w:hAnsi="Times New Roman" w:cs="Times New Roman"/>
        </w:rPr>
        <w:t>.</w:t>
      </w:r>
      <w:bookmarkEnd w:id="10"/>
    </w:p>
    <w:p w14:paraId="565A7F41" w14:textId="664ECBE3" w:rsidR="00174045" w:rsidRDefault="00174045" w:rsidP="00F75F45">
      <w:pPr>
        <w:pStyle w:val="Default"/>
        <w:contextualSpacing/>
        <w:rPr>
          <w:rFonts w:ascii="Times New Roman" w:hAnsi="Times New Roman" w:cs="Times New Roman"/>
        </w:rPr>
      </w:pPr>
      <w:r w:rsidRPr="00AB7B2E">
        <w:rPr>
          <w:rFonts w:ascii="Times New Roman" w:hAnsi="Times New Roman" w:cs="Times New Roman"/>
          <w:b/>
          <w:bCs/>
        </w:rPr>
        <w:t xml:space="preserve">Step </w:t>
      </w:r>
      <w:r w:rsidR="009E0B4C">
        <w:rPr>
          <w:rFonts w:ascii="Times New Roman" w:hAnsi="Times New Roman" w:cs="Times New Roman"/>
          <w:b/>
          <w:bCs/>
        </w:rPr>
        <w:t>3</w:t>
      </w:r>
      <w:r w:rsidRPr="00AB7B2E">
        <w:rPr>
          <w:rFonts w:ascii="Times New Roman" w:hAnsi="Times New Roman" w:cs="Times New Roman"/>
          <w:b/>
          <w:bCs/>
        </w:rPr>
        <w:t xml:space="preserve">: </w:t>
      </w:r>
      <w:r w:rsidR="00700AA3">
        <w:rPr>
          <w:rFonts w:ascii="Times New Roman" w:hAnsi="Times New Roman" w:cs="Times New Roman"/>
          <w:bCs/>
        </w:rPr>
        <w:t xml:space="preserve">Build </w:t>
      </w:r>
      <w:r w:rsidR="006368AE">
        <w:rPr>
          <w:rFonts w:ascii="Times New Roman" w:hAnsi="Times New Roman" w:cs="Times New Roman"/>
          <w:bCs/>
        </w:rPr>
        <w:t xml:space="preserve">the </w:t>
      </w:r>
      <w:r w:rsidR="00700AA3">
        <w:rPr>
          <w:rFonts w:ascii="Times New Roman" w:hAnsi="Times New Roman" w:cs="Times New Roman"/>
          <w:bCs/>
        </w:rPr>
        <w:t>Analysis</w:t>
      </w:r>
      <w:r w:rsidR="006368AE">
        <w:rPr>
          <w:rFonts w:ascii="Times New Roman" w:hAnsi="Times New Roman" w:cs="Times New Roman"/>
          <w:bCs/>
        </w:rPr>
        <w:t>/data collection s</w:t>
      </w:r>
      <w:r w:rsidR="00700AA3">
        <w:rPr>
          <w:rFonts w:ascii="Times New Roman" w:hAnsi="Times New Roman" w:cs="Times New Roman"/>
          <w:bCs/>
        </w:rPr>
        <w:t>preadsheet</w:t>
      </w:r>
      <w:r>
        <w:rPr>
          <w:rFonts w:ascii="Times New Roman" w:hAnsi="Times New Roman" w:cs="Times New Roman"/>
        </w:rPr>
        <w:t>.</w:t>
      </w:r>
    </w:p>
    <w:p w14:paraId="6598C1F4" w14:textId="3631E255" w:rsidR="00402AF0" w:rsidRDefault="00402AF0" w:rsidP="00402AF0">
      <w:pPr>
        <w:pStyle w:val="Default"/>
        <w:contextualSpacing/>
        <w:rPr>
          <w:rFonts w:ascii="Times New Roman" w:hAnsi="Times New Roman" w:cs="Times New Roman"/>
        </w:rPr>
      </w:pPr>
      <w:r w:rsidRPr="00AB7B2E">
        <w:rPr>
          <w:rFonts w:ascii="Times New Roman" w:hAnsi="Times New Roman" w:cs="Times New Roman"/>
          <w:b/>
          <w:bCs/>
        </w:rPr>
        <w:t xml:space="preserve">Step </w:t>
      </w:r>
      <w:r w:rsidR="00995BCF">
        <w:rPr>
          <w:rFonts w:ascii="Times New Roman" w:hAnsi="Times New Roman" w:cs="Times New Roman"/>
          <w:b/>
          <w:bCs/>
        </w:rPr>
        <w:t>4</w:t>
      </w:r>
      <w:r w:rsidRPr="00AB7B2E">
        <w:rPr>
          <w:rFonts w:ascii="Times New Roman" w:hAnsi="Times New Roman" w:cs="Times New Roman"/>
          <w:b/>
          <w:bCs/>
        </w:rPr>
        <w:t xml:space="preserve">: </w:t>
      </w:r>
      <w:r w:rsidR="00722500">
        <w:rPr>
          <w:rFonts w:ascii="Times New Roman" w:hAnsi="Times New Roman" w:cs="Times New Roman"/>
          <w:bCs/>
        </w:rPr>
        <w:t xml:space="preserve">Provide a </w:t>
      </w:r>
      <w:r w:rsidR="001D3288">
        <w:rPr>
          <w:rFonts w:ascii="Times New Roman" w:hAnsi="Times New Roman" w:cs="Times New Roman"/>
          <w:bCs/>
        </w:rPr>
        <w:t xml:space="preserve">copy of </w:t>
      </w:r>
      <w:r w:rsidR="004051FC">
        <w:rPr>
          <w:rFonts w:ascii="Times New Roman" w:hAnsi="Times New Roman" w:cs="Times New Roman"/>
          <w:bCs/>
        </w:rPr>
        <w:t xml:space="preserve">the Analysis/data collection spreadsheet </w:t>
      </w:r>
      <w:r w:rsidR="00033F55">
        <w:rPr>
          <w:rFonts w:ascii="Times New Roman" w:hAnsi="Times New Roman" w:cs="Times New Roman"/>
          <w:bCs/>
        </w:rPr>
        <w:t xml:space="preserve">to the </w:t>
      </w:r>
      <w:r w:rsidR="002F3FA8">
        <w:rPr>
          <w:rFonts w:ascii="Times New Roman" w:hAnsi="Times New Roman" w:cs="Times New Roman"/>
          <w:bCs/>
        </w:rPr>
        <w:t>OA</w:t>
      </w:r>
      <w:r w:rsidR="00763579">
        <w:rPr>
          <w:rFonts w:ascii="Times New Roman" w:hAnsi="Times New Roman" w:cs="Times New Roman"/>
          <w:bCs/>
        </w:rPr>
        <w:t>’</w:t>
      </w:r>
      <w:r w:rsidR="00033F55">
        <w:rPr>
          <w:rFonts w:ascii="Times New Roman" w:hAnsi="Times New Roman" w:cs="Times New Roman"/>
          <w:bCs/>
        </w:rPr>
        <w:t>s</w:t>
      </w:r>
      <w:r>
        <w:rPr>
          <w:rFonts w:ascii="Times New Roman" w:hAnsi="Times New Roman" w:cs="Times New Roman"/>
        </w:rPr>
        <w:t>.</w:t>
      </w:r>
    </w:p>
    <w:p w14:paraId="741B1C00" w14:textId="77777777" w:rsidR="00242414" w:rsidRPr="00995BCF" w:rsidRDefault="008852D7" w:rsidP="008852D7">
      <w:pPr>
        <w:pStyle w:val="Default"/>
        <w:contextualSpacing/>
        <w:rPr>
          <w:rFonts w:ascii="Times New Roman" w:hAnsi="Times New Roman" w:cs="Times New Roman"/>
        </w:rPr>
      </w:pPr>
      <w:r w:rsidRPr="00AB7B2E">
        <w:rPr>
          <w:rFonts w:ascii="Times New Roman" w:hAnsi="Times New Roman" w:cs="Times New Roman"/>
          <w:b/>
          <w:bCs/>
        </w:rPr>
        <w:t xml:space="preserve">Step </w:t>
      </w:r>
      <w:r w:rsidR="001D3288">
        <w:rPr>
          <w:rFonts w:ascii="Times New Roman" w:hAnsi="Times New Roman" w:cs="Times New Roman"/>
          <w:b/>
          <w:bCs/>
        </w:rPr>
        <w:t>5</w:t>
      </w:r>
      <w:r w:rsidRPr="00AB7B2E">
        <w:rPr>
          <w:rFonts w:ascii="Times New Roman" w:hAnsi="Times New Roman" w:cs="Times New Roman"/>
          <w:b/>
          <w:bCs/>
        </w:rPr>
        <w:t xml:space="preserve">: </w:t>
      </w:r>
      <w:r w:rsidR="00B56B08" w:rsidRPr="00995BCF">
        <w:rPr>
          <w:rFonts w:ascii="Times New Roman" w:hAnsi="Times New Roman" w:cs="Times New Roman"/>
        </w:rPr>
        <w:t xml:space="preserve">Consolidate the data within </w:t>
      </w:r>
      <w:r w:rsidR="001D3288" w:rsidRPr="00995BCF">
        <w:rPr>
          <w:rFonts w:ascii="Times New Roman" w:hAnsi="Times New Roman" w:cs="Times New Roman"/>
        </w:rPr>
        <w:t xml:space="preserve">the </w:t>
      </w:r>
      <w:r w:rsidR="00B66D56" w:rsidRPr="00995BCF">
        <w:rPr>
          <w:rFonts w:ascii="Times New Roman" w:hAnsi="Times New Roman" w:cs="Times New Roman"/>
        </w:rPr>
        <w:t>Analysis/data collection spreadsheet</w:t>
      </w:r>
      <w:r w:rsidR="002F3FA8" w:rsidRPr="00995BCF">
        <w:rPr>
          <w:rFonts w:ascii="Times New Roman" w:hAnsi="Times New Roman" w:cs="Times New Roman"/>
        </w:rPr>
        <w:t xml:space="preserve"> </w:t>
      </w:r>
      <w:r w:rsidR="00B56B08" w:rsidRPr="00995BCF">
        <w:rPr>
          <w:rFonts w:ascii="Times New Roman" w:hAnsi="Times New Roman" w:cs="Times New Roman"/>
        </w:rPr>
        <w:t xml:space="preserve">upon receiving </w:t>
      </w:r>
      <w:r w:rsidR="00242414" w:rsidRPr="00995BCF">
        <w:rPr>
          <w:rFonts w:ascii="Times New Roman" w:hAnsi="Times New Roman" w:cs="Times New Roman"/>
        </w:rPr>
        <w:t xml:space="preserve">them </w:t>
      </w:r>
    </w:p>
    <w:p w14:paraId="1C4A20A8" w14:textId="3E8396E2" w:rsidR="008852D7" w:rsidRPr="00995BCF" w:rsidRDefault="00995BCF" w:rsidP="00242414">
      <w:pPr>
        <w:pStyle w:val="Default"/>
        <w:ind w:firstLine="720"/>
        <w:contextualSpacing/>
        <w:rPr>
          <w:rFonts w:ascii="Times New Roman" w:hAnsi="Times New Roman" w:cs="Times New Roman"/>
        </w:rPr>
      </w:pPr>
      <w:r w:rsidRPr="00995BCF">
        <w:rPr>
          <w:rFonts w:ascii="Times New Roman" w:hAnsi="Times New Roman" w:cs="Times New Roman"/>
        </w:rPr>
        <w:t xml:space="preserve"> </w:t>
      </w:r>
      <w:r w:rsidR="00242414" w:rsidRPr="00995BCF">
        <w:rPr>
          <w:rFonts w:ascii="Times New Roman" w:hAnsi="Times New Roman" w:cs="Times New Roman"/>
        </w:rPr>
        <w:t xml:space="preserve">from the </w:t>
      </w:r>
      <w:r w:rsidR="002F3FA8" w:rsidRPr="00995BCF">
        <w:rPr>
          <w:rFonts w:ascii="Times New Roman" w:hAnsi="Times New Roman" w:cs="Times New Roman"/>
        </w:rPr>
        <w:t>OA</w:t>
      </w:r>
      <w:r w:rsidR="00763579">
        <w:rPr>
          <w:rFonts w:ascii="Times New Roman" w:hAnsi="Times New Roman" w:cs="Times New Roman"/>
        </w:rPr>
        <w:t>’</w:t>
      </w:r>
      <w:r w:rsidR="002F3FA8" w:rsidRPr="00995BCF">
        <w:rPr>
          <w:rFonts w:ascii="Times New Roman" w:hAnsi="Times New Roman" w:cs="Times New Roman"/>
        </w:rPr>
        <w:t>s</w:t>
      </w:r>
      <w:r w:rsidR="008852D7" w:rsidRPr="00995BCF">
        <w:rPr>
          <w:rFonts w:ascii="Times New Roman" w:hAnsi="Times New Roman" w:cs="Times New Roman"/>
        </w:rPr>
        <w:t>.</w:t>
      </w:r>
    </w:p>
    <w:p w14:paraId="00F1717F" w14:textId="2E51FD86" w:rsidR="00FB058E" w:rsidRDefault="00FB058E" w:rsidP="00FB058E">
      <w:pPr>
        <w:pStyle w:val="Default"/>
        <w:contextualSpacing/>
        <w:rPr>
          <w:rFonts w:ascii="Times New Roman" w:hAnsi="Times New Roman" w:cs="Times New Roman"/>
        </w:rPr>
      </w:pPr>
      <w:r w:rsidRPr="00AB7B2E">
        <w:rPr>
          <w:rFonts w:ascii="Times New Roman" w:hAnsi="Times New Roman" w:cs="Times New Roman"/>
          <w:b/>
          <w:bCs/>
        </w:rPr>
        <w:t xml:space="preserve">Step </w:t>
      </w:r>
      <w:r w:rsidR="00995BCF">
        <w:rPr>
          <w:rFonts w:ascii="Times New Roman" w:hAnsi="Times New Roman" w:cs="Times New Roman"/>
          <w:b/>
          <w:bCs/>
        </w:rPr>
        <w:t>6</w:t>
      </w:r>
      <w:r w:rsidRPr="00AB7B2E">
        <w:rPr>
          <w:rFonts w:ascii="Times New Roman" w:hAnsi="Times New Roman" w:cs="Times New Roman"/>
          <w:b/>
          <w:bCs/>
        </w:rPr>
        <w:t xml:space="preserve">: </w:t>
      </w:r>
      <w:r>
        <w:rPr>
          <w:rFonts w:ascii="Times New Roman" w:hAnsi="Times New Roman" w:cs="Times New Roman"/>
          <w:bCs/>
        </w:rPr>
        <w:t>Draft re</w:t>
      </w:r>
      <w:r>
        <w:rPr>
          <w:rFonts w:ascii="Times New Roman" w:hAnsi="Times New Roman" w:cs="Times New Roman"/>
        </w:rPr>
        <w:t>port summarizing results of analysis.</w:t>
      </w:r>
    </w:p>
    <w:p w14:paraId="627E2479" w14:textId="77777777" w:rsidR="008852D7" w:rsidRDefault="008852D7" w:rsidP="00F75F45">
      <w:pPr>
        <w:pStyle w:val="Default"/>
        <w:contextualSpacing/>
        <w:rPr>
          <w:rFonts w:ascii="Times New Roman" w:hAnsi="Times New Roman" w:cs="Times New Roman"/>
        </w:rPr>
      </w:pPr>
    </w:p>
    <w:p w14:paraId="3CDF43D2" w14:textId="77777777" w:rsidR="008852D7" w:rsidRDefault="008852D7" w:rsidP="00F75F45">
      <w:pPr>
        <w:pStyle w:val="Default"/>
        <w:contextualSpacing/>
        <w:rPr>
          <w:rFonts w:ascii="Times New Roman" w:hAnsi="Times New Roman" w:cs="Times New Roman"/>
        </w:rPr>
      </w:pPr>
    </w:p>
    <w:p w14:paraId="7027DD8F" w14:textId="446B9882" w:rsidR="00CA79C0" w:rsidRDefault="00CA79C0" w:rsidP="00936028">
      <w:pPr>
        <w:spacing w:after="0" w:line="240" w:lineRule="auto"/>
        <w:rPr>
          <w:rFonts w:ascii="Times New Roman" w:hAnsi="Times New Roman" w:cs="Times New Roman"/>
        </w:rPr>
      </w:pPr>
    </w:p>
    <w:p w14:paraId="6EC679E2" w14:textId="4F3EB7F4" w:rsidR="00CA79C0" w:rsidRDefault="00CA79C0" w:rsidP="00936028">
      <w:pPr>
        <w:spacing w:after="0" w:line="240" w:lineRule="auto"/>
        <w:rPr>
          <w:rFonts w:ascii="Times New Roman" w:hAnsi="Times New Roman" w:cs="Times New Roman"/>
        </w:rPr>
      </w:pPr>
    </w:p>
    <w:p w14:paraId="3423F85D" w14:textId="62FBD0C3" w:rsidR="00CA79C0" w:rsidRDefault="00CA79C0" w:rsidP="00936028">
      <w:pPr>
        <w:spacing w:after="0" w:line="240" w:lineRule="auto"/>
        <w:rPr>
          <w:rFonts w:ascii="Times New Roman" w:hAnsi="Times New Roman" w:cs="Times New Roman"/>
        </w:rPr>
      </w:pPr>
    </w:p>
    <w:p w14:paraId="7184C5E4" w14:textId="0DA8C21A" w:rsidR="00CA79C0" w:rsidRDefault="00CA79C0" w:rsidP="00936028">
      <w:pPr>
        <w:spacing w:after="0" w:line="240" w:lineRule="auto"/>
        <w:rPr>
          <w:rFonts w:ascii="Times New Roman" w:hAnsi="Times New Roman" w:cs="Times New Roman"/>
        </w:rPr>
      </w:pPr>
    </w:p>
    <w:p w14:paraId="1E2B261B" w14:textId="7861984C" w:rsidR="00CA79C0" w:rsidRDefault="00CA79C0" w:rsidP="00936028">
      <w:pPr>
        <w:spacing w:after="0" w:line="240" w:lineRule="auto"/>
        <w:rPr>
          <w:rFonts w:ascii="Times New Roman" w:hAnsi="Times New Roman" w:cs="Times New Roman"/>
        </w:rPr>
      </w:pPr>
    </w:p>
    <w:p w14:paraId="531C882E" w14:textId="08A12E32" w:rsidR="00CA79C0" w:rsidRDefault="00CA79C0" w:rsidP="00936028">
      <w:pPr>
        <w:spacing w:after="0" w:line="240" w:lineRule="auto"/>
        <w:rPr>
          <w:rFonts w:ascii="Times New Roman" w:hAnsi="Times New Roman" w:cs="Times New Roman"/>
        </w:rPr>
      </w:pPr>
    </w:p>
    <w:p w14:paraId="2A75F3B4" w14:textId="0A131B6F" w:rsidR="00CA79C0" w:rsidRDefault="00CA79C0" w:rsidP="00936028">
      <w:pPr>
        <w:spacing w:after="0" w:line="240" w:lineRule="auto"/>
        <w:rPr>
          <w:rFonts w:ascii="Times New Roman" w:hAnsi="Times New Roman" w:cs="Times New Roman"/>
        </w:rPr>
      </w:pPr>
    </w:p>
    <w:p w14:paraId="1A10190A" w14:textId="769D5272" w:rsidR="00CA79C0" w:rsidRDefault="00CA79C0" w:rsidP="00936028">
      <w:pPr>
        <w:spacing w:after="0" w:line="240" w:lineRule="auto"/>
        <w:rPr>
          <w:rFonts w:ascii="Times New Roman" w:hAnsi="Times New Roman" w:cs="Times New Roman"/>
        </w:rPr>
      </w:pPr>
    </w:p>
    <w:p w14:paraId="0C70DA00" w14:textId="6067EBC5" w:rsidR="00CA79C0" w:rsidRDefault="00CA79C0" w:rsidP="00936028">
      <w:pPr>
        <w:spacing w:after="0" w:line="240" w:lineRule="auto"/>
        <w:rPr>
          <w:rFonts w:ascii="Times New Roman" w:hAnsi="Times New Roman" w:cs="Times New Roman"/>
        </w:rPr>
      </w:pPr>
    </w:p>
    <w:p w14:paraId="0DCCC022" w14:textId="02F38A7C" w:rsidR="00CA79C0" w:rsidRDefault="00CA79C0" w:rsidP="00936028">
      <w:pPr>
        <w:spacing w:after="0" w:line="240" w:lineRule="auto"/>
        <w:rPr>
          <w:rFonts w:ascii="Times New Roman" w:hAnsi="Times New Roman" w:cs="Times New Roman"/>
        </w:rPr>
      </w:pPr>
    </w:p>
    <w:p w14:paraId="0C076886" w14:textId="77777777" w:rsidR="00470D36" w:rsidRPr="0013663D" w:rsidRDefault="0013663D" w:rsidP="00936028">
      <w:pPr>
        <w:spacing w:after="0" w:line="240" w:lineRule="auto"/>
        <w:rPr>
          <w:rFonts w:ascii="Times New Roman" w:hAnsi="Times New Roman" w:cs="Times New Roman"/>
          <w:b/>
          <w:bCs/>
          <w:sz w:val="24"/>
          <w:szCs w:val="24"/>
        </w:rPr>
      </w:pPr>
      <w:r w:rsidRPr="0013663D">
        <w:rPr>
          <w:rFonts w:ascii="Times New Roman" w:hAnsi="Times New Roman" w:cs="Times New Roman"/>
          <w:b/>
          <w:bCs/>
          <w:sz w:val="24"/>
          <w:szCs w:val="24"/>
        </w:rPr>
        <w:t>ATTACHEMENT   II</w:t>
      </w:r>
    </w:p>
    <w:p w14:paraId="57C5235D" w14:textId="77777777" w:rsidR="0013663D" w:rsidRDefault="0013663D" w:rsidP="00936028">
      <w:pPr>
        <w:spacing w:after="0" w:line="240" w:lineRule="auto"/>
        <w:rPr>
          <w:rFonts w:ascii="Times New Roman" w:hAnsi="Times New Roman" w:cs="Times New Roman"/>
          <w:sz w:val="24"/>
          <w:szCs w:val="24"/>
        </w:rPr>
      </w:pPr>
    </w:p>
    <w:p w14:paraId="7F862998" w14:textId="77777777" w:rsidR="0013663D" w:rsidRDefault="0013663D" w:rsidP="00936028">
      <w:pPr>
        <w:spacing w:after="0" w:line="240" w:lineRule="auto"/>
        <w:rPr>
          <w:rFonts w:ascii="Times New Roman" w:hAnsi="Times New Roman" w:cs="Times New Roman"/>
          <w:sz w:val="24"/>
          <w:szCs w:val="24"/>
        </w:rPr>
      </w:pPr>
    </w:p>
    <w:p w14:paraId="4E3BBE56" w14:textId="77777777" w:rsidR="0013663D" w:rsidRDefault="0013663D" w:rsidP="00936028">
      <w:pPr>
        <w:spacing w:after="0" w:line="240" w:lineRule="auto"/>
        <w:rPr>
          <w:rFonts w:ascii="Times New Roman" w:hAnsi="Times New Roman" w:cs="Times New Roman"/>
          <w:sz w:val="24"/>
          <w:szCs w:val="24"/>
        </w:rPr>
      </w:pPr>
    </w:p>
    <w:p w14:paraId="2F7A9DF6" w14:textId="77777777" w:rsidR="0013663D" w:rsidRDefault="0013663D" w:rsidP="0013663D">
      <w:pPr>
        <w:tabs>
          <w:tab w:val="left" w:pos="4564"/>
        </w:tabs>
        <w:spacing w:after="0" w:line="240" w:lineRule="auto"/>
        <w:jc w:val="center"/>
        <w:rPr>
          <w:rFonts w:ascii="Times New Roman" w:hAnsi="Times New Roman" w:cs="Times New Roman"/>
          <w:sz w:val="24"/>
          <w:szCs w:val="24"/>
        </w:rPr>
      </w:pPr>
    </w:p>
    <w:p w14:paraId="4A4947C9" w14:textId="77777777" w:rsidR="0013663D" w:rsidRDefault="0013663D" w:rsidP="0013663D">
      <w:pPr>
        <w:tabs>
          <w:tab w:val="left" w:pos="4564"/>
        </w:tabs>
        <w:spacing w:after="0" w:line="240" w:lineRule="auto"/>
        <w:jc w:val="center"/>
        <w:rPr>
          <w:rFonts w:ascii="Times New Roman" w:hAnsi="Times New Roman" w:cs="Times New Roman"/>
          <w:sz w:val="24"/>
          <w:szCs w:val="24"/>
        </w:rPr>
      </w:pPr>
    </w:p>
    <w:p w14:paraId="3E461AD9" w14:textId="77777777" w:rsidR="0013663D" w:rsidRDefault="0013663D" w:rsidP="0013663D">
      <w:pPr>
        <w:tabs>
          <w:tab w:val="left" w:pos="4564"/>
        </w:tabs>
        <w:spacing w:after="0" w:line="240" w:lineRule="auto"/>
        <w:jc w:val="center"/>
        <w:rPr>
          <w:rFonts w:ascii="Times New Roman" w:hAnsi="Times New Roman" w:cs="Times New Roman"/>
          <w:sz w:val="24"/>
          <w:szCs w:val="24"/>
        </w:rPr>
      </w:pPr>
    </w:p>
    <w:p w14:paraId="41A7359B" w14:textId="77777777" w:rsidR="0013663D" w:rsidRDefault="0013663D" w:rsidP="0013663D">
      <w:pPr>
        <w:tabs>
          <w:tab w:val="left" w:pos="4564"/>
        </w:tabs>
        <w:spacing w:after="0" w:line="240" w:lineRule="auto"/>
        <w:jc w:val="center"/>
        <w:rPr>
          <w:rFonts w:ascii="Times New Roman" w:hAnsi="Times New Roman" w:cs="Times New Roman"/>
          <w:sz w:val="24"/>
          <w:szCs w:val="24"/>
        </w:rPr>
      </w:pPr>
    </w:p>
    <w:p w14:paraId="5C7B19DF" w14:textId="77777777" w:rsidR="0013663D" w:rsidRDefault="0013663D" w:rsidP="0013663D">
      <w:pPr>
        <w:tabs>
          <w:tab w:val="left" w:pos="4564"/>
        </w:tabs>
        <w:spacing w:after="0" w:line="240" w:lineRule="auto"/>
        <w:jc w:val="center"/>
        <w:rPr>
          <w:rFonts w:ascii="Times New Roman" w:hAnsi="Times New Roman" w:cs="Times New Roman"/>
          <w:sz w:val="24"/>
          <w:szCs w:val="24"/>
        </w:rPr>
      </w:pPr>
    </w:p>
    <w:p w14:paraId="7F3845F7" w14:textId="77777777" w:rsidR="0013663D" w:rsidRDefault="0013663D" w:rsidP="0013663D">
      <w:pPr>
        <w:tabs>
          <w:tab w:val="left" w:pos="4564"/>
        </w:tabs>
        <w:spacing w:after="0" w:line="240" w:lineRule="auto"/>
        <w:jc w:val="center"/>
        <w:rPr>
          <w:rFonts w:ascii="Times New Roman" w:hAnsi="Times New Roman" w:cs="Times New Roman"/>
          <w:sz w:val="24"/>
          <w:szCs w:val="24"/>
        </w:rPr>
      </w:pPr>
    </w:p>
    <w:p w14:paraId="1154FAE8" w14:textId="799C60BE" w:rsidR="0013663D" w:rsidRDefault="0013663D" w:rsidP="0013663D">
      <w:pPr>
        <w:tabs>
          <w:tab w:val="left" w:pos="456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ED SCI Analysis Spreadsheet Template</w:t>
      </w:r>
    </w:p>
    <w:p w14:paraId="566E07BC" w14:textId="562B9CD3" w:rsidR="0013663D" w:rsidRDefault="0013663D" w:rsidP="0013663D">
      <w:pPr>
        <w:tabs>
          <w:tab w:val="left" w:pos="4564"/>
        </w:tabs>
        <w:spacing w:after="0" w:line="240" w:lineRule="auto"/>
        <w:jc w:val="center"/>
        <w:rPr>
          <w:rFonts w:ascii="Times New Roman" w:hAnsi="Times New Roman" w:cs="Times New Roman"/>
          <w:sz w:val="24"/>
          <w:szCs w:val="24"/>
        </w:rPr>
      </w:pPr>
    </w:p>
    <w:p w14:paraId="622C2936" w14:textId="19E2A512" w:rsidR="0013663D" w:rsidRDefault="0013663D" w:rsidP="0013663D">
      <w:pPr>
        <w:tabs>
          <w:tab w:val="left" w:pos="456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Provided underneath as an excel </w:t>
      </w:r>
    </w:p>
    <w:p w14:paraId="64A4716C" w14:textId="77777777" w:rsidR="0013663D" w:rsidRDefault="0013663D" w:rsidP="00936028">
      <w:pPr>
        <w:spacing w:after="0" w:line="240" w:lineRule="auto"/>
        <w:rPr>
          <w:rFonts w:ascii="Times New Roman" w:hAnsi="Times New Roman" w:cs="Times New Roman"/>
          <w:sz w:val="24"/>
          <w:szCs w:val="24"/>
        </w:rPr>
      </w:pPr>
    </w:p>
    <w:p w14:paraId="04722F6B" w14:textId="77777777" w:rsidR="0013663D" w:rsidRDefault="0013663D" w:rsidP="00936028">
      <w:pPr>
        <w:spacing w:after="0" w:line="240" w:lineRule="auto"/>
        <w:rPr>
          <w:rFonts w:ascii="Times New Roman" w:hAnsi="Times New Roman" w:cs="Times New Roman"/>
          <w:sz w:val="24"/>
          <w:szCs w:val="24"/>
        </w:rPr>
      </w:pPr>
    </w:p>
    <w:p w14:paraId="10F7FB99" w14:textId="77777777" w:rsidR="0013663D" w:rsidRDefault="0013663D" w:rsidP="00936028">
      <w:pPr>
        <w:spacing w:after="0" w:line="240" w:lineRule="auto"/>
        <w:rPr>
          <w:rFonts w:ascii="Times New Roman" w:hAnsi="Times New Roman" w:cs="Times New Roman"/>
          <w:sz w:val="24"/>
          <w:szCs w:val="24"/>
        </w:rPr>
      </w:pPr>
    </w:p>
    <w:p w14:paraId="6D3FDD3D" w14:textId="77777777" w:rsidR="0013663D" w:rsidRDefault="0013663D" w:rsidP="00936028">
      <w:pPr>
        <w:spacing w:after="0" w:line="240" w:lineRule="auto"/>
        <w:rPr>
          <w:rFonts w:ascii="Times New Roman" w:hAnsi="Times New Roman" w:cs="Times New Roman"/>
          <w:sz w:val="24"/>
          <w:szCs w:val="24"/>
        </w:rPr>
      </w:pPr>
    </w:p>
    <w:p w14:paraId="0A726A0E" w14:textId="77777777" w:rsidR="0013663D" w:rsidRDefault="0013663D" w:rsidP="00936028">
      <w:pPr>
        <w:spacing w:after="0" w:line="240" w:lineRule="auto"/>
        <w:rPr>
          <w:rFonts w:ascii="Times New Roman" w:hAnsi="Times New Roman" w:cs="Times New Roman"/>
          <w:sz w:val="24"/>
          <w:szCs w:val="24"/>
        </w:rPr>
      </w:pPr>
    </w:p>
    <w:p w14:paraId="643AD7F9" w14:textId="77777777" w:rsidR="0013663D" w:rsidRDefault="0013663D" w:rsidP="00936028">
      <w:pPr>
        <w:spacing w:after="0" w:line="240" w:lineRule="auto"/>
        <w:rPr>
          <w:rFonts w:ascii="Times New Roman" w:hAnsi="Times New Roman" w:cs="Times New Roman"/>
          <w:sz w:val="24"/>
          <w:szCs w:val="24"/>
        </w:rPr>
      </w:pPr>
    </w:p>
    <w:p w14:paraId="7E43FAB2" w14:textId="77777777" w:rsidR="0013663D" w:rsidRDefault="0013663D" w:rsidP="00936028">
      <w:pPr>
        <w:spacing w:after="0" w:line="240" w:lineRule="auto"/>
        <w:rPr>
          <w:rFonts w:ascii="Times New Roman" w:hAnsi="Times New Roman" w:cs="Times New Roman"/>
          <w:sz w:val="24"/>
          <w:szCs w:val="24"/>
        </w:rPr>
      </w:pPr>
    </w:p>
    <w:p w14:paraId="33D78A91" w14:textId="77777777" w:rsidR="0013663D" w:rsidRDefault="0013663D" w:rsidP="00936028">
      <w:pPr>
        <w:spacing w:after="0" w:line="240" w:lineRule="auto"/>
        <w:rPr>
          <w:rFonts w:ascii="Times New Roman" w:hAnsi="Times New Roman" w:cs="Times New Roman"/>
          <w:sz w:val="24"/>
          <w:szCs w:val="24"/>
        </w:rPr>
      </w:pPr>
    </w:p>
    <w:p w14:paraId="641ED39D" w14:textId="77777777" w:rsidR="0013663D" w:rsidRDefault="0013663D" w:rsidP="00936028">
      <w:pPr>
        <w:spacing w:after="0" w:line="240" w:lineRule="auto"/>
        <w:rPr>
          <w:rFonts w:ascii="Times New Roman" w:hAnsi="Times New Roman" w:cs="Times New Roman"/>
          <w:sz w:val="24"/>
          <w:szCs w:val="24"/>
        </w:rPr>
      </w:pPr>
    </w:p>
    <w:p w14:paraId="65B1D598" w14:textId="1AABFE39" w:rsidR="0013663D" w:rsidRPr="0013663D" w:rsidRDefault="0013663D" w:rsidP="0013663D">
      <w:pPr>
        <w:spacing w:after="0" w:line="240" w:lineRule="auto"/>
        <w:rPr>
          <w:rFonts w:ascii="Times New Roman" w:hAnsi="Times New Roman" w:cs="Times New Roman"/>
          <w:sz w:val="24"/>
          <w:szCs w:val="24"/>
        </w:rPr>
        <w:sectPr w:rsidR="0013663D" w:rsidRPr="0013663D" w:rsidSect="004F3057">
          <w:pgSz w:w="12240" w:h="15840" w:code="1"/>
          <w:pgMar w:top="1080" w:right="1080" w:bottom="1080" w:left="1080" w:header="720" w:footer="446" w:gutter="0"/>
          <w:pgNumType w:start="1"/>
          <w:cols w:space="720"/>
          <w:titlePg/>
          <w:docGrid w:linePitch="360"/>
        </w:sectPr>
      </w:pPr>
    </w:p>
    <w:p w14:paraId="54145804" w14:textId="1F283CD1" w:rsidR="00CA79C0" w:rsidRDefault="00CA79C0" w:rsidP="00936028">
      <w:pPr>
        <w:spacing w:after="0" w:line="240" w:lineRule="auto"/>
        <w:rPr>
          <w:rFonts w:ascii="Times New Roman" w:hAnsi="Times New Roman" w:cs="Times New Roman"/>
        </w:rPr>
      </w:pPr>
    </w:p>
    <w:p w14:paraId="1E8B0A19" w14:textId="572D00E3" w:rsidR="00CA79C0" w:rsidRDefault="00CA79C0" w:rsidP="00936028">
      <w:pPr>
        <w:spacing w:after="0" w:line="240" w:lineRule="auto"/>
        <w:rPr>
          <w:rFonts w:ascii="Times New Roman" w:hAnsi="Times New Roman" w:cs="Times New Roman"/>
        </w:rPr>
      </w:pPr>
    </w:p>
    <w:p w14:paraId="30F6E1E3" w14:textId="0A449F81" w:rsidR="004A4AF3" w:rsidRDefault="004A4AF3" w:rsidP="00936028">
      <w:pPr>
        <w:spacing w:after="0" w:line="240" w:lineRule="auto"/>
        <w:rPr>
          <w:rFonts w:ascii="Times New Roman" w:hAnsi="Times New Roman" w:cs="Times New Roman"/>
        </w:rPr>
      </w:pPr>
    </w:p>
    <w:p w14:paraId="05A7C9C5" w14:textId="77777777" w:rsidR="004A4AF3" w:rsidRDefault="004A4AF3" w:rsidP="00936028">
      <w:pPr>
        <w:spacing w:after="0" w:line="240" w:lineRule="auto"/>
        <w:rPr>
          <w:rFonts w:ascii="Times New Roman" w:hAnsi="Times New Roman" w:cs="Times New Roman"/>
        </w:rPr>
      </w:pPr>
    </w:p>
    <w:p w14:paraId="78DC6063" w14:textId="396A9B6B" w:rsidR="00CA79C0" w:rsidRDefault="00CA79C0" w:rsidP="00936028">
      <w:pPr>
        <w:spacing w:after="0" w:line="240" w:lineRule="auto"/>
        <w:rPr>
          <w:rFonts w:ascii="Times New Roman" w:hAnsi="Times New Roman" w:cs="Times New Roman"/>
        </w:rPr>
      </w:pPr>
    </w:p>
    <w:p w14:paraId="49D92F9D" w14:textId="2C046869" w:rsidR="00CA79C0" w:rsidRDefault="00CA79C0" w:rsidP="00936028">
      <w:pPr>
        <w:spacing w:after="0" w:line="240" w:lineRule="auto"/>
        <w:rPr>
          <w:rFonts w:ascii="Times New Roman" w:hAnsi="Times New Roman" w:cs="Times New Roman"/>
        </w:rPr>
      </w:pPr>
    </w:p>
    <w:p w14:paraId="40265DD6" w14:textId="1AEA9E7B" w:rsidR="00CA79C0" w:rsidRDefault="00CA79C0" w:rsidP="00936028">
      <w:pPr>
        <w:spacing w:after="0" w:line="240" w:lineRule="auto"/>
        <w:rPr>
          <w:rFonts w:ascii="Times New Roman" w:hAnsi="Times New Roman" w:cs="Times New Roman"/>
        </w:rPr>
      </w:pPr>
    </w:p>
    <w:p w14:paraId="35CE8FF4" w14:textId="5075511E" w:rsidR="00CA79C0" w:rsidRDefault="00CA79C0" w:rsidP="00936028">
      <w:pPr>
        <w:spacing w:after="0" w:line="240" w:lineRule="auto"/>
        <w:rPr>
          <w:rFonts w:ascii="Times New Roman" w:hAnsi="Times New Roman" w:cs="Times New Roman"/>
        </w:rPr>
      </w:pPr>
    </w:p>
    <w:p w14:paraId="3FB5BEB2" w14:textId="3A61817D" w:rsidR="00CA79C0" w:rsidRDefault="00CA79C0" w:rsidP="00936028">
      <w:pPr>
        <w:spacing w:after="0" w:line="240" w:lineRule="auto"/>
        <w:rPr>
          <w:rFonts w:ascii="Times New Roman" w:hAnsi="Times New Roman" w:cs="Times New Roman"/>
        </w:rPr>
      </w:pPr>
    </w:p>
    <w:p w14:paraId="49B1758C" w14:textId="37F74D3B" w:rsidR="00CA79C0" w:rsidRDefault="00CA79C0" w:rsidP="00936028">
      <w:pPr>
        <w:spacing w:after="0" w:line="240" w:lineRule="auto"/>
        <w:rPr>
          <w:rFonts w:ascii="Times New Roman" w:hAnsi="Times New Roman" w:cs="Times New Roman"/>
        </w:rPr>
      </w:pPr>
    </w:p>
    <w:p w14:paraId="255AB451" w14:textId="23C43FC6" w:rsidR="00CA79C0" w:rsidRDefault="00CA79C0" w:rsidP="00936028">
      <w:pPr>
        <w:spacing w:after="0" w:line="240" w:lineRule="auto"/>
        <w:rPr>
          <w:rFonts w:ascii="Times New Roman" w:hAnsi="Times New Roman" w:cs="Times New Roman"/>
        </w:rPr>
      </w:pPr>
    </w:p>
    <w:p w14:paraId="3ACF592F" w14:textId="750DE9C3" w:rsidR="00CA79C0" w:rsidRDefault="00CA79C0" w:rsidP="00936028">
      <w:pPr>
        <w:spacing w:after="0" w:line="240" w:lineRule="auto"/>
        <w:rPr>
          <w:rFonts w:ascii="Times New Roman" w:hAnsi="Times New Roman" w:cs="Times New Roman"/>
        </w:rPr>
      </w:pPr>
    </w:p>
    <w:p w14:paraId="31CDCEE8" w14:textId="3F8777DE" w:rsidR="00F266CC" w:rsidRDefault="00F266CC" w:rsidP="00936028">
      <w:pPr>
        <w:spacing w:after="0" w:line="240" w:lineRule="auto"/>
        <w:rPr>
          <w:rFonts w:ascii="Times New Roman" w:hAnsi="Times New Roman" w:cs="Times New Roman"/>
        </w:rPr>
      </w:pPr>
    </w:p>
    <w:p w14:paraId="3BFAC0EF" w14:textId="77777777" w:rsidR="0018419F" w:rsidRDefault="0018419F" w:rsidP="0018419F">
      <w:pPr>
        <w:jc w:val="center"/>
        <w:rPr>
          <w:sz w:val="36"/>
          <w:szCs w:val="36"/>
        </w:rPr>
      </w:pPr>
    </w:p>
    <w:p w14:paraId="2D54A60F" w14:textId="6584D7EC" w:rsidR="0018419F" w:rsidRDefault="0018419F" w:rsidP="0018419F">
      <w:pPr>
        <w:jc w:val="center"/>
        <w:rPr>
          <w:sz w:val="36"/>
          <w:szCs w:val="36"/>
        </w:rPr>
      </w:pPr>
    </w:p>
    <w:p w14:paraId="345C5FFD" w14:textId="56DB2BEC" w:rsidR="00C7049A" w:rsidRDefault="00C7049A" w:rsidP="0018419F">
      <w:pPr>
        <w:jc w:val="center"/>
        <w:rPr>
          <w:sz w:val="36"/>
          <w:szCs w:val="36"/>
        </w:rPr>
      </w:pPr>
    </w:p>
    <w:p w14:paraId="3130F3B9" w14:textId="3E02C4C4" w:rsidR="00C7049A" w:rsidRDefault="00C7049A" w:rsidP="0018419F">
      <w:pPr>
        <w:jc w:val="center"/>
        <w:rPr>
          <w:sz w:val="36"/>
          <w:szCs w:val="36"/>
        </w:rPr>
      </w:pPr>
    </w:p>
    <w:p w14:paraId="0B4374C3" w14:textId="35E32359" w:rsidR="00C7049A" w:rsidRDefault="00C7049A" w:rsidP="0018419F">
      <w:pPr>
        <w:jc w:val="center"/>
        <w:rPr>
          <w:sz w:val="36"/>
          <w:szCs w:val="36"/>
        </w:rPr>
      </w:pPr>
    </w:p>
    <w:p w14:paraId="65CFE43F" w14:textId="737439B2" w:rsidR="00C7049A" w:rsidRDefault="00C7049A" w:rsidP="0018419F">
      <w:pPr>
        <w:jc w:val="center"/>
        <w:rPr>
          <w:sz w:val="36"/>
          <w:szCs w:val="36"/>
        </w:rPr>
      </w:pPr>
    </w:p>
    <w:p w14:paraId="4CD668AF" w14:textId="587AE7B3" w:rsidR="00C7049A" w:rsidRDefault="00C7049A" w:rsidP="0018419F">
      <w:pPr>
        <w:jc w:val="center"/>
        <w:rPr>
          <w:sz w:val="36"/>
          <w:szCs w:val="36"/>
        </w:rPr>
      </w:pPr>
    </w:p>
    <w:p w14:paraId="7E17ADF7" w14:textId="6D79EB2B" w:rsidR="00C7049A" w:rsidRDefault="00C7049A" w:rsidP="0018419F">
      <w:pPr>
        <w:jc w:val="center"/>
        <w:rPr>
          <w:sz w:val="36"/>
          <w:szCs w:val="36"/>
        </w:rPr>
      </w:pPr>
    </w:p>
    <w:p w14:paraId="793FB5FF" w14:textId="1C35EEB3" w:rsidR="00C7049A" w:rsidRDefault="00C7049A" w:rsidP="0018419F">
      <w:pPr>
        <w:jc w:val="center"/>
        <w:rPr>
          <w:sz w:val="36"/>
          <w:szCs w:val="36"/>
        </w:rPr>
      </w:pPr>
    </w:p>
    <w:p w14:paraId="5C1314A1" w14:textId="630B48E4" w:rsidR="00C7049A" w:rsidRDefault="00C7049A" w:rsidP="0018419F">
      <w:pPr>
        <w:jc w:val="center"/>
        <w:rPr>
          <w:sz w:val="36"/>
          <w:szCs w:val="36"/>
        </w:rPr>
      </w:pPr>
    </w:p>
    <w:p w14:paraId="42F83BF4" w14:textId="4820D369" w:rsidR="00C7049A" w:rsidRDefault="00C7049A" w:rsidP="0018419F">
      <w:pPr>
        <w:jc w:val="center"/>
        <w:rPr>
          <w:sz w:val="36"/>
          <w:szCs w:val="36"/>
        </w:rPr>
      </w:pPr>
    </w:p>
    <w:p w14:paraId="2E5B3FD5" w14:textId="7DAC9C4D" w:rsidR="00C7049A" w:rsidRDefault="00C7049A" w:rsidP="0018419F">
      <w:pPr>
        <w:jc w:val="center"/>
        <w:rPr>
          <w:sz w:val="36"/>
          <w:szCs w:val="36"/>
        </w:rPr>
      </w:pPr>
    </w:p>
    <w:p w14:paraId="61F53294" w14:textId="16A2344E" w:rsidR="00C7049A" w:rsidRDefault="00C7049A" w:rsidP="0018419F">
      <w:pPr>
        <w:jc w:val="center"/>
        <w:rPr>
          <w:sz w:val="36"/>
          <w:szCs w:val="36"/>
        </w:rPr>
      </w:pPr>
    </w:p>
    <w:p w14:paraId="4810168D" w14:textId="77777777" w:rsidR="00952EE7" w:rsidRDefault="00952EE7" w:rsidP="0018419F">
      <w:pPr>
        <w:jc w:val="center"/>
        <w:rPr>
          <w:sz w:val="36"/>
          <w:szCs w:val="36"/>
        </w:rPr>
        <w:sectPr w:rsidR="00952EE7" w:rsidSect="00176FD4">
          <w:pgSz w:w="24480" w:h="15840" w:orient="landscape" w:code="3"/>
          <w:pgMar w:top="1080" w:right="1080" w:bottom="1080" w:left="1080" w:header="720" w:footer="446" w:gutter="0"/>
          <w:pgNumType w:start="1"/>
          <w:cols w:space="720"/>
          <w:titlePg/>
          <w:docGrid w:linePitch="360"/>
        </w:sectPr>
      </w:pPr>
    </w:p>
    <w:p w14:paraId="2AEBF0CB" w14:textId="131281F4" w:rsidR="00C7049A" w:rsidRDefault="00C7049A" w:rsidP="0013663D">
      <w:pPr>
        <w:jc w:val="center"/>
        <w:rPr>
          <w:sz w:val="36"/>
          <w:szCs w:val="36"/>
        </w:rPr>
      </w:pPr>
    </w:p>
    <w:sectPr w:rsidR="00C7049A" w:rsidSect="009C534B">
      <w:pgSz w:w="12240" w:h="15840" w:code="1"/>
      <w:pgMar w:top="1080" w:right="1080" w:bottom="1080" w:left="1080" w:header="720" w:footer="450" w:gutter="0"/>
      <w:paperSrc w:first="15"/>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AFCF8" w14:textId="77777777" w:rsidR="0097094C" w:rsidRDefault="0097094C" w:rsidP="008F03FE">
      <w:pPr>
        <w:spacing w:after="0" w:line="240" w:lineRule="auto"/>
      </w:pPr>
      <w:r>
        <w:separator/>
      </w:r>
    </w:p>
  </w:endnote>
  <w:endnote w:type="continuationSeparator" w:id="0">
    <w:p w14:paraId="2BBCAD2F" w14:textId="77777777" w:rsidR="0097094C" w:rsidRDefault="0097094C" w:rsidP="008F0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A7F49" w14:textId="4D40ECA6" w:rsidR="00EF5AA1" w:rsidRPr="0006469B" w:rsidRDefault="00EF5AA1" w:rsidP="0006469B">
    <w:pPr>
      <w:pStyle w:val="Header"/>
      <w:jc w:val="right"/>
      <w:rPr>
        <w:rFonts w:ascii="Times New Roman" w:hAnsi="Times New Roman" w:cs="Times New Roman"/>
      </w:rPr>
    </w:pPr>
    <w:r w:rsidRPr="0006469B">
      <w:rPr>
        <w:rFonts w:ascii="Times New Roman" w:hAnsi="Times New Roman" w:cs="Times New Roman"/>
      </w:rPr>
      <w:ptab w:relativeTo="margin" w:alignment="center" w:leader="none"/>
    </w:r>
    <w:r>
      <w:rPr>
        <w:rFonts w:ascii="Times New Roman" w:hAnsi="Times New Roman" w:cs="Times New Roman"/>
      </w:rPr>
      <w:t xml:space="preserve">Department of Education Service Contract Inventory Report FY 2019 </w:t>
    </w:r>
    <w:r w:rsidRPr="0006469B">
      <w:rPr>
        <w:rFonts w:ascii="Times New Roman" w:hAnsi="Times New Roman" w:cs="Times New Roman"/>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A7F4A" w14:textId="77777777" w:rsidR="00EF5AA1" w:rsidRPr="008F03FE" w:rsidRDefault="00EF5AA1" w:rsidP="008F03FE">
    <w:pPr>
      <w:pStyle w:val="Footer"/>
      <w:jc w:val="center"/>
      <w:rPr>
        <w:rFonts w:ascii="Times New Roman" w:hAnsi="Times New Roman" w:cs="Times New Roman"/>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07E87" w14:textId="77777777" w:rsidR="0097094C" w:rsidRDefault="0097094C" w:rsidP="008F03FE">
      <w:pPr>
        <w:spacing w:after="0" w:line="240" w:lineRule="auto"/>
      </w:pPr>
      <w:r>
        <w:separator/>
      </w:r>
    </w:p>
  </w:footnote>
  <w:footnote w:type="continuationSeparator" w:id="0">
    <w:p w14:paraId="35FF1ACA" w14:textId="77777777" w:rsidR="0097094C" w:rsidRDefault="0097094C" w:rsidP="008F03FE">
      <w:pPr>
        <w:spacing w:after="0" w:line="240" w:lineRule="auto"/>
      </w:pPr>
      <w:r>
        <w:continuationSeparator/>
      </w:r>
    </w:p>
  </w:footnote>
  <w:footnote w:id="1">
    <w:p w14:paraId="644C8551" w14:textId="77777777" w:rsidR="00EF5AA1" w:rsidRPr="000C59E3" w:rsidRDefault="00EF5AA1" w:rsidP="00417F6C">
      <w:pPr>
        <w:pStyle w:val="FootnoteText"/>
        <w:rPr>
          <w:rFonts w:ascii="Times New Roman" w:hAnsi="Times New Roman" w:cs="Times New Roman"/>
          <w:sz w:val="16"/>
          <w:szCs w:val="16"/>
        </w:rPr>
      </w:pPr>
      <w:r w:rsidRPr="000C59E3">
        <w:rPr>
          <w:rStyle w:val="FootnoteReference"/>
          <w:rFonts w:ascii="Times New Roman" w:hAnsi="Times New Roman" w:cs="Times New Roman"/>
          <w:sz w:val="16"/>
          <w:szCs w:val="16"/>
        </w:rPr>
        <w:footnoteRef/>
      </w:r>
      <w:r w:rsidRPr="000C59E3">
        <w:rPr>
          <w:rFonts w:ascii="Times New Roman" w:hAnsi="Times New Roman" w:cs="Times New Roman"/>
          <w:sz w:val="16"/>
          <w:szCs w:val="16"/>
        </w:rPr>
        <w:t xml:space="preserve"> Service Contract Inventory Requirement.  Public Law 111-117. Section 743. December 16, 2009. </w:t>
      </w:r>
    </w:p>
  </w:footnote>
  <w:footnote w:id="2">
    <w:p w14:paraId="66A34E90" w14:textId="5A6BCFF3" w:rsidR="00EF5AA1" w:rsidRPr="000C59E3" w:rsidRDefault="00EF5AA1" w:rsidP="00417F6C">
      <w:pPr>
        <w:pStyle w:val="FootnoteText"/>
        <w:rPr>
          <w:rFonts w:ascii="Times New Roman" w:hAnsi="Times New Roman" w:cs="Times New Roman"/>
          <w:sz w:val="16"/>
          <w:szCs w:val="16"/>
        </w:rPr>
      </w:pPr>
      <w:r w:rsidRPr="000C59E3">
        <w:rPr>
          <w:rStyle w:val="FootnoteReference"/>
          <w:rFonts w:ascii="Times New Roman" w:hAnsi="Times New Roman" w:cs="Times New Roman"/>
          <w:sz w:val="16"/>
          <w:szCs w:val="16"/>
        </w:rPr>
        <w:footnoteRef/>
      </w:r>
      <w:r w:rsidRPr="000C59E3">
        <w:rPr>
          <w:rFonts w:ascii="Times New Roman" w:hAnsi="Times New Roman" w:cs="Times New Roman"/>
          <w:sz w:val="16"/>
          <w:szCs w:val="16"/>
        </w:rPr>
        <w:t xml:space="preserve"> Federal Procurement Data System-Next Generation (FPDS-NG) as of February 22, 2021</w:t>
      </w:r>
    </w:p>
  </w:footnote>
  <w:footnote w:id="3">
    <w:p w14:paraId="281EEA07" w14:textId="60EF8374" w:rsidR="00EF5AA1" w:rsidRPr="000C59E3" w:rsidRDefault="00EF5AA1" w:rsidP="009539C2">
      <w:pPr>
        <w:rPr>
          <w:rFonts w:ascii="Times New Roman" w:eastAsia="Times New Roman" w:hAnsi="Times New Roman" w:cs="Times New Roman"/>
          <w:sz w:val="16"/>
          <w:szCs w:val="16"/>
        </w:rPr>
      </w:pPr>
      <w:r w:rsidRPr="000C59E3">
        <w:rPr>
          <w:rStyle w:val="FootnoteReference"/>
          <w:rFonts w:ascii="Times New Roman" w:hAnsi="Times New Roman" w:cs="Times New Roman"/>
          <w:sz w:val="16"/>
          <w:szCs w:val="16"/>
        </w:rPr>
        <w:footnoteRef/>
      </w:r>
      <w:r w:rsidRPr="000C59E3">
        <w:rPr>
          <w:rFonts w:ascii="Times New Roman" w:hAnsi="Times New Roman" w:cs="Times New Roman"/>
          <w:sz w:val="16"/>
          <w:szCs w:val="16"/>
        </w:rPr>
        <w:t xml:space="preserve"> OMB identified the following 3 PSCs for the purpose of this review: R499 Support – Professional: Other, R699 </w:t>
      </w:r>
      <w:r w:rsidRPr="000C59E3">
        <w:rPr>
          <w:rFonts w:ascii="Times New Roman" w:eastAsia="Times New Roman" w:hAnsi="Times New Roman" w:cs="Times New Roman"/>
          <w:sz w:val="16"/>
          <w:szCs w:val="16"/>
        </w:rPr>
        <w:t>Support- Administrative: Other, R799 Support- Management: Other</w:t>
      </w:r>
    </w:p>
    <w:p w14:paraId="2209D7DC" w14:textId="20B3C0DA" w:rsidR="00EF5AA1" w:rsidRDefault="00EF5AA1" w:rsidP="00417F6C">
      <w:pPr>
        <w:pStyle w:val="FootnoteText"/>
      </w:pPr>
      <w:r w:rsidRPr="00E04641">
        <w:t>.</w:t>
      </w:r>
      <w:r>
        <w:t xml:space="preserve"> </w:t>
      </w:r>
    </w:p>
  </w:footnote>
  <w:footnote w:id="4">
    <w:p w14:paraId="41820549" w14:textId="77777777" w:rsidR="00EF5AA1" w:rsidRPr="00AB39F8" w:rsidRDefault="00EF5AA1" w:rsidP="00B73335">
      <w:pPr>
        <w:pStyle w:val="FootnoteText"/>
        <w:rPr>
          <w:rFonts w:ascii="Times New Roman" w:hAnsi="Times New Roman" w:cs="Times New Roman"/>
          <w:sz w:val="16"/>
          <w:szCs w:val="16"/>
        </w:rPr>
      </w:pPr>
      <w:r w:rsidRPr="00AB39F8">
        <w:rPr>
          <w:rStyle w:val="FootnoteReference"/>
          <w:rFonts w:ascii="Times New Roman" w:hAnsi="Times New Roman" w:cs="Times New Roman"/>
          <w:sz w:val="16"/>
          <w:szCs w:val="16"/>
        </w:rPr>
        <w:footnoteRef/>
      </w:r>
      <w:r w:rsidRPr="00AB39F8">
        <w:rPr>
          <w:rFonts w:ascii="Times New Roman" w:hAnsi="Times New Roman" w:cs="Times New Roman"/>
          <w:sz w:val="16"/>
          <w:szCs w:val="16"/>
        </w:rPr>
        <w:t xml:space="preserve">OMB’s SCI requirements include assessment of desired outcomes being met per Public Law (PL) 111-117, Section 743, dated December 16, 2009. </w:t>
      </w:r>
    </w:p>
  </w:footnote>
  <w:footnote w:id="5">
    <w:p w14:paraId="341187CE" w14:textId="77777777" w:rsidR="00EF5AA1" w:rsidRPr="00AB39F8" w:rsidRDefault="00EF5AA1" w:rsidP="00B73335">
      <w:pPr>
        <w:pStyle w:val="FootnoteText"/>
        <w:rPr>
          <w:rFonts w:ascii="Times New Roman" w:hAnsi="Times New Roman" w:cs="Times New Roman"/>
          <w:sz w:val="16"/>
          <w:szCs w:val="16"/>
        </w:rPr>
      </w:pPr>
      <w:r w:rsidRPr="00AB39F8">
        <w:rPr>
          <w:rStyle w:val="FootnoteReference"/>
          <w:rFonts w:ascii="Times New Roman" w:hAnsi="Times New Roman" w:cs="Times New Roman"/>
          <w:sz w:val="16"/>
          <w:szCs w:val="16"/>
        </w:rPr>
        <w:footnoteRef/>
      </w:r>
      <w:r w:rsidRPr="00AB39F8">
        <w:rPr>
          <w:rFonts w:ascii="Times New Roman" w:hAnsi="Times New Roman" w:cs="Times New Roman"/>
          <w:sz w:val="16"/>
          <w:szCs w:val="16"/>
        </w:rPr>
        <w:t xml:space="preserve"> The Federal Acquisition Regulation (FAR) defines a personal services contract as “</w:t>
      </w:r>
      <w:r w:rsidRPr="00AB39F8">
        <w:rPr>
          <w:rFonts w:ascii="Times New Roman" w:hAnsi="Times New Roman" w:cs="Times New Roman"/>
          <w:sz w:val="16"/>
          <w:szCs w:val="16"/>
          <w:lang w:val="en"/>
        </w:rPr>
        <w:t>a contract that, by its express terms or as administered, makes the contractor personnel appear to be, in effect, Government employees.”</w:t>
      </w:r>
    </w:p>
  </w:footnote>
  <w:footnote w:id="6">
    <w:p w14:paraId="1F93ABDA" w14:textId="77777777" w:rsidR="00EF5AA1" w:rsidRPr="00AB39F8" w:rsidRDefault="00EF5AA1" w:rsidP="00B73335">
      <w:pPr>
        <w:pStyle w:val="FootnoteText"/>
        <w:rPr>
          <w:rFonts w:ascii="Times New Roman" w:hAnsi="Times New Roman" w:cs="Times New Roman"/>
          <w:sz w:val="16"/>
          <w:szCs w:val="16"/>
        </w:rPr>
      </w:pPr>
      <w:r w:rsidRPr="00AB39F8">
        <w:rPr>
          <w:rStyle w:val="FootnoteReference"/>
          <w:rFonts w:ascii="Times New Roman" w:hAnsi="Times New Roman" w:cs="Times New Roman"/>
          <w:sz w:val="16"/>
          <w:szCs w:val="16"/>
        </w:rPr>
        <w:footnoteRef/>
      </w:r>
      <w:r w:rsidRPr="00AB39F8">
        <w:rPr>
          <w:rFonts w:ascii="Times New Roman" w:hAnsi="Times New Roman" w:cs="Times New Roman"/>
          <w:sz w:val="16"/>
          <w:szCs w:val="16"/>
        </w:rPr>
        <w:t xml:space="preserve"> OMB Policy Letter 11-01 defines inherently governmental functions as, “a function that is so intimately related to the public interest as to require performance by Federal Government employees.”</w:t>
      </w:r>
    </w:p>
  </w:footnote>
  <w:footnote w:id="7">
    <w:p w14:paraId="7F347EA4" w14:textId="77777777" w:rsidR="00EF5AA1" w:rsidRPr="00AB39F8" w:rsidRDefault="00EF5AA1" w:rsidP="00B73335">
      <w:pPr>
        <w:pStyle w:val="FootnoteText"/>
        <w:rPr>
          <w:rFonts w:ascii="Times New Roman" w:hAnsi="Times New Roman" w:cs="Times New Roman"/>
          <w:sz w:val="16"/>
          <w:szCs w:val="16"/>
        </w:rPr>
      </w:pPr>
      <w:r w:rsidRPr="00AB39F8">
        <w:rPr>
          <w:rStyle w:val="FootnoteReference"/>
          <w:rFonts w:ascii="Times New Roman" w:hAnsi="Times New Roman" w:cs="Times New Roman"/>
          <w:sz w:val="16"/>
          <w:szCs w:val="16"/>
        </w:rPr>
        <w:footnoteRef/>
      </w:r>
      <w:r w:rsidRPr="00AB39F8">
        <w:rPr>
          <w:rFonts w:ascii="Times New Roman" w:hAnsi="Times New Roman" w:cs="Times New Roman"/>
          <w:sz w:val="16"/>
          <w:szCs w:val="16"/>
        </w:rPr>
        <w:t xml:space="preserve"> OMB Policy Letter 11-01 states that closely associated to inherently governmental functions, “approach being… [inherently governmental] because of the nature of the function and the risk that performance may impinge on Federal officials’ performance of an inherently governmental function, agencies must give</w:t>
      </w:r>
    </w:p>
    <w:p w14:paraId="1BEB5F7A" w14:textId="77777777" w:rsidR="00EF5AA1" w:rsidRPr="00AB39F8" w:rsidRDefault="00EF5AA1" w:rsidP="00B73335">
      <w:pPr>
        <w:pStyle w:val="FootnoteText"/>
        <w:rPr>
          <w:rFonts w:ascii="Times New Roman" w:hAnsi="Times New Roman" w:cs="Times New Roman"/>
          <w:sz w:val="16"/>
          <w:szCs w:val="16"/>
        </w:rPr>
      </w:pPr>
      <w:r w:rsidRPr="00AB39F8">
        <w:rPr>
          <w:rFonts w:ascii="Times New Roman" w:hAnsi="Times New Roman" w:cs="Times New Roman"/>
          <w:sz w:val="16"/>
          <w:szCs w:val="16"/>
        </w:rPr>
        <w:t>special consideration to using Federal employees to perform these functions.</w:t>
      </w:r>
    </w:p>
  </w:footnote>
  <w:footnote w:id="8">
    <w:p w14:paraId="2FBA9593" w14:textId="77777777" w:rsidR="00EF5AA1" w:rsidRPr="00AB39F8" w:rsidRDefault="00EF5AA1" w:rsidP="00B73335">
      <w:pPr>
        <w:pStyle w:val="FootnoteText"/>
        <w:rPr>
          <w:rFonts w:ascii="Times New Roman" w:hAnsi="Times New Roman" w:cs="Times New Roman"/>
          <w:sz w:val="16"/>
          <w:szCs w:val="16"/>
        </w:rPr>
      </w:pPr>
      <w:r w:rsidRPr="00AB39F8">
        <w:rPr>
          <w:rStyle w:val="FootnoteReference"/>
          <w:rFonts w:ascii="Times New Roman" w:hAnsi="Times New Roman" w:cs="Times New Roman"/>
          <w:sz w:val="16"/>
          <w:szCs w:val="16"/>
        </w:rPr>
        <w:footnoteRef/>
      </w:r>
      <w:r w:rsidRPr="00AB39F8">
        <w:rPr>
          <w:rFonts w:ascii="Times New Roman" w:hAnsi="Times New Roman" w:cs="Times New Roman"/>
          <w:sz w:val="16"/>
          <w:szCs w:val="16"/>
        </w:rPr>
        <w:t xml:space="preserve"> OMB Policy Letter 11-01 defines a critical function as, “a function that is necessary to the agency being able to effectively perform and maintain control of its mission and operations.”</w:t>
      </w:r>
    </w:p>
  </w:footnote>
  <w:footnote w:id="9">
    <w:p w14:paraId="5F19A76B" w14:textId="77777777" w:rsidR="00EF5AA1" w:rsidRDefault="00EF5AA1" w:rsidP="00B73335">
      <w:pPr>
        <w:pStyle w:val="FootnoteText"/>
      </w:pPr>
      <w:r>
        <w:rPr>
          <w:rStyle w:val="FootnoteReference"/>
        </w:rPr>
        <w:footnoteRef/>
      </w:r>
      <w:r>
        <w:t xml:space="preserve"> PL 111-117, Section 743(e)(2)(B) though (D) requirement.</w:t>
      </w:r>
    </w:p>
  </w:footnote>
  <w:footnote w:id="10">
    <w:p w14:paraId="76389B7E" w14:textId="77777777" w:rsidR="00EF5AA1" w:rsidRDefault="00EF5AA1" w:rsidP="00B73335">
      <w:pPr>
        <w:pStyle w:val="FootnoteText"/>
      </w:pPr>
      <w:r>
        <w:rPr>
          <w:rStyle w:val="FootnoteReference"/>
        </w:rPr>
        <w:footnoteRef/>
      </w:r>
      <w:r>
        <w:t xml:space="preserve"> PL 111-117, Section 743(e)(2)(E) requirement. </w:t>
      </w:r>
      <w:r w:rsidRPr="00EB40FF">
        <w:t>OMB defines critical function as a function that is necessary to the agency being able to effectively perform and</w:t>
      </w:r>
      <w:r>
        <w:t xml:space="preserve"> </w:t>
      </w:r>
      <w:r w:rsidRPr="00EB40FF">
        <w:t>maintain control of its mission and operations. Typically, critical functions are recurring and long-term in duration.</w:t>
      </w:r>
      <w:r>
        <w:rPr>
          <w:sz w:val="24"/>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A7F48" w14:textId="77777777" w:rsidR="00EF5AA1" w:rsidRDefault="00EF5AA1" w:rsidP="008F03FE">
    <w:pPr>
      <w:pStyle w:val="Header"/>
      <w:jc w:val="right"/>
    </w:pPr>
    <w:r>
      <w:fldChar w:fldCharType="begin"/>
    </w:r>
    <w:r>
      <w:instrText xml:space="preserve"> PAGE   \* MERGEFORMAT </w:instrText>
    </w:r>
    <w:r>
      <w:fldChar w:fldCharType="separate"/>
    </w:r>
    <w:r>
      <w:rPr>
        <w:noProof/>
      </w:rPr>
      <w:t>4</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75DA"/>
    <w:multiLevelType w:val="hybridMultilevel"/>
    <w:tmpl w:val="D0806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D448E"/>
    <w:multiLevelType w:val="hybridMultilevel"/>
    <w:tmpl w:val="91ACE3A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31E302A8"/>
    <w:multiLevelType w:val="hybridMultilevel"/>
    <w:tmpl w:val="1A6C14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52A5964"/>
    <w:multiLevelType w:val="hybridMultilevel"/>
    <w:tmpl w:val="1938D3AC"/>
    <w:lvl w:ilvl="0" w:tplc="EC1225A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6F07B1D"/>
    <w:multiLevelType w:val="multilevel"/>
    <w:tmpl w:val="63C6FE8A"/>
    <w:lvl w:ilvl="0">
      <w:start w:val="1"/>
      <w:numFmt w:val="decimal"/>
      <w:lvlText w:val="%1."/>
      <w:lvlJc w:val="left"/>
      <w:pPr>
        <w:ind w:left="720" w:hanging="360"/>
      </w:pPr>
    </w:lvl>
    <w:lvl w:ilvl="1">
      <w:numFmt w:val="decimal"/>
      <w:isLgl/>
      <w:lvlText w:val="%1.%2"/>
      <w:lvlJc w:val="left"/>
      <w:pPr>
        <w:ind w:left="803" w:hanging="44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BEC4626"/>
    <w:multiLevelType w:val="hybridMultilevel"/>
    <w:tmpl w:val="CCF21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941AEB"/>
    <w:multiLevelType w:val="hybridMultilevel"/>
    <w:tmpl w:val="EBC8E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163E26"/>
    <w:multiLevelType w:val="hybridMultilevel"/>
    <w:tmpl w:val="CF7EA056"/>
    <w:lvl w:ilvl="0" w:tplc="7E0AE7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9B13B5"/>
    <w:multiLevelType w:val="hybridMultilevel"/>
    <w:tmpl w:val="415E2D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2"/>
  </w:num>
  <w:num w:numId="3">
    <w:abstractNumId w:val="8"/>
  </w:num>
  <w:num w:numId="4">
    <w:abstractNumId w:val="3"/>
  </w:num>
  <w:num w:numId="5">
    <w:abstractNumId w:val="1"/>
  </w:num>
  <w:num w:numId="6">
    <w:abstractNumId w:val="7"/>
  </w:num>
  <w:num w:numId="7">
    <w:abstractNumId w:val="4"/>
  </w:num>
  <w:num w:numId="8">
    <w:abstractNumId w:val="5"/>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35B"/>
    <w:rsid w:val="000100C8"/>
    <w:rsid w:val="000118D6"/>
    <w:rsid w:val="00012B6A"/>
    <w:rsid w:val="0001443D"/>
    <w:rsid w:val="00014BEA"/>
    <w:rsid w:val="00015178"/>
    <w:rsid w:val="000202D8"/>
    <w:rsid w:val="000271EA"/>
    <w:rsid w:val="00027D0E"/>
    <w:rsid w:val="00033F55"/>
    <w:rsid w:val="00037C46"/>
    <w:rsid w:val="000469DA"/>
    <w:rsid w:val="00051D75"/>
    <w:rsid w:val="00052E73"/>
    <w:rsid w:val="000570DE"/>
    <w:rsid w:val="0006469B"/>
    <w:rsid w:val="00066C67"/>
    <w:rsid w:val="000716EA"/>
    <w:rsid w:val="000803F9"/>
    <w:rsid w:val="00085130"/>
    <w:rsid w:val="00086DC6"/>
    <w:rsid w:val="00095A51"/>
    <w:rsid w:val="00096511"/>
    <w:rsid w:val="000A0BF7"/>
    <w:rsid w:val="000A118E"/>
    <w:rsid w:val="000A2767"/>
    <w:rsid w:val="000B26C7"/>
    <w:rsid w:val="000C02CE"/>
    <w:rsid w:val="000C17E5"/>
    <w:rsid w:val="000C59E3"/>
    <w:rsid w:val="000D74FE"/>
    <w:rsid w:val="000E111C"/>
    <w:rsid w:val="000E125C"/>
    <w:rsid w:val="000E18C3"/>
    <w:rsid w:val="000E23ED"/>
    <w:rsid w:val="001039B9"/>
    <w:rsid w:val="00103ACD"/>
    <w:rsid w:val="00105306"/>
    <w:rsid w:val="00112B54"/>
    <w:rsid w:val="00116F5E"/>
    <w:rsid w:val="00120289"/>
    <w:rsid w:val="001250AE"/>
    <w:rsid w:val="00130B7A"/>
    <w:rsid w:val="0013663D"/>
    <w:rsid w:val="001370FD"/>
    <w:rsid w:val="001409AB"/>
    <w:rsid w:val="00144589"/>
    <w:rsid w:val="00150C0E"/>
    <w:rsid w:val="00157AE3"/>
    <w:rsid w:val="00162748"/>
    <w:rsid w:val="001644D0"/>
    <w:rsid w:val="00165954"/>
    <w:rsid w:val="001704FD"/>
    <w:rsid w:val="001713BD"/>
    <w:rsid w:val="001718B0"/>
    <w:rsid w:val="00171A9D"/>
    <w:rsid w:val="00174045"/>
    <w:rsid w:val="001743E2"/>
    <w:rsid w:val="00174B90"/>
    <w:rsid w:val="00175D0B"/>
    <w:rsid w:val="00175E2F"/>
    <w:rsid w:val="0017635B"/>
    <w:rsid w:val="00176FD4"/>
    <w:rsid w:val="0017792E"/>
    <w:rsid w:val="00180150"/>
    <w:rsid w:val="0018419F"/>
    <w:rsid w:val="001876BD"/>
    <w:rsid w:val="00190D52"/>
    <w:rsid w:val="001968B1"/>
    <w:rsid w:val="001A4F61"/>
    <w:rsid w:val="001B0B39"/>
    <w:rsid w:val="001B0B4F"/>
    <w:rsid w:val="001B12CE"/>
    <w:rsid w:val="001B18F1"/>
    <w:rsid w:val="001B7D41"/>
    <w:rsid w:val="001C2055"/>
    <w:rsid w:val="001C2503"/>
    <w:rsid w:val="001C28D0"/>
    <w:rsid w:val="001C364A"/>
    <w:rsid w:val="001C3A8C"/>
    <w:rsid w:val="001C3F82"/>
    <w:rsid w:val="001C5583"/>
    <w:rsid w:val="001C6344"/>
    <w:rsid w:val="001C7B8D"/>
    <w:rsid w:val="001D3288"/>
    <w:rsid w:val="001D573F"/>
    <w:rsid w:val="001D7444"/>
    <w:rsid w:val="001E432E"/>
    <w:rsid w:val="001E59AC"/>
    <w:rsid w:val="001E64DF"/>
    <w:rsid w:val="001E6BFE"/>
    <w:rsid w:val="001F2EA0"/>
    <w:rsid w:val="001F6C9C"/>
    <w:rsid w:val="002026E8"/>
    <w:rsid w:val="0020443C"/>
    <w:rsid w:val="002155B1"/>
    <w:rsid w:val="00216176"/>
    <w:rsid w:val="00216196"/>
    <w:rsid w:val="002178F3"/>
    <w:rsid w:val="002210C3"/>
    <w:rsid w:val="00230C66"/>
    <w:rsid w:val="00231033"/>
    <w:rsid w:val="002312AA"/>
    <w:rsid w:val="002318F4"/>
    <w:rsid w:val="002324A3"/>
    <w:rsid w:val="0023483E"/>
    <w:rsid w:val="00235D30"/>
    <w:rsid w:val="00235D71"/>
    <w:rsid w:val="002368D1"/>
    <w:rsid w:val="0023777A"/>
    <w:rsid w:val="00240A15"/>
    <w:rsid w:val="00242414"/>
    <w:rsid w:val="00243A8E"/>
    <w:rsid w:val="0024528D"/>
    <w:rsid w:val="00250168"/>
    <w:rsid w:val="00250CE2"/>
    <w:rsid w:val="0025101F"/>
    <w:rsid w:val="00251FBB"/>
    <w:rsid w:val="0026435F"/>
    <w:rsid w:val="00264E24"/>
    <w:rsid w:val="00270ACC"/>
    <w:rsid w:val="00272610"/>
    <w:rsid w:val="00277F99"/>
    <w:rsid w:val="00281732"/>
    <w:rsid w:val="002824EA"/>
    <w:rsid w:val="0028298C"/>
    <w:rsid w:val="002833F8"/>
    <w:rsid w:val="00283B11"/>
    <w:rsid w:val="00297D20"/>
    <w:rsid w:val="002A3AD7"/>
    <w:rsid w:val="002A4028"/>
    <w:rsid w:val="002A5605"/>
    <w:rsid w:val="002B0D87"/>
    <w:rsid w:val="002B1B4E"/>
    <w:rsid w:val="002B7D33"/>
    <w:rsid w:val="002C6C67"/>
    <w:rsid w:val="002D2720"/>
    <w:rsid w:val="002D576E"/>
    <w:rsid w:val="002E10AD"/>
    <w:rsid w:val="002E3FAC"/>
    <w:rsid w:val="002E4615"/>
    <w:rsid w:val="002E59E5"/>
    <w:rsid w:val="002F3FA8"/>
    <w:rsid w:val="002F60EB"/>
    <w:rsid w:val="003050E9"/>
    <w:rsid w:val="0031310B"/>
    <w:rsid w:val="00314F09"/>
    <w:rsid w:val="00317112"/>
    <w:rsid w:val="003206F4"/>
    <w:rsid w:val="00325499"/>
    <w:rsid w:val="0032737B"/>
    <w:rsid w:val="00333138"/>
    <w:rsid w:val="00333AC9"/>
    <w:rsid w:val="003348F9"/>
    <w:rsid w:val="0033700F"/>
    <w:rsid w:val="00340A5F"/>
    <w:rsid w:val="00342820"/>
    <w:rsid w:val="00344DAB"/>
    <w:rsid w:val="00346BB8"/>
    <w:rsid w:val="00346BDF"/>
    <w:rsid w:val="00351E12"/>
    <w:rsid w:val="00352DB5"/>
    <w:rsid w:val="00355F71"/>
    <w:rsid w:val="00356C97"/>
    <w:rsid w:val="003602A3"/>
    <w:rsid w:val="00370261"/>
    <w:rsid w:val="00371018"/>
    <w:rsid w:val="003741C8"/>
    <w:rsid w:val="00374BF2"/>
    <w:rsid w:val="00376F39"/>
    <w:rsid w:val="003800E4"/>
    <w:rsid w:val="003835A9"/>
    <w:rsid w:val="0038620F"/>
    <w:rsid w:val="00387778"/>
    <w:rsid w:val="0039002B"/>
    <w:rsid w:val="003943BC"/>
    <w:rsid w:val="00394BDD"/>
    <w:rsid w:val="003A1472"/>
    <w:rsid w:val="003A4FF1"/>
    <w:rsid w:val="003A709C"/>
    <w:rsid w:val="003B1EDB"/>
    <w:rsid w:val="003B629B"/>
    <w:rsid w:val="003B6D66"/>
    <w:rsid w:val="003B7313"/>
    <w:rsid w:val="003D13A2"/>
    <w:rsid w:val="003D48B1"/>
    <w:rsid w:val="003D4C85"/>
    <w:rsid w:val="003D572E"/>
    <w:rsid w:val="003D5D91"/>
    <w:rsid w:val="003D6B98"/>
    <w:rsid w:val="003E1918"/>
    <w:rsid w:val="003E1FF5"/>
    <w:rsid w:val="003E55E9"/>
    <w:rsid w:val="003E5777"/>
    <w:rsid w:val="003F0348"/>
    <w:rsid w:val="003F6428"/>
    <w:rsid w:val="00402AF0"/>
    <w:rsid w:val="00402C4F"/>
    <w:rsid w:val="004051FC"/>
    <w:rsid w:val="00405448"/>
    <w:rsid w:val="0041117F"/>
    <w:rsid w:val="00411BBE"/>
    <w:rsid w:val="004130EC"/>
    <w:rsid w:val="0041717D"/>
    <w:rsid w:val="00417F6C"/>
    <w:rsid w:val="004201CF"/>
    <w:rsid w:val="00421777"/>
    <w:rsid w:val="00421898"/>
    <w:rsid w:val="0042273A"/>
    <w:rsid w:val="004228E8"/>
    <w:rsid w:val="00425A42"/>
    <w:rsid w:val="004267C1"/>
    <w:rsid w:val="00432E90"/>
    <w:rsid w:val="00434603"/>
    <w:rsid w:val="004358A0"/>
    <w:rsid w:val="00436799"/>
    <w:rsid w:val="00437135"/>
    <w:rsid w:val="004467BE"/>
    <w:rsid w:val="00446CBD"/>
    <w:rsid w:val="00447430"/>
    <w:rsid w:val="00450ED2"/>
    <w:rsid w:val="0045479A"/>
    <w:rsid w:val="0046278B"/>
    <w:rsid w:val="0046338D"/>
    <w:rsid w:val="0046392A"/>
    <w:rsid w:val="0046718B"/>
    <w:rsid w:val="00470D36"/>
    <w:rsid w:val="00475189"/>
    <w:rsid w:val="00480522"/>
    <w:rsid w:val="004913ED"/>
    <w:rsid w:val="004922F2"/>
    <w:rsid w:val="00495F0F"/>
    <w:rsid w:val="004A4AF3"/>
    <w:rsid w:val="004A58CB"/>
    <w:rsid w:val="004A776C"/>
    <w:rsid w:val="004B3D52"/>
    <w:rsid w:val="004B57B4"/>
    <w:rsid w:val="004B5BAF"/>
    <w:rsid w:val="004B662D"/>
    <w:rsid w:val="004B6AB3"/>
    <w:rsid w:val="004C2172"/>
    <w:rsid w:val="004D5B82"/>
    <w:rsid w:val="004D6B9D"/>
    <w:rsid w:val="004E23F3"/>
    <w:rsid w:val="004F3057"/>
    <w:rsid w:val="004F4AAB"/>
    <w:rsid w:val="004F5723"/>
    <w:rsid w:val="00504219"/>
    <w:rsid w:val="00510701"/>
    <w:rsid w:val="00511283"/>
    <w:rsid w:val="00517A8F"/>
    <w:rsid w:val="00520707"/>
    <w:rsid w:val="0054737B"/>
    <w:rsid w:val="0055278D"/>
    <w:rsid w:val="00562F73"/>
    <w:rsid w:val="00565A46"/>
    <w:rsid w:val="00575C95"/>
    <w:rsid w:val="005771BF"/>
    <w:rsid w:val="00583D40"/>
    <w:rsid w:val="0058629D"/>
    <w:rsid w:val="00593771"/>
    <w:rsid w:val="005941D7"/>
    <w:rsid w:val="0059658C"/>
    <w:rsid w:val="005A2722"/>
    <w:rsid w:val="005A7618"/>
    <w:rsid w:val="005B0119"/>
    <w:rsid w:val="005B08D4"/>
    <w:rsid w:val="005B2074"/>
    <w:rsid w:val="005C0BCB"/>
    <w:rsid w:val="005C0FA1"/>
    <w:rsid w:val="005C62B0"/>
    <w:rsid w:val="005C67D4"/>
    <w:rsid w:val="005C6C8F"/>
    <w:rsid w:val="005C7A1C"/>
    <w:rsid w:val="005D11B4"/>
    <w:rsid w:val="005D2682"/>
    <w:rsid w:val="005D36C1"/>
    <w:rsid w:val="005E1552"/>
    <w:rsid w:val="005E1C25"/>
    <w:rsid w:val="005E47BB"/>
    <w:rsid w:val="005F0F52"/>
    <w:rsid w:val="005F3619"/>
    <w:rsid w:val="005F511F"/>
    <w:rsid w:val="005F5DCA"/>
    <w:rsid w:val="0060335D"/>
    <w:rsid w:val="00603BC4"/>
    <w:rsid w:val="006049EC"/>
    <w:rsid w:val="0060656D"/>
    <w:rsid w:val="00606806"/>
    <w:rsid w:val="006106D7"/>
    <w:rsid w:val="006162F8"/>
    <w:rsid w:val="006230B7"/>
    <w:rsid w:val="006272F4"/>
    <w:rsid w:val="00634CF5"/>
    <w:rsid w:val="006368AE"/>
    <w:rsid w:val="00640947"/>
    <w:rsid w:val="00641169"/>
    <w:rsid w:val="00641F05"/>
    <w:rsid w:val="006503BF"/>
    <w:rsid w:val="006566A0"/>
    <w:rsid w:val="00661376"/>
    <w:rsid w:val="006664CC"/>
    <w:rsid w:val="00672E70"/>
    <w:rsid w:val="0067590D"/>
    <w:rsid w:val="0067623A"/>
    <w:rsid w:val="00680B8E"/>
    <w:rsid w:val="00681A1E"/>
    <w:rsid w:val="00694F8E"/>
    <w:rsid w:val="006962EF"/>
    <w:rsid w:val="006A3480"/>
    <w:rsid w:val="006A4A05"/>
    <w:rsid w:val="006B1803"/>
    <w:rsid w:val="006B2843"/>
    <w:rsid w:val="006B37E0"/>
    <w:rsid w:val="006C1224"/>
    <w:rsid w:val="006C2E71"/>
    <w:rsid w:val="006C38F4"/>
    <w:rsid w:val="006C74DB"/>
    <w:rsid w:val="006D5CA3"/>
    <w:rsid w:val="006E11E1"/>
    <w:rsid w:val="006E485D"/>
    <w:rsid w:val="006E6B6A"/>
    <w:rsid w:val="006F0279"/>
    <w:rsid w:val="006F6F6A"/>
    <w:rsid w:val="00700AA3"/>
    <w:rsid w:val="00701B35"/>
    <w:rsid w:val="00707A82"/>
    <w:rsid w:val="00712EAF"/>
    <w:rsid w:val="00717959"/>
    <w:rsid w:val="00722500"/>
    <w:rsid w:val="00727AD8"/>
    <w:rsid w:val="00732769"/>
    <w:rsid w:val="00734A20"/>
    <w:rsid w:val="00736FAB"/>
    <w:rsid w:val="007404DF"/>
    <w:rsid w:val="0074512A"/>
    <w:rsid w:val="0074555C"/>
    <w:rsid w:val="00745749"/>
    <w:rsid w:val="00746FA2"/>
    <w:rsid w:val="00747C9C"/>
    <w:rsid w:val="00757758"/>
    <w:rsid w:val="00763011"/>
    <w:rsid w:val="00763579"/>
    <w:rsid w:val="00764209"/>
    <w:rsid w:val="007676BC"/>
    <w:rsid w:val="00770FCD"/>
    <w:rsid w:val="00771789"/>
    <w:rsid w:val="00773F1D"/>
    <w:rsid w:val="007754DB"/>
    <w:rsid w:val="007754FB"/>
    <w:rsid w:val="0078094E"/>
    <w:rsid w:val="00785FE6"/>
    <w:rsid w:val="0078751A"/>
    <w:rsid w:val="00796056"/>
    <w:rsid w:val="007A3BE4"/>
    <w:rsid w:val="007A48BB"/>
    <w:rsid w:val="007A6787"/>
    <w:rsid w:val="007B257D"/>
    <w:rsid w:val="007B4E19"/>
    <w:rsid w:val="007B7EC2"/>
    <w:rsid w:val="007C6508"/>
    <w:rsid w:val="007E0E72"/>
    <w:rsid w:val="007E2A24"/>
    <w:rsid w:val="007E44ED"/>
    <w:rsid w:val="007E4528"/>
    <w:rsid w:val="007F03E9"/>
    <w:rsid w:val="007F2D38"/>
    <w:rsid w:val="007F69F1"/>
    <w:rsid w:val="0080055C"/>
    <w:rsid w:val="00800694"/>
    <w:rsid w:val="008019EF"/>
    <w:rsid w:val="00805C5C"/>
    <w:rsid w:val="00806B85"/>
    <w:rsid w:val="00806D22"/>
    <w:rsid w:val="00817220"/>
    <w:rsid w:val="00817260"/>
    <w:rsid w:val="0082146B"/>
    <w:rsid w:val="00821591"/>
    <w:rsid w:val="008238CF"/>
    <w:rsid w:val="00832BDF"/>
    <w:rsid w:val="0083453E"/>
    <w:rsid w:val="00846E5A"/>
    <w:rsid w:val="0084736A"/>
    <w:rsid w:val="008500E6"/>
    <w:rsid w:val="00850719"/>
    <w:rsid w:val="00851275"/>
    <w:rsid w:val="0085332F"/>
    <w:rsid w:val="008550BB"/>
    <w:rsid w:val="008554BD"/>
    <w:rsid w:val="00864175"/>
    <w:rsid w:val="008643E5"/>
    <w:rsid w:val="008673B1"/>
    <w:rsid w:val="008773C9"/>
    <w:rsid w:val="00877B4D"/>
    <w:rsid w:val="00881AF1"/>
    <w:rsid w:val="00881D3A"/>
    <w:rsid w:val="00884530"/>
    <w:rsid w:val="008852D7"/>
    <w:rsid w:val="0089330E"/>
    <w:rsid w:val="008A0165"/>
    <w:rsid w:val="008A4EE4"/>
    <w:rsid w:val="008A6DEE"/>
    <w:rsid w:val="008B4E71"/>
    <w:rsid w:val="008B5DDF"/>
    <w:rsid w:val="008C2E96"/>
    <w:rsid w:val="008C31C3"/>
    <w:rsid w:val="008D10AD"/>
    <w:rsid w:val="008D1853"/>
    <w:rsid w:val="008D4EA2"/>
    <w:rsid w:val="008E1A7E"/>
    <w:rsid w:val="008F03FE"/>
    <w:rsid w:val="008F2579"/>
    <w:rsid w:val="009002FF"/>
    <w:rsid w:val="009038C6"/>
    <w:rsid w:val="00905FF7"/>
    <w:rsid w:val="00907B27"/>
    <w:rsid w:val="00916F1F"/>
    <w:rsid w:val="009176AF"/>
    <w:rsid w:val="00917B0E"/>
    <w:rsid w:val="00921524"/>
    <w:rsid w:val="00921FBA"/>
    <w:rsid w:val="009256C3"/>
    <w:rsid w:val="00926468"/>
    <w:rsid w:val="00926B4C"/>
    <w:rsid w:val="00927629"/>
    <w:rsid w:val="00927CE7"/>
    <w:rsid w:val="00936028"/>
    <w:rsid w:val="00937136"/>
    <w:rsid w:val="009427DD"/>
    <w:rsid w:val="00952EE7"/>
    <w:rsid w:val="009539C2"/>
    <w:rsid w:val="00955628"/>
    <w:rsid w:val="00965419"/>
    <w:rsid w:val="0097094C"/>
    <w:rsid w:val="009738CD"/>
    <w:rsid w:val="009747DD"/>
    <w:rsid w:val="009803D8"/>
    <w:rsid w:val="00980D56"/>
    <w:rsid w:val="00982FB6"/>
    <w:rsid w:val="00985017"/>
    <w:rsid w:val="0098694E"/>
    <w:rsid w:val="00994E5D"/>
    <w:rsid w:val="00995BCF"/>
    <w:rsid w:val="00995C66"/>
    <w:rsid w:val="00996D41"/>
    <w:rsid w:val="00997CB6"/>
    <w:rsid w:val="009C0891"/>
    <w:rsid w:val="009C2E84"/>
    <w:rsid w:val="009C534B"/>
    <w:rsid w:val="009D2026"/>
    <w:rsid w:val="009D2E27"/>
    <w:rsid w:val="009E0B4C"/>
    <w:rsid w:val="009E4FD2"/>
    <w:rsid w:val="009E5513"/>
    <w:rsid w:val="009E70B6"/>
    <w:rsid w:val="009F0376"/>
    <w:rsid w:val="009F2D9C"/>
    <w:rsid w:val="009F436F"/>
    <w:rsid w:val="009F502E"/>
    <w:rsid w:val="009F60CF"/>
    <w:rsid w:val="009F6867"/>
    <w:rsid w:val="00A055FF"/>
    <w:rsid w:val="00A13086"/>
    <w:rsid w:val="00A14B59"/>
    <w:rsid w:val="00A15FF2"/>
    <w:rsid w:val="00A248E3"/>
    <w:rsid w:val="00A320DD"/>
    <w:rsid w:val="00A40A00"/>
    <w:rsid w:val="00A4240F"/>
    <w:rsid w:val="00A44FE4"/>
    <w:rsid w:val="00A45A24"/>
    <w:rsid w:val="00A479E8"/>
    <w:rsid w:val="00A577A6"/>
    <w:rsid w:val="00A625E9"/>
    <w:rsid w:val="00A71F7E"/>
    <w:rsid w:val="00A81E0E"/>
    <w:rsid w:val="00A86D74"/>
    <w:rsid w:val="00A92F4E"/>
    <w:rsid w:val="00AA123D"/>
    <w:rsid w:val="00AA350B"/>
    <w:rsid w:val="00AB0B73"/>
    <w:rsid w:val="00AB1334"/>
    <w:rsid w:val="00AB39F8"/>
    <w:rsid w:val="00AC2D74"/>
    <w:rsid w:val="00AC53AF"/>
    <w:rsid w:val="00AC5928"/>
    <w:rsid w:val="00AC6417"/>
    <w:rsid w:val="00AD1192"/>
    <w:rsid w:val="00AE7622"/>
    <w:rsid w:val="00AF7965"/>
    <w:rsid w:val="00B036C7"/>
    <w:rsid w:val="00B2019B"/>
    <w:rsid w:val="00B212B5"/>
    <w:rsid w:val="00B24A4F"/>
    <w:rsid w:val="00B30D39"/>
    <w:rsid w:val="00B31A6E"/>
    <w:rsid w:val="00B33E01"/>
    <w:rsid w:val="00B34962"/>
    <w:rsid w:val="00B42825"/>
    <w:rsid w:val="00B457A1"/>
    <w:rsid w:val="00B463E8"/>
    <w:rsid w:val="00B53D2C"/>
    <w:rsid w:val="00B54121"/>
    <w:rsid w:val="00B54E49"/>
    <w:rsid w:val="00B56B08"/>
    <w:rsid w:val="00B64649"/>
    <w:rsid w:val="00B66D56"/>
    <w:rsid w:val="00B675EC"/>
    <w:rsid w:val="00B73335"/>
    <w:rsid w:val="00B806AC"/>
    <w:rsid w:val="00B828E4"/>
    <w:rsid w:val="00B8463D"/>
    <w:rsid w:val="00B90660"/>
    <w:rsid w:val="00B906B9"/>
    <w:rsid w:val="00B92170"/>
    <w:rsid w:val="00B946FF"/>
    <w:rsid w:val="00B9503F"/>
    <w:rsid w:val="00BA08B3"/>
    <w:rsid w:val="00BA17EC"/>
    <w:rsid w:val="00BA1A03"/>
    <w:rsid w:val="00BB1249"/>
    <w:rsid w:val="00BB1E19"/>
    <w:rsid w:val="00BB449D"/>
    <w:rsid w:val="00BB44B2"/>
    <w:rsid w:val="00BB5636"/>
    <w:rsid w:val="00BC30C7"/>
    <w:rsid w:val="00BC6244"/>
    <w:rsid w:val="00BD1427"/>
    <w:rsid w:val="00BD5ED3"/>
    <w:rsid w:val="00BF1021"/>
    <w:rsid w:val="00C03D66"/>
    <w:rsid w:val="00C04157"/>
    <w:rsid w:val="00C07489"/>
    <w:rsid w:val="00C07886"/>
    <w:rsid w:val="00C07BEC"/>
    <w:rsid w:val="00C11C04"/>
    <w:rsid w:val="00C1231C"/>
    <w:rsid w:val="00C12609"/>
    <w:rsid w:val="00C269CB"/>
    <w:rsid w:val="00C339FE"/>
    <w:rsid w:val="00C35EDC"/>
    <w:rsid w:val="00C366B8"/>
    <w:rsid w:val="00C37F87"/>
    <w:rsid w:val="00C40CEE"/>
    <w:rsid w:val="00C516E6"/>
    <w:rsid w:val="00C5794E"/>
    <w:rsid w:val="00C57AEA"/>
    <w:rsid w:val="00C66106"/>
    <w:rsid w:val="00C7049A"/>
    <w:rsid w:val="00C720F5"/>
    <w:rsid w:val="00C816FB"/>
    <w:rsid w:val="00C83C30"/>
    <w:rsid w:val="00C92D3A"/>
    <w:rsid w:val="00C944D6"/>
    <w:rsid w:val="00C94C11"/>
    <w:rsid w:val="00CA5777"/>
    <w:rsid w:val="00CA5D7F"/>
    <w:rsid w:val="00CA791C"/>
    <w:rsid w:val="00CA7961"/>
    <w:rsid w:val="00CA79C0"/>
    <w:rsid w:val="00CB0411"/>
    <w:rsid w:val="00CB0F3D"/>
    <w:rsid w:val="00CB2931"/>
    <w:rsid w:val="00CC0B9B"/>
    <w:rsid w:val="00CC0DD0"/>
    <w:rsid w:val="00CC7EE1"/>
    <w:rsid w:val="00CD2FA4"/>
    <w:rsid w:val="00CD4FF1"/>
    <w:rsid w:val="00CD6339"/>
    <w:rsid w:val="00CE2B67"/>
    <w:rsid w:val="00CE742A"/>
    <w:rsid w:val="00CF1419"/>
    <w:rsid w:val="00CF58FF"/>
    <w:rsid w:val="00D00172"/>
    <w:rsid w:val="00D03941"/>
    <w:rsid w:val="00D04923"/>
    <w:rsid w:val="00D05D66"/>
    <w:rsid w:val="00D14040"/>
    <w:rsid w:val="00D1414A"/>
    <w:rsid w:val="00D14B41"/>
    <w:rsid w:val="00D25AA1"/>
    <w:rsid w:val="00D25E06"/>
    <w:rsid w:val="00D26241"/>
    <w:rsid w:val="00D26BB1"/>
    <w:rsid w:val="00D42305"/>
    <w:rsid w:val="00D45159"/>
    <w:rsid w:val="00D456D4"/>
    <w:rsid w:val="00D47E2D"/>
    <w:rsid w:val="00D54B40"/>
    <w:rsid w:val="00D57038"/>
    <w:rsid w:val="00D57D98"/>
    <w:rsid w:val="00D6111C"/>
    <w:rsid w:val="00D6158D"/>
    <w:rsid w:val="00D6716D"/>
    <w:rsid w:val="00D702ED"/>
    <w:rsid w:val="00D72B46"/>
    <w:rsid w:val="00D76FD4"/>
    <w:rsid w:val="00D77481"/>
    <w:rsid w:val="00D833B5"/>
    <w:rsid w:val="00D86BA3"/>
    <w:rsid w:val="00D87A68"/>
    <w:rsid w:val="00D90908"/>
    <w:rsid w:val="00D9176B"/>
    <w:rsid w:val="00D92774"/>
    <w:rsid w:val="00D94009"/>
    <w:rsid w:val="00D959FF"/>
    <w:rsid w:val="00DA39A4"/>
    <w:rsid w:val="00DA4045"/>
    <w:rsid w:val="00DA43F0"/>
    <w:rsid w:val="00DB0136"/>
    <w:rsid w:val="00DB4E94"/>
    <w:rsid w:val="00DC1093"/>
    <w:rsid w:val="00DC3592"/>
    <w:rsid w:val="00DC5A72"/>
    <w:rsid w:val="00DC626B"/>
    <w:rsid w:val="00DD1BB6"/>
    <w:rsid w:val="00DD6F4D"/>
    <w:rsid w:val="00DD78B0"/>
    <w:rsid w:val="00DE19EA"/>
    <w:rsid w:val="00DF74F1"/>
    <w:rsid w:val="00E06695"/>
    <w:rsid w:val="00E07491"/>
    <w:rsid w:val="00E11DD6"/>
    <w:rsid w:val="00E1217C"/>
    <w:rsid w:val="00E20518"/>
    <w:rsid w:val="00E268AD"/>
    <w:rsid w:val="00E301C3"/>
    <w:rsid w:val="00E310FC"/>
    <w:rsid w:val="00E377FE"/>
    <w:rsid w:val="00E41C08"/>
    <w:rsid w:val="00E4736C"/>
    <w:rsid w:val="00E473C9"/>
    <w:rsid w:val="00E557CE"/>
    <w:rsid w:val="00E60FA8"/>
    <w:rsid w:val="00E70669"/>
    <w:rsid w:val="00E724B1"/>
    <w:rsid w:val="00E73716"/>
    <w:rsid w:val="00E76B90"/>
    <w:rsid w:val="00E80440"/>
    <w:rsid w:val="00E8077C"/>
    <w:rsid w:val="00E8111A"/>
    <w:rsid w:val="00E87940"/>
    <w:rsid w:val="00E87AE1"/>
    <w:rsid w:val="00E90BC2"/>
    <w:rsid w:val="00E90BDC"/>
    <w:rsid w:val="00E93779"/>
    <w:rsid w:val="00E9379C"/>
    <w:rsid w:val="00E962EA"/>
    <w:rsid w:val="00EA1E7B"/>
    <w:rsid w:val="00EA76D2"/>
    <w:rsid w:val="00EC011A"/>
    <w:rsid w:val="00EC0F24"/>
    <w:rsid w:val="00EC59A2"/>
    <w:rsid w:val="00ED3FFD"/>
    <w:rsid w:val="00ED4E7A"/>
    <w:rsid w:val="00EE25EC"/>
    <w:rsid w:val="00EF0B05"/>
    <w:rsid w:val="00EF1D60"/>
    <w:rsid w:val="00EF3451"/>
    <w:rsid w:val="00EF49DC"/>
    <w:rsid w:val="00EF4F40"/>
    <w:rsid w:val="00EF5AA1"/>
    <w:rsid w:val="00EF68C7"/>
    <w:rsid w:val="00F0004B"/>
    <w:rsid w:val="00F05AE9"/>
    <w:rsid w:val="00F07174"/>
    <w:rsid w:val="00F108FE"/>
    <w:rsid w:val="00F112E3"/>
    <w:rsid w:val="00F15F38"/>
    <w:rsid w:val="00F17135"/>
    <w:rsid w:val="00F2205A"/>
    <w:rsid w:val="00F22E2E"/>
    <w:rsid w:val="00F233EF"/>
    <w:rsid w:val="00F24AD8"/>
    <w:rsid w:val="00F25515"/>
    <w:rsid w:val="00F266CC"/>
    <w:rsid w:val="00F31A2B"/>
    <w:rsid w:val="00F35718"/>
    <w:rsid w:val="00F3719B"/>
    <w:rsid w:val="00F40754"/>
    <w:rsid w:val="00F412BA"/>
    <w:rsid w:val="00F426C5"/>
    <w:rsid w:val="00F54E43"/>
    <w:rsid w:val="00F56220"/>
    <w:rsid w:val="00F62924"/>
    <w:rsid w:val="00F667CF"/>
    <w:rsid w:val="00F74FD1"/>
    <w:rsid w:val="00F75F45"/>
    <w:rsid w:val="00F777FD"/>
    <w:rsid w:val="00F84503"/>
    <w:rsid w:val="00F857CE"/>
    <w:rsid w:val="00F86031"/>
    <w:rsid w:val="00F86708"/>
    <w:rsid w:val="00F901D7"/>
    <w:rsid w:val="00F91436"/>
    <w:rsid w:val="00F92CD7"/>
    <w:rsid w:val="00FA2FAF"/>
    <w:rsid w:val="00FA66E2"/>
    <w:rsid w:val="00FA7671"/>
    <w:rsid w:val="00FB020B"/>
    <w:rsid w:val="00FB058E"/>
    <w:rsid w:val="00FB1816"/>
    <w:rsid w:val="00FB7580"/>
    <w:rsid w:val="00FC1562"/>
    <w:rsid w:val="00FC58B1"/>
    <w:rsid w:val="00FD5921"/>
    <w:rsid w:val="00FE03F0"/>
    <w:rsid w:val="00FE22CC"/>
    <w:rsid w:val="00FE2681"/>
    <w:rsid w:val="00FE7726"/>
    <w:rsid w:val="00FF2191"/>
    <w:rsid w:val="00FF5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5A7E58"/>
  <w15:docId w15:val="{54BE9D94-30EA-41CB-8C3C-0F87D19F0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5FF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unhideWhenUsed/>
    <w:qFormat/>
    <w:rsid w:val="00BA08B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2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722"/>
    <w:rPr>
      <w:rFonts w:ascii="Tahoma" w:hAnsi="Tahoma" w:cs="Tahoma"/>
      <w:sz w:val="16"/>
      <w:szCs w:val="16"/>
    </w:rPr>
  </w:style>
  <w:style w:type="paragraph" w:styleId="Header">
    <w:name w:val="header"/>
    <w:basedOn w:val="Normal"/>
    <w:link w:val="HeaderChar"/>
    <w:uiPriority w:val="99"/>
    <w:unhideWhenUsed/>
    <w:rsid w:val="008F03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3FE"/>
  </w:style>
  <w:style w:type="paragraph" w:styleId="Footer">
    <w:name w:val="footer"/>
    <w:basedOn w:val="Normal"/>
    <w:link w:val="FooterChar"/>
    <w:uiPriority w:val="99"/>
    <w:unhideWhenUsed/>
    <w:rsid w:val="008F03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3FE"/>
  </w:style>
  <w:style w:type="character" w:styleId="Hyperlink">
    <w:name w:val="Hyperlink"/>
    <w:basedOn w:val="DefaultParagraphFont"/>
    <w:uiPriority w:val="99"/>
    <w:unhideWhenUsed/>
    <w:rsid w:val="008F03FE"/>
    <w:rPr>
      <w:color w:val="0000FF" w:themeColor="hyperlink"/>
      <w:u w:val="single"/>
    </w:rPr>
  </w:style>
  <w:style w:type="character" w:styleId="CommentReference">
    <w:name w:val="annotation reference"/>
    <w:uiPriority w:val="99"/>
    <w:semiHidden/>
    <w:unhideWhenUsed/>
    <w:rsid w:val="00936028"/>
    <w:rPr>
      <w:sz w:val="16"/>
      <w:szCs w:val="16"/>
    </w:rPr>
  </w:style>
  <w:style w:type="paragraph" w:styleId="CommentText">
    <w:name w:val="annotation text"/>
    <w:basedOn w:val="Normal"/>
    <w:link w:val="CommentTextChar"/>
    <w:uiPriority w:val="99"/>
    <w:semiHidden/>
    <w:unhideWhenUsed/>
    <w:rsid w:val="0093602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936028"/>
    <w:rPr>
      <w:rFonts w:ascii="Times New Roman" w:eastAsia="Times New Roman" w:hAnsi="Times New Roman" w:cs="Times New Roman"/>
      <w:sz w:val="20"/>
      <w:szCs w:val="20"/>
    </w:rPr>
  </w:style>
  <w:style w:type="paragraph" w:styleId="ListParagraph">
    <w:name w:val="List Paragraph"/>
    <w:basedOn w:val="Normal"/>
    <w:uiPriority w:val="34"/>
    <w:qFormat/>
    <w:rsid w:val="00CC0DD0"/>
    <w:pPr>
      <w:ind w:left="720"/>
      <w:contextualSpacing/>
    </w:pPr>
  </w:style>
  <w:style w:type="paragraph" w:styleId="CommentSubject">
    <w:name w:val="annotation subject"/>
    <w:basedOn w:val="CommentText"/>
    <w:next w:val="CommentText"/>
    <w:link w:val="CommentSubjectChar"/>
    <w:uiPriority w:val="99"/>
    <w:semiHidden/>
    <w:unhideWhenUsed/>
    <w:rsid w:val="0024528D"/>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4528D"/>
    <w:rPr>
      <w:rFonts w:ascii="Times New Roman" w:eastAsia="Times New Roman" w:hAnsi="Times New Roman" w:cs="Times New Roman"/>
      <w:b/>
      <w:bCs/>
      <w:sz w:val="20"/>
      <w:szCs w:val="20"/>
    </w:rPr>
  </w:style>
  <w:style w:type="paragraph" w:styleId="Revision">
    <w:name w:val="Revision"/>
    <w:hidden/>
    <w:uiPriority w:val="99"/>
    <w:semiHidden/>
    <w:rsid w:val="0024528D"/>
    <w:pPr>
      <w:spacing w:after="0" w:line="240" w:lineRule="auto"/>
    </w:pPr>
  </w:style>
  <w:style w:type="paragraph" w:customStyle="1" w:styleId="Default">
    <w:name w:val="Default"/>
    <w:rsid w:val="00174045"/>
    <w:pPr>
      <w:autoSpaceDE w:val="0"/>
      <w:autoSpaceDN w:val="0"/>
      <w:adjustRightInd w:val="0"/>
      <w:spacing w:after="0" w:line="240" w:lineRule="auto"/>
    </w:pPr>
    <w:rPr>
      <w:rFonts w:ascii="Calibri" w:hAnsi="Calibri" w:cs="Calibri"/>
      <w:color w:val="000000"/>
      <w:sz w:val="24"/>
      <w:szCs w:val="24"/>
    </w:rPr>
  </w:style>
  <w:style w:type="paragraph" w:customStyle="1" w:styleId="DecimalAligned">
    <w:name w:val="Decimal Aligned"/>
    <w:basedOn w:val="Normal"/>
    <w:uiPriority w:val="40"/>
    <w:qFormat/>
    <w:rsid w:val="007B7EC2"/>
    <w:pPr>
      <w:tabs>
        <w:tab w:val="decimal" w:pos="360"/>
      </w:tabs>
    </w:pPr>
    <w:rPr>
      <w:lang w:eastAsia="ja-JP"/>
    </w:rPr>
  </w:style>
  <w:style w:type="paragraph" w:styleId="FootnoteText">
    <w:name w:val="footnote text"/>
    <w:basedOn w:val="Normal"/>
    <w:link w:val="FootnoteTextChar"/>
    <w:uiPriority w:val="99"/>
    <w:unhideWhenUsed/>
    <w:rsid w:val="007B7EC2"/>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rsid w:val="007B7EC2"/>
    <w:rPr>
      <w:rFonts w:eastAsiaTheme="minorEastAsia"/>
      <w:sz w:val="20"/>
      <w:szCs w:val="20"/>
      <w:lang w:eastAsia="ja-JP"/>
    </w:rPr>
  </w:style>
  <w:style w:type="character" w:styleId="SubtleEmphasis">
    <w:name w:val="Subtle Emphasis"/>
    <w:basedOn w:val="DefaultParagraphFont"/>
    <w:uiPriority w:val="19"/>
    <w:qFormat/>
    <w:rsid w:val="007B7EC2"/>
    <w:rPr>
      <w:i/>
      <w:iCs/>
      <w:color w:val="7F7F7F" w:themeColor="text1" w:themeTint="80"/>
    </w:rPr>
  </w:style>
  <w:style w:type="table" w:styleId="MediumShading2-Accent5">
    <w:name w:val="Medium Shading 2 Accent 5"/>
    <w:basedOn w:val="TableNormal"/>
    <w:uiPriority w:val="64"/>
    <w:rsid w:val="007B7EC2"/>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C07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D7444"/>
    <w:rPr>
      <w:color w:val="800080" w:themeColor="followedHyperlink"/>
      <w:u w:val="single"/>
    </w:rPr>
  </w:style>
  <w:style w:type="paragraph" w:styleId="BodyText">
    <w:name w:val="Body Text"/>
    <w:basedOn w:val="Normal"/>
    <w:link w:val="BodyTextChar"/>
    <w:uiPriority w:val="1"/>
    <w:qFormat/>
    <w:rsid w:val="000A118E"/>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0A118E"/>
    <w:rPr>
      <w:rFonts w:ascii="Times New Roman" w:eastAsia="Times New Roman" w:hAnsi="Times New Roman" w:cs="Times New Roman"/>
      <w:sz w:val="24"/>
      <w:szCs w:val="24"/>
      <w:lang w:bidi="en-US"/>
    </w:rPr>
  </w:style>
  <w:style w:type="character" w:customStyle="1" w:styleId="Heading1Char">
    <w:name w:val="Heading 1 Char"/>
    <w:basedOn w:val="DefaultParagraphFont"/>
    <w:link w:val="Heading1"/>
    <w:uiPriority w:val="9"/>
    <w:rsid w:val="00A15FF2"/>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A15FF2"/>
    <w:pPr>
      <w:spacing w:line="259" w:lineRule="auto"/>
      <w:outlineLvl w:val="9"/>
    </w:pPr>
  </w:style>
  <w:style w:type="paragraph" w:styleId="TOC1">
    <w:name w:val="toc 1"/>
    <w:basedOn w:val="Normal"/>
    <w:next w:val="Normal"/>
    <w:autoRedefine/>
    <w:uiPriority w:val="39"/>
    <w:unhideWhenUsed/>
    <w:rsid w:val="00A15FF2"/>
    <w:pPr>
      <w:spacing w:after="100"/>
    </w:pPr>
  </w:style>
  <w:style w:type="character" w:styleId="FootnoteReference">
    <w:name w:val="footnote reference"/>
    <w:basedOn w:val="DefaultParagraphFont"/>
    <w:uiPriority w:val="99"/>
    <w:rsid w:val="0078094E"/>
    <w:rPr>
      <w:vertAlign w:val="superscript"/>
    </w:rPr>
  </w:style>
  <w:style w:type="table" w:styleId="GridTable4-Accent1">
    <w:name w:val="Grid Table 4 Accent 1"/>
    <w:basedOn w:val="TableNormal"/>
    <w:uiPriority w:val="49"/>
    <w:rsid w:val="00417F6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
    <w:name w:val="Table Grid1"/>
    <w:basedOn w:val="TableNormal"/>
    <w:next w:val="TableGrid"/>
    <w:uiPriority w:val="59"/>
    <w:rsid w:val="00B73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BA08B3"/>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2824">
      <w:bodyDiv w:val="1"/>
      <w:marLeft w:val="0"/>
      <w:marRight w:val="0"/>
      <w:marTop w:val="0"/>
      <w:marBottom w:val="0"/>
      <w:divBdr>
        <w:top w:val="none" w:sz="0" w:space="0" w:color="auto"/>
        <w:left w:val="none" w:sz="0" w:space="0" w:color="auto"/>
        <w:bottom w:val="none" w:sz="0" w:space="0" w:color="auto"/>
        <w:right w:val="none" w:sz="0" w:space="0" w:color="auto"/>
      </w:divBdr>
    </w:div>
    <w:div w:id="73821297">
      <w:bodyDiv w:val="1"/>
      <w:marLeft w:val="0"/>
      <w:marRight w:val="0"/>
      <w:marTop w:val="0"/>
      <w:marBottom w:val="0"/>
      <w:divBdr>
        <w:top w:val="none" w:sz="0" w:space="0" w:color="auto"/>
        <w:left w:val="none" w:sz="0" w:space="0" w:color="auto"/>
        <w:bottom w:val="none" w:sz="0" w:space="0" w:color="auto"/>
        <w:right w:val="none" w:sz="0" w:space="0" w:color="auto"/>
      </w:divBdr>
    </w:div>
    <w:div w:id="88350479">
      <w:bodyDiv w:val="1"/>
      <w:marLeft w:val="0"/>
      <w:marRight w:val="0"/>
      <w:marTop w:val="0"/>
      <w:marBottom w:val="0"/>
      <w:divBdr>
        <w:top w:val="none" w:sz="0" w:space="0" w:color="auto"/>
        <w:left w:val="none" w:sz="0" w:space="0" w:color="auto"/>
        <w:bottom w:val="none" w:sz="0" w:space="0" w:color="auto"/>
        <w:right w:val="none" w:sz="0" w:space="0" w:color="auto"/>
      </w:divBdr>
      <w:divsChild>
        <w:div w:id="1660814550">
          <w:marLeft w:val="0"/>
          <w:marRight w:val="0"/>
          <w:marTop w:val="0"/>
          <w:marBottom w:val="0"/>
          <w:divBdr>
            <w:top w:val="none" w:sz="0" w:space="0" w:color="auto"/>
            <w:left w:val="none" w:sz="0" w:space="0" w:color="auto"/>
            <w:bottom w:val="none" w:sz="0" w:space="0" w:color="auto"/>
            <w:right w:val="none" w:sz="0" w:space="0" w:color="auto"/>
          </w:divBdr>
        </w:div>
        <w:div w:id="257908785">
          <w:marLeft w:val="0"/>
          <w:marRight w:val="0"/>
          <w:marTop w:val="0"/>
          <w:marBottom w:val="0"/>
          <w:divBdr>
            <w:top w:val="none" w:sz="0" w:space="0" w:color="auto"/>
            <w:left w:val="none" w:sz="0" w:space="0" w:color="auto"/>
            <w:bottom w:val="none" w:sz="0" w:space="0" w:color="auto"/>
            <w:right w:val="none" w:sz="0" w:space="0" w:color="auto"/>
          </w:divBdr>
        </w:div>
        <w:div w:id="1279871975">
          <w:marLeft w:val="0"/>
          <w:marRight w:val="0"/>
          <w:marTop w:val="0"/>
          <w:marBottom w:val="0"/>
          <w:divBdr>
            <w:top w:val="none" w:sz="0" w:space="0" w:color="auto"/>
            <w:left w:val="none" w:sz="0" w:space="0" w:color="auto"/>
            <w:bottom w:val="none" w:sz="0" w:space="0" w:color="auto"/>
            <w:right w:val="none" w:sz="0" w:space="0" w:color="auto"/>
          </w:divBdr>
        </w:div>
        <w:div w:id="107504357">
          <w:marLeft w:val="0"/>
          <w:marRight w:val="0"/>
          <w:marTop w:val="0"/>
          <w:marBottom w:val="0"/>
          <w:divBdr>
            <w:top w:val="none" w:sz="0" w:space="0" w:color="auto"/>
            <w:left w:val="none" w:sz="0" w:space="0" w:color="auto"/>
            <w:bottom w:val="none" w:sz="0" w:space="0" w:color="auto"/>
            <w:right w:val="none" w:sz="0" w:space="0" w:color="auto"/>
          </w:divBdr>
        </w:div>
        <w:div w:id="41289890">
          <w:marLeft w:val="0"/>
          <w:marRight w:val="0"/>
          <w:marTop w:val="0"/>
          <w:marBottom w:val="0"/>
          <w:divBdr>
            <w:top w:val="none" w:sz="0" w:space="0" w:color="auto"/>
            <w:left w:val="none" w:sz="0" w:space="0" w:color="auto"/>
            <w:bottom w:val="none" w:sz="0" w:space="0" w:color="auto"/>
            <w:right w:val="none" w:sz="0" w:space="0" w:color="auto"/>
          </w:divBdr>
        </w:div>
        <w:div w:id="1023749070">
          <w:marLeft w:val="0"/>
          <w:marRight w:val="0"/>
          <w:marTop w:val="0"/>
          <w:marBottom w:val="0"/>
          <w:divBdr>
            <w:top w:val="none" w:sz="0" w:space="0" w:color="auto"/>
            <w:left w:val="none" w:sz="0" w:space="0" w:color="auto"/>
            <w:bottom w:val="none" w:sz="0" w:space="0" w:color="auto"/>
            <w:right w:val="none" w:sz="0" w:space="0" w:color="auto"/>
          </w:divBdr>
        </w:div>
      </w:divsChild>
    </w:div>
    <w:div w:id="129979969">
      <w:bodyDiv w:val="1"/>
      <w:marLeft w:val="0"/>
      <w:marRight w:val="0"/>
      <w:marTop w:val="0"/>
      <w:marBottom w:val="0"/>
      <w:divBdr>
        <w:top w:val="none" w:sz="0" w:space="0" w:color="auto"/>
        <w:left w:val="none" w:sz="0" w:space="0" w:color="auto"/>
        <w:bottom w:val="none" w:sz="0" w:space="0" w:color="auto"/>
        <w:right w:val="none" w:sz="0" w:space="0" w:color="auto"/>
      </w:divBdr>
    </w:div>
    <w:div w:id="132331654">
      <w:bodyDiv w:val="1"/>
      <w:marLeft w:val="0"/>
      <w:marRight w:val="0"/>
      <w:marTop w:val="0"/>
      <w:marBottom w:val="0"/>
      <w:divBdr>
        <w:top w:val="none" w:sz="0" w:space="0" w:color="auto"/>
        <w:left w:val="none" w:sz="0" w:space="0" w:color="auto"/>
        <w:bottom w:val="none" w:sz="0" w:space="0" w:color="auto"/>
        <w:right w:val="none" w:sz="0" w:space="0" w:color="auto"/>
      </w:divBdr>
    </w:div>
    <w:div w:id="142238740">
      <w:bodyDiv w:val="1"/>
      <w:marLeft w:val="0"/>
      <w:marRight w:val="0"/>
      <w:marTop w:val="0"/>
      <w:marBottom w:val="0"/>
      <w:divBdr>
        <w:top w:val="none" w:sz="0" w:space="0" w:color="auto"/>
        <w:left w:val="none" w:sz="0" w:space="0" w:color="auto"/>
        <w:bottom w:val="none" w:sz="0" w:space="0" w:color="auto"/>
        <w:right w:val="none" w:sz="0" w:space="0" w:color="auto"/>
      </w:divBdr>
    </w:div>
    <w:div w:id="172644326">
      <w:bodyDiv w:val="1"/>
      <w:marLeft w:val="0"/>
      <w:marRight w:val="0"/>
      <w:marTop w:val="0"/>
      <w:marBottom w:val="0"/>
      <w:divBdr>
        <w:top w:val="none" w:sz="0" w:space="0" w:color="auto"/>
        <w:left w:val="none" w:sz="0" w:space="0" w:color="auto"/>
        <w:bottom w:val="none" w:sz="0" w:space="0" w:color="auto"/>
        <w:right w:val="none" w:sz="0" w:space="0" w:color="auto"/>
      </w:divBdr>
    </w:div>
    <w:div w:id="206338173">
      <w:bodyDiv w:val="1"/>
      <w:marLeft w:val="0"/>
      <w:marRight w:val="0"/>
      <w:marTop w:val="0"/>
      <w:marBottom w:val="0"/>
      <w:divBdr>
        <w:top w:val="none" w:sz="0" w:space="0" w:color="auto"/>
        <w:left w:val="none" w:sz="0" w:space="0" w:color="auto"/>
        <w:bottom w:val="none" w:sz="0" w:space="0" w:color="auto"/>
        <w:right w:val="none" w:sz="0" w:space="0" w:color="auto"/>
      </w:divBdr>
    </w:div>
    <w:div w:id="244143873">
      <w:bodyDiv w:val="1"/>
      <w:marLeft w:val="0"/>
      <w:marRight w:val="0"/>
      <w:marTop w:val="0"/>
      <w:marBottom w:val="0"/>
      <w:divBdr>
        <w:top w:val="none" w:sz="0" w:space="0" w:color="auto"/>
        <w:left w:val="none" w:sz="0" w:space="0" w:color="auto"/>
        <w:bottom w:val="none" w:sz="0" w:space="0" w:color="auto"/>
        <w:right w:val="none" w:sz="0" w:space="0" w:color="auto"/>
      </w:divBdr>
    </w:div>
    <w:div w:id="370619936">
      <w:bodyDiv w:val="1"/>
      <w:marLeft w:val="0"/>
      <w:marRight w:val="0"/>
      <w:marTop w:val="0"/>
      <w:marBottom w:val="0"/>
      <w:divBdr>
        <w:top w:val="none" w:sz="0" w:space="0" w:color="auto"/>
        <w:left w:val="none" w:sz="0" w:space="0" w:color="auto"/>
        <w:bottom w:val="none" w:sz="0" w:space="0" w:color="auto"/>
        <w:right w:val="none" w:sz="0" w:space="0" w:color="auto"/>
      </w:divBdr>
    </w:div>
    <w:div w:id="438452449">
      <w:bodyDiv w:val="1"/>
      <w:marLeft w:val="0"/>
      <w:marRight w:val="0"/>
      <w:marTop w:val="0"/>
      <w:marBottom w:val="0"/>
      <w:divBdr>
        <w:top w:val="none" w:sz="0" w:space="0" w:color="auto"/>
        <w:left w:val="none" w:sz="0" w:space="0" w:color="auto"/>
        <w:bottom w:val="none" w:sz="0" w:space="0" w:color="auto"/>
        <w:right w:val="none" w:sz="0" w:space="0" w:color="auto"/>
      </w:divBdr>
    </w:div>
    <w:div w:id="446630021">
      <w:bodyDiv w:val="1"/>
      <w:marLeft w:val="0"/>
      <w:marRight w:val="0"/>
      <w:marTop w:val="0"/>
      <w:marBottom w:val="0"/>
      <w:divBdr>
        <w:top w:val="none" w:sz="0" w:space="0" w:color="auto"/>
        <w:left w:val="none" w:sz="0" w:space="0" w:color="auto"/>
        <w:bottom w:val="none" w:sz="0" w:space="0" w:color="auto"/>
        <w:right w:val="none" w:sz="0" w:space="0" w:color="auto"/>
      </w:divBdr>
    </w:div>
    <w:div w:id="449588453">
      <w:bodyDiv w:val="1"/>
      <w:marLeft w:val="0"/>
      <w:marRight w:val="0"/>
      <w:marTop w:val="0"/>
      <w:marBottom w:val="0"/>
      <w:divBdr>
        <w:top w:val="none" w:sz="0" w:space="0" w:color="auto"/>
        <w:left w:val="none" w:sz="0" w:space="0" w:color="auto"/>
        <w:bottom w:val="none" w:sz="0" w:space="0" w:color="auto"/>
        <w:right w:val="none" w:sz="0" w:space="0" w:color="auto"/>
      </w:divBdr>
    </w:div>
    <w:div w:id="538516180">
      <w:bodyDiv w:val="1"/>
      <w:marLeft w:val="0"/>
      <w:marRight w:val="0"/>
      <w:marTop w:val="0"/>
      <w:marBottom w:val="0"/>
      <w:divBdr>
        <w:top w:val="none" w:sz="0" w:space="0" w:color="auto"/>
        <w:left w:val="none" w:sz="0" w:space="0" w:color="auto"/>
        <w:bottom w:val="none" w:sz="0" w:space="0" w:color="auto"/>
        <w:right w:val="none" w:sz="0" w:space="0" w:color="auto"/>
      </w:divBdr>
    </w:div>
    <w:div w:id="554393665">
      <w:bodyDiv w:val="1"/>
      <w:marLeft w:val="0"/>
      <w:marRight w:val="0"/>
      <w:marTop w:val="0"/>
      <w:marBottom w:val="0"/>
      <w:divBdr>
        <w:top w:val="none" w:sz="0" w:space="0" w:color="auto"/>
        <w:left w:val="none" w:sz="0" w:space="0" w:color="auto"/>
        <w:bottom w:val="none" w:sz="0" w:space="0" w:color="auto"/>
        <w:right w:val="none" w:sz="0" w:space="0" w:color="auto"/>
      </w:divBdr>
    </w:div>
    <w:div w:id="642856382">
      <w:bodyDiv w:val="1"/>
      <w:marLeft w:val="0"/>
      <w:marRight w:val="0"/>
      <w:marTop w:val="0"/>
      <w:marBottom w:val="0"/>
      <w:divBdr>
        <w:top w:val="none" w:sz="0" w:space="0" w:color="auto"/>
        <w:left w:val="none" w:sz="0" w:space="0" w:color="auto"/>
        <w:bottom w:val="none" w:sz="0" w:space="0" w:color="auto"/>
        <w:right w:val="none" w:sz="0" w:space="0" w:color="auto"/>
      </w:divBdr>
    </w:div>
    <w:div w:id="706293922">
      <w:bodyDiv w:val="1"/>
      <w:marLeft w:val="0"/>
      <w:marRight w:val="0"/>
      <w:marTop w:val="0"/>
      <w:marBottom w:val="0"/>
      <w:divBdr>
        <w:top w:val="none" w:sz="0" w:space="0" w:color="auto"/>
        <w:left w:val="none" w:sz="0" w:space="0" w:color="auto"/>
        <w:bottom w:val="none" w:sz="0" w:space="0" w:color="auto"/>
        <w:right w:val="none" w:sz="0" w:space="0" w:color="auto"/>
      </w:divBdr>
    </w:div>
    <w:div w:id="816916714">
      <w:bodyDiv w:val="1"/>
      <w:marLeft w:val="0"/>
      <w:marRight w:val="0"/>
      <w:marTop w:val="0"/>
      <w:marBottom w:val="0"/>
      <w:divBdr>
        <w:top w:val="none" w:sz="0" w:space="0" w:color="auto"/>
        <w:left w:val="none" w:sz="0" w:space="0" w:color="auto"/>
        <w:bottom w:val="none" w:sz="0" w:space="0" w:color="auto"/>
        <w:right w:val="none" w:sz="0" w:space="0" w:color="auto"/>
      </w:divBdr>
    </w:div>
    <w:div w:id="820462525">
      <w:bodyDiv w:val="1"/>
      <w:marLeft w:val="0"/>
      <w:marRight w:val="0"/>
      <w:marTop w:val="0"/>
      <w:marBottom w:val="0"/>
      <w:divBdr>
        <w:top w:val="none" w:sz="0" w:space="0" w:color="auto"/>
        <w:left w:val="none" w:sz="0" w:space="0" w:color="auto"/>
        <w:bottom w:val="none" w:sz="0" w:space="0" w:color="auto"/>
        <w:right w:val="none" w:sz="0" w:space="0" w:color="auto"/>
      </w:divBdr>
    </w:div>
    <w:div w:id="832333574">
      <w:bodyDiv w:val="1"/>
      <w:marLeft w:val="0"/>
      <w:marRight w:val="0"/>
      <w:marTop w:val="0"/>
      <w:marBottom w:val="0"/>
      <w:divBdr>
        <w:top w:val="none" w:sz="0" w:space="0" w:color="auto"/>
        <w:left w:val="none" w:sz="0" w:space="0" w:color="auto"/>
        <w:bottom w:val="none" w:sz="0" w:space="0" w:color="auto"/>
        <w:right w:val="none" w:sz="0" w:space="0" w:color="auto"/>
      </w:divBdr>
    </w:div>
    <w:div w:id="936476664">
      <w:bodyDiv w:val="1"/>
      <w:marLeft w:val="0"/>
      <w:marRight w:val="0"/>
      <w:marTop w:val="0"/>
      <w:marBottom w:val="0"/>
      <w:divBdr>
        <w:top w:val="none" w:sz="0" w:space="0" w:color="auto"/>
        <w:left w:val="none" w:sz="0" w:space="0" w:color="auto"/>
        <w:bottom w:val="none" w:sz="0" w:space="0" w:color="auto"/>
        <w:right w:val="none" w:sz="0" w:space="0" w:color="auto"/>
      </w:divBdr>
    </w:div>
    <w:div w:id="946623785">
      <w:bodyDiv w:val="1"/>
      <w:marLeft w:val="0"/>
      <w:marRight w:val="0"/>
      <w:marTop w:val="0"/>
      <w:marBottom w:val="0"/>
      <w:divBdr>
        <w:top w:val="none" w:sz="0" w:space="0" w:color="auto"/>
        <w:left w:val="none" w:sz="0" w:space="0" w:color="auto"/>
        <w:bottom w:val="none" w:sz="0" w:space="0" w:color="auto"/>
        <w:right w:val="none" w:sz="0" w:space="0" w:color="auto"/>
      </w:divBdr>
    </w:div>
    <w:div w:id="977150092">
      <w:bodyDiv w:val="1"/>
      <w:marLeft w:val="0"/>
      <w:marRight w:val="0"/>
      <w:marTop w:val="0"/>
      <w:marBottom w:val="0"/>
      <w:divBdr>
        <w:top w:val="none" w:sz="0" w:space="0" w:color="auto"/>
        <w:left w:val="none" w:sz="0" w:space="0" w:color="auto"/>
        <w:bottom w:val="none" w:sz="0" w:space="0" w:color="auto"/>
        <w:right w:val="none" w:sz="0" w:space="0" w:color="auto"/>
      </w:divBdr>
    </w:div>
    <w:div w:id="991182452">
      <w:bodyDiv w:val="1"/>
      <w:marLeft w:val="0"/>
      <w:marRight w:val="0"/>
      <w:marTop w:val="0"/>
      <w:marBottom w:val="0"/>
      <w:divBdr>
        <w:top w:val="none" w:sz="0" w:space="0" w:color="auto"/>
        <w:left w:val="none" w:sz="0" w:space="0" w:color="auto"/>
        <w:bottom w:val="none" w:sz="0" w:space="0" w:color="auto"/>
        <w:right w:val="none" w:sz="0" w:space="0" w:color="auto"/>
      </w:divBdr>
    </w:div>
    <w:div w:id="1001274089">
      <w:bodyDiv w:val="1"/>
      <w:marLeft w:val="0"/>
      <w:marRight w:val="0"/>
      <w:marTop w:val="0"/>
      <w:marBottom w:val="0"/>
      <w:divBdr>
        <w:top w:val="none" w:sz="0" w:space="0" w:color="auto"/>
        <w:left w:val="none" w:sz="0" w:space="0" w:color="auto"/>
        <w:bottom w:val="none" w:sz="0" w:space="0" w:color="auto"/>
        <w:right w:val="none" w:sz="0" w:space="0" w:color="auto"/>
      </w:divBdr>
    </w:div>
    <w:div w:id="1012999498">
      <w:bodyDiv w:val="1"/>
      <w:marLeft w:val="0"/>
      <w:marRight w:val="0"/>
      <w:marTop w:val="0"/>
      <w:marBottom w:val="0"/>
      <w:divBdr>
        <w:top w:val="none" w:sz="0" w:space="0" w:color="auto"/>
        <w:left w:val="none" w:sz="0" w:space="0" w:color="auto"/>
        <w:bottom w:val="none" w:sz="0" w:space="0" w:color="auto"/>
        <w:right w:val="none" w:sz="0" w:space="0" w:color="auto"/>
      </w:divBdr>
    </w:div>
    <w:div w:id="1026906437">
      <w:bodyDiv w:val="1"/>
      <w:marLeft w:val="0"/>
      <w:marRight w:val="0"/>
      <w:marTop w:val="0"/>
      <w:marBottom w:val="0"/>
      <w:divBdr>
        <w:top w:val="none" w:sz="0" w:space="0" w:color="auto"/>
        <w:left w:val="none" w:sz="0" w:space="0" w:color="auto"/>
        <w:bottom w:val="none" w:sz="0" w:space="0" w:color="auto"/>
        <w:right w:val="none" w:sz="0" w:space="0" w:color="auto"/>
      </w:divBdr>
    </w:div>
    <w:div w:id="1045569095">
      <w:bodyDiv w:val="1"/>
      <w:marLeft w:val="0"/>
      <w:marRight w:val="0"/>
      <w:marTop w:val="0"/>
      <w:marBottom w:val="0"/>
      <w:divBdr>
        <w:top w:val="none" w:sz="0" w:space="0" w:color="auto"/>
        <w:left w:val="none" w:sz="0" w:space="0" w:color="auto"/>
        <w:bottom w:val="none" w:sz="0" w:space="0" w:color="auto"/>
        <w:right w:val="none" w:sz="0" w:space="0" w:color="auto"/>
      </w:divBdr>
    </w:div>
    <w:div w:id="1083378085">
      <w:bodyDiv w:val="1"/>
      <w:marLeft w:val="0"/>
      <w:marRight w:val="0"/>
      <w:marTop w:val="0"/>
      <w:marBottom w:val="0"/>
      <w:divBdr>
        <w:top w:val="none" w:sz="0" w:space="0" w:color="auto"/>
        <w:left w:val="none" w:sz="0" w:space="0" w:color="auto"/>
        <w:bottom w:val="none" w:sz="0" w:space="0" w:color="auto"/>
        <w:right w:val="none" w:sz="0" w:space="0" w:color="auto"/>
      </w:divBdr>
    </w:div>
    <w:div w:id="1157917654">
      <w:bodyDiv w:val="1"/>
      <w:marLeft w:val="0"/>
      <w:marRight w:val="0"/>
      <w:marTop w:val="0"/>
      <w:marBottom w:val="0"/>
      <w:divBdr>
        <w:top w:val="none" w:sz="0" w:space="0" w:color="auto"/>
        <w:left w:val="none" w:sz="0" w:space="0" w:color="auto"/>
        <w:bottom w:val="none" w:sz="0" w:space="0" w:color="auto"/>
        <w:right w:val="none" w:sz="0" w:space="0" w:color="auto"/>
      </w:divBdr>
    </w:div>
    <w:div w:id="1210263731">
      <w:bodyDiv w:val="1"/>
      <w:marLeft w:val="0"/>
      <w:marRight w:val="0"/>
      <w:marTop w:val="0"/>
      <w:marBottom w:val="0"/>
      <w:divBdr>
        <w:top w:val="none" w:sz="0" w:space="0" w:color="auto"/>
        <w:left w:val="none" w:sz="0" w:space="0" w:color="auto"/>
        <w:bottom w:val="none" w:sz="0" w:space="0" w:color="auto"/>
        <w:right w:val="none" w:sz="0" w:space="0" w:color="auto"/>
      </w:divBdr>
    </w:div>
    <w:div w:id="1237788292">
      <w:bodyDiv w:val="1"/>
      <w:marLeft w:val="0"/>
      <w:marRight w:val="0"/>
      <w:marTop w:val="0"/>
      <w:marBottom w:val="0"/>
      <w:divBdr>
        <w:top w:val="none" w:sz="0" w:space="0" w:color="auto"/>
        <w:left w:val="none" w:sz="0" w:space="0" w:color="auto"/>
        <w:bottom w:val="none" w:sz="0" w:space="0" w:color="auto"/>
        <w:right w:val="none" w:sz="0" w:space="0" w:color="auto"/>
      </w:divBdr>
      <w:divsChild>
        <w:div w:id="332270111">
          <w:marLeft w:val="0"/>
          <w:marRight w:val="0"/>
          <w:marTop w:val="0"/>
          <w:marBottom w:val="0"/>
          <w:divBdr>
            <w:top w:val="none" w:sz="0" w:space="0" w:color="auto"/>
            <w:left w:val="none" w:sz="0" w:space="0" w:color="auto"/>
            <w:bottom w:val="none" w:sz="0" w:space="0" w:color="auto"/>
            <w:right w:val="none" w:sz="0" w:space="0" w:color="auto"/>
          </w:divBdr>
        </w:div>
      </w:divsChild>
    </w:div>
    <w:div w:id="1247152043">
      <w:bodyDiv w:val="1"/>
      <w:marLeft w:val="0"/>
      <w:marRight w:val="0"/>
      <w:marTop w:val="0"/>
      <w:marBottom w:val="0"/>
      <w:divBdr>
        <w:top w:val="none" w:sz="0" w:space="0" w:color="auto"/>
        <w:left w:val="none" w:sz="0" w:space="0" w:color="auto"/>
        <w:bottom w:val="none" w:sz="0" w:space="0" w:color="auto"/>
        <w:right w:val="none" w:sz="0" w:space="0" w:color="auto"/>
      </w:divBdr>
    </w:div>
    <w:div w:id="1251231838">
      <w:bodyDiv w:val="1"/>
      <w:marLeft w:val="0"/>
      <w:marRight w:val="0"/>
      <w:marTop w:val="0"/>
      <w:marBottom w:val="0"/>
      <w:divBdr>
        <w:top w:val="none" w:sz="0" w:space="0" w:color="auto"/>
        <w:left w:val="none" w:sz="0" w:space="0" w:color="auto"/>
        <w:bottom w:val="none" w:sz="0" w:space="0" w:color="auto"/>
        <w:right w:val="none" w:sz="0" w:space="0" w:color="auto"/>
      </w:divBdr>
    </w:div>
    <w:div w:id="1397166644">
      <w:bodyDiv w:val="1"/>
      <w:marLeft w:val="0"/>
      <w:marRight w:val="0"/>
      <w:marTop w:val="0"/>
      <w:marBottom w:val="0"/>
      <w:divBdr>
        <w:top w:val="none" w:sz="0" w:space="0" w:color="auto"/>
        <w:left w:val="none" w:sz="0" w:space="0" w:color="auto"/>
        <w:bottom w:val="none" w:sz="0" w:space="0" w:color="auto"/>
        <w:right w:val="none" w:sz="0" w:space="0" w:color="auto"/>
      </w:divBdr>
    </w:div>
    <w:div w:id="1403068204">
      <w:bodyDiv w:val="1"/>
      <w:marLeft w:val="0"/>
      <w:marRight w:val="0"/>
      <w:marTop w:val="0"/>
      <w:marBottom w:val="0"/>
      <w:divBdr>
        <w:top w:val="none" w:sz="0" w:space="0" w:color="auto"/>
        <w:left w:val="none" w:sz="0" w:space="0" w:color="auto"/>
        <w:bottom w:val="none" w:sz="0" w:space="0" w:color="auto"/>
        <w:right w:val="none" w:sz="0" w:space="0" w:color="auto"/>
      </w:divBdr>
    </w:div>
    <w:div w:id="1460418171">
      <w:bodyDiv w:val="1"/>
      <w:marLeft w:val="0"/>
      <w:marRight w:val="0"/>
      <w:marTop w:val="0"/>
      <w:marBottom w:val="0"/>
      <w:divBdr>
        <w:top w:val="none" w:sz="0" w:space="0" w:color="auto"/>
        <w:left w:val="none" w:sz="0" w:space="0" w:color="auto"/>
        <w:bottom w:val="none" w:sz="0" w:space="0" w:color="auto"/>
        <w:right w:val="none" w:sz="0" w:space="0" w:color="auto"/>
      </w:divBdr>
    </w:div>
    <w:div w:id="1519394110">
      <w:bodyDiv w:val="1"/>
      <w:marLeft w:val="0"/>
      <w:marRight w:val="0"/>
      <w:marTop w:val="0"/>
      <w:marBottom w:val="0"/>
      <w:divBdr>
        <w:top w:val="none" w:sz="0" w:space="0" w:color="auto"/>
        <w:left w:val="none" w:sz="0" w:space="0" w:color="auto"/>
        <w:bottom w:val="none" w:sz="0" w:space="0" w:color="auto"/>
        <w:right w:val="none" w:sz="0" w:space="0" w:color="auto"/>
      </w:divBdr>
    </w:div>
    <w:div w:id="1575817840">
      <w:bodyDiv w:val="1"/>
      <w:marLeft w:val="0"/>
      <w:marRight w:val="0"/>
      <w:marTop w:val="0"/>
      <w:marBottom w:val="0"/>
      <w:divBdr>
        <w:top w:val="none" w:sz="0" w:space="0" w:color="auto"/>
        <w:left w:val="none" w:sz="0" w:space="0" w:color="auto"/>
        <w:bottom w:val="none" w:sz="0" w:space="0" w:color="auto"/>
        <w:right w:val="none" w:sz="0" w:space="0" w:color="auto"/>
      </w:divBdr>
    </w:div>
    <w:div w:id="1617787285">
      <w:bodyDiv w:val="1"/>
      <w:marLeft w:val="0"/>
      <w:marRight w:val="0"/>
      <w:marTop w:val="0"/>
      <w:marBottom w:val="0"/>
      <w:divBdr>
        <w:top w:val="none" w:sz="0" w:space="0" w:color="auto"/>
        <w:left w:val="none" w:sz="0" w:space="0" w:color="auto"/>
        <w:bottom w:val="none" w:sz="0" w:space="0" w:color="auto"/>
        <w:right w:val="none" w:sz="0" w:space="0" w:color="auto"/>
      </w:divBdr>
    </w:div>
    <w:div w:id="1630744341">
      <w:bodyDiv w:val="1"/>
      <w:marLeft w:val="0"/>
      <w:marRight w:val="0"/>
      <w:marTop w:val="0"/>
      <w:marBottom w:val="0"/>
      <w:divBdr>
        <w:top w:val="none" w:sz="0" w:space="0" w:color="auto"/>
        <w:left w:val="none" w:sz="0" w:space="0" w:color="auto"/>
        <w:bottom w:val="none" w:sz="0" w:space="0" w:color="auto"/>
        <w:right w:val="none" w:sz="0" w:space="0" w:color="auto"/>
      </w:divBdr>
    </w:div>
    <w:div w:id="1641616885">
      <w:bodyDiv w:val="1"/>
      <w:marLeft w:val="0"/>
      <w:marRight w:val="0"/>
      <w:marTop w:val="0"/>
      <w:marBottom w:val="0"/>
      <w:divBdr>
        <w:top w:val="none" w:sz="0" w:space="0" w:color="auto"/>
        <w:left w:val="none" w:sz="0" w:space="0" w:color="auto"/>
        <w:bottom w:val="none" w:sz="0" w:space="0" w:color="auto"/>
        <w:right w:val="none" w:sz="0" w:space="0" w:color="auto"/>
      </w:divBdr>
    </w:div>
    <w:div w:id="1646274040">
      <w:bodyDiv w:val="1"/>
      <w:marLeft w:val="0"/>
      <w:marRight w:val="0"/>
      <w:marTop w:val="0"/>
      <w:marBottom w:val="0"/>
      <w:divBdr>
        <w:top w:val="none" w:sz="0" w:space="0" w:color="auto"/>
        <w:left w:val="none" w:sz="0" w:space="0" w:color="auto"/>
        <w:bottom w:val="none" w:sz="0" w:space="0" w:color="auto"/>
        <w:right w:val="none" w:sz="0" w:space="0" w:color="auto"/>
      </w:divBdr>
    </w:div>
    <w:div w:id="1652756255">
      <w:bodyDiv w:val="1"/>
      <w:marLeft w:val="0"/>
      <w:marRight w:val="0"/>
      <w:marTop w:val="0"/>
      <w:marBottom w:val="0"/>
      <w:divBdr>
        <w:top w:val="none" w:sz="0" w:space="0" w:color="auto"/>
        <w:left w:val="none" w:sz="0" w:space="0" w:color="auto"/>
        <w:bottom w:val="none" w:sz="0" w:space="0" w:color="auto"/>
        <w:right w:val="none" w:sz="0" w:space="0" w:color="auto"/>
      </w:divBdr>
    </w:div>
    <w:div w:id="1659266367">
      <w:bodyDiv w:val="1"/>
      <w:marLeft w:val="0"/>
      <w:marRight w:val="0"/>
      <w:marTop w:val="0"/>
      <w:marBottom w:val="0"/>
      <w:divBdr>
        <w:top w:val="none" w:sz="0" w:space="0" w:color="auto"/>
        <w:left w:val="none" w:sz="0" w:space="0" w:color="auto"/>
        <w:bottom w:val="none" w:sz="0" w:space="0" w:color="auto"/>
        <w:right w:val="none" w:sz="0" w:space="0" w:color="auto"/>
      </w:divBdr>
    </w:div>
    <w:div w:id="1721786128">
      <w:bodyDiv w:val="1"/>
      <w:marLeft w:val="0"/>
      <w:marRight w:val="0"/>
      <w:marTop w:val="0"/>
      <w:marBottom w:val="0"/>
      <w:divBdr>
        <w:top w:val="none" w:sz="0" w:space="0" w:color="auto"/>
        <w:left w:val="none" w:sz="0" w:space="0" w:color="auto"/>
        <w:bottom w:val="none" w:sz="0" w:space="0" w:color="auto"/>
        <w:right w:val="none" w:sz="0" w:space="0" w:color="auto"/>
      </w:divBdr>
    </w:div>
    <w:div w:id="1744450833">
      <w:bodyDiv w:val="1"/>
      <w:marLeft w:val="0"/>
      <w:marRight w:val="0"/>
      <w:marTop w:val="0"/>
      <w:marBottom w:val="0"/>
      <w:divBdr>
        <w:top w:val="none" w:sz="0" w:space="0" w:color="auto"/>
        <w:left w:val="none" w:sz="0" w:space="0" w:color="auto"/>
        <w:bottom w:val="none" w:sz="0" w:space="0" w:color="auto"/>
        <w:right w:val="none" w:sz="0" w:space="0" w:color="auto"/>
      </w:divBdr>
    </w:div>
    <w:div w:id="1752773866">
      <w:bodyDiv w:val="1"/>
      <w:marLeft w:val="0"/>
      <w:marRight w:val="0"/>
      <w:marTop w:val="0"/>
      <w:marBottom w:val="0"/>
      <w:divBdr>
        <w:top w:val="none" w:sz="0" w:space="0" w:color="auto"/>
        <w:left w:val="none" w:sz="0" w:space="0" w:color="auto"/>
        <w:bottom w:val="none" w:sz="0" w:space="0" w:color="auto"/>
        <w:right w:val="none" w:sz="0" w:space="0" w:color="auto"/>
      </w:divBdr>
    </w:div>
    <w:div w:id="1840391675">
      <w:bodyDiv w:val="1"/>
      <w:marLeft w:val="0"/>
      <w:marRight w:val="0"/>
      <w:marTop w:val="0"/>
      <w:marBottom w:val="0"/>
      <w:divBdr>
        <w:top w:val="none" w:sz="0" w:space="0" w:color="auto"/>
        <w:left w:val="none" w:sz="0" w:space="0" w:color="auto"/>
        <w:bottom w:val="none" w:sz="0" w:space="0" w:color="auto"/>
        <w:right w:val="none" w:sz="0" w:space="0" w:color="auto"/>
      </w:divBdr>
    </w:div>
    <w:div w:id="1868911859">
      <w:bodyDiv w:val="1"/>
      <w:marLeft w:val="0"/>
      <w:marRight w:val="0"/>
      <w:marTop w:val="0"/>
      <w:marBottom w:val="0"/>
      <w:divBdr>
        <w:top w:val="none" w:sz="0" w:space="0" w:color="auto"/>
        <w:left w:val="none" w:sz="0" w:space="0" w:color="auto"/>
        <w:bottom w:val="none" w:sz="0" w:space="0" w:color="auto"/>
        <w:right w:val="none" w:sz="0" w:space="0" w:color="auto"/>
      </w:divBdr>
    </w:div>
    <w:div w:id="1903251015">
      <w:bodyDiv w:val="1"/>
      <w:marLeft w:val="0"/>
      <w:marRight w:val="0"/>
      <w:marTop w:val="0"/>
      <w:marBottom w:val="0"/>
      <w:divBdr>
        <w:top w:val="none" w:sz="0" w:space="0" w:color="auto"/>
        <w:left w:val="none" w:sz="0" w:space="0" w:color="auto"/>
        <w:bottom w:val="none" w:sz="0" w:space="0" w:color="auto"/>
        <w:right w:val="none" w:sz="0" w:space="0" w:color="auto"/>
      </w:divBdr>
    </w:div>
    <w:div w:id="1915310316">
      <w:bodyDiv w:val="1"/>
      <w:marLeft w:val="0"/>
      <w:marRight w:val="0"/>
      <w:marTop w:val="0"/>
      <w:marBottom w:val="0"/>
      <w:divBdr>
        <w:top w:val="none" w:sz="0" w:space="0" w:color="auto"/>
        <w:left w:val="none" w:sz="0" w:space="0" w:color="auto"/>
        <w:bottom w:val="none" w:sz="0" w:space="0" w:color="auto"/>
        <w:right w:val="none" w:sz="0" w:space="0" w:color="auto"/>
      </w:divBdr>
    </w:div>
    <w:div w:id="1947881301">
      <w:bodyDiv w:val="1"/>
      <w:marLeft w:val="0"/>
      <w:marRight w:val="0"/>
      <w:marTop w:val="0"/>
      <w:marBottom w:val="0"/>
      <w:divBdr>
        <w:top w:val="none" w:sz="0" w:space="0" w:color="auto"/>
        <w:left w:val="none" w:sz="0" w:space="0" w:color="auto"/>
        <w:bottom w:val="none" w:sz="0" w:space="0" w:color="auto"/>
        <w:right w:val="none" w:sz="0" w:space="0" w:color="auto"/>
      </w:divBdr>
    </w:div>
    <w:div w:id="1986929140">
      <w:bodyDiv w:val="1"/>
      <w:marLeft w:val="0"/>
      <w:marRight w:val="0"/>
      <w:marTop w:val="0"/>
      <w:marBottom w:val="0"/>
      <w:divBdr>
        <w:top w:val="none" w:sz="0" w:space="0" w:color="auto"/>
        <w:left w:val="none" w:sz="0" w:space="0" w:color="auto"/>
        <w:bottom w:val="none" w:sz="0" w:space="0" w:color="auto"/>
        <w:right w:val="none" w:sz="0" w:space="0" w:color="auto"/>
      </w:divBdr>
    </w:div>
    <w:div w:id="2022581863">
      <w:bodyDiv w:val="1"/>
      <w:marLeft w:val="0"/>
      <w:marRight w:val="0"/>
      <w:marTop w:val="0"/>
      <w:marBottom w:val="0"/>
      <w:divBdr>
        <w:top w:val="none" w:sz="0" w:space="0" w:color="auto"/>
        <w:left w:val="none" w:sz="0" w:space="0" w:color="auto"/>
        <w:bottom w:val="none" w:sz="0" w:space="0" w:color="auto"/>
        <w:right w:val="none" w:sz="0" w:space="0" w:color="auto"/>
      </w:divBdr>
    </w:div>
    <w:div w:id="2048682290">
      <w:bodyDiv w:val="1"/>
      <w:marLeft w:val="0"/>
      <w:marRight w:val="0"/>
      <w:marTop w:val="0"/>
      <w:marBottom w:val="0"/>
      <w:divBdr>
        <w:top w:val="none" w:sz="0" w:space="0" w:color="auto"/>
        <w:left w:val="none" w:sz="0" w:space="0" w:color="auto"/>
        <w:bottom w:val="none" w:sz="0" w:space="0" w:color="auto"/>
        <w:right w:val="none" w:sz="0" w:space="0" w:color="auto"/>
      </w:divBdr>
    </w:div>
    <w:div w:id="2063558089">
      <w:bodyDiv w:val="1"/>
      <w:marLeft w:val="0"/>
      <w:marRight w:val="0"/>
      <w:marTop w:val="0"/>
      <w:marBottom w:val="0"/>
      <w:divBdr>
        <w:top w:val="none" w:sz="0" w:space="0" w:color="auto"/>
        <w:left w:val="none" w:sz="0" w:space="0" w:color="auto"/>
        <w:bottom w:val="none" w:sz="0" w:space="0" w:color="auto"/>
        <w:right w:val="none" w:sz="0" w:space="0" w:color="auto"/>
      </w:divBdr>
    </w:div>
    <w:div w:id="206760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gov/fund/data/report/contracts/servicecontractinventoryappendix/servicecontractinventory.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cquisition.gov/PSC_Manu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7" ma:contentTypeDescription="Create a new document." ma:contentTypeScope="" ma:versionID="27e578da7be2ce695423e3d7442d67c8">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97660cb5f4e14883291cf79fe86137b5"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BBD1E-C421-419A-8AD9-28ED21AE1A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C493D3-A6FA-4AE3-8D3E-44A4DE5EEE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4FEC84-0CF1-493B-AB1B-BA9BD85507B4}">
  <ds:schemaRefs>
    <ds:schemaRef ds:uri="http://schemas.microsoft.com/sharepoint/v3/contenttype/forms"/>
  </ds:schemaRefs>
</ds:datastoreItem>
</file>

<file path=customXml/itemProps4.xml><?xml version="1.0" encoding="utf-8"?>
<ds:datastoreItem xmlns:ds="http://schemas.openxmlformats.org/officeDocument/2006/customXml" ds:itemID="{5ECC1323-8033-44DD-8941-C813556C0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2828</Words>
  <Characters>16121</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 Department of Education</dc:creator>
  <cp:lastModifiedBy>Winston, Colette</cp:lastModifiedBy>
  <cp:revision>2</cp:revision>
  <cp:lastPrinted>2020-01-29T21:59:00Z</cp:lastPrinted>
  <dcterms:created xsi:type="dcterms:W3CDTF">2021-07-02T16:06:00Z</dcterms:created>
  <dcterms:modified xsi:type="dcterms:W3CDTF">2021-07-02T16:06:00Z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