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A27D" w14:textId="77777777" w:rsidR="009F0376" w:rsidRDefault="009F0376" w:rsidP="009F0376">
      <w:pPr>
        <w:jc w:val="center"/>
        <w:rPr>
          <w:sz w:val="36"/>
          <w:szCs w:val="36"/>
        </w:rPr>
      </w:pPr>
      <w:bookmarkStart w:id="0" w:name="_GoBack"/>
      <w:bookmarkEnd w:id="0"/>
    </w:p>
    <w:p w14:paraId="649A9E14" w14:textId="77777777" w:rsidR="009F0376" w:rsidRDefault="009F0376" w:rsidP="009F0376">
      <w:pPr>
        <w:jc w:val="center"/>
        <w:rPr>
          <w:sz w:val="36"/>
          <w:szCs w:val="36"/>
        </w:rPr>
      </w:pPr>
    </w:p>
    <w:p w14:paraId="1AAF4B19" w14:textId="77777777" w:rsidR="009F0376" w:rsidRDefault="009F0376" w:rsidP="009F0376">
      <w:pPr>
        <w:jc w:val="center"/>
        <w:rPr>
          <w:sz w:val="36"/>
          <w:szCs w:val="36"/>
        </w:rPr>
      </w:pPr>
    </w:p>
    <w:p w14:paraId="51E0ABCA" w14:textId="77777777" w:rsidR="009F0376" w:rsidRPr="009F0376" w:rsidRDefault="009F0376" w:rsidP="009F0376">
      <w:pPr>
        <w:jc w:val="center"/>
        <w:rPr>
          <w:sz w:val="36"/>
          <w:szCs w:val="36"/>
        </w:rPr>
      </w:pPr>
      <w:r w:rsidRPr="009F0376">
        <w:rPr>
          <w:sz w:val="36"/>
          <w:szCs w:val="36"/>
        </w:rPr>
        <w:t>Department of Education</w:t>
      </w:r>
    </w:p>
    <w:p w14:paraId="332B3695" w14:textId="77777777" w:rsidR="009F0376" w:rsidRPr="009F0376" w:rsidRDefault="009F0376" w:rsidP="009F0376">
      <w:pPr>
        <w:jc w:val="center"/>
        <w:rPr>
          <w:sz w:val="36"/>
          <w:szCs w:val="36"/>
        </w:rPr>
      </w:pPr>
      <w:r w:rsidRPr="009F0376">
        <w:rPr>
          <w:sz w:val="36"/>
          <w:szCs w:val="36"/>
        </w:rPr>
        <w:t>Service Contract Inventory (SCI)</w:t>
      </w:r>
    </w:p>
    <w:p w14:paraId="1BD9AF93" w14:textId="77777777" w:rsidR="009F0376" w:rsidRPr="009F0376" w:rsidRDefault="009F0376" w:rsidP="009F0376">
      <w:pPr>
        <w:jc w:val="center"/>
        <w:rPr>
          <w:sz w:val="36"/>
          <w:szCs w:val="36"/>
        </w:rPr>
      </w:pPr>
    </w:p>
    <w:p w14:paraId="09314BC9" w14:textId="77777777" w:rsidR="009F0376" w:rsidRPr="009F0376" w:rsidRDefault="009F0376" w:rsidP="009F0376">
      <w:pPr>
        <w:jc w:val="center"/>
        <w:rPr>
          <w:sz w:val="36"/>
          <w:szCs w:val="36"/>
        </w:rPr>
      </w:pPr>
      <w:r w:rsidRPr="009F0376">
        <w:rPr>
          <w:sz w:val="36"/>
          <w:szCs w:val="36"/>
        </w:rPr>
        <w:t>FY201</w:t>
      </w:r>
      <w:r w:rsidR="00C339FE">
        <w:rPr>
          <w:sz w:val="36"/>
          <w:szCs w:val="36"/>
        </w:rPr>
        <w:t>7</w:t>
      </w:r>
      <w:r w:rsidRPr="009F0376">
        <w:rPr>
          <w:sz w:val="36"/>
          <w:szCs w:val="36"/>
        </w:rPr>
        <w:t xml:space="preserve"> SCI Analysis Report</w:t>
      </w:r>
    </w:p>
    <w:p w14:paraId="43350608" w14:textId="77777777" w:rsidR="009F0376" w:rsidRPr="009F0376" w:rsidRDefault="009F0376" w:rsidP="009F0376">
      <w:pPr>
        <w:jc w:val="center"/>
        <w:rPr>
          <w:sz w:val="36"/>
          <w:szCs w:val="36"/>
        </w:rPr>
      </w:pPr>
      <w:r w:rsidRPr="009F0376">
        <w:rPr>
          <w:sz w:val="36"/>
          <w:szCs w:val="36"/>
        </w:rPr>
        <w:t>FY201</w:t>
      </w:r>
      <w:r w:rsidR="00C339FE">
        <w:rPr>
          <w:sz w:val="36"/>
          <w:szCs w:val="36"/>
        </w:rPr>
        <w:t>8</w:t>
      </w:r>
      <w:r w:rsidRPr="009F0376">
        <w:rPr>
          <w:sz w:val="36"/>
          <w:szCs w:val="36"/>
        </w:rPr>
        <w:t xml:space="preserve"> SCI Analysis Plan</w:t>
      </w:r>
    </w:p>
    <w:p w14:paraId="64353A98" w14:textId="77777777" w:rsidR="009F0376" w:rsidRPr="009F0376" w:rsidRDefault="009F0376" w:rsidP="009F0376">
      <w:pPr>
        <w:jc w:val="center"/>
        <w:rPr>
          <w:sz w:val="36"/>
          <w:szCs w:val="36"/>
        </w:rPr>
      </w:pPr>
    </w:p>
    <w:p w14:paraId="6915C351" w14:textId="77777777" w:rsidR="009F0376" w:rsidRPr="009F0376" w:rsidRDefault="007A6787" w:rsidP="009F0376">
      <w:pPr>
        <w:jc w:val="center"/>
        <w:rPr>
          <w:sz w:val="36"/>
          <w:szCs w:val="36"/>
        </w:rPr>
      </w:pPr>
      <w:r>
        <w:rPr>
          <w:sz w:val="36"/>
          <w:szCs w:val="36"/>
        </w:rPr>
        <w:t>February</w:t>
      </w:r>
      <w:r w:rsidR="009F0376" w:rsidRPr="009F0376">
        <w:rPr>
          <w:sz w:val="36"/>
          <w:szCs w:val="36"/>
        </w:rPr>
        <w:t xml:space="preserve"> 201</w:t>
      </w:r>
      <w:r w:rsidR="00D72B46">
        <w:rPr>
          <w:sz w:val="36"/>
          <w:szCs w:val="36"/>
        </w:rPr>
        <w:t>9</w:t>
      </w:r>
    </w:p>
    <w:p w14:paraId="02F2DC10" w14:textId="77777777" w:rsidR="009F0376" w:rsidRPr="009F0376" w:rsidRDefault="009F0376" w:rsidP="009F0376"/>
    <w:p w14:paraId="39F0F8ED" w14:textId="77777777" w:rsidR="009F0376" w:rsidRPr="009F0376" w:rsidRDefault="009F0376" w:rsidP="009F0376"/>
    <w:p w14:paraId="6C8A6EE5" w14:textId="77777777" w:rsidR="009F0376" w:rsidRPr="009F0376" w:rsidRDefault="009F0376" w:rsidP="009F0376">
      <w:pPr>
        <w:jc w:val="center"/>
      </w:pPr>
      <w:r w:rsidRPr="009F0376">
        <w:rPr>
          <w:noProof/>
        </w:rPr>
        <w:drawing>
          <wp:inline distT="0" distB="0" distL="0" distR="0" wp14:anchorId="260ABEA9" wp14:editId="05412C92">
            <wp:extent cx="2423160" cy="246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1049" cy="2459066"/>
                    </a:xfrm>
                    <a:prstGeom prst="rect">
                      <a:avLst/>
                    </a:prstGeom>
                    <a:noFill/>
                  </pic:spPr>
                </pic:pic>
              </a:graphicData>
            </a:graphic>
          </wp:inline>
        </w:drawing>
      </w:r>
    </w:p>
    <w:p w14:paraId="15CD2D06" w14:textId="77777777" w:rsidR="00936028" w:rsidRPr="00936028" w:rsidRDefault="00936028" w:rsidP="00936028">
      <w:pPr>
        <w:spacing w:after="0" w:line="240" w:lineRule="auto"/>
        <w:rPr>
          <w:rFonts w:ascii="Times New Roman" w:eastAsia="Times New Roman" w:hAnsi="Times New Roman" w:cs="Times New Roman"/>
          <w:sz w:val="24"/>
          <w:szCs w:val="24"/>
        </w:rPr>
      </w:pPr>
    </w:p>
    <w:p w14:paraId="7B44ECF5" w14:textId="77777777" w:rsidR="009F0376" w:rsidRDefault="009F0376" w:rsidP="00936028">
      <w:pPr>
        <w:spacing w:after="0" w:line="240" w:lineRule="auto"/>
        <w:rPr>
          <w:rFonts w:ascii="Times New Roman" w:eastAsia="Calibri" w:hAnsi="Times New Roman" w:cs="Times New Roman"/>
          <w:b/>
          <w:sz w:val="24"/>
          <w:szCs w:val="24"/>
        </w:rPr>
      </w:pPr>
    </w:p>
    <w:p w14:paraId="1E437289" w14:textId="77777777" w:rsidR="009F0376" w:rsidRDefault="009F0376" w:rsidP="00936028">
      <w:pPr>
        <w:spacing w:after="0" w:line="240" w:lineRule="auto"/>
        <w:rPr>
          <w:rFonts w:ascii="Times New Roman" w:eastAsia="Calibri" w:hAnsi="Times New Roman" w:cs="Times New Roman"/>
          <w:b/>
          <w:sz w:val="24"/>
          <w:szCs w:val="24"/>
        </w:rPr>
      </w:pPr>
    </w:p>
    <w:p w14:paraId="1C8DAB3E" w14:textId="77777777" w:rsidR="001718B0" w:rsidRDefault="001718B0" w:rsidP="00936028">
      <w:pPr>
        <w:spacing w:after="0" w:line="240" w:lineRule="auto"/>
        <w:rPr>
          <w:rFonts w:ascii="Times New Roman" w:eastAsia="Calibri" w:hAnsi="Times New Roman" w:cs="Times New Roman"/>
          <w:b/>
          <w:sz w:val="24"/>
          <w:szCs w:val="24"/>
        </w:rPr>
      </w:pPr>
    </w:p>
    <w:p w14:paraId="01EF2937" w14:textId="77777777" w:rsidR="009F0376" w:rsidRDefault="009F0376" w:rsidP="00936028">
      <w:pPr>
        <w:spacing w:after="0" w:line="240" w:lineRule="auto"/>
        <w:rPr>
          <w:rFonts w:ascii="Times New Roman" w:eastAsia="Calibri" w:hAnsi="Times New Roman" w:cs="Times New Roman"/>
          <w:b/>
          <w:sz w:val="24"/>
          <w:szCs w:val="24"/>
        </w:rPr>
      </w:pPr>
    </w:p>
    <w:p w14:paraId="4F0CE597" w14:textId="77777777" w:rsidR="00B53D2C" w:rsidRPr="004B662D" w:rsidRDefault="00B53D2C" w:rsidP="00936028">
      <w:pPr>
        <w:spacing w:after="0" w:line="240" w:lineRule="auto"/>
        <w:rPr>
          <w:rFonts w:ascii="Times New Roman" w:eastAsia="Calibri" w:hAnsi="Times New Roman" w:cs="Times New Roman"/>
          <w:b/>
          <w:sz w:val="24"/>
          <w:szCs w:val="24"/>
        </w:rPr>
      </w:pPr>
      <w:r w:rsidRPr="004B662D">
        <w:rPr>
          <w:rFonts w:ascii="Times New Roman" w:eastAsia="Calibri" w:hAnsi="Times New Roman" w:cs="Times New Roman"/>
          <w:b/>
          <w:sz w:val="24"/>
          <w:szCs w:val="24"/>
        </w:rPr>
        <w:lastRenderedPageBreak/>
        <w:t>B</w:t>
      </w:r>
      <w:r w:rsidR="00926468">
        <w:rPr>
          <w:rFonts w:ascii="Times New Roman" w:eastAsia="Calibri" w:hAnsi="Times New Roman" w:cs="Times New Roman"/>
          <w:b/>
          <w:sz w:val="24"/>
          <w:szCs w:val="24"/>
        </w:rPr>
        <w:t>ackground</w:t>
      </w:r>
    </w:p>
    <w:p w14:paraId="3CD0BE0E" w14:textId="77777777" w:rsidR="00B53D2C" w:rsidRDefault="00B53D2C" w:rsidP="00936028">
      <w:pPr>
        <w:spacing w:after="0" w:line="240" w:lineRule="auto"/>
        <w:rPr>
          <w:rFonts w:ascii="Times New Roman" w:eastAsia="Calibri" w:hAnsi="Times New Roman" w:cs="Times New Roman"/>
          <w:sz w:val="24"/>
          <w:szCs w:val="24"/>
        </w:rPr>
      </w:pPr>
    </w:p>
    <w:p w14:paraId="2F17F4A8" w14:textId="77777777" w:rsidR="0024528D" w:rsidRPr="0083453E" w:rsidRDefault="0024528D" w:rsidP="00936028">
      <w:pPr>
        <w:spacing w:after="0" w:line="240" w:lineRule="auto"/>
        <w:rPr>
          <w:rFonts w:ascii="Times New Roman" w:eastAsia="Calibri" w:hAnsi="Times New Roman" w:cs="Times New Roman"/>
          <w:sz w:val="24"/>
          <w:szCs w:val="24"/>
        </w:rPr>
      </w:pPr>
      <w:r w:rsidRPr="0083453E">
        <w:rPr>
          <w:rFonts w:ascii="Times New Roman" w:eastAsia="Calibri" w:hAnsi="Times New Roman" w:cs="Times New Roman"/>
          <w:sz w:val="24"/>
          <w:szCs w:val="24"/>
        </w:rPr>
        <w:t xml:space="preserve">The Consolidated Appropriations Act, 2010, Public Law 111-117, requires civilian agencies to prepare an annual inventory of their service contracts and to analyze the inventory to determine if the mix of Federal employees and contractors is effective or if rebalancing is necessary. </w:t>
      </w:r>
      <w:r w:rsidR="002824EA">
        <w:rPr>
          <w:rFonts w:ascii="Times New Roman" w:eastAsia="Calibri" w:hAnsi="Times New Roman" w:cs="Times New Roman"/>
          <w:sz w:val="24"/>
          <w:szCs w:val="24"/>
        </w:rPr>
        <w:t xml:space="preserve"> </w:t>
      </w:r>
      <w:r w:rsidRPr="0083453E">
        <w:rPr>
          <w:rFonts w:ascii="Times New Roman" w:eastAsia="Calibri" w:hAnsi="Times New Roman" w:cs="Times New Roman"/>
          <w:sz w:val="24"/>
          <w:szCs w:val="24"/>
        </w:rPr>
        <w:t>As required, we completed our fiscal year (FY) 201</w:t>
      </w:r>
      <w:r w:rsidR="00C366B8">
        <w:rPr>
          <w:rFonts w:ascii="Times New Roman" w:eastAsia="Calibri" w:hAnsi="Times New Roman" w:cs="Times New Roman"/>
          <w:sz w:val="24"/>
          <w:szCs w:val="24"/>
        </w:rPr>
        <w:t>7</w:t>
      </w:r>
      <w:r w:rsidRPr="0083453E">
        <w:rPr>
          <w:rFonts w:ascii="Times New Roman" w:eastAsia="Calibri" w:hAnsi="Times New Roman" w:cs="Times New Roman"/>
          <w:sz w:val="24"/>
          <w:szCs w:val="24"/>
        </w:rPr>
        <w:t xml:space="preserve"> analysis and posted it on our website at </w:t>
      </w:r>
      <w:hyperlink r:id="rId12" w:history="1">
        <w:r w:rsidRPr="009F1C8D">
          <w:rPr>
            <w:rStyle w:val="Hyperlink"/>
            <w:rFonts w:ascii="Times New Roman" w:eastAsia="Calibri" w:hAnsi="Times New Roman" w:cs="Times New Roman"/>
            <w:sz w:val="24"/>
            <w:szCs w:val="24"/>
          </w:rPr>
          <w:t>https://www2.ed.gov/fund/data/report/contracts/servicecontractinventoryappendix/servicecontractinventory.html</w:t>
        </w:r>
      </w:hyperlink>
      <w:r>
        <w:rPr>
          <w:rFonts w:ascii="Times New Roman" w:eastAsia="Calibri" w:hAnsi="Times New Roman" w:cs="Times New Roman"/>
          <w:sz w:val="24"/>
          <w:szCs w:val="24"/>
        </w:rPr>
        <w:t xml:space="preserve"> </w:t>
      </w:r>
    </w:p>
    <w:p w14:paraId="45119524" w14:textId="77777777" w:rsidR="00B53D2C" w:rsidRDefault="00B53D2C" w:rsidP="00936028">
      <w:pPr>
        <w:spacing w:after="0" w:line="240" w:lineRule="auto"/>
        <w:rPr>
          <w:rFonts w:ascii="Times New Roman" w:eastAsia="Calibri" w:hAnsi="Times New Roman" w:cs="Times New Roman"/>
          <w:sz w:val="24"/>
          <w:szCs w:val="24"/>
        </w:rPr>
      </w:pPr>
    </w:p>
    <w:p w14:paraId="4E936430" w14:textId="77777777" w:rsidR="00B53D2C" w:rsidRPr="00CC0DD0" w:rsidRDefault="00CC0DD0" w:rsidP="009F0376">
      <w:pPr>
        <w:pStyle w:val="ListParagraph"/>
        <w:numPr>
          <w:ilvl w:val="0"/>
          <w:numId w:val="4"/>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Scope</w:t>
      </w:r>
    </w:p>
    <w:p w14:paraId="077764AD" w14:textId="77777777" w:rsidR="00936028" w:rsidRPr="00936028" w:rsidRDefault="00936028" w:rsidP="00936028">
      <w:pPr>
        <w:spacing w:after="0" w:line="240" w:lineRule="auto"/>
        <w:rPr>
          <w:rFonts w:ascii="Times New Roman" w:eastAsia="Calibri" w:hAnsi="Times New Roman" w:cs="Times New Roman"/>
          <w:sz w:val="24"/>
          <w:szCs w:val="24"/>
        </w:rPr>
      </w:pPr>
    </w:p>
    <w:p w14:paraId="0A5DEF28" w14:textId="77777777" w:rsidR="001B12CE" w:rsidRDefault="001B12CE" w:rsidP="009360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Department of Education</w:t>
      </w:r>
      <w:r w:rsidR="005F0F52">
        <w:rPr>
          <w:rFonts w:ascii="Times New Roman" w:eastAsia="Calibri" w:hAnsi="Times New Roman" w:cs="Times New Roman"/>
          <w:sz w:val="24"/>
          <w:szCs w:val="24"/>
        </w:rPr>
        <w:t xml:space="preserve"> (ED)</w:t>
      </w:r>
      <w:r>
        <w:rPr>
          <w:rFonts w:ascii="Times New Roman" w:eastAsia="Calibri" w:hAnsi="Times New Roman" w:cs="Times New Roman"/>
          <w:sz w:val="24"/>
          <w:szCs w:val="24"/>
        </w:rPr>
        <w:t xml:space="preserve"> conducted an analysis of its service contract inventory to determine if our agency is using service contracts in an appropriate and effective manner, and if the mix of Federal employees and contractors in the agency is effectively balance</w:t>
      </w:r>
      <w:r w:rsidR="005F0F52">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p>
    <w:p w14:paraId="50AC8EBF" w14:textId="77777777" w:rsidR="00394BDD" w:rsidRDefault="00394BDD" w:rsidP="00936028">
      <w:pPr>
        <w:spacing w:after="0" w:line="240" w:lineRule="auto"/>
        <w:rPr>
          <w:rFonts w:ascii="Times New Roman" w:eastAsia="Calibri" w:hAnsi="Times New Roman" w:cs="Times New Roman"/>
          <w:sz w:val="24"/>
          <w:szCs w:val="24"/>
        </w:rPr>
      </w:pPr>
    </w:p>
    <w:p w14:paraId="06ED1E97" w14:textId="77777777" w:rsidR="00CC0DD0" w:rsidRDefault="001B12CE" w:rsidP="00CC0D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compliance with t</w:t>
      </w:r>
      <w:r w:rsidR="00936028" w:rsidRPr="00936028">
        <w:rPr>
          <w:rFonts w:ascii="Times New Roman" w:eastAsia="Calibri" w:hAnsi="Times New Roman" w:cs="Times New Roman"/>
          <w:sz w:val="24"/>
          <w:szCs w:val="24"/>
        </w:rPr>
        <w:t xml:space="preserve">he Office of Management and Budget (OMB) </w:t>
      </w:r>
      <w:r>
        <w:rPr>
          <w:rFonts w:ascii="Times New Roman" w:eastAsia="Calibri" w:hAnsi="Times New Roman" w:cs="Times New Roman"/>
          <w:sz w:val="24"/>
          <w:szCs w:val="24"/>
        </w:rPr>
        <w:t xml:space="preserve">guidance and after considering multiple contract functions, we </w:t>
      </w:r>
      <w:r w:rsidR="00CC0DD0">
        <w:rPr>
          <w:rFonts w:ascii="Times New Roman" w:eastAsia="Calibri" w:hAnsi="Times New Roman" w:cs="Times New Roman"/>
          <w:sz w:val="24"/>
          <w:szCs w:val="24"/>
        </w:rPr>
        <w:t>selected the P</w:t>
      </w:r>
      <w:r w:rsidR="003602A3">
        <w:rPr>
          <w:rFonts w:ascii="Times New Roman" w:eastAsia="Calibri" w:hAnsi="Times New Roman" w:cs="Times New Roman"/>
          <w:sz w:val="24"/>
          <w:szCs w:val="24"/>
        </w:rPr>
        <w:t xml:space="preserve">roduct </w:t>
      </w:r>
      <w:r w:rsidR="00CC0DD0">
        <w:rPr>
          <w:rFonts w:ascii="Times New Roman" w:eastAsia="Calibri" w:hAnsi="Times New Roman" w:cs="Times New Roman"/>
          <w:sz w:val="24"/>
          <w:szCs w:val="24"/>
        </w:rPr>
        <w:t>S</w:t>
      </w:r>
      <w:r w:rsidR="003602A3">
        <w:rPr>
          <w:rFonts w:ascii="Times New Roman" w:eastAsia="Calibri" w:hAnsi="Times New Roman" w:cs="Times New Roman"/>
          <w:sz w:val="24"/>
          <w:szCs w:val="24"/>
        </w:rPr>
        <w:t xml:space="preserve">ervice </w:t>
      </w:r>
      <w:r w:rsidR="00CC0DD0">
        <w:rPr>
          <w:rFonts w:ascii="Times New Roman" w:eastAsia="Calibri" w:hAnsi="Times New Roman" w:cs="Times New Roman"/>
          <w:sz w:val="24"/>
          <w:szCs w:val="24"/>
        </w:rPr>
        <w:t>C</w:t>
      </w:r>
      <w:r w:rsidR="003602A3">
        <w:rPr>
          <w:rFonts w:ascii="Times New Roman" w:eastAsia="Calibri" w:hAnsi="Times New Roman" w:cs="Times New Roman"/>
          <w:sz w:val="24"/>
          <w:szCs w:val="24"/>
        </w:rPr>
        <w:t xml:space="preserve">odes (PSCs) listed in Table 1 </w:t>
      </w:r>
      <w:r w:rsidR="00CC0DD0">
        <w:rPr>
          <w:rFonts w:ascii="Times New Roman" w:eastAsia="Calibri" w:hAnsi="Times New Roman" w:cs="Times New Roman"/>
          <w:sz w:val="24"/>
          <w:szCs w:val="24"/>
        </w:rPr>
        <w:t xml:space="preserve">for </w:t>
      </w:r>
      <w:r>
        <w:rPr>
          <w:rFonts w:ascii="Times New Roman" w:eastAsia="Calibri" w:hAnsi="Times New Roman" w:cs="Times New Roman"/>
          <w:sz w:val="24"/>
          <w:szCs w:val="24"/>
        </w:rPr>
        <w:t>the FY201</w:t>
      </w:r>
      <w:r w:rsidR="00D72B46">
        <w:rPr>
          <w:rFonts w:ascii="Times New Roman" w:eastAsia="Calibri" w:hAnsi="Times New Roman" w:cs="Times New Roman"/>
          <w:sz w:val="24"/>
          <w:szCs w:val="24"/>
        </w:rPr>
        <w:t>7</w:t>
      </w:r>
      <w:r>
        <w:rPr>
          <w:rFonts w:ascii="Times New Roman" w:eastAsia="Calibri" w:hAnsi="Times New Roman" w:cs="Times New Roman"/>
          <w:sz w:val="24"/>
          <w:szCs w:val="24"/>
        </w:rPr>
        <w:t xml:space="preserve"> SCI</w:t>
      </w:r>
      <w:r w:rsidR="009E4FD2">
        <w:rPr>
          <w:rFonts w:ascii="Times New Roman" w:eastAsia="Calibri" w:hAnsi="Times New Roman" w:cs="Times New Roman"/>
          <w:sz w:val="24"/>
          <w:szCs w:val="24"/>
        </w:rPr>
        <w:t xml:space="preserve"> analysis</w:t>
      </w:r>
      <w:r>
        <w:rPr>
          <w:rFonts w:ascii="Times New Roman" w:eastAsia="Calibri" w:hAnsi="Times New Roman" w:cs="Times New Roman"/>
          <w:sz w:val="24"/>
          <w:szCs w:val="24"/>
        </w:rPr>
        <w:t>.</w:t>
      </w:r>
      <w:r w:rsidR="005F0F52">
        <w:rPr>
          <w:rFonts w:ascii="Times New Roman" w:eastAsia="Calibri" w:hAnsi="Times New Roman" w:cs="Times New Roman"/>
          <w:sz w:val="24"/>
          <w:szCs w:val="24"/>
        </w:rPr>
        <w:t xml:space="preserve"> </w:t>
      </w:r>
      <w:r w:rsidR="003602A3">
        <w:rPr>
          <w:rFonts w:ascii="Times New Roman" w:eastAsia="Calibri" w:hAnsi="Times New Roman" w:cs="Times New Roman"/>
          <w:sz w:val="24"/>
          <w:szCs w:val="24"/>
        </w:rPr>
        <w:t xml:space="preserve"> </w:t>
      </w:r>
      <w:r w:rsidR="00CC0DD0" w:rsidRPr="00936028">
        <w:rPr>
          <w:rFonts w:ascii="Times New Roman" w:eastAsia="Calibri" w:hAnsi="Times New Roman" w:cs="Times New Roman"/>
          <w:sz w:val="24"/>
          <w:szCs w:val="24"/>
        </w:rPr>
        <w:t xml:space="preserve">A brief description of the rationale </w:t>
      </w:r>
      <w:r w:rsidR="009E4FD2">
        <w:rPr>
          <w:rFonts w:ascii="Times New Roman" w:eastAsia="Calibri" w:hAnsi="Times New Roman" w:cs="Times New Roman"/>
          <w:sz w:val="24"/>
          <w:szCs w:val="24"/>
        </w:rPr>
        <w:t xml:space="preserve">for including these PSCs in the analysis is provided </w:t>
      </w:r>
      <w:r w:rsidR="00CC0DD0" w:rsidRPr="00936028">
        <w:rPr>
          <w:rFonts w:ascii="Times New Roman" w:eastAsia="Calibri" w:hAnsi="Times New Roman" w:cs="Times New Roman"/>
          <w:sz w:val="24"/>
          <w:szCs w:val="24"/>
        </w:rPr>
        <w:t>in Table 2.</w:t>
      </w:r>
      <w:r w:rsidR="00C35EDC">
        <w:rPr>
          <w:rFonts w:ascii="Times New Roman" w:eastAsia="Calibri" w:hAnsi="Times New Roman" w:cs="Times New Roman"/>
          <w:sz w:val="24"/>
          <w:szCs w:val="24"/>
        </w:rPr>
        <w:t xml:space="preserve">  Of note, PSC D318 was substituted for R419, a change </w:t>
      </w:r>
      <w:r w:rsidR="009E4FD2">
        <w:rPr>
          <w:rFonts w:ascii="Times New Roman" w:eastAsia="Calibri" w:hAnsi="Times New Roman" w:cs="Times New Roman"/>
          <w:sz w:val="24"/>
          <w:szCs w:val="24"/>
        </w:rPr>
        <w:t xml:space="preserve">from </w:t>
      </w:r>
      <w:r w:rsidR="00C35EDC">
        <w:rPr>
          <w:rFonts w:ascii="Times New Roman" w:eastAsia="Calibri" w:hAnsi="Times New Roman" w:cs="Times New Roman"/>
          <w:sz w:val="24"/>
          <w:szCs w:val="24"/>
        </w:rPr>
        <w:t>t</w:t>
      </w:r>
      <w:r w:rsidR="009E4FD2">
        <w:rPr>
          <w:rFonts w:ascii="Times New Roman" w:eastAsia="Calibri" w:hAnsi="Times New Roman" w:cs="Times New Roman"/>
          <w:sz w:val="24"/>
          <w:szCs w:val="24"/>
        </w:rPr>
        <w:t>he</w:t>
      </w:r>
      <w:r w:rsidR="00C35EDC">
        <w:rPr>
          <w:rFonts w:ascii="Times New Roman" w:eastAsia="Calibri" w:hAnsi="Times New Roman" w:cs="Times New Roman"/>
          <w:sz w:val="24"/>
          <w:szCs w:val="24"/>
        </w:rPr>
        <w:t xml:space="preserve"> plan for the analysis of the FY 2017 service contract inventory.  This change was made because </w:t>
      </w:r>
      <w:r w:rsidR="00CD6339">
        <w:rPr>
          <w:rFonts w:ascii="Times New Roman" w:eastAsia="Calibri" w:hAnsi="Times New Roman" w:cs="Times New Roman"/>
          <w:sz w:val="24"/>
          <w:szCs w:val="24"/>
        </w:rPr>
        <w:t>R419</w:t>
      </w:r>
      <w:r w:rsidR="00C35EDC">
        <w:rPr>
          <w:rFonts w:ascii="Times New Roman" w:eastAsia="Calibri" w:hAnsi="Times New Roman" w:cs="Times New Roman"/>
          <w:sz w:val="24"/>
          <w:szCs w:val="24"/>
        </w:rPr>
        <w:t xml:space="preserve"> </w:t>
      </w:r>
      <w:r w:rsidR="007A6787">
        <w:rPr>
          <w:rFonts w:ascii="Times New Roman" w:eastAsia="Calibri" w:hAnsi="Times New Roman" w:cs="Times New Roman"/>
          <w:sz w:val="24"/>
          <w:szCs w:val="24"/>
        </w:rPr>
        <w:t>only had two actions, both de</w:t>
      </w:r>
      <w:r w:rsidR="004F5723">
        <w:rPr>
          <w:rFonts w:ascii="Times New Roman" w:eastAsia="Calibri" w:hAnsi="Times New Roman" w:cs="Times New Roman"/>
          <w:sz w:val="24"/>
          <w:szCs w:val="24"/>
        </w:rPr>
        <w:t>-</w:t>
      </w:r>
      <w:r w:rsidR="007A6787">
        <w:rPr>
          <w:rFonts w:ascii="Times New Roman" w:eastAsia="Calibri" w:hAnsi="Times New Roman" w:cs="Times New Roman"/>
          <w:sz w:val="24"/>
          <w:szCs w:val="24"/>
        </w:rPr>
        <w:t>obligations, in FY 2017, and therefore didn’t rise to the level of needing review.  D318 was top ten, in terms of obligations, and was a worthy substitute for analysis.</w:t>
      </w:r>
    </w:p>
    <w:p w14:paraId="51BB3B3B" w14:textId="77777777" w:rsidR="0078751A" w:rsidRPr="00936028" w:rsidRDefault="0078751A" w:rsidP="00CC0DD0">
      <w:pPr>
        <w:spacing w:after="0" w:line="240" w:lineRule="auto"/>
        <w:rPr>
          <w:rFonts w:ascii="Times New Roman" w:eastAsia="Calibri" w:hAnsi="Times New Roman" w:cs="Times New Roman"/>
          <w:sz w:val="24"/>
          <w:szCs w:val="24"/>
        </w:rPr>
      </w:pPr>
    </w:p>
    <w:p w14:paraId="16DC1F00" w14:textId="77777777" w:rsidR="00CC0DD0" w:rsidRPr="00936028" w:rsidRDefault="00CC0DD0" w:rsidP="0083453E">
      <w:pPr>
        <w:spacing w:after="0" w:line="240" w:lineRule="auto"/>
        <w:jc w:val="center"/>
        <w:rPr>
          <w:rFonts w:ascii="Times New Roman" w:eastAsia="Calibri" w:hAnsi="Times New Roman" w:cs="Times New Roman"/>
          <w:sz w:val="24"/>
          <w:szCs w:val="24"/>
        </w:rPr>
      </w:pPr>
      <w:r w:rsidRPr="0083453E">
        <w:rPr>
          <w:rFonts w:ascii="Times New Roman" w:eastAsia="Calibri" w:hAnsi="Times New Roman" w:cs="Times New Roman"/>
          <w:b/>
          <w:sz w:val="24"/>
          <w:szCs w:val="24"/>
        </w:rPr>
        <w:t xml:space="preserve">Table 1 – </w:t>
      </w:r>
      <w:r w:rsidR="00926468">
        <w:rPr>
          <w:rFonts w:ascii="Times New Roman" w:eastAsia="Calibri" w:hAnsi="Times New Roman" w:cs="Times New Roman"/>
          <w:b/>
          <w:sz w:val="24"/>
          <w:szCs w:val="24"/>
        </w:rPr>
        <w:t>PSCs</w:t>
      </w:r>
      <w:r w:rsidRPr="0083453E">
        <w:rPr>
          <w:rFonts w:ascii="Times New Roman" w:eastAsia="Calibri" w:hAnsi="Times New Roman" w:cs="Times New Roman"/>
          <w:b/>
          <w:sz w:val="24"/>
          <w:szCs w:val="24"/>
        </w:rPr>
        <w:t xml:space="preserve"> Selected For FY 201</w:t>
      </w:r>
      <w:r w:rsidR="00D72B46">
        <w:rPr>
          <w:rFonts w:ascii="Times New Roman" w:eastAsia="Calibri" w:hAnsi="Times New Roman" w:cs="Times New Roman"/>
          <w:b/>
          <w:sz w:val="24"/>
          <w:szCs w:val="24"/>
        </w:rPr>
        <w:t>7</w:t>
      </w:r>
      <w:r w:rsidRPr="0083453E">
        <w:rPr>
          <w:rFonts w:ascii="Times New Roman" w:eastAsia="Calibri" w:hAnsi="Times New Roman" w:cs="Times New Roman"/>
          <w:b/>
          <w:sz w:val="24"/>
          <w:szCs w:val="24"/>
        </w:rPr>
        <w:t xml:space="preserve"> Review</w:t>
      </w:r>
    </w:p>
    <w:p w14:paraId="159E114E" w14:textId="77777777" w:rsidR="00394BDD" w:rsidRDefault="00394BDD" w:rsidP="00CC0DD0">
      <w:pPr>
        <w:spacing w:after="0" w:line="240" w:lineRule="auto"/>
        <w:jc w:val="cente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0296"/>
      </w:tblGrid>
      <w:tr w:rsidR="00C07886" w14:paraId="67CCC0B0" w14:textId="77777777" w:rsidTr="00C07886">
        <w:tc>
          <w:tcPr>
            <w:tcW w:w="10296" w:type="dxa"/>
          </w:tcPr>
          <w:tbl>
            <w:tblPr>
              <w:tblW w:w="10070" w:type="dxa"/>
              <w:tblLook w:val="04A0" w:firstRow="1" w:lastRow="0" w:firstColumn="1" w:lastColumn="0" w:noHBand="0" w:noVBand="1"/>
            </w:tblPr>
            <w:tblGrid>
              <w:gridCol w:w="732"/>
              <w:gridCol w:w="6695"/>
              <w:gridCol w:w="1388"/>
              <w:gridCol w:w="1255"/>
            </w:tblGrid>
            <w:tr w:rsidR="00C07886" w:rsidRPr="00C07886" w14:paraId="0FD19638" w14:textId="77777777" w:rsidTr="00C07886">
              <w:trPr>
                <w:trHeight w:val="495"/>
              </w:trPr>
              <w:tc>
                <w:tcPr>
                  <w:tcW w:w="732" w:type="dxa"/>
                  <w:tcBorders>
                    <w:top w:val="single" w:sz="4" w:space="0" w:color="auto"/>
                    <w:left w:val="single" w:sz="4" w:space="0" w:color="auto"/>
                    <w:bottom w:val="nil"/>
                    <w:right w:val="nil"/>
                  </w:tcBorders>
                  <w:shd w:val="clear" w:color="auto" w:fill="auto"/>
                  <w:noWrap/>
                  <w:vAlign w:val="center"/>
                  <w:hideMark/>
                </w:tcPr>
                <w:p w14:paraId="6C0A89B1" w14:textId="77777777" w:rsidR="00C07886" w:rsidRPr="00C07886" w:rsidRDefault="00C07886" w:rsidP="00C07886">
                  <w:pPr>
                    <w:spacing w:after="0" w:line="240" w:lineRule="auto"/>
                    <w:rPr>
                      <w:rFonts w:ascii="Times New Roman" w:eastAsia="Times New Roman" w:hAnsi="Times New Roman" w:cs="Times New Roman"/>
                      <w:b/>
                      <w:bCs/>
                      <w:color w:val="000000"/>
                      <w:sz w:val="18"/>
                      <w:szCs w:val="18"/>
                    </w:rPr>
                  </w:pPr>
                  <w:r w:rsidRPr="00C07886">
                    <w:rPr>
                      <w:rFonts w:ascii="Times New Roman" w:eastAsia="Times New Roman" w:hAnsi="Times New Roman" w:cs="Times New Roman"/>
                      <w:b/>
                      <w:bCs/>
                      <w:color w:val="000000"/>
                      <w:sz w:val="18"/>
                      <w:szCs w:val="18"/>
                    </w:rPr>
                    <w:t>PSC</w:t>
                  </w:r>
                </w:p>
              </w:tc>
              <w:tc>
                <w:tcPr>
                  <w:tcW w:w="6695" w:type="dxa"/>
                  <w:tcBorders>
                    <w:top w:val="single" w:sz="4" w:space="0" w:color="auto"/>
                    <w:left w:val="single" w:sz="8" w:space="0" w:color="auto"/>
                    <w:bottom w:val="nil"/>
                    <w:right w:val="single" w:sz="8" w:space="0" w:color="auto"/>
                  </w:tcBorders>
                  <w:shd w:val="clear" w:color="auto" w:fill="auto"/>
                  <w:noWrap/>
                  <w:vAlign w:val="center"/>
                  <w:hideMark/>
                </w:tcPr>
                <w:p w14:paraId="6B513985" w14:textId="77777777" w:rsidR="00C07886" w:rsidRPr="00C07886" w:rsidRDefault="00C07886" w:rsidP="00C07886">
                  <w:pPr>
                    <w:spacing w:after="0" w:line="240" w:lineRule="auto"/>
                    <w:jc w:val="center"/>
                    <w:rPr>
                      <w:rFonts w:ascii="Times New Roman" w:eastAsia="Times New Roman" w:hAnsi="Times New Roman" w:cs="Times New Roman"/>
                      <w:b/>
                      <w:bCs/>
                      <w:color w:val="000000"/>
                      <w:sz w:val="18"/>
                      <w:szCs w:val="18"/>
                    </w:rPr>
                  </w:pPr>
                  <w:r w:rsidRPr="00C07886">
                    <w:rPr>
                      <w:rFonts w:ascii="Times New Roman" w:eastAsia="Times New Roman" w:hAnsi="Times New Roman" w:cs="Times New Roman"/>
                      <w:b/>
                      <w:bCs/>
                      <w:color w:val="000000"/>
                      <w:sz w:val="18"/>
                      <w:szCs w:val="18"/>
                    </w:rPr>
                    <w:t>Description</w:t>
                  </w:r>
                </w:p>
              </w:tc>
              <w:tc>
                <w:tcPr>
                  <w:tcW w:w="1388" w:type="dxa"/>
                  <w:tcBorders>
                    <w:top w:val="single" w:sz="4" w:space="0" w:color="auto"/>
                    <w:left w:val="nil"/>
                    <w:bottom w:val="nil"/>
                    <w:right w:val="single" w:sz="8" w:space="0" w:color="auto"/>
                  </w:tcBorders>
                  <w:shd w:val="clear" w:color="auto" w:fill="auto"/>
                  <w:vAlign w:val="center"/>
                  <w:hideMark/>
                </w:tcPr>
                <w:p w14:paraId="261884A6" w14:textId="77777777" w:rsidR="00C07886" w:rsidRPr="00C07886" w:rsidRDefault="00C07886" w:rsidP="00C07886">
                  <w:pPr>
                    <w:spacing w:after="0" w:line="240" w:lineRule="auto"/>
                    <w:jc w:val="center"/>
                    <w:rPr>
                      <w:rFonts w:ascii="Times New Roman" w:eastAsia="Times New Roman" w:hAnsi="Times New Roman" w:cs="Times New Roman"/>
                      <w:b/>
                      <w:bCs/>
                      <w:color w:val="000000"/>
                      <w:sz w:val="18"/>
                      <w:szCs w:val="18"/>
                    </w:rPr>
                  </w:pPr>
                  <w:r w:rsidRPr="00C07886">
                    <w:rPr>
                      <w:rFonts w:ascii="Times New Roman" w:eastAsia="Times New Roman" w:hAnsi="Times New Roman" w:cs="Times New Roman"/>
                      <w:b/>
                      <w:bCs/>
                      <w:color w:val="000000"/>
                      <w:sz w:val="18"/>
                      <w:szCs w:val="18"/>
                    </w:rPr>
                    <w:t>FY 2017 Obligations</w:t>
                  </w:r>
                </w:p>
              </w:tc>
              <w:tc>
                <w:tcPr>
                  <w:tcW w:w="1255" w:type="dxa"/>
                  <w:tcBorders>
                    <w:top w:val="single" w:sz="4" w:space="0" w:color="auto"/>
                    <w:left w:val="nil"/>
                    <w:bottom w:val="nil"/>
                    <w:right w:val="single" w:sz="4" w:space="0" w:color="auto"/>
                  </w:tcBorders>
                  <w:shd w:val="clear" w:color="auto" w:fill="auto"/>
                  <w:vAlign w:val="center"/>
                  <w:hideMark/>
                </w:tcPr>
                <w:p w14:paraId="15A5AC59" w14:textId="77777777" w:rsidR="00C07886" w:rsidRPr="00C07886" w:rsidRDefault="00C07886" w:rsidP="00C07886">
                  <w:pPr>
                    <w:spacing w:after="0" w:line="240" w:lineRule="auto"/>
                    <w:jc w:val="center"/>
                    <w:rPr>
                      <w:rFonts w:ascii="Times New Roman" w:eastAsia="Times New Roman" w:hAnsi="Times New Roman" w:cs="Times New Roman"/>
                      <w:b/>
                      <w:bCs/>
                      <w:color w:val="000000"/>
                      <w:sz w:val="18"/>
                      <w:szCs w:val="18"/>
                    </w:rPr>
                  </w:pPr>
                  <w:r w:rsidRPr="00C07886">
                    <w:rPr>
                      <w:rFonts w:ascii="Times New Roman" w:eastAsia="Times New Roman" w:hAnsi="Times New Roman" w:cs="Times New Roman"/>
                      <w:b/>
                      <w:bCs/>
                      <w:color w:val="000000"/>
                      <w:sz w:val="18"/>
                      <w:szCs w:val="18"/>
                    </w:rPr>
                    <w:t>% Total Obligations</w:t>
                  </w:r>
                </w:p>
              </w:tc>
            </w:tr>
            <w:tr w:rsidR="00C07886" w:rsidRPr="00C07886" w14:paraId="51C61627" w14:textId="77777777" w:rsidTr="00C07886">
              <w:trPr>
                <w:trHeight w:val="300"/>
              </w:trPr>
              <w:tc>
                <w:tcPr>
                  <w:tcW w:w="732" w:type="dxa"/>
                  <w:tcBorders>
                    <w:top w:val="single" w:sz="8" w:space="0" w:color="auto"/>
                    <w:left w:val="single" w:sz="4" w:space="0" w:color="auto"/>
                    <w:bottom w:val="nil"/>
                    <w:right w:val="single" w:sz="8" w:space="0" w:color="auto"/>
                  </w:tcBorders>
                  <w:shd w:val="clear" w:color="auto" w:fill="auto"/>
                  <w:noWrap/>
                  <w:vAlign w:val="center"/>
                  <w:hideMark/>
                </w:tcPr>
                <w:p w14:paraId="767CAB8C"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R710</w:t>
                  </w:r>
                </w:p>
              </w:tc>
              <w:tc>
                <w:tcPr>
                  <w:tcW w:w="6695" w:type="dxa"/>
                  <w:tcBorders>
                    <w:top w:val="single" w:sz="8" w:space="0" w:color="auto"/>
                    <w:left w:val="nil"/>
                    <w:bottom w:val="nil"/>
                    <w:right w:val="single" w:sz="8" w:space="0" w:color="auto"/>
                  </w:tcBorders>
                  <w:shd w:val="clear" w:color="auto" w:fill="auto"/>
                  <w:vAlign w:val="center"/>
                  <w:hideMark/>
                </w:tcPr>
                <w:p w14:paraId="27CE0575"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SUPPORT- MANAGEMENT: FINANCIAL</w:t>
                  </w:r>
                </w:p>
              </w:tc>
              <w:tc>
                <w:tcPr>
                  <w:tcW w:w="1388" w:type="dxa"/>
                  <w:tcBorders>
                    <w:top w:val="single" w:sz="8" w:space="0" w:color="auto"/>
                    <w:left w:val="nil"/>
                    <w:bottom w:val="nil"/>
                    <w:right w:val="single" w:sz="8" w:space="0" w:color="auto"/>
                  </w:tcBorders>
                  <w:shd w:val="clear" w:color="auto" w:fill="auto"/>
                  <w:noWrap/>
                  <w:vAlign w:val="center"/>
                  <w:hideMark/>
                </w:tcPr>
                <w:p w14:paraId="25B42D0D"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$1,026,745,661 </w:t>
                  </w:r>
                </w:p>
              </w:tc>
              <w:tc>
                <w:tcPr>
                  <w:tcW w:w="1255" w:type="dxa"/>
                  <w:tcBorders>
                    <w:top w:val="single" w:sz="8" w:space="0" w:color="auto"/>
                    <w:left w:val="nil"/>
                    <w:bottom w:val="nil"/>
                    <w:right w:val="single" w:sz="4" w:space="0" w:color="auto"/>
                  </w:tcBorders>
                  <w:shd w:val="clear" w:color="auto" w:fill="auto"/>
                  <w:noWrap/>
                  <w:vAlign w:val="center"/>
                  <w:hideMark/>
                </w:tcPr>
                <w:p w14:paraId="0C311382"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41%</w:t>
                  </w:r>
                </w:p>
              </w:tc>
            </w:tr>
            <w:tr w:rsidR="00C07886" w:rsidRPr="00C07886" w14:paraId="306BCE16" w14:textId="77777777" w:rsidTr="00C07886">
              <w:trPr>
                <w:trHeight w:val="300"/>
              </w:trPr>
              <w:tc>
                <w:tcPr>
                  <w:tcW w:w="732" w:type="dxa"/>
                  <w:tcBorders>
                    <w:top w:val="nil"/>
                    <w:left w:val="single" w:sz="4" w:space="0" w:color="auto"/>
                    <w:bottom w:val="nil"/>
                    <w:right w:val="single" w:sz="8" w:space="0" w:color="auto"/>
                  </w:tcBorders>
                  <w:shd w:val="clear" w:color="auto" w:fill="auto"/>
                  <w:noWrap/>
                  <w:vAlign w:val="center"/>
                  <w:hideMark/>
                </w:tcPr>
                <w:p w14:paraId="374CAB4A"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R705</w:t>
                  </w:r>
                </w:p>
              </w:tc>
              <w:tc>
                <w:tcPr>
                  <w:tcW w:w="6695" w:type="dxa"/>
                  <w:tcBorders>
                    <w:top w:val="nil"/>
                    <w:left w:val="nil"/>
                    <w:bottom w:val="nil"/>
                    <w:right w:val="single" w:sz="8" w:space="0" w:color="auto"/>
                  </w:tcBorders>
                  <w:shd w:val="clear" w:color="auto" w:fill="auto"/>
                  <w:vAlign w:val="center"/>
                  <w:hideMark/>
                </w:tcPr>
                <w:p w14:paraId="1353F68D"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SUPPORT- MANAGEMENT: DEBT COLLECTION</w:t>
                  </w:r>
                </w:p>
              </w:tc>
              <w:tc>
                <w:tcPr>
                  <w:tcW w:w="1388" w:type="dxa"/>
                  <w:tcBorders>
                    <w:top w:val="nil"/>
                    <w:left w:val="nil"/>
                    <w:bottom w:val="nil"/>
                    <w:right w:val="single" w:sz="8" w:space="0" w:color="auto"/>
                  </w:tcBorders>
                  <w:shd w:val="clear" w:color="auto" w:fill="auto"/>
                  <w:noWrap/>
                  <w:vAlign w:val="center"/>
                  <w:hideMark/>
                </w:tcPr>
                <w:p w14:paraId="17262956"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$702,556,663 </w:t>
                  </w:r>
                </w:p>
              </w:tc>
              <w:tc>
                <w:tcPr>
                  <w:tcW w:w="1255" w:type="dxa"/>
                  <w:tcBorders>
                    <w:top w:val="nil"/>
                    <w:left w:val="nil"/>
                    <w:bottom w:val="nil"/>
                    <w:right w:val="single" w:sz="4" w:space="0" w:color="auto"/>
                  </w:tcBorders>
                  <w:shd w:val="clear" w:color="auto" w:fill="auto"/>
                  <w:noWrap/>
                  <w:vAlign w:val="center"/>
                  <w:hideMark/>
                </w:tcPr>
                <w:p w14:paraId="2E0C7EDE"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28%</w:t>
                  </w:r>
                </w:p>
              </w:tc>
            </w:tr>
            <w:tr w:rsidR="00C07886" w:rsidRPr="00C07886" w14:paraId="679023B3" w14:textId="77777777" w:rsidTr="00C07886">
              <w:trPr>
                <w:trHeight w:val="300"/>
              </w:trPr>
              <w:tc>
                <w:tcPr>
                  <w:tcW w:w="732" w:type="dxa"/>
                  <w:tcBorders>
                    <w:top w:val="nil"/>
                    <w:left w:val="single" w:sz="4" w:space="0" w:color="auto"/>
                    <w:bottom w:val="nil"/>
                    <w:right w:val="single" w:sz="8" w:space="0" w:color="auto"/>
                  </w:tcBorders>
                  <w:shd w:val="clear" w:color="auto" w:fill="auto"/>
                  <w:noWrap/>
                  <w:vAlign w:val="center"/>
                  <w:hideMark/>
                </w:tcPr>
                <w:p w14:paraId="32CDE7C0"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R499</w:t>
                  </w:r>
                </w:p>
              </w:tc>
              <w:tc>
                <w:tcPr>
                  <w:tcW w:w="6695" w:type="dxa"/>
                  <w:tcBorders>
                    <w:top w:val="nil"/>
                    <w:left w:val="nil"/>
                    <w:bottom w:val="nil"/>
                    <w:right w:val="single" w:sz="8" w:space="0" w:color="auto"/>
                  </w:tcBorders>
                  <w:shd w:val="clear" w:color="auto" w:fill="auto"/>
                  <w:vAlign w:val="center"/>
                  <w:hideMark/>
                </w:tcPr>
                <w:p w14:paraId="20408EB6"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SUPPORT- PROFESSIONAL: OTHER</w:t>
                  </w:r>
                </w:p>
              </w:tc>
              <w:tc>
                <w:tcPr>
                  <w:tcW w:w="1388" w:type="dxa"/>
                  <w:tcBorders>
                    <w:top w:val="nil"/>
                    <w:left w:val="nil"/>
                    <w:bottom w:val="nil"/>
                    <w:right w:val="single" w:sz="8" w:space="0" w:color="auto"/>
                  </w:tcBorders>
                  <w:shd w:val="clear" w:color="auto" w:fill="auto"/>
                  <w:noWrap/>
                  <w:vAlign w:val="center"/>
                  <w:hideMark/>
                </w:tcPr>
                <w:p w14:paraId="67AFAD6A"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$127,199,651 </w:t>
                  </w:r>
                </w:p>
              </w:tc>
              <w:tc>
                <w:tcPr>
                  <w:tcW w:w="1255" w:type="dxa"/>
                  <w:tcBorders>
                    <w:top w:val="nil"/>
                    <w:left w:val="nil"/>
                    <w:bottom w:val="nil"/>
                    <w:right w:val="single" w:sz="4" w:space="0" w:color="auto"/>
                  </w:tcBorders>
                  <w:shd w:val="clear" w:color="auto" w:fill="auto"/>
                  <w:noWrap/>
                  <w:vAlign w:val="center"/>
                  <w:hideMark/>
                </w:tcPr>
                <w:p w14:paraId="599C986B"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5%</w:t>
                  </w:r>
                </w:p>
              </w:tc>
            </w:tr>
            <w:tr w:rsidR="00C07886" w:rsidRPr="00C07886" w14:paraId="5F05B445" w14:textId="77777777" w:rsidTr="00C07886">
              <w:trPr>
                <w:trHeight w:val="300"/>
              </w:trPr>
              <w:tc>
                <w:tcPr>
                  <w:tcW w:w="732" w:type="dxa"/>
                  <w:tcBorders>
                    <w:top w:val="nil"/>
                    <w:left w:val="single" w:sz="4" w:space="0" w:color="auto"/>
                    <w:bottom w:val="nil"/>
                    <w:right w:val="single" w:sz="8" w:space="0" w:color="auto"/>
                  </w:tcBorders>
                  <w:shd w:val="clear" w:color="auto" w:fill="auto"/>
                  <w:noWrap/>
                  <w:vAlign w:val="center"/>
                  <w:hideMark/>
                </w:tcPr>
                <w:p w14:paraId="1FB67A46"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B506</w:t>
                  </w:r>
                </w:p>
              </w:tc>
              <w:tc>
                <w:tcPr>
                  <w:tcW w:w="6695" w:type="dxa"/>
                  <w:tcBorders>
                    <w:top w:val="nil"/>
                    <w:left w:val="nil"/>
                    <w:bottom w:val="nil"/>
                    <w:right w:val="single" w:sz="8" w:space="0" w:color="auto"/>
                  </w:tcBorders>
                  <w:shd w:val="clear" w:color="auto" w:fill="auto"/>
                  <w:vAlign w:val="center"/>
                  <w:hideMark/>
                </w:tcPr>
                <w:p w14:paraId="367D86A7"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SPECIAL STUDIES/ANALYSIS- DATA (OTHER THAN SCIENTIFIC)</w:t>
                  </w:r>
                </w:p>
              </w:tc>
              <w:tc>
                <w:tcPr>
                  <w:tcW w:w="1388" w:type="dxa"/>
                  <w:tcBorders>
                    <w:top w:val="nil"/>
                    <w:left w:val="nil"/>
                    <w:bottom w:val="nil"/>
                    <w:right w:val="single" w:sz="8" w:space="0" w:color="auto"/>
                  </w:tcBorders>
                  <w:shd w:val="clear" w:color="auto" w:fill="auto"/>
                  <w:noWrap/>
                  <w:vAlign w:val="center"/>
                  <w:hideMark/>
                </w:tcPr>
                <w:p w14:paraId="08A3897E"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$120,237,842 </w:t>
                  </w:r>
                </w:p>
              </w:tc>
              <w:tc>
                <w:tcPr>
                  <w:tcW w:w="1255" w:type="dxa"/>
                  <w:tcBorders>
                    <w:top w:val="nil"/>
                    <w:left w:val="nil"/>
                    <w:bottom w:val="nil"/>
                    <w:right w:val="single" w:sz="4" w:space="0" w:color="auto"/>
                  </w:tcBorders>
                  <w:shd w:val="clear" w:color="auto" w:fill="auto"/>
                  <w:noWrap/>
                  <w:vAlign w:val="center"/>
                  <w:hideMark/>
                </w:tcPr>
                <w:p w14:paraId="04DE4B91"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5%</w:t>
                  </w:r>
                </w:p>
              </w:tc>
            </w:tr>
            <w:tr w:rsidR="00C07886" w:rsidRPr="00C07886" w14:paraId="763AC5AF" w14:textId="77777777" w:rsidTr="00C07886">
              <w:trPr>
                <w:trHeight w:val="300"/>
              </w:trPr>
              <w:tc>
                <w:tcPr>
                  <w:tcW w:w="732" w:type="dxa"/>
                  <w:tcBorders>
                    <w:top w:val="nil"/>
                    <w:left w:val="single" w:sz="4" w:space="0" w:color="auto"/>
                    <w:bottom w:val="nil"/>
                    <w:right w:val="single" w:sz="8" w:space="0" w:color="auto"/>
                  </w:tcBorders>
                  <w:shd w:val="clear" w:color="auto" w:fill="auto"/>
                  <w:noWrap/>
                  <w:vAlign w:val="center"/>
                  <w:hideMark/>
                </w:tcPr>
                <w:p w14:paraId="78E1968D"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D301</w:t>
                  </w:r>
                </w:p>
              </w:tc>
              <w:tc>
                <w:tcPr>
                  <w:tcW w:w="6695" w:type="dxa"/>
                  <w:tcBorders>
                    <w:top w:val="nil"/>
                    <w:left w:val="nil"/>
                    <w:bottom w:val="nil"/>
                    <w:right w:val="single" w:sz="8" w:space="0" w:color="auto"/>
                  </w:tcBorders>
                  <w:shd w:val="clear" w:color="auto" w:fill="auto"/>
                  <w:vAlign w:val="center"/>
                  <w:hideMark/>
                </w:tcPr>
                <w:p w14:paraId="0159971D"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IT AND TELECOM- FACILITY OPERATION AND MAINTENANCE</w:t>
                  </w:r>
                </w:p>
              </w:tc>
              <w:tc>
                <w:tcPr>
                  <w:tcW w:w="1388" w:type="dxa"/>
                  <w:tcBorders>
                    <w:top w:val="nil"/>
                    <w:left w:val="nil"/>
                    <w:bottom w:val="nil"/>
                    <w:right w:val="single" w:sz="8" w:space="0" w:color="auto"/>
                  </w:tcBorders>
                  <w:shd w:val="clear" w:color="auto" w:fill="auto"/>
                  <w:noWrap/>
                  <w:vAlign w:val="center"/>
                  <w:hideMark/>
                </w:tcPr>
                <w:p w14:paraId="6506D89F"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$107,187,002 </w:t>
                  </w:r>
                </w:p>
              </w:tc>
              <w:tc>
                <w:tcPr>
                  <w:tcW w:w="1255" w:type="dxa"/>
                  <w:tcBorders>
                    <w:top w:val="nil"/>
                    <w:left w:val="nil"/>
                    <w:bottom w:val="nil"/>
                    <w:right w:val="single" w:sz="4" w:space="0" w:color="auto"/>
                  </w:tcBorders>
                  <w:shd w:val="clear" w:color="auto" w:fill="auto"/>
                  <w:noWrap/>
                  <w:vAlign w:val="center"/>
                  <w:hideMark/>
                </w:tcPr>
                <w:p w14:paraId="52B14898"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4%</w:t>
                  </w:r>
                </w:p>
              </w:tc>
            </w:tr>
            <w:tr w:rsidR="00C07886" w:rsidRPr="00C07886" w14:paraId="3DF3A94E" w14:textId="77777777" w:rsidTr="00C07886">
              <w:trPr>
                <w:trHeight w:val="300"/>
              </w:trPr>
              <w:tc>
                <w:tcPr>
                  <w:tcW w:w="732" w:type="dxa"/>
                  <w:tcBorders>
                    <w:top w:val="nil"/>
                    <w:left w:val="single" w:sz="4" w:space="0" w:color="auto"/>
                    <w:bottom w:val="nil"/>
                    <w:right w:val="single" w:sz="8" w:space="0" w:color="auto"/>
                  </w:tcBorders>
                  <w:shd w:val="clear" w:color="auto" w:fill="auto"/>
                  <w:noWrap/>
                  <w:vAlign w:val="center"/>
                  <w:hideMark/>
                </w:tcPr>
                <w:p w14:paraId="47BEBBF1"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AF11</w:t>
                  </w:r>
                </w:p>
              </w:tc>
              <w:tc>
                <w:tcPr>
                  <w:tcW w:w="6695" w:type="dxa"/>
                  <w:tcBorders>
                    <w:top w:val="nil"/>
                    <w:left w:val="nil"/>
                    <w:bottom w:val="nil"/>
                    <w:right w:val="single" w:sz="8" w:space="0" w:color="auto"/>
                  </w:tcBorders>
                  <w:shd w:val="clear" w:color="auto" w:fill="auto"/>
                  <w:vAlign w:val="center"/>
                  <w:hideMark/>
                </w:tcPr>
                <w:p w14:paraId="7B3CDFA5"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R&amp;D- EDUCATION: EDUCATIONAL (BASIC RESEARCH)</w:t>
                  </w:r>
                </w:p>
              </w:tc>
              <w:tc>
                <w:tcPr>
                  <w:tcW w:w="1388" w:type="dxa"/>
                  <w:tcBorders>
                    <w:top w:val="nil"/>
                    <w:left w:val="nil"/>
                    <w:bottom w:val="nil"/>
                    <w:right w:val="single" w:sz="8" w:space="0" w:color="auto"/>
                  </w:tcBorders>
                  <w:shd w:val="clear" w:color="auto" w:fill="auto"/>
                  <w:noWrap/>
                  <w:vAlign w:val="center"/>
                  <w:hideMark/>
                </w:tcPr>
                <w:p w14:paraId="695CA7A3"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$69,738,830 </w:t>
                  </w:r>
                </w:p>
              </w:tc>
              <w:tc>
                <w:tcPr>
                  <w:tcW w:w="1255" w:type="dxa"/>
                  <w:tcBorders>
                    <w:top w:val="nil"/>
                    <w:left w:val="nil"/>
                    <w:bottom w:val="nil"/>
                    <w:right w:val="single" w:sz="4" w:space="0" w:color="auto"/>
                  </w:tcBorders>
                  <w:shd w:val="clear" w:color="auto" w:fill="auto"/>
                  <w:noWrap/>
                  <w:vAlign w:val="center"/>
                  <w:hideMark/>
                </w:tcPr>
                <w:p w14:paraId="22980B3B"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3%</w:t>
                  </w:r>
                </w:p>
              </w:tc>
            </w:tr>
            <w:tr w:rsidR="00C07886" w:rsidRPr="00C07886" w14:paraId="75D73F82" w14:textId="77777777" w:rsidTr="00C07886">
              <w:trPr>
                <w:trHeight w:val="480"/>
              </w:trPr>
              <w:tc>
                <w:tcPr>
                  <w:tcW w:w="732" w:type="dxa"/>
                  <w:tcBorders>
                    <w:top w:val="nil"/>
                    <w:left w:val="single" w:sz="4" w:space="0" w:color="auto"/>
                    <w:bottom w:val="nil"/>
                    <w:right w:val="single" w:sz="8" w:space="0" w:color="auto"/>
                  </w:tcBorders>
                  <w:shd w:val="clear" w:color="auto" w:fill="auto"/>
                  <w:noWrap/>
                  <w:vAlign w:val="center"/>
                  <w:hideMark/>
                </w:tcPr>
                <w:p w14:paraId="47B2EB21"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D318</w:t>
                  </w:r>
                </w:p>
              </w:tc>
              <w:tc>
                <w:tcPr>
                  <w:tcW w:w="6695" w:type="dxa"/>
                  <w:tcBorders>
                    <w:top w:val="nil"/>
                    <w:left w:val="nil"/>
                    <w:bottom w:val="nil"/>
                    <w:right w:val="single" w:sz="8" w:space="0" w:color="auto"/>
                  </w:tcBorders>
                  <w:shd w:val="clear" w:color="auto" w:fill="auto"/>
                  <w:vAlign w:val="center"/>
                  <w:hideMark/>
                </w:tcPr>
                <w:p w14:paraId="35F32A01"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IT AND TELECOM – INTEGRATED HARDWARE/SOFTWARE/SERVICES SOLUTIONS, PREDOMINATELY SERVICES</w:t>
                  </w:r>
                </w:p>
              </w:tc>
              <w:tc>
                <w:tcPr>
                  <w:tcW w:w="1388" w:type="dxa"/>
                  <w:tcBorders>
                    <w:top w:val="nil"/>
                    <w:left w:val="nil"/>
                    <w:bottom w:val="nil"/>
                    <w:right w:val="single" w:sz="8" w:space="0" w:color="auto"/>
                  </w:tcBorders>
                  <w:shd w:val="clear" w:color="auto" w:fill="auto"/>
                  <w:noWrap/>
                  <w:vAlign w:val="center"/>
                  <w:hideMark/>
                </w:tcPr>
                <w:p w14:paraId="4C9F3A1C"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$60,248,033 </w:t>
                  </w:r>
                </w:p>
              </w:tc>
              <w:tc>
                <w:tcPr>
                  <w:tcW w:w="1255" w:type="dxa"/>
                  <w:tcBorders>
                    <w:top w:val="nil"/>
                    <w:left w:val="nil"/>
                    <w:bottom w:val="nil"/>
                    <w:right w:val="single" w:sz="4" w:space="0" w:color="auto"/>
                  </w:tcBorders>
                  <w:shd w:val="clear" w:color="auto" w:fill="auto"/>
                  <w:noWrap/>
                  <w:vAlign w:val="center"/>
                  <w:hideMark/>
                </w:tcPr>
                <w:p w14:paraId="13852488"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2%</w:t>
                  </w:r>
                </w:p>
              </w:tc>
            </w:tr>
            <w:tr w:rsidR="00C07886" w:rsidRPr="00C07886" w14:paraId="0BD1B3FB" w14:textId="77777777" w:rsidTr="00C07886">
              <w:trPr>
                <w:trHeight w:val="300"/>
              </w:trPr>
              <w:tc>
                <w:tcPr>
                  <w:tcW w:w="732" w:type="dxa"/>
                  <w:tcBorders>
                    <w:top w:val="nil"/>
                    <w:left w:val="single" w:sz="4" w:space="0" w:color="auto"/>
                    <w:bottom w:val="nil"/>
                    <w:right w:val="single" w:sz="8" w:space="0" w:color="auto"/>
                  </w:tcBorders>
                  <w:shd w:val="clear" w:color="auto" w:fill="auto"/>
                  <w:noWrap/>
                  <w:vAlign w:val="center"/>
                  <w:hideMark/>
                </w:tcPr>
                <w:p w14:paraId="5DAC50B7"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B542</w:t>
                  </w:r>
                </w:p>
              </w:tc>
              <w:tc>
                <w:tcPr>
                  <w:tcW w:w="6695" w:type="dxa"/>
                  <w:tcBorders>
                    <w:top w:val="nil"/>
                    <w:left w:val="nil"/>
                    <w:bottom w:val="nil"/>
                    <w:right w:val="single" w:sz="8" w:space="0" w:color="auto"/>
                  </w:tcBorders>
                  <w:shd w:val="clear" w:color="auto" w:fill="auto"/>
                  <w:vAlign w:val="center"/>
                  <w:hideMark/>
                </w:tcPr>
                <w:p w14:paraId="36A16B4D"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SPECIAL STUDIES/ANALYSIS- EDUCATIONAL</w:t>
                  </w:r>
                </w:p>
              </w:tc>
              <w:tc>
                <w:tcPr>
                  <w:tcW w:w="1388" w:type="dxa"/>
                  <w:tcBorders>
                    <w:top w:val="nil"/>
                    <w:left w:val="nil"/>
                    <w:bottom w:val="nil"/>
                    <w:right w:val="single" w:sz="8" w:space="0" w:color="auto"/>
                  </w:tcBorders>
                  <w:shd w:val="clear" w:color="auto" w:fill="auto"/>
                  <w:noWrap/>
                  <w:vAlign w:val="center"/>
                  <w:hideMark/>
                </w:tcPr>
                <w:p w14:paraId="699E353F"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$55,172,644 </w:t>
                  </w:r>
                </w:p>
              </w:tc>
              <w:tc>
                <w:tcPr>
                  <w:tcW w:w="1255" w:type="dxa"/>
                  <w:tcBorders>
                    <w:top w:val="nil"/>
                    <w:left w:val="nil"/>
                    <w:bottom w:val="nil"/>
                    <w:right w:val="single" w:sz="4" w:space="0" w:color="auto"/>
                  </w:tcBorders>
                  <w:shd w:val="clear" w:color="auto" w:fill="auto"/>
                  <w:noWrap/>
                  <w:vAlign w:val="center"/>
                  <w:hideMark/>
                </w:tcPr>
                <w:p w14:paraId="756DAEA4"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2%</w:t>
                  </w:r>
                </w:p>
              </w:tc>
            </w:tr>
            <w:tr w:rsidR="00C07886" w:rsidRPr="00C07886" w14:paraId="00749564" w14:textId="77777777" w:rsidTr="00C07886">
              <w:trPr>
                <w:trHeight w:val="480"/>
              </w:trPr>
              <w:tc>
                <w:tcPr>
                  <w:tcW w:w="732" w:type="dxa"/>
                  <w:tcBorders>
                    <w:top w:val="nil"/>
                    <w:left w:val="single" w:sz="4" w:space="0" w:color="auto"/>
                    <w:bottom w:val="nil"/>
                    <w:right w:val="single" w:sz="8" w:space="0" w:color="auto"/>
                  </w:tcBorders>
                  <w:shd w:val="clear" w:color="auto" w:fill="auto"/>
                  <w:noWrap/>
                  <w:vAlign w:val="center"/>
                  <w:hideMark/>
                </w:tcPr>
                <w:p w14:paraId="06F254F7"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D313</w:t>
                  </w:r>
                </w:p>
              </w:tc>
              <w:tc>
                <w:tcPr>
                  <w:tcW w:w="6695" w:type="dxa"/>
                  <w:tcBorders>
                    <w:top w:val="nil"/>
                    <w:left w:val="nil"/>
                    <w:bottom w:val="nil"/>
                    <w:right w:val="single" w:sz="8" w:space="0" w:color="auto"/>
                  </w:tcBorders>
                  <w:shd w:val="clear" w:color="auto" w:fill="auto"/>
                  <w:vAlign w:val="center"/>
                  <w:hideMark/>
                </w:tcPr>
                <w:p w14:paraId="19B244BA"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IT AND TELECOM- COMPUTER AIDED DESIGN/COMPUTER AIDED MANUFACTURING (CAD/CAM)</w:t>
                  </w:r>
                </w:p>
              </w:tc>
              <w:tc>
                <w:tcPr>
                  <w:tcW w:w="1388" w:type="dxa"/>
                  <w:tcBorders>
                    <w:top w:val="nil"/>
                    <w:left w:val="nil"/>
                    <w:bottom w:val="nil"/>
                    <w:right w:val="single" w:sz="8" w:space="0" w:color="auto"/>
                  </w:tcBorders>
                  <w:shd w:val="clear" w:color="auto" w:fill="auto"/>
                  <w:noWrap/>
                  <w:vAlign w:val="center"/>
                  <w:hideMark/>
                </w:tcPr>
                <w:p w14:paraId="67034180"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$30,314,957 </w:t>
                  </w:r>
                </w:p>
              </w:tc>
              <w:tc>
                <w:tcPr>
                  <w:tcW w:w="1255" w:type="dxa"/>
                  <w:tcBorders>
                    <w:top w:val="nil"/>
                    <w:left w:val="nil"/>
                    <w:bottom w:val="nil"/>
                    <w:right w:val="single" w:sz="4" w:space="0" w:color="auto"/>
                  </w:tcBorders>
                  <w:shd w:val="clear" w:color="auto" w:fill="auto"/>
                  <w:noWrap/>
                  <w:vAlign w:val="center"/>
                  <w:hideMark/>
                </w:tcPr>
                <w:p w14:paraId="02F4B29B"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1%</w:t>
                  </w:r>
                </w:p>
              </w:tc>
            </w:tr>
            <w:tr w:rsidR="00C07886" w:rsidRPr="00C07886" w14:paraId="0395C2B1" w14:textId="77777777" w:rsidTr="00C07886">
              <w:trPr>
                <w:trHeight w:val="300"/>
              </w:trPr>
              <w:tc>
                <w:tcPr>
                  <w:tcW w:w="732" w:type="dxa"/>
                  <w:tcBorders>
                    <w:top w:val="nil"/>
                    <w:left w:val="single" w:sz="4" w:space="0" w:color="auto"/>
                    <w:bottom w:val="single" w:sz="4" w:space="0" w:color="auto"/>
                    <w:right w:val="single" w:sz="8" w:space="0" w:color="auto"/>
                  </w:tcBorders>
                  <w:shd w:val="clear" w:color="auto" w:fill="auto"/>
                  <w:noWrap/>
                  <w:vAlign w:val="center"/>
                  <w:hideMark/>
                </w:tcPr>
                <w:p w14:paraId="1393CFD6"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R408</w:t>
                  </w:r>
                </w:p>
              </w:tc>
              <w:tc>
                <w:tcPr>
                  <w:tcW w:w="6695" w:type="dxa"/>
                  <w:tcBorders>
                    <w:top w:val="nil"/>
                    <w:left w:val="nil"/>
                    <w:bottom w:val="single" w:sz="4" w:space="0" w:color="auto"/>
                    <w:right w:val="single" w:sz="8" w:space="0" w:color="auto"/>
                  </w:tcBorders>
                  <w:shd w:val="clear" w:color="auto" w:fill="auto"/>
                  <w:vAlign w:val="center"/>
                  <w:hideMark/>
                </w:tcPr>
                <w:p w14:paraId="2898F930" w14:textId="77777777" w:rsidR="00C07886" w:rsidRPr="00C07886" w:rsidRDefault="00C07886" w:rsidP="00C07886">
                  <w:pPr>
                    <w:spacing w:after="0" w:line="240" w:lineRule="auto"/>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SUPPORT- PROFESSIONAL: PROGRAM MANAGEMENT/SUPPORT</w:t>
                  </w:r>
                </w:p>
              </w:tc>
              <w:tc>
                <w:tcPr>
                  <w:tcW w:w="1388" w:type="dxa"/>
                  <w:tcBorders>
                    <w:top w:val="nil"/>
                    <w:left w:val="nil"/>
                    <w:bottom w:val="single" w:sz="4" w:space="0" w:color="auto"/>
                    <w:right w:val="single" w:sz="8" w:space="0" w:color="auto"/>
                  </w:tcBorders>
                  <w:shd w:val="clear" w:color="auto" w:fill="auto"/>
                  <w:noWrap/>
                  <w:vAlign w:val="center"/>
                  <w:hideMark/>
                </w:tcPr>
                <w:p w14:paraId="0F9C72D9"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 xml:space="preserve">$4,398,096 </w:t>
                  </w:r>
                </w:p>
              </w:tc>
              <w:tc>
                <w:tcPr>
                  <w:tcW w:w="1255" w:type="dxa"/>
                  <w:tcBorders>
                    <w:top w:val="nil"/>
                    <w:left w:val="nil"/>
                    <w:bottom w:val="single" w:sz="4" w:space="0" w:color="auto"/>
                    <w:right w:val="single" w:sz="4" w:space="0" w:color="auto"/>
                  </w:tcBorders>
                  <w:shd w:val="clear" w:color="auto" w:fill="auto"/>
                  <w:noWrap/>
                  <w:vAlign w:val="center"/>
                  <w:hideMark/>
                </w:tcPr>
                <w:p w14:paraId="7FEEB4A9" w14:textId="77777777" w:rsidR="00C07886" w:rsidRPr="00C07886" w:rsidRDefault="00C07886" w:rsidP="00C07886">
                  <w:pPr>
                    <w:spacing w:after="0" w:line="240" w:lineRule="auto"/>
                    <w:jc w:val="right"/>
                    <w:rPr>
                      <w:rFonts w:ascii="Times New Roman" w:eastAsia="Times New Roman" w:hAnsi="Times New Roman" w:cs="Times New Roman"/>
                      <w:color w:val="000000"/>
                      <w:sz w:val="18"/>
                      <w:szCs w:val="18"/>
                    </w:rPr>
                  </w:pPr>
                  <w:r w:rsidRPr="00C07886">
                    <w:rPr>
                      <w:rFonts w:ascii="Times New Roman" w:eastAsia="Times New Roman" w:hAnsi="Times New Roman" w:cs="Times New Roman"/>
                      <w:color w:val="000000"/>
                      <w:sz w:val="18"/>
                      <w:szCs w:val="18"/>
                    </w:rPr>
                    <w:t>0%</w:t>
                  </w:r>
                </w:p>
              </w:tc>
            </w:tr>
          </w:tbl>
          <w:p w14:paraId="235AA731" w14:textId="77777777" w:rsidR="00C07886" w:rsidRDefault="00C07886" w:rsidP="00CC0DD0">
            <w:pPr>
              <w:jc w:val="center"/>
              <w:rPr>
                <w:rFonts w:ascii="Times New Roman" w:eastAsia="Calibri" w:hAnsi="Times New Roman" w:cs="Times New Roman"/>
                <w:sz w:val="24"/>
                <w:szCs w:val="24"/>
              </w:rPr>
            </w:pPr>
          </w:p>
        </w:tc>
      </w:tr>
    </w:tbl>
    <w:p w14:paraId="3509217D" w14:textId="77777777" w:rsidR="00394BDD" w:rsidRDefault="00394BDD" w:rsidP="00CC0DD0">
      <w:pPr>
        <w:spacing w:after="0" w:line="240" w:lineRule="auto"/>
        <w:jc w:val="center"/>
        <w:rPr>
          <w:rFonts w:ascii="Times New Roman" w:eastAsia="Calibri" w:hAnsi="Times New Roman" w:cs="Times New Roman"/>
          <w:sz w:val="24"/>
          <w:szCs w:val="24"/>
        </w:rPr>
      </w:pPr>
    </w:p>
    <w:p w14:paraId="3A56946C" w14:textId="77777777" w:rsidR="00394BDD" w:rsidRDefault="00394BDD" w:rsidP="00CC0DD0">
      <w:pPr>
        <w:spacing w:after="0" w:line="240" w:lineRule="auto"/>
        <w:jc w:val="center"/>
        <w:rPr>
          <w:rFonts w:ascii="Times New Roman" w:eastAsia="Calibri" w:hAnsi="Times New Roman" w:cs="Times New Roman"/>
          <w:sz w:val="24"/>
          <w:szCs w:val="24"/>
        </w:rPr>
      </w:pPr>
    </w:p>
    <w:p w14:paraId="2688CF2C" w14:textId="77777777" w:rsidR="00A86D74" w:rsidRDefault="00A86D74" w:rsidP="00CC0DD0">
      <w:pPr>
        <w:spacing w:after="0" w:line="240" w:lineRule="auto"/>
        <w:jc w:val="center"/>
        <w:rPr>
          <w:rFonts w:ascii="Times New Roman" w:eastAsia="Calibri" w:hAnsi="Times New Roman" w:cs="Times New Roman"/>
          <w:sz w:val="24"/>
          <w:szCs w:val="24"/>
        </w:rPr>
      </w:pPr>
    </w:p>
    <w:p w14:paraId="69809FF3" w14:textId="77777777" w:rsidR="003602A3" w:rsidRDefault="003602A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6852CBC" w14:textId="77777777" w:rsidR="00394BDD" w:rsidRPr="00936028" w:rsidRDefault="00394BDD" w:rsidP="00CC0DD0">
      <w:pPr>
        <w:spacing w:after="0" w:line="240" w:lineRule="auto"/>
        <w:jc w:val="center"/>
        <w:rPr>
          <w:rFonts w:ascii="Times New Roman" w:eastAsia="Calibri" w:hAnsi="Times New Roman" w:cs="Times New Roman"/>
          <w:sz w:val="24"/>
          <w:szCs w:val="24"/>
        </w:rPr>
      </w:pPr>
    </w:p>
    <w:p w14:paraId="3E11DAA6" w14:textId="77777777" w:rsidR="0024528D" w:rsidRDefault="0024528D" w:rsidP="00CC0DD0">
      <w:pPr>
        <w:spacing w:after="0" w:line="240" w:lineRule="auto"/>
        <w:jc w:val="center"/>
        <w:rPr>
          <w:rFonts w:ascii="Times New Roman" w:eastAsia="Calibri" w:hAnsi="Times New Roman" w:cs="Times New Roman"/>
          <w:b/>
          <w:sz w:val="24"/>
          <w:szCs w:val="24"/>
        </w:rPr>
      </w:pPr>
    </w:p>
    <w:p w14:paraId="4DFDEE8A" w14:textId="77777777" w:rsidR="00CC0DD0" w:rsidRDefault="00CC0DD0" w:rsidP="00CC0DD0">
      <w:pPr>
        <w:spacing w:after="0" w:line="240" w:lineRule="auto"/>
        <w:jc w:val="center"/>
        <w:rPr>
          <w:rFonts w:ascii="Times New Roman" w:eastAsia="Calibri" w:hAnsi="Times New Roman" w:cs="Times New Roman"/>
          <w:b/>
          <w:sz w:val="24"/>
          <w:szCs w:val="24"/>
        </w:rPr>
      </w:pPr>
      <w:r w:rsidRPr="0083453E">
        <w:rPr>
          <w:rFonts w:ascii="Times New Roman" w:eastAsia="Calibri" w:hAnsi="Times New Roman" w:cs="Times New Roman"/>
          <w:b/>
          <w:sz w:val="24"/>
          <w:szCs w:val="24"/>
        </w:rPr>
        <w:t xml:space="preserve">Table 2 – </w:t>
      </w:r>
      <w:r w:rsidR="0024528D">
        <w:rPr>
          <w:rFonts w:ascii="Times New Roman" w:eastAsia="Calibri" w:hAnsi="Times New Roman" w:cs="Times New Roman"/>
          <w:b/>
          <w:sz w:val="24"/>
          <w:szCs w:val="24"/>
        </w:rPr>
        <w:t>PSC</w:t>
      </w:r>
      <w:r w:rsidRPr="0083453E">
        <w:rPr>
          <w:rFonts w:ascii="Times New Roman" w:eastAsia="Calibri" w:hAnsi="Times New Roman" w:cs="Times New Roman"/>
          <w:b/>
          <w:sz w:val="24"/>
          <w:szCs w:val="24"/>
        </w:rPr>
        <w:t xml:space="preserve"> Detail</w:t>
      </w:r>
      <w:r w:rsidR="0024528D">
        <w:rPr>
          <w:rFonts w:ascii="Times New Roman" w:eastAsia="Calibri" w:hAnsi="Times New Roman" w:cs="Times New Roman"/>
          <w:b/>
          <w:sz w:val="24"/>
          <w:szCs w:val="24"/>
        </w:rPr>
        <w:t xml:space="preserve"> and Rationale</w:t>
      </w:r>
    </w:p>
    <w:p w14:paraId="21B514FA" w14:textId="77777777" w:rsidR="0078751A" w:rsidRPr="0083453E" w:rsidRDefault="0078751A" w:rsidP="00CC0DD0">
      <w:pPr>
        <w:spacing w:after="0" w:line="240" w:lineRule="auto"/>
        <w:jc w:val="center"/>
        <w:rPr>
          <w:rFonts w:ascii="Times New Roman" w:eastAsia="Calibri" w:hAnsi="Times New Roman" w:cs="Times New Roman"/>
          <w:b/>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073"/>
        <w:gridCol w:w="7731"/>
      </w:tblGrid>
      <w:tr w:rsidR="00CC0DD0" w:rsidRPr="00926468" w14:paraId="7DC91C43" w14:textId="77777777" w:rsidTr="0083453E">
        <w:trPr>
          <w:trHeight w:val="890"/>
        </w:trPr>
        <w:tc>
          <w:tcPr>
            <w:tcW w:w="654" w:type="dxa"/>
            <w:shd w:val="clear" w:color="auto" w:fill="auto"/>
          </w:tcPr>
          <w:p w14:paraId="3AF2836D"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AF11</w:t>
            </w:r>
          </w:p>
        </w:tc>
        <w:tc>
          <w:tcPr>
            <w:tcW w:w="2073" w:type="dxa"/>
            <w:shd w:val="clear" w:color="auto" w:fill="auto"/>
          </w:tcPr>
          <w:p w14:paraId="04A8C6D1"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Research and Development – Education (Basic)</w:t>
            </w:r>
          </w:p>
        </w:tc>
        <w:tc>
          <w:tcPr>
            <w:tcW w:w="7731" w:type="dxa"/>
            <w:shd w:val="clear" w:color="auto" w:fill="auto"/>
          </w:tcPr>
          <w:p w14:paraId="59DFE7B6" w14:textId="77777777" w:rsidR="00CC0DD0" w:rsidRPr="0083453E" w:rsidRDefault="00CC0DD0" w:rsidP="009E4FD2">
            <w:pPr>
              <w:numPr>
                <w:ilvl w:val="0"/>
                <w:numId w:val="1"/>
              </w:numPr>
              <w:spacing w:after="0" w:line="240" w:lineRule="auto"/>
              <w:ind w:left="276" w:hanging="276"/>
              <w:contextualSpacing/>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 xml:space="preserve">PSC considered a mission critical function of the Department. Research and Special Studies are services that are identified as being commercial services and appropriately outsourced under prior FAIR Act Inventory reviews. </w:t>
            </w:r>
          </w:p>
        </w:tc>
      </w:tr>
      <w:tr w:rsidR="00CC0DD0" w:rsidRPr="00926468" w14:paraId="6F6793D8" w14:textId="77777777" w:rsidTr="0083453E">
        <w:trPr>
          <w:trHeight w:val="656"/>
        </w:trPr>
        <w:tc>
          <w:tcPr>
            <w:tcW w:w="654" w:type="dxa"/>
            <w:shd w:val="clear" w:color="auto" w:fill="auto"/>
          </w:tcPr>
          <w:p w14:paraId="274E2CCE"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B506</w:t>
            </w:r>
          </w:p>
        </w:tc>
        <w:tc>
          <w:tcPr>
            <w:tcW w:w="2073" w:type="dxa"/>
            <w:shd w:val="clear" w:color="auto" w:fill="auto"/>
          </w:tcPr>
          <w:p w14:paraId="7D19950D"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Study/Data Other Than Scientific</w:t>
            </w:r>
          </w:p>
        </w:tc>
        <w:tc>
          <w:tcPr>
            <w:tcW w:w="7731" w:type="dxa"/>
            <w:shd w:val="clear" w:color="auto" w:fill="auto"/>
          </w:tcPr>
          <w:p w14:paraId="59781918" w14:textId="77777777" w:rsidR="00CC0DD0" w:rsidRPr="0083453E" w:rsidRDefault="00CC0DD0" w:rsidP="009E4FD2">
            <w:pPr>
              <w:numPr>
                <w:ilvl w:val="0"/>
                <w:numId w:val="1"/>
              </w:numPr>
              <w:spacing w:after="0" w:line="240" w:lineRule="auto"/>
              <w:ind w:left="252" w:hanging="252"/>
              <w:contextualSpacing/>
              <w:rPr>
                <w:rFonts w:ascii="Times New Roman" w:eastAsia="Times New Roman" w:hAnsi="Times New Roman" w:cs="Times New Roman"/>
                <w:sz w:val="18"/>
                <w:szCs w:val="18"/>
              </w:rPr>
            </w:pPr>
            <w:r w:rsidRPr="003206F4">
              <w:rPr>
                <w:rFonts w:ascii="Times New Roman" w:eastAsia="Times New Roman" w:hAnsi="Times New Roman" w:cs="Times New Roman"/>
                <w:sz w:val="18"/>
                <w:szCs w:val="18"/>
              </w:rPr>
              <w:t xml:space="preserve">Many of the services </w:t>
            </w:r>
            <w:r w:rsidR="009E4FD2" w:rsidRPr="003206F4">
              <w:rPr>
                <w:rFonts w:ascii="Times New Roman" w:eastAsia="Times New Roman" w:hAnsi="Times New Roman" w:cs="Times New Roman"/>
                <w:sz w:val="18"/>
                <w:szCs w:val="18"/>
              </w:rPr>
              <w:t xml:space="preserve">under </w:t>
            </w:r>
            <w:r w:rsidRPr="003206F4">
              <w:rPr>
                <w:rFonts w:ascii="Times New Roman" w:eastAsia="Times New Roman" w:hAnsi="Times New Roman" w:cs="Times New Roman"/>
                <w:sz w:val="18"/>
                <w:szCs w:val="18"/>
              </w:rPr>
              <w:t>contract</w:t>
            </w:r>
            <w:r w:rsidR="009E4FD2" w:rsidRPr="003206F4">
              <w:rPr>
                <w:rFonts w:ascii="Times New Roman" w:eastAsia="Times New Roman" w:hAnsi="Times New Roman" w:cs="Times New Roman"/>
                <w:sz w:val="18"/>
                <w:szCs w:val="18"/>
              </w:rPr>
              <w:t xml:space="preserve"> </w:t>
            </w:r>
            <w:r w:rsidRPr="003206F4">
              <w:rPr>
                <w:rFonts w:ascii="Times New Roman" w:eastAsia="Times New Roman" w:hAnsi="Times New Roman" w:cs="Times New Roman"/>
                <w:sz w:val="18"/>
                <w:szCs w:val="18"/>
              </w:rPr>
              <w:t xml:space="preserve">in this PSC </w:t>
            </w:r>
            <w:r w:rsidR="009E4FD2" w:rsidRPr="003206F4">
              <w:rPr>
                <w:rFonts w:ascii="Times New Roman" w:eastAsia="Times New Roman" w:hAnsi="Times New Roman" w:cs="Times New Roman"/>
                <w:sz w:val="18"/>
                <w:szCs w:val="18"/>
              </w:rPr>
              <w:t>are</w:t>
            </w:r>
            <w:r w:rsidRPr="003206F4">
              <w:rPr>
                <w:rFonts w:ascii="Times New Roman" w:eastAsia="Times New Roman" w:hAnsi="Times New Roman" w:cs="Times New Roman"/>
                <w:sz w:val="18"/>
                <w:szCs w:val="18"/>
              </w:rPr>
              <w:t xml:space="preserve"> non-commercial</w:t>
            </w:r>
            <w:r w:rsidRPr="0083453E">
              <w:rPr>
                <w:rFonts w:ascii="Times New Roman" w:eastAsia="Times New Roman" w:hAnsi="Times New Roman" w:cs="Times New Roman"/>
                <w:sz w:val="18"/>
                <w:szCs w:val="18"/>
              </w:rPr>
              <w:t>; there is a higher risk for over-reliance on contractor</w:t>
            </w:r>
            <w:r w:rsidR="009E4FD2">
              <w:rPr>
                <w:rFonts w:ascii="Times New Roman" w:eastAsia="Times New Roman" w:hAnsi="Times New Roman" w:cs="Times New Roman"/>
                <w:sz w:val="18"/>
                <w:szCs w:val="18"/>
              </w:rPr>
              <w:t>s for these types of contracts.</w:t>
            </w:r>
          </w:p>
        </w:tc>
      </w:tr>
      <w:tr w:rsidR="00CC0DD0" w:rsidRPr="00926468" w14:paraId="785E2F9C" w14:textId="77777777" w:rsidTr="0083453E">
        <w:trPr>
          <w:trHeight w:val="665"/>
        </w:trPr>
        <w:tc>
          <w:tcPr>
            <w:tcW w:w="654" w:type="dxa"/>
            <w:shd w:val="clear" w:color="auto" w:fill="auto"/>
          </w:tcPr>
          <w:p w14:paraId="739FB569"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B542</w:t>
            </w:r>
          </w:p>
        </w:tc>
        <w:tc>
          <w:tcPr>
            <w:tcW w:w="2073" w:type="dxa"/>
            <w:shd w:val="clear" w:color="auto" w:fill="auto"/>
          </w:tcPr>
          <w:p w14:paraId="50FF655E"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Educational Studies and Analyses</w:t>
            </w:r>
          </w:p>
        </w:tc>
        <w:tc>
          <w:tcPr>
            <w:tcW w:w="7731" w:type="dxa"/>
            <w:shd w:val="clear" w:color="auto" w:fill="auto"/>
          </w:tcPr>
          <w:p w14:paraId="70E0BA76" w14:textId="77777777" w:rsidR="00CC0DD0" w:rsidRPr="0083453E" w:rsidRDefault="009E4FD2" w:rsidP="009E4FD2">
            <w:pPr>
              <w:numPr>
                <w:ilvl w:val="0"/>
                <w:numId w:val="1"/>
              </w:numPr>
              <w:spacing w:after="0" w:line="240" w:lineRule="auto"/>
              <w:ind w:left="252" w:hanging="252"/>
              <w:contextualSpacing/>
              <w:rPr>
                <w:rFonts w:ascii="Times New Roman" w:eastAsia="Times New Roman" w:hAnsi="Times New Roman" w:cs="Times New Roman"/>
                <w:sz w:val="18"/>
                <w:szCs w:val="18"/>
              </w:rPr>
            </w:pPr>
            <w:r w:rsidRPr="003206F4">
              <w:rPr>
                <w:rFonts w:ascii="Times New Roman" w:eastAsia="Times New Roman" w:hAnsi="Times New Roman" w:cs="Times New Roman"/>
                <w:sz w:val="18"/>
                <w:szCs w:val="18"/>
              </w:rPr>
              <w:t>Many of the services under contract in this PSC are non-commercial</w:t>
            </w:r>
            <w:r w:rsidRPr="0083453E">
              <w:rPr>
                <w:rFonts w:ascii="Times New Roman" w:eastAsia="Times New Roman" w:hAnsi="Times New Roman" w:cs="Times New Roman"/>
                <w:sz w:val="18"/>
                <w:szCs w:val="18"/>
              </w:rPr>
              <w:t>; there is a higher risk for over-reliance on contractor</w:t>
            </w:r>
            <w:r>
              <w:rPr>
                <w:rFonts w:ascii="Times New Roman" w:eastAsia="Times New Roman" w:hAnsi="Times New Roman" w:cs="Times New Roman"/>
                <w:sz w:val="18"/>
                <w:szCs w:val="18"/>
              </w:rPr>
              <w:t>s for these types of contracts.</w:t>
            </w:r>
          </w:p>
        </w:tc>
      </w:tr>
      <w:tr w:rsidR="00CC0DD0" w:rsidRPr="00926468" w14:paraId="1930B1DE" w14:textId="77777777" w:rsidTr="0083453E">
        <w:trPr>
          <w:trHeight w:val="665"/>
        </w:trPr>
        <w:tc>
          <w:tcPr>
            <w:tcW w:w="654" w:type="dxa"/>
            <w:shd w:val="clear" w:color="auto" w:fill="auto"/>
          </w:tcPr>
          <w:p w14:paraId="50555F7E"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D301</w:t>
            </w:r>
          </w:p>
        </w:tc>
        <w:tc>
          <w:tcPr>
            <w:tcW w:w="2073" w:type="dxa"/>
            <w:shd w:val="clear" w:color="auto" w:fill="auto"/>
          </w:tcPr>
          <w:p w14:paraId="763D4D4C"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IT &amp; Telecom:  Facility Operations &amp; Maintenance</w:t>
            </w:r>
          </w:p>
        </w:tc>
        <w:tc>
          <w:tcPr>
            <w:tcW w:w="7731" w:type="dxa"/>
            <w:shd w:val="clear" w:color="auto" w:fill="auto"/>
          </w:tcPr>
          <w:p w14:paraId="28CB455C" w14:textId="77777777" w:rsidR="00CC0DD0" w:rsidRPr="0083453E" w:rsidRDefault="009E4FD2" w:rsidP="009E4FD2">
            <w:pPr>
              <w:numPr>
                <w:ilvl w:val="0"/>
                <w:numId w:val="1"/>
              </w:numPr>
              <w:spacing w:after="0" w:line="240" w:lineRule="auto"/>
              <w:ind w:left="252" w:hanging="25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 top 10 PSC in terms of obligations representing 4% of total obligations.</w:t>
            </w:r>
            <w:r w:rsidR="00CC0DD0" w:rsidRPr="0083453E">
              <w:rPr>
                <w:rFonts w:ascii="Times New Roman" w:eastAsia="Times New Roman" w:hAnsi="Times New Roman" w:cs="Times New Roman"/>
                <w:sz w:val="18"/>
                <w:szCs w:val="18"/>
              </w:rPr>
              <w:t xml:space="preserve">  </w:t>
            </w:r>
          </w:p>
        </w:tc>
      </w:tr>
      <w:tr w:rsidR="00CC0DD0" w:rsidRPr="00926468" w14:paraId="5DDC17EA" w14:textId="77777777" w:rsidTr="0083453E">
        <w:trPr>
          <w:trHeight w:val="494"/>
        </w:trPr>
        <w:tc>
          <w:tcPr>
            <w:tcW w:w="654" w:type="dxa"/>
            <w:shd w:val="clear" w:color="auto" w:fill="auto"/>
          </w:tcPr>
          <w:p w14:paraId="7C244426"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D313</w:t>
            </w:r>
          </w:p>
        </w:tc>
        <w:tc>
          <w:tcPr>
            <w:tcW w:w="2073" w:type="dxa"/>
            <w:shd w:val="clear" w:color="auto" w:fill="auto"/>
          </w:tcPr>
          <w:p w14:paraId="16574FFB"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Computer Aided Design/Manufacturing</w:t>
            </w:r>
          </w:p>
          <w:p w14:paraId="2EA4127F"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 xml:space="preserve">Services </w:t>
            </w:r>
          </w:p>
        </w:tc>
        <w:tc>
          <w:tcPr>
            <w:tcW w:w="7731" w:type="dxa"/>
            <w:shd w:val="clear" w:color="auto" w:fill="auto"/>
          </w:tcPr>
          <w:p w14:paraId="67666275" w14:textId="77777777" w:rsidR="00CC0DD0" w:rsidRPr="0083453E" w:rsidRDefault="00CC0DD0" w:rsidP="009E4FD2">
            <w:pPr>
              <w:numPr>
                <w:ilvl w:val="0"/>
                <w:numId w:val="1"/>
              </w:numPr>
              <w:spacing w:after="0" w:line="240" w:lineRule="auto"/>
              <w:ind w:left="252" w:hanging="252"/>
              <w:contextualSpacing/>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PSC includes contracts for IT Acquisition Support Services, which are high on OMB’s priority</w:t>
            </w:r>
            <w:r w:rsidR="009E4FD2">
              <w:rPr>
                <w:rFonts w:ascii="Times New Roman" w:eastAsia="Times New Roman" w:hAnsi="Times New Roman" w:cs="Times New Roman"/>
                <w:sz w:val="18"/>
                <w:szCs w:val="18"/>
              </w:rPr>
              <w:t xml:space="preserve"> list.</w:t>
            </w:r>
          </w:p>
        </w:tc>
      </w:tr>
      <w:tr w:rsidR="00CC0DD0" w:rsidRPr="00926468" w14:paraId="41AA5255" w14:textId="77777777" w:rsidTr="0083453E">
        <w:trPr>
          <w:trHeight w:val="656"/>
        </w:trPr>
        <w:tc>
          <w:tcPr>
            <w:tcW w:w="654" w:type="dxa"/>
            <w:shd w:val="clear" w:color="auto" w:fill="auto"/>
          </w:tcPr>
          <w:p w14:paraId="5F8E5E0C" w14:textId="77777777" w:rsidR="00CC0DD0" w:rsidRPr="0083453E" w:rsidRDefault="00C35EDC" w:rsidP="002E2CB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D318</w:t>
            </w:r>
          </w:p>
        </w:tc>
        <w:tc>
          <w:tcPr>
            <w:tcW w:w="2073" w:type="dxa"/>
            <w:shd w:val="clear" w:color="auto" w:fill="auto"/>
          </w:tcPr>
          <w:p w14:paraId="73BADDBB" w14:textId="77777777" w:rsidR="00CC0DD0" w:rsidRPr="0083453E" w:rsidRDefault="00C35EDC" w:rsidP="002E2CB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IT and Telecom – Integrated Hardware/Software Services Solutions, Predominately Services</w:t>
            </w:r>
          </w:p>
        </w:tc>
        <w:tc>
          <w:tcPr>
            <w:tcW w:w="7731" w:type="dxa"/>
            <w:shd w:val="clear" w:color="auto" w:fill="auto"/>
          </w:tcPr>
          <w:p w14:paraId="62D933EF" w14:textId="77777777" w:rsidR="00CC0DD0" w:rsidRPr="0083453E" w:rsidRDefault="00864175" w:rsidP="00C366B8">
            <w:pPr>
              <w:numPr>
                <w:ilvl w:val="0"/>
                <w:numId w:val="2"/>
              </w:numPr>
              <w:spacing w:after="0" w:line="240" w:lineRule="auto"/>
              <w:ind w:left="252" w:hanging="25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 top 10 PSC in terms of obligations representing 2% of total obligations.</w:t>
            </w:r>
          </w:p>
        </w:tc>
      </w:tr>
      <w:tr w:rsidR="00C35EDC" w:rsidRPr="00926468" w14:paraId="7A710D5E" w14:textId="77777777" w:rsidTr="0083453E">
        <w:trPr>
          <w:trHeight w:val="665"/>
        </w:trPr>
        <w:tc>
          <w:tcPr>
            <w:tcW w:w="654" w:type="dxa"/>
            <w:shd w:val="clear" w:color="auto" w:fill="auto"/>
          </w:tcPr>
          <w:p w14:paraId="3E25600B" w14:textId="77777777" w:rsidR="00C35EDC" w:rsidRDefault="00C35EDC"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R408</w:t>
            </w:r>
          </w:p>
        </w:tc>
        <w:tc>
          <w:tcPr>
            <w:tcW w:w="2073" w:type="dxa"/>
            <w:shd w:val="clear" w:color="auto" w:fill="auto"/>
          </w:tcPr>
          <w:p w14:paraId="3AE265AE" w14:textId="77777777" w:rsidR="00C35EDC" w:rsidRDefault="00C35EDC" w:rsidP="00C35EDC">
            <w:pPr>
              <w:spacing w:after="0" w:line="240" w:lineRule="auto"/>
              <w:rPr>
                <w:rFonts w:ascii="Times New Roman" w:eastAsia="Times New Roman" w:hAnsi="Times New Roman" w:cs="Times New Roman"/>
                <w:color w:val="000000"/>
                <w:sz w:val="18"/>
                <w:szCs w:val="18"/>
              </w:rPr>
            </w:pPr>
            <w:r w:rsidRPr="0083453E">
              <w:rPr>
                <w:rFonts w:ascii="Times New Roman" w:eastAsia="Times New Roman" w:hAnsi="Times New Roman" w:cs="Times New Roman"/>
                <w:sz w:val="18"/>
                <w:szCs w:val="18"/>
              </w:rPr>
              <w:t>Support – Professional Program Management Support</w:t>
            </w:r>
          </w:p>
        </w:tc>
        <w:tc>
          <w:tcPr>
            <w:tcW w:w="7731" w:type="dxa"/>
            <w:shd w:val="clear" w:color="auto" w:fill="auto"/>
          </w:tcPr>
          <w:p w14:paraId="1A639C54" w14:textId="77777777" w:rsidR="00C35EDC" w:rsidRPr="0083453E" w:rsidRDefault="00C35EDC" w:rsidP="009E4FD2">
            <w:pPr>
              <w:numPr>
                <w:ilvl w:val="0"/>
                <w:numId w:val="2"/>
              </w:numPr>
              <w:spacing w:after="0" w:line="240" w:lineRule="auto"/>
              <w:ind w:left="252" w:hanging="252"/>
              <w:contextualSpacing/>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Identified as a targeted special interest function PSC under the ongoing effort to reduce contract spending for management support services (OMB initi</w:t>
            </w:r>
            <w:r w:rsidR="009E4FD2">
              <w:rPr>
                <w:rFonts w:ascii="Times New Roman" w:eastAsia="Times New Roman" w:hAnsi="Times New Roman" w:cs="Times New Roman"/>
                <w:sz w:val="18"/>
                <w:szCs w:val="18"/>
              </w:rPr>
              <w:t>ative).</w:t>
            </w:r>
          </w:p>
        </w:tc>
      </w:tr>
      <w:tr w:rsidR="00CC0DD0" w:rsidRPr="00926468" w14:paraId="08D9A3FA" w14:textId="77777777" w:rsidTr="0083453E">
        <w:trPr>
          <w:trHeight w:val="692"/>
        </w:trPr>
        <w:tc>
          <w:tcPr>
            <w:tcW w:w="654" w:type="dxa"/>
            <w:shd w:val="clear" w:color="auto" w:fill="auto"/>
          </w:tcPr>
          <w:p w14:paraId="5E1ABA98"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R499</w:t>
            </w:r>
          </w:p>
        </w:tc>
        <w:tc>
          <w:tcPr>
            <w:tcW w:w="2073" w:type="dxa"/>
            <w:shd w:val="clear" w:color="auto" w:fill="auto"/>
          </w:tcPr>
          <w:p w14:paraId="42754557"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Support – Professional / Other</w:t>
            </w:r>
          </w:p>
        </w:tc>
        <w:tc>
          <w:tcPr>
            <w:tcW w:w="7731" w:type="dxa"/>
            <w:shd w:val="clear" w:color="auto" w:fill="auto"/>
          </w:tcPr>
          <w:p w14:paraId="27F1F891" w14:textId="77777777" w:rsidR="00CC0DD0" w:rsidRPr="0083453E" w:rsidRDefault="00CC0DD0" w:rsidP="009E4FD2">
            <w:pPr>
              <w:numPr>
                <w:ilvl w:val="0"/>
                <w:numId w:val="1"/>
              </w:numPr>
              <w:spacing w:after="0" w:line="240" w:lineRule="auto"/>
              <w:ind w:left="252" w:hanging="252"/>
              <w:contextualSpacing/>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Identified as a targeted PSC under the ongoing effort to reduce contract spending for pr</w:t>
            </w:r>
            <w:r w:rsidR="009E4FD2">
              <w:rPr>
                <w:rFonts w:ascii="Times New Roman" w:eastAsia="Times New Roman" w:hAnsi="Times New Roman" w:cs="Times New Roman"/>
                <w:sz w:val="18"/>
                <w:szCs w:val="18"/>
              </w:rPr>
              <w:t>ofessional and other services.</w:t>
            </w:r>
          </w:p>
        </w:tc>
      </w:tr>
      <w:tr w:rsidR="00CC0DD0" w:rsidRPr="00926468" w14:paraId="2D535A66" w14:textId="77777777" w:rsidTr="0083453E">
        <w:trPr>
          <w:trHeight w:val="350"/>
        </w:trPr>
        <w:tc>
          <w:tcPr>
            <w:tcW w:w="654" w:type="dxa"/>
            <w:shd w:val="clear" w:color="auto" w:fill="auto"/>
          </w:tcPr>
          <w:p w14:paraId="2074645F"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R705</w:t>
            </w:r>
          </w:p>
        </w:tc>
        <w:tc>
          <w:tcPr>
            <w:tcW w:w="2073" w:type="dxa"/>
            <w:shd w:val="clear" w:color="auto" w:fill="auto"/>
          </w:tcPr>
          <w:p w14:paraId="2C3B4CFB"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Support:  Management Data Collection</w:t>
            </w:r>
          </w:p>
        </w:tc>
        <w:tc>
          <w:tcPr>
            <w:tcW w:w="7731" w:type="dxa"/>
            <w:shd w:val="clear" w:color="auto" w:fill="auto"/>
          </w:tcPr>
          <w:p w14:paraId="7A05030F" w14:textId="77777777" w:rsidR="00CC0DD0" w:rsidRPr="0083453E" w:rsidRDefault="00CC0DD0" w:rsidP="00C366B8">
            <w:pPr>
              <w:numPr>
                <w:ilvl w:val="0"/>
                <w:numId w:val="1"/>
              </w:numPr>
              <w:spacing w:after="0" w:line="240" w:lineRule="auto"/>
              <w:ind w:left="252" w:hanging="252"/>
              <w:contextualSpacing/>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Identified as a targeted PSC under the ongoing effort to reduce contract spending for management support services (OMB initiat</w:t>
            </w:r>
            <w:r w:rsidR="00C366B8">
              <w:rPr>
                <w:rFonts w:ascii="Times New Roman" w:eastAsia="Times New Roman" w:hAnsi="Times New Roman" w:cs="Times New Roman"/>
                <w:sz w:val="18"/>
                <w:szCs w:val="18"/>
              </w:rPr>
              <w:t>ive).  The Department spent $702</w:t>
            </w:r>
            <w:r w:rsidRPr="0083453E">
              <w:rPr>
                <w:rFonts w:ascii="Times New Roman" w:eastAsia="Times New Roman" w:hAnsi="Times New Roman" w:cs="Times New Roman"/>
                <w:sz w:val="18"/>
                <w:szCs w:val="18"/>
              </w:rPr>
              <w:t>M (2</w:t>
            </w:r>
            <w:r w:rsidR="00C366B8">
              <w:rPr>
                <w:rFonts w:ascii="Times New Roman" w:eastAsia="Times New Roman" w:hAnsi="Times New Roman" w:cs="Times New Roman"/>
                <w:sz w:val="18"/>
                <w:szCs w:val="18"/>
              </w:rPr>
              <w:t>8</w:t>
            </w:r>
            <w:r w:rsidRPr="0083453E">
              <w:rPr>
                <w:rFonts w:ascii="Times New Roman" w:eastAsia="Times New Roman" w:hAnsi="Times New Roman" w:cs="Times New Roman"/>
                <w:sz w:val="18"/>
                <w:szCs w:val="18"/>
              </w:rPr>
              <w:t>% of its total FY 201</w:t>
            </w:r>
            <w:r w:rsidR="00905FF7">
              <w:rPr>
                <w:rFonts w:ascii="Times New Roman" w:eastAsia="Times New Roman" w:hAnsi="Times New Roman" w:cs="Times New Roman"/>
                <w:sz w:val="18"/>
                <w:szCs w:val="18"/>
              </w:rPr>
              <w:t>7</w:t>
            </w:r>
            <w:r w:rsidRPr="0083453E">
              <w:rPr>
                <w:rFonts w:ascii="Times New Roman" w:eastAsia="Times New Roman" w:hAnsi="Times New Roman" w:cs="Times New Roman"/>
                <w:sz w:val="18"/>
                <w:szCs w:val="18"/>
              </w:rPr>
              <w:t xml:space="preserve"> obligations) for these services.  This PSC is included to guard against expansion of the contractor’s duties into inherently governmental functions and to ensure sufficient management </w:t>
            </w:r>
            <w:r w:rsidR="009E4FD2">
              <w:rPr>
                <w:rFonts w:ascii="Times New Roman" w:eastAsia="Times New Roman" w:hAnsi="Times New Roman" w:cs="Times New Roman"/>
                <w:sz w:val="18"/>
                <w:szCs w:val="18"/>
              </w:rPr>
              <w:t>and oversight remains in place.</w:t>
            </w:r>
          </w:p>
        </w:tc>
      </w:tr>
      <w:tr w:rsidR="00CC0DD0" w:rsidRPr="00926468" w14:paraId="48519EB1" w14:textId="77777777" w:rsidTr="0083453E">
        <w:trPr>
          <w:trHeight w:val="108"/>
        </w:trPr>
        <w:tc>
          <w:tcPr>
            <w:tcW w:w="654" w:type="dxa"/>
            <w:shd w:val="clear" w:color="auto" w:fill="auto"/>
          </w:tcPr>
          <w:p w14:paraId="71BFCFF2"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R710</w:t>
            </w:r>
          </w:p>
        </w:tc>
        <w:tc>
          <w:tcPr>
            <w:tcW w:w="2073" w:type="dxa"/>
            <w:shd w:val="clear" w:color="auto" w:fill="auto"/>
          </w:tcPr>
          <w:p w14:paraId="66996F66" w14:textId="77777777" w:rsidR="00CC0DD0" w:rsidRPr="0083453E" w:rsidRDefault="00CC0DD0" w:rsidP="002E2CB6">
            <w:pPr>
              <w:spacing w:after="0" w:line="240" w:lineRule="auto"/>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Support:  Management Financial</w:t>
            </w:r>
          </w:p>
        </w:tc>
        <w:tc>
          <w:tcPr>
            <w:tcW w:w="7731" w:type="dxa"/>
            <w:shd w:val="clear" w:color="auto" w:fill="auto"/>
          </w:tcPr>
          <w:p w14:paraId="275378E5" w14:textId="77777777" w:rsidR="00CC0DD0" w:rsidRPr="0083453E" w:rsidRDefault="00CC0DD0" w:rsidP="00905FF7">
            <w:pPr>
              <w:numPr>
                <w:ilvl w:val="0"/>
                <w:numId w:val="1"/>
              </w:numPr>
              <w:spacing w:after="0" w:line="240" w:lineRule="auto"/>
              <w:ind w:left="252" w:hanging="252"/>
              <w:contextualSpacing/>
              <w:rPr>
                <w:rFonts w:ascii="Times New Roman" w:eastAsia="Times New Roman" w:hAnsi="Times New Roman" w:cs="Times New Roman"/>
                <w:sz w:val="18"/>
                <w:szCs w:val="18"/>
              </w:rPr>
            </w:pPr>
            <w:r w:rsidRPr="0083453E">
              <w:rPr>
                <w:rFonts w:ascii="Times New Roman" w:eastAsia="Times New Roman" w:hAnsi="Times New Roman" w:cs="Times New Roman"/>
                <w:sz w:val="18"/>
                <w:szCs w:val="18"/>
              </w:rPr>
              <w:t>The Department spent $1B (41% of its total FY201</w:t>
            </w:r>
            <w:r w:rsidR="00905FF7">
              <w:rPr>
                <w:rFonts w:ascii="Times New Roman" w:eastAsia="Times New Roman" w:hAnsi="Times New Roman" w:cs="Times New Roman"/>
                <w:sz w:val="18"/>
                <w:szCs w:val="18"/>
              </w:rPr>
              <w:t>7</w:t>
            </w:r>
            <w:r w:rsidRPr="0083453E">
              <w:rPr>
                <w:rFonts w:ascii="Times New Roman" w:eastAsia="Times New Roman" w:hAnsi="Times New Roman" w:cs="Times New Roman"/>
                <w:sz w:val="18"/>
                <w:szCs w:val="18"/>
              </w:rPr>
              <w:t xml:space="preserve"> obligations) for these services.  This PSC is included to guard against expansion of the contractor’s duties into inherently governmental functions and to ensure sufficient management and oversight remains in place.</w:t>
            </w:r>
          </w:p>
        </w:tc>
      </w:tr>
    </w:tbl>
    <w:p w14:paraId="7E41BA4C" w14:textId="77777777" w:rsidR="009F0376" w:rsidRDefault="009F0376" w:rsidP="009F0376">
      <w:pPr>
        <w:pStyle w:val="ListParagraph"/>
        <w:spacing w:after="0" w:line="240" w:lineRule="auto"/>
        <w:ind w:left="0"/>
        <w:rPr>
          <w:rFonts w:ascii="Times New Roman" w:eastAsia="Calibri" w:hAnsi="Times New Roman" w:cs="Times New Roman"/>
          <w:b/>
          <w:sz w:val="24"/>
          <w:szCs w:val="24"/>
        </w:rPr>
      </w:pPr>
    </w:p>
    <w:p w14:paraId="3A94F92F" w14:textId="77777777" w:rsidR="00CC0DD0" w:rsidRPr="00CC0DD0" w:rsidRDefault="00CC0DD0" w:rsidP="0083453E">
      <w:pPr>
        <w:pStyle w:val="ListParagraph"/>
        <w:numPr>
          <w:ilvl w:val="0"/>
          <w:numId w:val="4"/>
        </w:numPr>
        <w:spacing w:after="0" w:line="240" w:lineRule="auto"/>
        <w:rPr>
          <w:rFonts w:ascii="Times New Roman" w:eastAsia="Calibri" w:hAnsi="Times New Roman" w:cs="Times New Roman"/>
          <w:b/>
          <w:sz w:val="24"/>
          <w:szCs w:val="24"/>
        </w:rPr>
      </w:pPr>
      <w:r w:rsidRPr="00CC0DD0">
        <w:rPr>
          <w:rFonts w:ascii="Times New Roman" w:eastAsia="Calibri" w:hAnsi="Times New Roman" w:cs="Times New Roman"/>
          <w:b/>
          <w:sz w:val="24"/>
          <w:szCs w:val="24"/>
        </w:rPr>
        <w:t>Methodology</w:t>
      </w:r>
    </w:p>
    <w:p w14:paraId="0028586B" w14:textId="77777777" w:rsidR="00CC0DD0" w:rsidRDefault="00CC0DD0" w:rsidP="00936028">
      <w:pPr>
        <w:spacing w:after="0" w:line="240" w:lineRule="auto"/>
        <w:rPr>
          <w:rFonts w:ascii="Times New Roman" w:eastAsia="Calibri" w:hAnsi="Times New Roman" w:cs="Times New Roman"/>
          <w:sz w:val="24"/>
          <w:szCs w:val="24"/>
        </w:rPr>
      </w:pPr>
    </w:p>
    <w:p w14:paraId="26D4BA45" w14:textId="77777777" w:rsidR="00B53D2C" w:rsidRDefault="00926468" w:rsidP="00936028">
      <w:pPr>
        <w:spacing w:after="0" w:line="240" w:lineRule="auto"/>
        <w:rPr>
          <w:rFonts w:ascii="Times New Roman" w:eastAsia="Calibri" w:hAnsi="Times New Roman" w:cs="Times New Roman"/>
          <w:sz w:val="24"/>
          <w:szCs w:val="24"/>
        </w:rPr>
      </w:pPr>
      <w:r w:rsidRPr="00936028">
        <w:rPr>
          <w:rFonts w:ascii="Times New Roman" w:eastAsia="Calibri" w:hAnsi="Times New Roman" w:cs="Times New Roman"/>
          <w:sz w:val="24"/>
          <w:szCs w:val="24"/>
        </w:rPr>
        <w:t xml:space="preserve">The Department </w:t>
      </w:r>
      <w:r w:rsidR="00864175">
        <w:rPr>
          <w:rFonts w:ascii="Times New Roman" w:eastAsia="Calibri" w:hAnsi="Times New Roman" w:cs="Times New Roman"/>
          <w:sz w:val="24"/>
          <w:szCs w:val="24"/>
        </w:rPr>
        <w:t xml:space="preserve">used reporting to determine </w:t>
      </w:r>
      <w:r w:rsidR="0059658C">
        <w:rPr>
          <w:rFonts w:ascii="Times New Roman" w:eastAsia="Calibri" w:hAnsi="Times New Roman" w:cs="Times New Roman"/>
          <w:sz w:val="24"/>
          <w:szCs w:val="24"/>
        </w:rPr>
        <w:t xml:space="preserve">the </w:t>
      </w:r>
      <w:r w:rsidR="00864175">
        <w:rPr>
          <w:rFonts w:ascii="Times New Roman" w:eastAsia="Calibri" w:hAnsi="Times New Roman" w:cs="Times New Roman"/>
          <w:sz w:val="24"/>
          <w:szCs w:val="24"/>
        </w:rPr>
        <w:t xml:space="preserve">contracts </w:t>
      </w:r>
      <w:r w:rsidR="004F5723">
        <w:rPr>
          <w:rFonts w:ascii="Times New Roman" w:eastAsia="Calibri" w:hAnsi="Times New Roman" w:cs="Times New Roman"/>
          <w:sz w:val="24"/>
          <w:szCs w:val="24"/>
        </w:rPr>
        <w:t xml:space="preserve">closely associated with inherently governmental functions as well as contracts that are mission critical and within the </w:t>
      </w:r>
      <w:r w:rsidRPr="00936028">
        <w:rPr>
          <w:rFonts w:ascii="Times New Roman" w:eastAsia="Calibri" w:hAnsi="Times New Roman" w:cs="Times New Roman"/>
          <w:sz w:val="24"/>
          <w:szCs w:val="24"/>
        </w:rPr>
        <w:t xml:space="preserve">10 </w:t>
      </w:r>
      <w:r w:rsidR="00394BDD">
        <w:rPr>
          <w:rFonts w:ascii="Times New Roman" w:eastAsia="Calibri" w:hAnsi="Times New Roman" w:cs="Times New Roman"/>
          <w:sz w:val="24"/>
          <w:szCs w:val="24"/>
        </w:rPr>
        <w:t>PSC</w:t>
      </w:r>
      <w:r w:rsidRPr="00936028">
        <w:rPr>
          <w:rFonts w:ascii="Times New Roman" w:eastAsia="Calibri" w:hAnsi="Times New Roman" w:cs="Times New Roman"/>
          <w:sz w:val="24"/>
          <w:szCs w:val="24"/>
        </w:rPr>
        <w:t xml:space="preserve">s </w:t>
      </w:r>
      <w:r w:rsidR="003602A3">
        <w:rPr>
          <w:rFonts w:ascii="Times New Roman" w:eastAsia="Calibri" w:hAnsi="Times New Roman" w:cs="Times New Roman"/>
          <w:sz w:val="24"/>
          <w:szCs w:val="24"/>
        </w:rPr>
        <w:t>listed in T</w:t>
      </w:r>
      <w:r w:rsidR="004F5723">
        <w:rPr>
          <w:rFonts w:ascii="Times New Roman" w:eastAsia="Calibri" w:hAnsi="Times New Roman" w:cs="Times New Roman"/>
          <w:sz w:val="24"/>
          <w:szCs w:val="24"/>
        </w:rPr>
        <w:t>able 1</w:t>
      </w:r>
      <w:r w:rsidR="00864175">
        <w:rPr>
          <w:rFonts w:ascii="Times New Roman" w:eastAsia="Calibri" w:hAnsi="Times New Roman" w:cs="Times New Roman"/>
          <w:sz w:val="24"/>
          <w:szCs w:val="24"/>
        </w:rPr>
        <w:t xml:space="preserve">.  </w:t>
      </w:r>
      <w:r w:rsidR="00864175" w:rsidRPr="00F412BA">
        <w:rPr>
          <w:rFonts w:ascii="Times New Roman" w:eastAsia="Calibri" w:hAnsi="Times New Roman" w:cs="Times New Roman"/>
          <w:sz w:val="24"/>
          <w:szCs w:val="24"/>
        </w:rPr>
        <w:t xml:space="preserve">Specifically, </w:t>
      </w:r>
      <w:r w:rsidR="00E80440" w:rsidRPr="00F412BA">
        <w:rPr>
          <w:rFonts w:ascii="Times New Roman" w:eastAsia="Calibri" w:hAnsi="Times New Roman" w:cs="Times New Roman"/>
          <w:sz w:val="24"/>
          <w:szCs w:val="24"/>
        </w:rPr>
        <w:t xml:space="preserve">the </w:t>
      </w:r>
      <w:r w:rsidR="00864175" w:rsidRPr="00F412BA">
        <w:rPr>
          <w:rFonts w:ascii="Times New Roman" w:eastAsia="Calibri" w:hAnsi="Times New Roman" w:cs="Times New Roman"/>
          <w:sz w:val="24"/>
          <w:szCs w:val="24"/>
        </w:rPr>
        <w:t xml:space="preserve">contracts analyzed represented </w:t>
      </w:r>
      <w:r w:rsidR="00E80440" w:rsidRPr="00F412BA">
        <w:rPr>
          <w:rFonts w:ascii="Times New Roman" w:eastAsia="Calibri" w:hAnsi="Times New Roman" w:cs="Times New Roman"/>
          <w:sz w:val="24"/>
          <w:szCs w:val="24"/>
        </w:rPr>
        <w:t xml:space="preserve">26 contracts and </w:t>
      </w:r>
      <w:r w:rsidR="00864175" w:rsidRPr="00F412BA">
        <w:rPr>
          <w:rFonts w:ascii="Times New Roman" w:eastAsia="Calibri" w:hAnsi="Times New Roman" w:cs="Times New Roman"/>
          <w:sz w:val="24"/>
          <w:szCs w:val="24"/>
        </w:rPr>
        <w:t>$1.109 million in obligations and fell under PSCs B506, R499, R705, and R710.</w:t>
      </w:r>
      <w:r w:rsidR="00864175">
        <w:rPr>
          <w:rFonts w:ascii="Times New Roman" w:eastAsia="Calibri" w:hAnsi="Times New Roman" w:cs="Times New Roman"/>
          <w:sz w:val="24"/>
          <w:szCs w:val="24"/>
        </w:rPr>
        <w:t xml:space="preserve"> </w:t>
      </w:r>
      <w:r w:rsidRPr="00936028">
        <w:rPr>
          <w:rFonts w:ascii="Times New Roman" w:eastAsia="Calibri" w:hAnsi="Times New Roman" w:cs="Times New Roman"/>
          <w:sz w:val="24"/>
          <w:szCs w:val="24"/>
        </w:rPr>
        <w:t xml:space="preserve"> While some of the </w:t>
      </w:r>
      <w:r w:rsidR="00394BDD">
        <w:rPr>
          <w:rFonts w:ascii="Times New Roman" w:eastAsia="Calibri" w:hAnsi="Times New Roman" w:cs="Times New Roman"/>
          <w:sz w:val="24"/>
          <w:szCs w:val="24"/>
        </w:rPr>
        <w:t>PSC</w:t>
      </w:r>
      <w:r w:rsidRPr="00936028">
        <w:rPr>
          <w:rFonts w:ascii="Times New Roman" w:eastAsia="Calibri" w:hAnsi="Times New Roman" w:cs="Times New Roman"/>
          <w:sz w:val="24"/>
          <w:szCs w:val="24"/>
        </w:rPr>
        <w:t>s were covered by the FY 201</w:t>
      </w:r>
      <w:r w:rsidR="00905FF7">
        <w:rPr>
          <w:rFonts w:ascii="Times New Roman" w:eastAsia="Calibri" w:hAnsi="Times New Roman" w:cs="Times New Roman"/>
          <w:sz w:val="24"/>
          <w:szCs w:val="24"/>
        </w:rPr>
        <w:t>6</w:t>
      </w:r>
      <w:r w:rsidRPr="00936028">
        <w:rPr>
          <w:rFonts w:ascii="Times New Roman" w:eastAsia="Calibri" w:hAnsi="Times New Roman" w:cs="Times New Roman"/>
          <w:sz w:val="24"/>
          <w:szCs w:val="24"/>
        </w:rPr>
        <w:t xml:space="preserve"> </w:t>
      </w:r>
      <w:r w:rsidR="00394BDD">
        <w:rPr>
          <w:rFonts w:ascii="Times New Roman" w:eastAsia="Calibri" w:hAnsi="Times New Roman" w:cs="Times New Roman"/>
          <w:sz w:val="24"/>
          <w:szCs w:val="24"/>
        </w:rPr>
        <w:t xml:space="preserve">analysis of </w:t>
      </w:r>
      <w:r w:rsidRPr="00936028">
        <w:rPr>
          <w:rFonts w:ascii="Times New Roman" w:eastAsia="Calibri" w:hAnsi="Times New Roman" w:cs="Times New Roman"/>
          <w:sz w:val="24"/>
          <w:szCs w:val="24"/>
        </w:rPr>
        <w:t xml:space="preserve">service contracts, the Department believes using the top </w:t>
      </w:r>
      <w:r w:rsidR="007A6787">
        <w:rPr>
          <w:rFonts w:ascii="Times New Roman" w:eastAsia="Calibri" w:hAnsi="Times New Roman" w:cs="Times New Roman"/>
          <w:sz w:val="24"/>
          <w:szCs w:val="24"/>
        </w:rPr>
        <w:t>nine</w:t>
      </w:r>
      <w:r w:rsidRPr="00936028">
        <w:rPr>
          <w:rFonts w:ascii="Times New Roman" w:eastAsia="Calibri" w:hAnsi="Times New Roman" w:cs="Times New Roman"/>
          <w:sz w:val="24"/>
          <w:szCs w:val="24"/>
        </w:rPr>
        <w:t xml:space="preserve"> codes by obligation and also using </w:t>
      </w:r>
      <w:r w:rsidR="007A6787">
        <w:rPr>
          <w:rFonts w:ascii="Times New Roman" w:eastAsia="Calibri" w:hAnsi="Times New Roman" w:cs="Times New Roman"/>
          <w:sz w:val="24"/>
          <w:szCs w:val="24"/>
        </w:rPr>
        <w:t xml:space="preserve">an </w:t>
      </w:r>
      <w:r w:rsidRPr="00936028">
        <w:rPr>
          <w:rFonts w:ascii="Times New Roman" w:eastAsia="Calibri" w:hAnsi="Times New Roman" w:cs="Times New Roman"/>
          <w:sz w:val="24"/>
          <w:szCs w:val="24"/>
        </w:rPr>
        <w:t>additional special interest function code represents the best spectr</w:t>
      </w:r>
      <w:r w:rsidR="004F5723">
        <w:rPr>
          <w:rFonts w:ascii="Times New Roman" w:eastAsia="Calibri" w:hAnsi="Times New Roman" w:cs="Times New Roman"/>
          <w:sz w:val="24"/>
          <w:szCs w:val="24"/>
        </w:rPr>
        <w:t>um of services to be analyzed.</w:t>
      </w:r>
    </w:p>
    <w:p w14:paraId="49FAA1CA" w14:textId="77777777" w:rsidR="00C366B8" w:rsidRDefault="00C366B8" w:rsidP="009F0376">
      <w:pPr>
        <w:spacing w:after="0" w:line="240" w:lineRule="auto"/>
        <w:rPr>
          <w:rFonts w:ascii="Times New Roman" w:eastAsia="Calibri" w:hAnsi="Times New Roman" w:cs="Times New Roman"/>
          <w:b/>
          <w:sz w:val="24"/>
          <w:szCs w:val="24"/>
        </w:rPr>
      </w:pPr>
    </w:p>
    <w:p w14:paraId="2F1D9781" w14:textId="77777777" w:rsidR="00B53D2C" w:rsidRPr="009F0376" w:rsidRDefault="009F0376" w:rsidP="00D42305">
      <w:pPr>
        <w:spacing w:after="0" w:line="240" w:lineRule="auto"/>
        <w:rPr>
          <w:rFonts w:ascii="Times New Roman" w:eastAsia="Calibri" w:hAnsi="Times New Roman" w:cs="Times New Roman"/>
          <w:b/>
          <w:sz w:val="24"/>
          <w:szCs w:val="24"/>
        </w:rPr>
      </w:pPr>
      <w:r w:rsidRPr="009F0376">
        <w:rPr>
          <w:rFonts w:ascii="Times New Roman" w:eastAsia="Calibri" w:hAnsi="Times New Roman" w:cs="Times New Roman"/>
          <w:b/>
          <w:sz w:val="24"/>
          <w:szCs w:val="24"/>
        </w:rPr>
        <w:t>C.</w:t>
      </w:r>
      <w:r>
        <w:rPr>
          <w:rFonts w:ascii="Times New Roman" w:eastAsia="Calibri" w:hAnsi="Times New Roman" w:cs="Times New Roman"/>
          <w:b/>
          <w:sz w:val="24"/>
          <w:szCs w:val="24"/>
        </w:rPr>
        <w:t xml:space="preserve"> </w:t>
      </w:r>
      <w:r w:rsidRPr="009F0376">
        <w:rPr>
          <w:rFonts w:ascii="Times New Roman" w:eastAsia="Calibri" w:hAnsi="Times New Roman" w:cs="Times New Roman"/>
          <w:b/>
          <w:sz w:val="24"/>
          <w:szCs w:val="24"/>
        </w:rPr>
        <w:t>Findin</w:t>
      </w:r>
      <w:r>
        <w:rPr>
          <w:rFonts w:ascii="Times New Roman" w:eastAsia="Calibri" w:hAnsi="Times New Roman" w:cs="Times New Roman"/>
          <w:b/>
          <w:sz w:val="24"/>
          <w:szCs w:val="24"/>
        </w:rPr>
        <w:t>g</w:t>
      </w:r>
      <w:r w:rsidRPr="009F0376">
        <w:rPr>
          <w:rFonts w:ascii="Times New Roman" w:eastAsia="Calibri" w:hAnsi="Times New Roman" w:cs="Times New Roman"/>
          <w:b/>
          <w:sz w:val="24"/>
          <w:szCs w:val="24"/>
        </w:rPr>
        <w:t>s</w:t>
      </w:r>
    </w:p>
    <w:p w14:paraId="1D49F087" w14:textId="77777777" w:rsidR="00B53D2C" w:rsidRDefault="00B53D2C" w:rsidP="00936028">
      <w:pPr>
        <w:spacing w:after="0" w:line="240" w:lineRule="auto"/>
        <w:rPr>
          <w:rFonts w:ascii="Times New Roman" w:eastAsia="Calibri" w:hAnsi="Times New Roman" w:cs="Times New Roman"/>
          <w:sz w:val="24"/>
          <w:szCs w:val="24"/>
        </w:rPr>
      </w:pPr>
    </w:p>
    <w:p w14:paraId="389D3B84" w14:textId="77777777" w:rsidR="009F0376" w:rsidRPr="009F0376" w:rsidRDefault="009F0376" w:rsidP="009F0376">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Inherently Governmental Functions (IGF)</w:t>
      </w:r>
    </w:p>
    <w:p w14:paraId="030113F1" w14:textId="77777777" w:rsidR="009F0376" w:rsidRPr="009F0376" w:rsidRDefault="009F0376" w:rsidP="009F0376">
      <w:pPr>
        <w:spacing w:after="0" w:line="240" w:lineRule="auto"/>
        <w:rPr>
          <w:rFonts w:ascii="Times New Roman" w:eastAsia="Times New Roman" w:hAnsi="Times New Roman" w:cs="Times New Roman"/>
          <w:i/>
          <w:sz w:val="10"/>
          <w:szCs w:val="10"/>
        </w:rPr>
      </w:pPr>
    </w:p>
    <w:p w14:paraId="5B66C7FC" w14:textId="77777777" w:rsidR="00BB1E19" w:rsidRDefault="009F0376" w:rsidP="009F0376">
      <w:pPr>
        <w:spacing w:after="0" w:line="240" w:lineRule="auto"/>
        <w:rPr>
          <w:rFonts w:ascii="Times New Roman" w:eastAsia="Times New Roman" w:hAnsi="Times New Roman" w:cs="Times New Roman"/>
          <w:sz w:val="24"/>
          <w:szCs w:val="24"/>
        </w:rPr>
      </w:pPr>
      <w:r w:rsidRPr="009F0376">
        <w:rPr>
          <w:rFonts w:ascii="Times New Roman" w:eastAsia="Times New Roman" w:hAnsi="Times New Roman" w:cs="Times New Roman"/>
          <w:sz w:val="24"/>
          <w:szCs w:val="24"/>
        </w:rPr>
        <w:t>Based on the careful evaluations the reviewers performed and careful reviews of the established criteria for classifying functions as inherently governmental, the review team determined that none of the contractors are performing IGFs.</w:t>
      </w:r>
    </w:p>
    <w:p w14:paraId="1112FAAD" w14:textId="77777777" w:rsidR="003602A3" w:rsidRDefault="003602A3" w:rsidP="009F0376">
      <w:pPr>
        <w:spacing w:after="0" w:line="240" w:lineRule="auto"/>
        <w:rPr>
          <w:rFonts w:ascii="Times New Roman" w:eastAsia="Times New Roman" w:hAnsi="Times New Roman" w:cs="Times New Roman"/>
          <w:b/>
          <w:sz w:val="24"/>
          <w:szCs w:val="24"/>
        </w:rPr>
      </w:pPr>
    </w:p>
    <w:p w14:paraId="20276716" w14:textId="77777777" w:rsidR="009F0376" w:rsidRPr="009F0376" w:rsidRDefault="009F0376" w:rsidP="009F0376">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Functions Closely Associated with IGFs</w:t>
      </w:r>
    </w:p>
    <w:p w14:paraId="22AA7F3A" w14:textId="77777777" w:rsidR="009F0376" w:rsidRPr="009F0376" w:rsidRDefault="009F0376" w:rsidP="009F0376">
      <w:pPr>
        <w:spacing w:after="0" w:line="240" w:lineRule="auto"/>
        <w:rPr>
          <w:rFonts w:ascii="Times New Roman" w:eastAsia="Times New Roman" w:hAnsi="Times New Roman" w:cs="Times New Roman"/>
          <w:i/>
          <w:sz w:val="10"/>
          <w:szCs w:val="10"/>
        </w:rPr>
      </w:pPr>
    </w:p>
    <w:p w14:paraId="01DF8B72" w14:textId="77777777" w:rsidR="009F0376" w:rsidRPr="009F0376" w:rsidRDefault="009F0376" w:rsidP="009F0376">
      <w:pPr>
        <w:spacing w:after="0" w:line="240" w:lineRule="auto"/>
        <w:rPr>
          <w:rFonts w:ascii="Times New Roman" w:eastAsia="Times New Roman" w:hAnsi="Times New Roman" w:cs="Times New Roman"/>
          <w:sz w:val="24"/>
          <w:szCs w:val="24"/>
        </w:rPr>
      </w:pPr>
      <w:r w:rsidRPr="009F0376">
        <w:rPr>
          <w:rFonts w:ascii="Times New Roman" w:eastAsia="Times New Roman" w:hAnsi="Times New Roman" w:cs="Times New Roman"/>
          <w:sz w:val="24"/>
          <w:szCs w:val="24"/>
        </w:rPr>
        <w:t xml:space="preserve">During the </w:t>
      </w:r>
      <w:r w:rsidR="004F5723">
        <w:rPr>
          <w:rFonts w:ascii="Times New Roman" w:eastAsia="Times New Roman" w:hAnsi="Times New Roman" w:cs="Times New Roman"/>
          <w:sz w:val="24"/>
          <w:szCs w:val="24"/>
        </w:rPr>
        <w:t xml:space="preserve">review the contracting activities </w:t>
      </w:r>
      <w:r w:rsidR="00BB1E19">
        <w:rPr>
          <w:rFonts w:ascii="Times New Roman" w:eastAsia="Times New Roman" w:hAnsi="Times New Roman" w:cs="Times New Roman"/>
          <w:sz w:val="24"/>
          <w:szCs w:val="24"/>
        </w:rPr>
        <w:t xml:space="preserve">completed </w:t>
      </w:r>
      <w:r w:rsidRPr="009F0376">
        <w:rPr>
          <w:rFonts w:ascii="Times New Roman" w:eastAsia="Times New Roman" w:hAnsi="Times New Roman" w:cs="Times New Roman"/>
          <w:sz w:val="24"/>
          <w:szCs w:val="24"/>
        </w:rPr>
        <w:t>evaluation checklist</w:t>
      </w:r>
      <w:r w:rsidR="00BB1E19">
        <w:rPr>
          <w:rFonts w:ascii="Times New Roman" w:eastAsia="Times New Roman" w:hAnsi="Times New Roman" w:cs="Times New Roman"/>
          <w:sz w:val="24"/>
          <w:szCs w:val="24"/>
        </w:rPr>
        <w:t>s</w:t>
      </w:r>
      <w:r w:rsidRPr="009F0376">
        <w:rPr>
          <w:rFonts w:ascii="Times New Roman" w:eastAsia="Times New Roman" w:hAnsi="Times New Roman" w:cs="Times New Roman"/>
          <w:sz w:val="24"/>
          <w:szCs w:val="24"/>
        </w:rPr>
        <w:t xml:space="preserve"> to detect the expansion of closely associated work that may have become IGF</w:t>
      </w:r>
      <w:r w:rsidR="004F5723">
        <w:rPr>
          <w:rFonts w:ascii="Times New Roman" w:eastAsia="Times New Roman" w:hAnsi="Times New Roman" w:cs="Times New Roman"/>
          <w:sz w:val="24"/>
          <w:szCs w:val="24"/>
        </w:rPr>
        <w:t xml:space="preserve"> or referred to such checklist questions</w:t>
      </w:r>
      <w:r w:rsidRPr="009F0376">
        <w:rPr>
          <w:rFonts w:ascii="Times New Roman" w:eastAsia="Times New Roman" w:hAnsi="Times New Roman" w:cs="Times New Roman"/>
          <w:sz w:val="24"/>
          <w:szCs w:val="24"/>
        </w:rPr>
        <w:t xml:space="preserve">. The checklist included various subjects of responsibilities, including limiting or guiding the contractor’s discretion, assigning Federal employees to give special management attention to the contractor’s activities, and taking steps to avoid or mitigate conflicts of interest. </w:t>
      </w:r>
      <w:r w:rsidR="00BB1E19">
        <w:rPr>
          <w:rFonts w:ascii="Times New Roman" w:eastAsia="Times New Roman" w:hAnsi="Times New Roman" w:cs="Times New Roman"/>
          <w:sz w:val="24"/>
          <w:szCs w:val="24"/>
        </w:rPr>
        <w:t xml:space="preserve"> </w:t>
      </w:r>
      <w:r w:rsidRPr="009F0376">
        <w:rPr>
          <w:rFonts w:ascii="Times New Roman" w:eastAsia="Times New Roman" w:hAnsi="Times New Roman" w:cs="Times New Roman"/>
          <w:sz w:val="24"/>
          <w:szCs w:val="24"/>
        </w:rPr>
        <w:t>Reviewers did not i</w:t>
      </w:r>
      <w:r w:rsidR="003602A3">
        <w:rPr>
          <w:rFonts w:ascii="Times New Roman" w:eastAsia="Times New Roman" w:hAnsi="Times New Roman" w:cs="Times New Roman"/>
          <w:sz w:val="24"/>
          <w:szCs w:val="24"/>
        </w:rPr>
        <w:t>dentify any closely associated with IGF contracts as expanding to IGF.</w:t>
      </w:r>
    </w:p>
    <w:p w14:paraId="77F550CE" w14:textId="77777777" w:rsidR="009F0376" w:rsidRPr="009F0376" w:rsidRDefault="009F0376" w:rsidP="009F0376">
      <w:pPr>
        <w:spacing w:after="0" w:line="240" w:lineRule="auto"/>
        <w:rPr>
          <w:rFonts w:ascii="Times New Roman" w:eastAsia="Times New Roman" w:hAnsi="Times New Roman" w:cs="Times New Roman"/>
          <w:b/>
          <w:sz w:val="24"/>
          <w:szCs w:val="24"/>
        </w:rPr>
      </w:pPr>
    </w:p>
    <w:p w14:paraId="1929D81D" w14:textId="77777777" w:rsidR="009F0376" w:rsidRPr="009F0376" w:rsidRDefault="009F0376" w:rsidP="009F0376">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 xml:space="preserve">Mission Critical Functions </w:t>
      </w:r>
    </w:p>
    <w:p w14:paraId="7554A2E1" w14:textId="77777777" w:rsidR="009F0376" w:rsidRPr="009F0376" w:rsidRDefault="009F0376" w:rsidP="009F0376">
      <w:pPr>
        <w:spacing w:after="0" w:line="240" w:lineRule="auto"/>
        <w:rPr>
          <w:rFonts w:ascii="Times New Roman" w:eastAsia="Times New Roman" w:hAnsi="Times New Roman" w:cs="Times New Roman"/>
          <w:i/>
          <w:sz w:val="10"/>
          <w:szCs w:val="10"/>
        </w:rPr>
      </w:pPr>
    </w:p>
    <w:p w14:paraId="4AF9837B" w14:textId="77777777" w:rsidR="009F0376" w:rsidRPr="009F0376" w:rsidRDefault="004F5723" w:rsidP="009F0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F0376" w:rsidRPr="009F0376">
        <w:rPr>
          <w:rFonts w:ascii="Times New Roman" w:eastAsia="Times New Roman" w:hAnsi="Times New Roman" w:cs="Times New Roman"/>
          <w:sz w:val="24"/>
          <w:szCs w:val="24"/>
        </w:rPr>
        <w:t>ontracts where contractors performed services that are considered to be critical functions closely associated with the Department’s mission and operations</w:t>
      </w:r>
      <w:r>
        <w:rPr>
          <w:rFonts w:ascii="Times New Roman" w:eastAsia="Times New Roman" w:hAnsi="Times New Roman" w:cs="Times New Roman"/>
          <w:sz w:val="24"/>
          <w:szCs w:val="24"/>
        </w:rPr>
        <w:t xml:space="preserve"> were reviewed.  Th</w:t>
      </w:r>
      <w:r w:rsidR="00394BDD">
        <w:rPr>
          <w:rFonts w:ascii="Times New Roman" w:eastAsia="Times New Roman" w:hAnsi="Times New Roman" w:cs="Times New Roman"/>
          <w:sz w:val="24"/>
          <w:szCs w:val="24"/>
        </w:rPr>
        <w:t xml:space="preserve">ere were sufficient resources in place to manage and oversee these contracts.  </w:t>
      </w:r>
      <w:r w:rsidR="009F0376" w:rsidRPr="009F0376">
        <w:rPr>
          <w:rFonts w:ascii="Times New Roman" w:eastAsia="Times New Roman" w:hAnsi="Times New Roman" w:cs="Times New Roman"/>
          <w:sz w:val="24"/>
          <w:szCs w:val="24"/>
        </w:rPr>
        <w:t xml:space="preserve">Examples of activities identified by reviewers as “mission critical” are assessments of educational progress, </w:t>
      </w:r>
      <w:r>
        <w:rPr>
          <w:rFonts w:ascii="Times New Roman" w:eastAsia="Times New Roman" w:hAnsi="Times New Roman" w:cs="Times New Roman"/>
          <w:sz w:val="24"/>
          <w:szCs w:val="24"/>
        </w:rPr>
        <w:t xml:space="preserve">program management oversight, </w:t>
      </w:r>
      <w:r w:rsidR="00314F09">
        <w:rPr>
          <w:rFonts w:ascii="Times New Roman" w:eastAsia="Times New Roman" w:hAnsi="Times New Roman" w:cs="Times New Roman"/>
          <w:sz w:val="24"/>
          <w:szCs w:val="24"/>
        </w:rPr>
        <w:t>student aid loan servicing, and loan collections</w:t>
      </w:r>
      <w:r w:rsidR="009F0376" w:rsidRPr="009F0376">
        <w:rPr>
          <w:rFonts w:ascii="Times New Roman" w:eastAsia="Times New Roman" w:hAnsi="Times New Roman" w:cs="Times New Roman"/>
          <w:sz w:val="24"/>
          <w:szCs w:val="24"/>
        </w:rPr>
        <w:t>. The Department will continue to pay close attention to contracts where contractors perform these kinds of services in order to maintain sufficient internal control capabilities</w:t>
      </w:r>
      <w:r w:rsidR="00394BDD">
        <w:rPr>
          <w:rFonts w:ascii="Times New Roman" w:eastAsia="Times New Roman" w:hAnsi="Times New Roman" w:cs="Times New Roman"/>
          <w:sz w:val="24"/>
          <w:szCs w:val="24"/>
        </w:rPr>
        <w:t xml:space="preserve"> as it relates to </w:t>
      </w:r>
      <w:r w:rsidR="009F0376" w:rsidRPr="009F0376">
        <w:rPr>
          <w:rFonts w:ascii="Times New Roman" w:eastAsia="Times New Roman" w:hAnsi="Times New Roman" w:cs="Times New Roman"/>
          <w:sz w:val="24"/>
          <w:szCs w:val="24"/>
        </w:rPr>
        <w:t>inherently governmental</w:t>
      </w:r>
      <w:r w:rsidR="00394BDD">
        <w:rPr>
          <w:rFonts w:ascii="Times New Roman" w:eastAsia="Times New Roman" w:hAnsi="Times New Roman" w:cs="Times New Roman"/>
          <w:sz w:val="24"/>
          <w:szCs w:val="24"/>
        </w:rPr>
        <w:t xml:space="preserve"> activities.</w:t>
      </w:r>
    </w:p>
    <w:p w14:paraId="6135D555" w14:textId="77777777" w:rsidR="009F0376" w:rsidRPr="009F0376" w:rsidRDefault="009F0376" w:rsidP="009F0376">
      <w:pPr>
        <w:tabs>
          <w:tab w:val="left" w:pos="0"/>
        </w:tabs>
        <w:spacing w:after="0" w:line="240" w:lineRule="auto"/>
        <w:rPr>
          <w:rFonts w:ascii="Times New Roman" w:eastAsia="Times New Roman" w:hAnsi="Times New Roman" w:cs="Times New Roman"/>
          <w:sz w:val="24"/>
          <w:szCs w:val="24"/>
        </w:rPr>
      </w:pPr>
    </w:p>
    <w:p w14:paraId="6945FAF0" w14:textId="77777777" w:rsidR="009F0376" w:rsidRPr="009F0376" w:rsidRDefault="009F0376" w:rsidP="009F0376">
      <w:pPr>
        <w:tabs>
          <w:tab w:val="left" w:pos="0"/>
        </w:tabs>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Personal Services</w:t>
      </w:r>
    </w:p>
    <w:p w14:paraId="3CB8B9F5" w14:textId="77777777" w:rsidR="009F0376" w:rsidRPr="009F0376" w:rsidRDefault="009F0376" w:rsidP="009F0376">
      <w:pPr>
        <w:tabs>
          <w:tab w:val="left" w:pos="0"/>
        </w:tabs>
        <w:spacing w:after="0" w:line="240" w:lineRule="auto"/>
        <w:rPr>
          <w:rFonts w:ascii="Times New Roman" w:eastAsia="Times New Roman" w:hAnsi="Times New Roman" w:cs="Times New Roman"/>
          <w:i/>
          <w:sz w:val="10"/>
          <w:szCs w:val="10"/>
        </w:rPr>
      </w:pPr>
    </w:p>
    <w:p w14:paraId="15C2ADA5" w14:textId="77777777" w:rsidR="009F0376" w:rsidRDefault="00394BDD" w:rsidP="009F0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does not award a</w:t>
      </w:r>
      <w:r w:rsidR="002824EA">
        <w:rPr>
          <w:rFonts w:ascii="Times New Roman" w:eastAsia="Times New Roman" w:hAnsi="Times New Roman" w:cs="Times New Roman"/>
          <w:sz w:val="24"/>
          <w:szCs w:val="24"/>
        </w:rPr>
        <w:t>ny personal services contracts.</w:t>
      </w:r>
    </w:p>
    <w:p w14:paraId="688C4AE9" w14:textId="77777777" w:rsidR="002824EA" w:rsidRDefault="002824EA" w:rsidP="009F0376">
      <w:pPr>
        <w:spacing w:after="0" w:line="240" w:lineRule="auto"/>
        <w:rPr>
          <w:rFonts w:ascii="Times New Roman" w:eastAsia="Times New Roman" w:hAnsi="Times New Roman" w:cs="Times New Roman"/>
          <w:sz w:val="24"/>
          <w:szCs w:val="24"/>
        </w:rPr>
      </w:pPr>
    </w:p>
    <w:p w14:paraId="6922C0C8" w14:textId="77777777" w:rsidR="002824EA" w:rsidRPr="009F0376" w:rsidRDefault="002824EA" w:rsidP="002824EA">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 xml:space="preserve">Contract Management and Oversight </w:t>
      </w:r>
    </w:p>
    <w:p w14:paraId="754AA753" w14:textId="77777777" w:rsidR="002824EA" w:rsidRPr="009F0376" w:rsidRDefault="002824EA" w:rsidP="002824EA">
      <w:pPr>
        <w:spacing w:after="0" w:line="240" w:lineRule="auto"/>
        <w:rPr>
          <w:rFonts w:ascii="Times New Roman" w:eastAsia="Times New Roman" w:hAnsi="Times New Roman" w:cs="Times New Roman"/>
          <w:sz w:val="10"/>
          <w:szCs w:val="10"/>
        </w:rPr>
      </w:pPr>
    </w:p>
    <w:p w14:paraId="4C01FFDB" w14:textId="77777777" w:rsidR="002824EA" w:rsidRPr="009F0376" w:rsidRDefault="002824EA" w:rsidP="002824EA">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sz w:val="24"/>
          <w:szCs w:val="24"/>
        </w:rPr>
        <w:t>Reviewers found that</w:t>
      </w:r>
      <w:r>
        <w:rPr>
          <w:rFonts w:ascii="Times New Roman" w:eastAsia="Times New Roman" w:hAnsi="Times New Roman" w:cs="Times New Roman"/>
          <w:sz w:val="24"/>
          <w:szCs w:val="24"/>
        </w:rPr>
        <w:t xml:space="preserve"> the </w:t>
      </w:r>
      <w:r w:rsidRPr="009F0376">
        <w:rPr>
          <w:rFonts w:ascii="Times New Roman" w:eastAsia="Times New Roman" w:hAnsi="Times New Roman" w:cs="Times New Roman"/>
          <w:sz w:val="24"/>
          <w:szCs w:val="24"/>
        </w:rPr>
        <w:t xml:space="preserve">contracts reviewed as part of the SCI </w:t>
      </w:r>
      <w:r>
        <w:rPr>
          <w:rFonts w:ascii="Times New Roman" w:eastAsia="Times New Roman" w:hAnsi="Times New Roman" w:cs="Times New Roman"/>
          <w:sz w:val="24"/>
          <w:szCs w:val="24"/>
        </w:rPr>
        <w:t xml:space="preserve">analysis </w:t>
      </w:r>
      <w:r w:rsidRPr="009F0376">
        <w:rPr>
          <w:rFonts w:ascii="Times New Roman" w:eastAsia="Times New Roman" w:hAnsi="Times New Roman" w:cs="Times New Roman"/>
          <w:sz w:val="24"/>
          <w:szCs w:val="24"/>
        </w:rPr>
        <w:t xml:space="preserve">had sufficiently trained and experienced employees available within the agency to manage and oversee contract administration functions. </w:t>
      </w:r>
    </w:p>
    <w:p w14:paraId="03C15332" w14:textId="77777777" w:rsidR="00394BDD" w:rsidRPr="009F0376" w:rsidRDefault="00394BDD" w:rsidP="009F0376">
      <w:pPr>
        <w:spacing w:after="0" w:line="240" w:lineRule="auto"/>
        <w:rPr>
          <w:rFonts w:ascii="Times New Roman" w:eastAsia="Times New Roman" w:hAnsi="Times New Roman" w:cs="Times New Roman"/>
          <w:sz w:val="24"/>
          <w:szCs w:val="24"/>
        </w:rPr>
      </w:pPr>
    </w:p>
    <w:p w14:paraId="2AA16874" w14:textId="77777777" w:rsidR="009F0376" w:rsidRPr="009F0376" w:rsidRDefault="009F0376" w:rsidP="009F0376">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Summary</w:t>
      </w:r>
    </w:p>
    <w:p w14:paraId="0D30E1F7" w14:textId="77777777" w:rsidR="009F0376" w:rsidRPr="009F0376" w:rsidRDefault="009F0376" w:rsidP="009F0376">
      <w:pPr>
        <w:spacing w:after="0" w:line="240" w:lineRule="auto"/>
        <w:rPr>
          <w:rFonts w:ascii="Times New Roman" w:eastAsia="Times New Roman" w:hAnsi="Times New Roman" w:cs="Times New Roman"/>
          <w:b/>
          <w:sz w:val="10"/>
          <w:szCs w:val="10"/>
        </w:rPr>
      </w:pPr>
    </w:p>
    <w:p w14:paraId="27598092" w14:textId="77777777" w:rsidR="009F0376" w:rsidRPr="009F0376" w:rsidRDefault="009F0376" w:rsidP="009F0376">
      <w:pPr>
        <w:spacing w:after="0" w:line="240" w:lineRule="auto"/>
        <w:rPr>
          <w:rFonts w:ascii="Times New Roman" w:eastAsia="Times New Roman" w:hAnsi="Times New Roman" w:cs="Times New Roman"/>
          <w:sz w:val="24"/>
          <w:szCs w:val="24"/>
        </w:rPr>
      </w:pPr>
      <w:r w:rsidRPr="009F0376">
        <w:rPr>
          <w:rFonts w:ascii="Times New Roman" w:eastAsia="Times New Roman" w:hAnsi="Times New Roman" w:cs="Times New Roman"/>
          <w:sz w:val="24"/>
          <w:szCs w:val="24"/>
        </w:rPr>
        <w:t>The analysis of the contracts reviewed indicates:</w:t>
      </w:r>
    </w:p>
    <w:p w14:paraId="2FA63197" w14:textId="77777777" w:rsidR="009F0376" w:rsidRPr="009F0376" w:rsidRDefault="009F0376" w:rsidP="009F0376">
      <w:pPr>
        <w:spacing w:after="0" w:line="240" w:lineRule="auto"/>
        <w:rPr>
          <w:rFonts w:ascii="Times New Roman" w:eastAsia="Times New Roman" w:hAnsi="Times New Roman" w:cs="Times New Roman"/>
          <w:sz w:val="10"/>
          <w:szCs w:val="10"/>
        </w:rPr>
      </w:pPr>
    </w:p>
    <w:p w14:paraId="15C92B73" w14:textId="77777777" w:rsidR="009F0376" w:rsidRPr="009F0376" w:rsidRDefault="009F0376" w:rsidP="009F0376">
      <w:pPr>
        <w:numPr>
          <w:ilvl w:val="0"/>
          <w:numId w:val="5"/>
        </w:numPr>
        <w:spacing w:after="0" w:line="240" w:lineRule="auto"/>
        <w:rPr>
          <w:rFonts w:ascii="Times New Roman" w:eastAsia="Times New Roman" w:hAnsi="Times New Roman" w:cs="Times New Roman"/>
          <w:sz w:val="24"/>
          <w:szCs w:val="24"/>
        </w:rPr>
      </w:pPr>
      <w:r w:rsidRPr="009F0376">
        <w:rPr>
          <w:rFonts w:ascii="Times New Roman" w:eastAsia="Times New Roman" w:hAnsi="Times New Roman" w:cs="Times New Roman"/>
          <w:sz w:val="24"/>
          <w:szCs w:val="24"/>
        </w:rPr>
        <w:t>No evidence of contractors performing IGF services</w:t>
      </w:r>
    </w:p>
    <w:p w14:paraId="61949A17" w14:textId="77777777" w:rsidR="009F0376" w:rsidRPr="009F0376" w:rsidRDefault="009F0376" w:rsidP="009F0376">
      <w:pPr>
        <w:numPr>
          <w:ilvl w:val="0"/>
          <w:numId w:val="5"/>
        </w:numPr>
        <w:spacing w:after="0" w:line="240" w:lineRule="auto"/>
        <w:rPr>
          <w:rFonts w:ascii="Times New Roman" w:eastAsia="Times New Roman" w:hAnsi="Times New Roman" w:cs="Times New Roman"/>
          <w:sz w:val="24"/>
          <w:szCs w:val="24"/>
        </w:rPr>
      </w:pPr>
      <w:r w:rsidRPr="009F0376">
        <w:rPr>
          <w:rFonts w:ascii="Times New Roman" w:eastAsia="Times New Roman" w:hAnsi="Times New Roman" w:cs="Times New Roman"/>
          <w:sz w:val="24"/>
          <w:szCs w:val="24"/>
        </w:rPr>
        <w:t>No evidence of contractors performing personal services</w:t>
      </w:r>
    </w:p>
    <w:p w14:paraId="1CE850DB" w14:textId="77777777" w:rsidR="009F0376" w:rsidRPr="009F0376" w:rsidRDefault="009F0376" w:rsidP="009F0376">
      <w:pPr>
        <w:numPr>
          <w:ilvl w:val="0"/>
          <w:numId w:val="5"/>
        </w:numPr>
        <w:spacing w:after="0" w:line="240" w:lineRule="auto"/>
        <w:rPr>
          <w:rFonts w:ascii="Times New Roman" w:eastAsia="Times New Roman" w:hAnsi="Times New Roman" w:cs="Times New Roman"/>
          <w:sz w:val="24"/>
          <w:szCs w:val="24"/>
        </w:rPr>
      </w:pPr>
      <w:r w:rsidRPr="009F0376">
        <w:rPr>
          <w:rFonts w:ascii="Times New Roman" w:eastAsia="Times New Roman" w:hAnsi="Times New Roman" w:cs="Times New Roman"/>
          <w:sz w:val="24"/>
          <w:szCs w:val="24"/>
        </w:rPr>
        <w:t>No contracts recommended for further in-sourcing study</w:t>
      </w:r>
    </w:p>
    <w:p w14:paraId="177295A3" w14:textId="77777777" w:rsidR="009F0376" w:rsidRDefault="009F0376" w:rsidP="00936028">
      <w:pPr>
        <w:spacing w:after="0" w:line="240" w:lineRule="auto"/>
        <w:rPr>
          <w:rFonts w:ascii="Times New Roman" w:eastAsia="Calibri" w:hAnsi="Times New Roman" w:cs="Times New Roman"/>
          <w:sz w:val="24"/>
          <w:szCs w:val="24"/>
        </w:rPr>
      </w:pPr>
    </w:p>
    <w:p w14:paraId="21E34AE9" w14:textId="77777777" w:rsidR="00C366B8" w:rsidRDefault="00C366B8" w:rsidP="00936028">
      <w:pPr>
        <w:spacing w:after="0" w:line="240" w:lineRule="auto"/>
        <w:rPr>
          <w:rFonts w:ascii="Times New Roman" w:eastAsia="Calibri" w:hAnsi="Times New Roman" w:cs="Times New Roman"/>
          <w:sz w:val="24"/>
          <w:szCs w:val="24"/>
        </w:rPr>
      </w:pPr>
    </w:p>
    <w:p w14:paraId="27BD8511" w14:textId="77777777" w:rsidR="00CC0DD0" w:rsidRPr="00CC0DD0" w:rsidRDefault="00CC0DD0" w:rsidP="00CC0DD0">
      <w:pPr>
        <w:spacing w:after="0" w:line="240" w:lineRule="auto"/>
        <w:rPr>
          <w:rFonts w:ascii="Times New Roman" w:eastAsia="Calibri" w:hAnsi="Times New Roman" w:cs="Times New Roman"/>
          <w:b/>
          <w:sz w:val="24"/>
          <w:szCs w:val="24"/>
        </w:rPr>
      </w:pPr>
      <w:r w:rsidRPr="00CC0DD0">
        <w:rPr>
          <w:rFonts w:ascii="Times New Roman" w:eastAsia="Calibri" w:hAnsi="Times New Roman" w:cs="Times New Roman"/>
          <w:b/>
          <w:sz w:val="24"/>
          <w:szCs w:val="24"/>
        </w:rPr>
        <w:t>D.  Actions Taken or Planned</w:t>
      </w:r>
    </w:p>
    <w:p w14:paraId="2CA6AE66" w14:textId="77777777" w:rsidR="00CC0DD0" w:rsidRDefault="00CC0DD0" w:rsidP="00936028">
      <w:pPr>
        <w:spacing w:after="0" w:line="240" w:lineRule="auto"/>
        <w:rPr>
          <w:rFonts w:ascii="Times New Roman" w:eastAsia="Calibri" w:hAnsi="Times New Roman" w:cs="Times New Roman"/>
          <w:sz w:val="24"/>
          <w:szCs w:val="24"/>
        </w:rPr>
      </w:pPr>
    </w:p>
    <w:p w14:paraId="117D5500" w14:textId="77777777" w:rsidR="009F0376" w:rsidRDefault="009F0376" w:rsidP="00936028">
      <w:pPr>
        <w:spacing w:after="0" w:line="240" w:lineRule="auto"/>
        <w:rPr>
          <w:rFonts w:ascii="Times New Roman" w:eastAsia="Calibri" w:hAnsi="Times New Roman" w:cs="Times New Roman"/>
          <w:sz w:val="24"/>
          <w:szCs w:val="24"/>
        </w:rPr>
      </w:pPr>
      <w:r w:rsidRPr="009F0376">
        <w:rPr>
          <w:rFonts w:ascii="Times New Roman" w:eastAsia="Calibri" w:hAnsi="Times New Roman" w:cs="Times New Roman"/>
          <w:sz w:val="24"/>
          <w:szCs w:val="24"/>
        </w:rPr>
        <w:t>There are no action items based on the FY 201</w:t>
      </w:r>
      <w:r w:rsidR="00D72B46">
        <w:rPr>
          <w:rFonts w:ascii="Times New Roman" w:eastAsia="Calibri" w:hAnsi="Times New Roman" w:cs="Times New Roman"/>
          <w:sz w:val="24"/>
          <w:szCs w:val="24"/>
        </w:rPr>
        <w:t>7</w:t>
      </w:r>
      <w:r w:rsidRPr="009F0376">
        <w:rPr>
          <w:rFonts w:ascii="Times New Roman" w:eastAsia="Calibri" w:hAnsi="Times New Roman" w:cs="Times New Roman"/>
          <w:sz w:val="24"/>
          <w:szCs w:val="24"/>
        </w:rPr>
        <w:t xml:space="preserve"> se</w:t>
      </w:r>
      <w:r w:rsidR="003602A3">
        <w:rPr>
          <w:rFonts w:ascii="Times New Roman" w:eastAsia="Calibri" w:hAnsi="Times New Roman" w:cs="Times New Roman"/>
          <w:sz w:val="24"/>
          <w:szCs w:val="24"/>
        </w:rPr>
        <w:t>rvice contract inventory review</w:t>
      </w:r>
      <w:r w:rsidRPr="009F0376">
        <w:rPr>
          <w:rFonts w:ascii="Times New Roman" w:eastAsia="Calibri" w:hAnsi="Times New Roman" w:cs="Times New Roman"/>
          <w:sz w:val="24"/>
          <w:szCs w:val="24"/>
        </w:rPr>
        <w:t>.</w:t>
      </w:r>
    </w:p>
    <w:p w14:paraId="1032A197" w14:textId="77777777" w:rsidR="009F0376" w:rsidRDefault="009F0376" w:rsidP="00936028">
      <w:pPr>
        <w:spacing w:after="0" w:line="240" w:lineRule="auto"/>
        <w:rPr>
          <w:rFonts w:ascii="Times New Roman" w:eastAsia="Calibri" w:hAnsi="Times New Roman" w:cs="Times New Roman"/>
          <w:sz w:val="24"/>
          <w:szCs w:val="24"/>
        </w:rPr>
      </w:pPr>
    </w:p>
    <w:p w14:paraId="016DE75D" w14:textId="77777777" w:rsidR="00905FF7" w:rsidRPr="00936028" w:rsidRDefault="00905FF7" w:rsidP="00936028">
      <w:pPr>
        <w:spacing w:after="0" w:line="240" w:lineRule="auto"/>
        <w:rPr>
          <w:rFonts w:ascii="Times New Roman" w:eastAsia="Calibri" w:hAnsi="Times New Roman" w:cs="Times New Roman"/>
          <w:sz w:val="24"/>
          <w:szCs w:val="24"/>
        </w:rPr>
      </w:pPr>
    </w:p>
    <w:p w14:paraId="70519587" w14:textId="77777777" w:rsidR="00936028" w:rsidRPr="0083453E" w:rsidRDefault="00CC0DD0" w:rsidP="00CC0DD0">
      <w:pPr>
        <w:spacing w:after="0" w:line="240" w:lineRule="auto"/>
        <w:rPr>
          <w:rFonts w:ascii="Times New Roman" w:eastAsia="Calibri" w:hAnsi="Times New Roman" w:cs="Times New Roman"/>
          <w:b/>
          <w:sz w:val="24"/>
          <w:szCs w:val="24"/>
        </w:rPr>
      </w:pPr>
      <w:r w:rsidRPr="0083453E">
        <w:rPr>
          <w:rFonts w:ascii="Times New Roman" w:eastAsia="Calibri" w:hAnsi="Times New Roman" w:cs="Times New Roman"/>
          <w:b/>
          <w:sz w:val="24"/>
          <w:szCs w:val="24"/>
        </w:rPr>
        <w:t>E.</w:t>
      </w:r>
      <w:r w:rsidR="00BB1E19">
        <w:rPr>
          <w:rFonts w:ascii="Times New Roman" w:eastAsia="Calibri" w:hAnsi="Times New Roman" w:cs="Times New Roman"/>
          <w:b/>
          <w:sz w:val="24"/>
          <w:szCs w:val="24"/>
        </w:rPr>
        <w:t xml:space="preserve"> </w:t>
      </w:r>
      <w:r w:rsidR="00926468" w:rsidRPr="0083453E">
        <w:rPr>
          <w:rFonts w:ascii="Times New Roman" w:eastAsia="Calibri" w:hAnsi="Times New Roman" w:cs="Times New Roman"/>
          <w:b/>
          <w:sz w:val="24"/>
          <w:szCs w:val="24"/>
        </w:rPr>
        <w:t xml:space="preserve"> </w:t>
      </w:r>
      <w:r w:rsidRPr="0083453E">
        <w:rPr>
          <w:rFonts w:ascii="Times New Roman" w:eastAsia="Calibri" w:hAnsi="Times New Roman" w:cs="Times New Roman"/>
          <w:b/>
          <w:sz w:val="24"/>
          <w:szCs w:val="24"/>
        </w:rPr>
        <w:t>Accountable Official</w:t>
      </w:r>
    </w:p>
    <w:p w14:paraId="04E24579" w14:textId="77777777" w:rsidR="00CC0DD0" w:rsidRPr="00936028" w:rsidRDefault="00CC0DD0" w:rsidP="00936028">
      <w:pPr>
        <w:spacing w:after="0" w:line="240" w:lineRule="auto"/>
        <w:rPr>
          <w:rFonts w:ascii="Times New Roman" w:eastAsia="Times New Roman" w:hAnsi="Times New Roman" w:cs="Times New Roman"/>
          <w:b/>
          <w:sz w:val="24"/>
          <w:szCs w:val="24"/>
        </w:rPr>
      </w:pPr>
    </w:p>
    <w:p w14:paraId="778FE17C" w14:textId="77777777" w:rsidR="0074512A" w:rsidRDefault="00936028" w:rsidP="00936028">
      <w:pPr>
        <w:spacing w:after="0" w:line="240" w:lineRule="auto"/>
        <w:rPr>
          <w:rFonts w:ascii="Times New Roman" w:eastAsia="Times New Roman" w:hAnsi="Times New Roman" w:cs="Times New Roman"/>
          <w:sz w:val="24"/>
          <w:szCs w:val="24"/>
        </w:rPr>
      </w:pPr>
      <w:r w:rsidRPr="00936028">
        <w:rPr>
          <w:rFonts w:ascii="Times New Roman" w:eastAsia="Times New Roman" w:hAnsi="Times New Roman" w:cs="Times New Roman"/>
          <w:sz w:val="24"/>
          <w:szCs w:val="24"/>
        </w:rPr>
        <w:t>The Department’s senior management official who is accountable for the development of agency policies, procedures, a</w:t>
      </w:r>
      <w:r w:rsidR="00394BDD">
        <w:rPr>
          <w:rFonts w:ascii="Times New Roman" w:eastAsia="Times New Roman" w:hAnsi="Times New Roman" w:cs="Times New Roman"/>
          <w:sz w:val="24"/>
          <w:szCs w:val="24"/>
        </w:rPr>
        <w:t>nd training associated with Acquisition Management</w:t>
      </w:r>
      <w:r w:rsidR="00174045">
        <w:rPr>
          <w:rFonts w:ascii="Times New Roman" w:eastAsia="Times New Roman" w:hAnsi="Times New Roman" w:cs="Times New Roman"/>
          <w:sz w:val="24"/>
          <w:szCs w:val="24"/>
        </w:rPr>
        <w:t xml:space="preserve"> (including Service Contract Inventory Analysis) </w:t>
      </w:r>
      <w:r w:rsidR="00394BDD">
        <w:rPr>
          <w:rFonts w:ascii="Times New Roman" w:eastAsia="Times New Roman" w:hAnsi="Times New Roman" w:cs="Times New Roman"/>
          <w:sz w:val="24"/>
          <w:szCs w:val="24"/>
        </w:rPr>
        <w:t>is the Senior Procurement Executive</w:t>
      </w:r>
      <w:r w:rsidR="00174045">
        <w:rPr>
          <w:rFonts w:ascii="Times New Roman" w:eastAsia="Times New Roman" w:hAnsi="Times New Roman" w:cs="Times New Roman"/>
          <w:sz w:val="24"/>
          <w:szCs w:val="24"/>
        </w:rPr>
        <w:t xml:space="preserve">.  </w:t>
      </w:r>
    </w:p>
    <w:p w14:paraId="65CA4A88" w14:textId="77777777" w:rsidR="00174045" w:rsidRDefault="00174045" w:rsidP="00936028">
      <w:pPr>
        <w:spacing w:after="0" w:line="240" w:lineRule="auto"/>
        <w:rPr>
          <w:rFonts w:ascii="Times New Roman" w:eastAsia="Times New Roman" w:hAnsi="Times New Roman" w:cs="Times New Roman"/>
          <w:sz w:val="24"/>
          <w:szCs w:val="24"/>
        </w:rPr>
      </w:pPr>
    </w:p>
    <w:p w14:paraId="1C9A203F" w14:textId="77777777" w:rsidR="00174045" w:rsidRDefault="00174045" w:rsidP="00936028">
      <w:pPr>
        <w:spacing w:after="0" w:line="240" w:lineRule="auto"/>
        <w:rPr>
          <w:rFonts w:ascii="Times New Roman" w:hAnsi="Times New Roman" w:cs="Times New Roman"/>
        </w:rPr>
      </w:pPr>
    </w:p>
    <w:p w14:paraId="5FD3C662" w14:textId="77777777" w:rsidR="00314F09" w:rsidRDefault="00314F09" w:rsidP="002B1B4E">
      <w:pPr>
        <w:pStyle w:val="Default"/>
        <w:rPr>
          <w:rFonts w:ascii="Times New Roman" w:hAnsi="Times New Roman" w:cs="Times New Roman"/>
          <w:b/>
          <w:bCs/>
        </w:rPr>
      </w:pPr>
    </w:p>
    <w:p w14:paraId="5A6E91F7" w14:textId="77777777" w:rsidR="002B1B4E" w:rsidRDefault="002B1B4E" w:rsidP="00174045">
      <w:pPr>
        <w:pStyle w:val="Default"/>
        <w:jc w:val="center"/>
        <w:rPr>
          <w:rFonts w:ascii="Times New Roman" w:hAnsi="Times New Roman" w:cs="Times New Roman"/>
          <w:b/>
          <w:bCs/>
        </w:rPr>
        <w:sectPr w:rsidR="002B1B4E" w:rsidSect="009C534B">
          <w:headerReference w:type="default" r:id="rId13"/>
          <w:footerReference w:type="default" r:id="rId14"/>
          <w:footerReference w:type="first" r:id="rId15"/>
          <w:pgSz w:w="12240" w:h="15840" w:code="1"/>
          <w:pgMar w:top="1080" w:right="1080" w:bottom="1080" w:left="1080" w:header="720" w:footer="450" w:gutter="0"/>
          <w:paperSrc w:first="15"/>
          <w:pgNumType w:start="1"/>
          <w:cols w:space="720"/>
          <w:titlePg/>
          <w:docGrid w:linePitch="360"/>
        </w:sectPr>
      </w:pPr>
    </w:p>
    <w:p w14:paraId="5EE28DF1" w14:textId="77777777" w:rsidR="00174045" w:rsidRPr="0093536A" w:rsidRDefault="00174045" w:rsidP="00174045">
      <w:pPr>
        <w:pStyle w:val="Default"/>
        <w:jc w:val="center"/>
        <w:rPr>
          <w:rFonts w:ascii="Times New Roman" w:hAnsi="Times New Roman" w:cs="Times New Roman"/>
        </w:rPr>
      </w:pPr>
      <w:r w:rsidRPr="00AB7B2E">
        <w:rPr>
          <w:rFonts w:ascii="Times New Roman" w:hAnsi="Times New Roman" w:cs="Times New Roman"/>
          <w:b/>
          <w:bCs/>
        </w:rPr>
        <w:lastRenderedPageBreak/>
        <w:t>FY 201</w:t>
      </w:r>
      <w:r w:rsidR="00D72B46">
        <w:rPr>
          <w:rFonts w:ascii="Times New Roman" w:hAnsi="Times New Roman" w:cs="Times New Roman"/>
          <w:b/>
          <w:bCs/>
        </w:rPr>
        <w:t>8</w:t>
      </w:r>
      <w:r w:rsidRPr="00AB7B2E">
        <w:rPr>
          <w:rFonts w:ascii="Times New Roman" w:hAnsi="Times New Roman" w:cs="Times New Roman"/>
          <w:b/>
          <w:bCs/>
        </w:rPr>
        <w:t xml:space="preserve"> Service Contract Inventory</w:t>
      </w:r>
      <w:r>
        <w:rPr>
          <w:rFonts w:ascii="Times New Roman" w:hAnsi="Times New Roman" w:cs="Times New Roman"/>
        </w:rPr>
        <w:t xml:space="preserve"> </w:t>
      </w:r>
      <w:r w:rsidRPr="00AB7B2E">
        <w:rPr>
          <w:rFonts w:ascii="Times New Roman" w:hAnsi="Times New Roman" w:cs="Times New Roman"/>
          <w:b/>
          <w:bCs/>
        </w:rPr>
        <w:t>Plan for Analysis</w:t>
      </w:r>
    </w:p>
    <w:p w14:paraId="346C2EE4" w14:textId="77777777" w:rsidR="00174045" w:rsidRPr="00AB7B2E" w:rsidRDefault="00174045" w:rsidP="00174045">
      <w:pPr>
        <w:pStyle w:val="Default"/>
        <w:jc w:val="center"/>
        <w:rPr>
          <w:rFonts w:ascii="Times New Roman" w:hAnsi="Times New Roman" w:cs="Times New Roman"/>
          <w:b/>
          <w:bCs/>
        </w:rPr>
      </w:pPr>
    </w:p>
    <w:p w14:paraId="354FC096" w14:textId="77777777" w:rsidR="00174045" w:rsidRDefault="00174045" w:rsidP="00174045">
      <w:pPr>
        <w:pStyle w:val="Default"/>
        <w:rPr>
          <w:rFonts w:ascii="Times New Roman" w:hAnsi="Times New Roman" w:cs="Times New Roman"/>
        </w:rPr>
      </w:pPr>
      <w:r w:rsidRPr="00AB7B2E">
        <w:rPr>
          <w:rFonts w:ascii="Times New Roman" w:hAnsi="Times New Roman" w:cs="Times New Roman"/>
        </w:rPr>
        <w:t>The Department of Education (</w:t>
      </w:r>
      <w:r>
        <w:rPr>
          <w:rFonts w:ascii="Times New Roman" w:hAnsi="Times New Roman" w:cs="Times New Roman"/>
        </w:rPr>
        <w:t>ED</w:t>
      </w:r>
      <w:r w:rsidRPr="00AB7B2E">
        <w:rPr>
          <w:rFonts w:ascii="Times New Roman" w:hAnsi="Times New Roman" w:cs="Times New Roman"/>
        </w:rPr>
        <w:t xml:space="preserve">) </w:t>
      </w:r>
      <w:r w:rsidR="00AA350B">
        <w:rPr>
          <w:rFonts w:ascii="Times New Roman" w:hAnsi="Times New Roman" w:cs="Times New Roman"/>
        </w:rPr>
        <w:t>analysis</w:t>
      </w:r>
      <w:r w:rsidRPr="00AB7B2E">
        <w:rPr>
          <w:rFonts w:ascii="Times New Roman" w:hAnsi="Times New Roman" w:cs="Times New Roman"/>
        </w:rPr>
        <w:t xml:space="preserve"> will be performed in accordance with the criteria set out in Consolidated Appropriations Act, 2010, (Pub. L. No. 111-117, § 743</w:t>
      </w:r>
      <w:r>
        <w:rPr>
          <w:rFonts w:ascii="Times New Roman" w:hAnsi="Times New Roman" w:cs="Times New Roman"/>
        </w:rPr>
        <w:t xml:space="preserve"> - </w:t>
      </w:r>
      <w:r w:rsidRPr="00AB7B2E">
        <w:rPr>
          <w:rFonts w:ascii="Times New Roman" w:hAnsi="Times New Roman" w:cs="Times New Roman"/>
        </w:rPr>
        <w:t>2009</w:t>
      </w:r>
      <w:r>
        <w:rPr>
          <w:rFonts w:ascii="Times New Roman" w:hAnsi="Times New Roman" w:cs="Times New Roman"/>
        </w:rPr>
        <w:t>.  ED</w:t>
      </w:r>
      <w:r w:rsidRPr="00AB7B2E">
        <w:rPr>
          <w:rFonts w:ascii="Times New Roman" w:hAnsi="Times New Roman" w:cs="Times New Roman"/>
        </w:rPr>
        <w:t xml:space="preserve"> will develop the basic inventory in accordance with OMB guidance using FPDS-NG data to address a number of the </w:t>
      </w:r>
      <w:r w:rsidR="008B4E71">
        <w:rPr>
          <w:rFonts w:ascii="Times New Roman" w:hAnsi="Times New Roman" w:cs="Times New Roman"/>
        </w:rPr>
        <w:t>r</w:t>
      </w:r>
      <w:r w:rsidR="008B4E71" w:rsidRPr="00AB7B2E">
        <w:rPr>
          <w:rFonts w:ascii="Times New Roman" w:hAnsi="Times New Roman" w:cs="Times New Roman"/>
        </w:rPr>
        <w:t>equirement</w:t>
      </w:r>
      <w:r w:rsidR="008B4E71">
        <w:rPr>
          <w:rFonts w:ascii="Times New Roman" w:hAnsi="Times New Roman" w:cs="Times New Roman"/>
        </w:rPr>
        <w:t>s;</w:t>
      </w:r>
      <w:r>
        <w:rPr>
          <w:rFonts w:ascii="Times New Roman" w:hAnsi="Times New Roman" w:cs="Times New Roman"/>
        </w:rPr>
        <w:t xml:space="preserve"> a </w:t>
      </w:r>
      <w:r w:rsidRPr="00AB7B2E">
        <w:rPr>
          <w:rFonts w:ascii="Times New Roman" w:hAnsi="Times New Roman" w:cs="Times New Roman"/>
        </w:rPr>
        <w:t xml:space="preserve">list of special interest functions by </w:t>
      </w:r>
      <w:r>
        <w:rPr>
          <w:rFonts w:ascii="Times New Roman" w:hAnsi="Times New Roman" w:cs="Times New Roman"/>
        </w:rPr>
        <w:t xml:space="preserve">PSC is below. </w:t>
      </w:r>
    </w:p>
    <w:p w14:paraId="4F9C1993" w14:textId="77777777" w:rsidR="00174045" w:rsidRDefault="00174045" w:rsidP="00174045">
      <w:pPr>
        <w:pStyle w:val="Default"/>
        <w:rPr>
          <w:rFonts w:ascii="Times New Roman" w:hAnsi="Times New Roman" w:cs="Times New Roman"/>
        </w:rPr>
      </w:pPr>
    </w:p>
    <w:tbl>
      <w:tblPr>
        <w:tblW w:w="0" w:type="auto"/>
        <w:jc w:val="center"/>
        <w:tblLook w:val="04A0" w:firstRow="1" w:lastRow="0" w:firstColumn="1" w:lastColumn="0" w:noHBand="0" w:noVBand="1"/>
      </w:tblPr>
      <w:tblGrid>
        <w:gridCol w:w="711"/>
        <w:gridCol w:w="7190"/>
      </w:tblGrid>
      <w:tr w:rsidR="00174045" w:rsidRPr="0093536A" w14:paraId="7908F773" w14:textId="77777777" w:rsidTr="00B61A3C">
        <w:trPr>
          <w:trHeight w:val="20"/>
          <w:jc w:val="center"/>
        </w:trPr>
        <w:tc>
          <w:tcPr>
            <w:tcW w:w="711" w:type="dxa"/>
            <w:tcBorders>
              <w:top w:val="single" w:sz="4" w:space="0" w:color="auto"/>
              <w:left w:val="single" w:sz="4" w:space="0" w:color="auto"/>
              <w:bottom w:val="nil"/>
              <w:right w:val="nil"/>
            </w:tcBorders>
            <w:shd w:val="clear" w:color="auto" w:fill="auto"/>
            <w:noWrap/>
            <w:vAlign w:val="bottom"/>
            <w:hideMark/>
          </w:tcPr>
          <w:p w14:paraId="328E0980" w14:textId="77777777" w:rsidR="00174045" w:rsidRPr="0093536A" w:rsidRDefault="00174045" w:rsidP="00B61A3C">
            <w:pPr>
              <w:pStyle w:val="Default"/>
              <w:rPr>
                <w:rFonts w:ascii="Times New Roman" w:hAnsi="Times New Roman" w:cs="Times New Roman"/>
                <w:b/>
                <w:sz w:val="18"/>
                <w:szCs w:val="18"/>
              </w:rPr>
            </w:pPr>
            <w:r w:rsidRPr="0093536A">
              <w:rPr>
                <w:rFonts w:ascii="Times New Roman" w:hAnsi="Times New Roman" w:cs="Times New Roman"/>
                <w:b/>
                <w:sz w:val="18"/>
                <w:szCs w:val="18"/>
              </w:rPr>
              <w:t>PSC</w:t>
            </w:r>
          </w:p>
        </w:tc>
        <w:tc>
          <w:tcPr>
            <w:tcW w:w="7190" w:type="dxa"/>
            <w:tcBorders>
              <w:top w:val="single" w:sz="4" w:space="0" w:color="auto"/>
              <w:left w:val="single" w:sz="4" w:space="0" w:color="auto"/>
              <w:bottom w:val="nil"/>
              <w:right w:val="single" w:sz="4" w:space="0" w:color="auto"/>
            </w:tcBorders>
            <w:shd w:val="clear" w:color="auto" w:fill="auto"/>
            <w:noWrap/>
            <w:vAlign w:val="bottom"/>
            <w:hideMark/>
          </w:tcPr>
          <w:p w14:paraId="0E0F38F6" w14:textId="77777777" w:rsidR="00174045" w:rsidRPr="0093536A" w:rsidRDefault="00174045" w:rsidP="00B61A3C">
            <w:pPr>
              <w:pStyle w:val="Default"/>
              <w:jc w:val="center"/>
              <w:rPr>
                <w:rFonts w:ascii="Times New Roman" w:hAnsi="Times New Roman" w:cs="Times New Roman"/>
                <w:b/>
                <w:sz w:val="18"/>
                <w:szCs w:val="18"/>
              </w:rPr>
            </w:pPr>
            <w:r w:rsidRPr="0093536A">
              <w:rPr>
                <w:rFonts w:ascii="Times New Roman" w:hAnsi="Times New Roman" w:cs="Times New Roman"/>
                <w:b/>
                <w:sz w:val="18"/>
                <w:szCs w:val="18"/>
              </w:rPr>
              <w:t>Description</w:t>
            </w:r>
          </w:p>
        </w:tc>
      </w:tr>
      <w:tr w:rsidR="00174045" w:rsidRPr="0093536A" w14:paraId="366E7F3B" w14:textId="77777777" w:rsidTr="00B61A3C">
        <w:trPr>
          <w:trHeight w:val="20"/>
          <w:jc w:val="center"/>
        </w:trPr>
        <w:tc>
          <w:tcPr>
            <w:tcW w:w="711" w:type="dxa"/>
            <w:tcBorders>
              <w:top w:val="single" w:sz="4" w:space="0" w:color="auto"/>
              <w:left w:val="single" w:sz="4" w:space="0" w:color="auto"/>
              <w:bottom w:val="nil"/>
              <w:right w:val="single" w:sz="4" w:space="0" w:color="auto"/>
            </w:tcBorders>
            <w:shd w:val="clear" w:color="auto" w:fill="auto"/>
            <w:noWrap/>
            <w:hideMark/>
          </w:tcPr>
          <w:p w14:paraId="6809FEEC" w14:textId="77777777" w:rsidR="00174045" w:rsidRPr="0093536A" w:rsidRDefault="00174045" w:rsidP="00B61A3C">
            <w:pPr>
              <w:pStyle w:val="Default"/>
              <w:rPr>
                <w:rFonts w:ascii="Times New Roman" w:hAnsi="Times New Roman" w:cs="Times New Roman"/>
                <w:sz w:val="18"/>
                <w:szCs w:val="18"/>
              </w:rPr>
            </w:pPr>
            <w:r w:rsidRPr="0093536A">
              <w:rPr>
                <w:rFonts w:ascii="Times New Roman" w:hAnsi="Times New Roman" w:cs="Times New Roman"/>
                <w:sz w:val="18"/>
                <w:szCs w:val="18"/>
              </w:rPr>
              <w:t>R710</w:t>
            </w:r>
          </w:p>
        </w:tc>
        <w:tc>
          <w:tcPr>
            <w:tcW w:w="7190" w:type="dxa"/>
            <w:tcBorders>
              <w:top w:val="single" w:sz="4" w:space="0" w:color="auto"/>
              <w:left w:val="nil"/>
              <w:bottom w:val="nil"/>
              <w:right w:val="single" w:sz="4" w:space="0" w:color="auto"/>
            </w:tcBorders>
            <w:shd w:val="clear" w:color="auto" w:fill="auto"/>
            <w:hideMark/>
          </w:tcPr>
          <w:p w14:paraId="62857F38" w14:textId="77777777" w:rsidR="00174045" w:rsidRPr="0093536A" w:rsidRDefault="00174045" w:rsidP="00B61A3C">
            <w:pPr>
              <w:pStyle w:val="Default"/>
              <w:rPr>
                <w:rFonts w:ascii="Times New Roman" w:hAnsi="Times New Roman" w:cs="Times New Roman"/>
                <w:sz w:val="18"/>
                <w:szCs w:val="18"/>
              </w:rPr>
            </w:pPr>
            <w:r w:rsidRPr="0093536A">
              <w:rPr>
                <w:rFonts w:ascii="Times New Roman" w:hAnsi="Times New Roman" w:cs="Times New Roman"/>
                <w:sz w:val="18"/>
                <w:szCs w:val="18"/>
              </w:rPr>
              <w:t>SUPPORT- MANAGEMENT: FINANCIAL</w:t>
            </w:r>
          </w:p>
        </w:tc>
      </w:tr>
      <w:tr w:rsidR="00174045" w:rsidRPr="0093536A" w14:paraId="1A887AD4" w14:textId="77777777" w:rsidTr="00B61A3C">
        <w:trPr>
          <w:trHeight w:val="20"/>
          <w:jc w:val="center"/>
        </w:trPr>
        <w:tc>
          <w:tcPr>
            <w:tcW w:w="711" w:type="dxa"/>
            <w:tcBorders>
              <w:top w:val="nil"/>
              <w:left w:val="single" w:sz="4" w:space="0" w:color="auto"/>
              <w:bottom w:val="nil"/>
              <w:right w:val="single" w:sz="4" w:space="0" w:color="auto"/>
            </w:tcBorders>
            <w:shd w:val="clear" w:color="auto" w:fill="auto"/>
            <w:noWrap/>
            <w:hideMark/>
          </w:tcPr>
          <w:p w14:paraId="4813C5E3" w14:textId="77777777" w:rsidR="00174045" w:rsidRPr="0093536A" w:rsidRDefault="00174045" w:rsidP="00B61A3C">
            <w:pPr>
              <w:pStyle w:val="Default"/>
              <w:rPr>
                <w:rFonts w:ascii="Times New Roman" w:hAnsi="Times New Roman" w:cs="Times New Roman"/>
                <w:sz w:val="18"/>
                <w:szCs w:val="18"/>
              </w:rPr>
            </w:pPr>
            <w:r w:rsidRPr="0093536A">
              <w:rPr>
                <w:rFonts w:ascii="Times New Roman" w:hAnsi="Times New Roman" w:cs="Times New Roman"/>
                <w:sz w:val="18"/>
                <w:szCs w:val="18"/>
              </w:rPr>
              <w:t>R705</w:t>
            </w:r>
          </w:p>
        </w:tc>
        <w:tc>
          <w:tcPr>
            <w:tcW w:w="7190" w:type="dxa"/>
            <w:tcBorders>
              <w:top w:val="nil"/>
              <w:left w:val="nil"/>
              <w:bottom w:val="nil"/>
              <w:right w:val="single" w:sz="4" w:space="0" w:color="auto"/>
            </w:tcBorders>
            <w:shd w:val="clear" w:color="auto" w:fill="auto"/>
            <w:hideMark/>
          </w:tcPr>
          <w:p w14:paraId="399B6BEF" w14:textId="77777777" w:rsidR="00174045" w:rsidRPr="0093536A" w:rsidRDefault="00174045" w:rsidP="00B61A3C">
            <w:pPr>
              <w:pStyle w:val="Default"/>
              <w:rPr>
                <w:rFonts w:ascii="Times New Roman" w:hAnsi="Times New Roman" w:cs="Times New Roman"/>
                <w:sz w:val="18"/>
                <w:szCs w:val="18"/>
              </w:rPr>
            </w:pPr>
            <w:r w:rsidRPr="0093536A">
              <w:rPr>
                <w:rFonts w:ascii="Times New Roman" w:hAnsi="Times New Roman" w:cs="Times New Roman"/>
                <w:sz w:val="18"/>
                <w:szCs w:val="18"/>
              </w:rPr>
              <w:t>SUPPORT- MANAGEMENT: DEBT COLLECTION</w:t>
            </w:r>
          </w:p>
        </w:tc>
      </w:tr>
      <w:tr w:rsidR="00672E70" w:rsidRPr="0093536A" w14:paraId="687CB3C6" w14:textId="77777777" w:rsidTr="00B61A3C">
        <w:trPr>
          <w:trHeight w:val="20"/>
          <w:jc w:val="center"/>
        </w:trPr>
        <w:tc>
          <w:tcPr>
            <w:tcW w:w="711" w:type="dxa"/>
            <w:tcBorders>
              <w:top w:val="nil"/>
              <w:left w:val="single" w:sz="4" w:space="0" w:color="auto"/>
              <w:bottom w:val="nil"/>
              <w:right w:val="single" w:sz="4" w:space="0" w:color="auto"/>
            </w:tcBorders>
            <w:shd w:val="clear" w:color="auto" w:fill="auto"/>
            <w:noWrap/>
            <w:hideMark/>
          </w:tcPr>
          <w:p w14:paraId="00DCEA0A" w14:textId="77777777" w:rsidR="00672E70" w:rsidRPr="0093536A" w:rsidRDefault="00672E70" w:rsidP="00487DED">
            <w:pPr>
              <w:pStyle w:val="Default"/>
              <w:rPr>
                <w:rFonts w:ascii="Times New Roman" w:hAnsi="Times New Roman" w:cs="Times New Roman"/>
                <w:sz w:val="18"/>
                <w:szCs w:val="18"/>
              </w:rPr>
            </w:pPr>
            <w:r w:rsidRPr="0093536A">
              <w:rPr>
                <w:rFonts w:ascii="Times New Roman" w:hAnsi="Times New Roman" w:cs="Times New Roman"/>
                <w:sz w:val="18"/>
                <w:szCs w:val="18"/>
              </w:rPr>
              <w:t>R499</w:t>
            </w:r>
          </w:p>
        </w:tc>
        <w:tc>
          <w:tcPr>
            <w:tcW w:w="7190" w:type="dxa"/>
            <w:tcBorders>
              <w:top w:val="nil"/>
              <w:left w:val="nil"/>
              <w:bottom w:val="nil"/>
              <w:right w:val="single" w:sz="4" w:space="0" w:color="auto"/>
            </w:tcBorders>
            <w:shd w:val="clear" w:color="auto" w:fill="auto"/>
            <w:hideMark/>
          </w:tcPr>
          <w:p w14:paraId="360B3F00" w14:textId="77777777" w:rsidR="00672E70" w:rsidRPr="0093536A" w:rsidRDefault="00672E70" w:rsidP="00487DED">
            <w:pPr>
              <w:pStyle w:val="Default"/>
              <w:rPr>
                <w:rFonts w:ascii="Times New Roman" w:hAnsi="Times New Roman" w:cs="Times New Roman"/>
                <w:sz w:val="18"/>
                <w:szCs w:val="18"/>
              </w:rPr>
            </w:pPr>
            <w:r w:rsidRPr="0093536A">
              <w:rPr>
                <w:rFonts w:ascii="Times New Roman" w:hAnsi="Times New Roman" w:cs="Times New Roman"/>
                <w:sz w:val="18"/>
                <w:szCs w:val="18"/>
              </w:rPr>
              <w:t>SUPPORT- PROFESSIONAL: OTHER</w:t>
            </w:r>
          </w:p>
        </w:tc>
      </w:tr>
      <w:tr w:rsidR="00672E70" w:rsidRPr="0093536A" w14:paraId="6271C3D3" w14:textId="77777777" w:rsidTr="00B61A3C">
        <w:trPr>
          <w:trHeight w:val="20"/>
          <w:jc w:val="center"/>
        </w:trPr>
        <w:tc>
          <w:tcPr>
            <w:tcW w:w="711" w:type="dxa"/>
            <w:tcBorders>
              <w:top w:val="nil"/>
              <w:left w:val="single" w:sz="4" w:space="0" w:color="auto"/>
              <w:bottom w:val="nil"/>
              <w:right w:val="single" w:sz="4" w:space="0" w:color="auto"/>
            </w:tcBorders>
            <w:shd w:val="clear" w:color="auto" w:fill="auto"/>
            <w:noWrap/>
            <w:hideMark/>
          </w:tcPr>
          <w:p w14:paraId="130990E5" w14:textId="77777777" w:rsidR="00672E70" w:rsidRDefault="00672E70" w:rsidP="00B61A3C">
            <w:pPr>
              <w:pStyle w:val="Default"/>
              <w:rPr>
                <w:rFonts w:ascii="Times New Roman" w:hAnsi="Times New Roman" w:cs="Times New Roman"/>
                <w:sz w:val="18"/>
                <w:szCs w:val="18"/>
              </w:rPr>
            </w:pPr>
            <w:r w:rsidRPr="0083453E">
              <w:rPr>
                <w:rFonts w:ascii="Times New Roman" w:eastAsia="Times New Roman" w:hAnsi="Times New Roman" w:cs="Times New Roman"/>
                <w:sz w:val="18"/>
                <w:szCs w:val="18"/>
              </w:rPr>
              <w:t>D301</w:t>
            </w:r>
          </w:p>
          <w:p w14:paraId="71084C1F" w14:textId="77777777" w:rsidR="00672E70" w:rsidRPr="0093536A" w:rsidRDefault="00672E70" w:rsidP="00B61A3C">
            <w:pPr>
              <w:pStyle w:val="Default"/>
              <w:rPr>
                <w:rFonts w:ascii="Times New Roman" w:hAnsi="Times New Roman" w:cs="Times New Roman"/>
                <w:sz w:val="18"/>
                <w:szCs w:val="18"/>
              </w:rPr>
            </w:pPr>
            <w:r w:rsidRPr="0093536A">
              <w:rPr>
                <w:rFonts w:ascii="Times New Roman" w:hAnsi="Times New Roman" w:cs="Times New Roman"/>
                <w:sz w:val="18"/>
                <w:szCs w:val="18"/>
              </w:rPr>
              <w:t>B506</w:t>
            </w:r>
          </w:p>
        </w:tc>
        <w:tc>
          <w:tcPr>
            <w:tcW w:w="7190" w:type="dxa"/>
            <w:tcBorders>
              <w:top w:val="nil"/>
              <w:left w:val="nil"/>
              <w:bottom w:val="nil"/>
              <w:right w:val="single" w:sz="4" w:space="0" w:color="auto"/>
            </w:tcBorders>
            <w:shd w:val="clear" w:color="auto" w:fill="auto"/>
            <w:hideMark/>
          </w:tcPr>
          <w:p w14:paraId="665D4489" w14:textId="77777777" w:rsidR="00672E70" w:rsidRDefault="00672E70" w:rsidP="00B61A3C">
            <w:pPr>
              <w:pStyle w:val="Default"/>
              <w:rPr>
                <w:rFonts w:ascii="Times New Roman" w:hAnsi="Times New Roman" w:cs="Times New Roman"/>
                <w:sz w:val="18"/>
                <w:szCs w:val="18"/>
              </w:rPr>
            </w:pPr>
            <w:r w:rsidRPr="00C07886">
              <w:rPr>
                <w:rFonts w:ascii="Times New Roman" w:eastAsia="Times New Roman" w:hAnsi="Times New Roman" w:cs="Times New Roman"/>
                <w:sz w:val="18"/>
                <w:szCs w:val="18"/>
              </w:rPr>
              <w:t>IT AND TELECOM- FACILITY OPERATION AND MAINTENANCE</w:t>
            </w:r>
          </w:p>
          <w:p w14:paraId="231B1E9A" w14:textId="77777777" w:rsidR="00672E70" w:rsidRPr="0093536A" w:rsidRDefault="00672E70" w:rsidP="00B61A3C">
            <w:pPr>
              <w:pStyle w:val="Default"/>
              <w:rPr>
                <w:rFonts w:ascii="Times New Roman" w:hAnsi="Times New Roman" w:cs="Times New Roman"/>
                <w:sz w:val="18"/>
                <w:szCs w:val="18"/>
              </w:rPr>
            </w:pPr>
            <w:r w:rsidRPr="0093536A">
              <w:rPr>
                <w:rFonts w:ascii="Times New Roman" w:hAnsi="Times New Roman" w:cs="Times New Roman"/>
                <w:sz w:val="18"/>
                <w:szCs w:val="18"/>
              </w:rPr>
              <w:t>SPECIAL STUDIES/ANALYSIS- DATA (OTHER THAN SCIENTIFIC)</w:t>
            </w:r>
          </w:p>
        </w:tc>
      </w:tr>
      <w:tr w:rsidR="00672E70" w:rsidRPr="0093536A" w14:paraId="6C07AB56" w14:textId="77777777" w:rsidTr="00B61A3C">
        <w:trPr>
          <w:trHeight w:val="20"/>
          <w:jc w:val="center"/>
        </w:trPr>
        <w:tc>
          <w:tcPr>
            <w:tcW w:w="711" w:type="dxa"/>
            <w:tcBorders>
              <w:top w:val="nil"/>
              <w:left w:val="single" w:sz="4" w:space="0" w:color="auto"/>
              <w:bottom w:val="nil"/>
              <w:right w:val="single" w:sz="4" w:space="0" w:color="auto"/>
            </w:tcBorders>
            <w:shd w:val="clear" w:color="auto" w:fill="auto"/>
            <w:noWrap/>
            <w:hideMark/>
          </w:tcPr>
          <w:p w14:paraId="4172533D" w14:textId="77777777" w:rsidR="00672E70" w:rsidRPr="0093536A" w:rsidRDefault="00672E70" w:rsidP="00B61A3C">
            <w:pPr>
              <w:pStyle w:val="Default"/>
              <w:rPr>
                <w:rFonts w:ascii="Times New Roman" w:hAnsi="Times New Roman" w:cs="Times New Roman"/>
                <w:sz w:val="18"/>
                <w:szCs w:val="18"/>
              </w:rPr>
            </w:pPr>
            <w:r w:rsidRPr="0093536A">
              <w:rPr>
                <w:rFonts w:ascii="Times New Roman" w:hAnsi="Times New Roman" w:cs="Times New Roman"/>
                <w:sz w:val="18"/>
                <w:szCs w:val="18"/>
              </w:rPr>
              <w:t>AF11</w:t>
            </w:r>
          </w:p>
        </w:tc>
        <w:tc>
          <w:tcPr>
            <w:tcW w:w="7190" w:type="dxa"/>
            <w:tcBorders>
              <w:top w:val="nil"/>
              <w:left w:val="nil"/>
              <w:bottom w:val="nil"/>
              <w:right w:val="single" w:sz="4" w:space="0" w:color="auto"/>
            </w:tcBorders>
            <w:shd w:val="clear" w:color="auto" w:fill="auto"/>
            <w:hideMark/>
          </w:tcPr>
          <w:p w14:paraId="59F01FFA" w14:textId="77777777" w:rsidR="00672E70" w:rsidRPr="0093536A" w:rsidRDefault="00672E70" w:rsidP="00B61A3C">
            <w:pPr>
              <w:pStyle w:val="Default"/>
              <w:rPr>
                <w:rFonts w:ascii="Times New Roman" w:hAnsi="Times New Roman" w:cs="Times New Roman"/>
                <w:sz w:val="18"/>
                <w:szCs w:val="18"/>
              </w:rPr>
            </w:pPr>
            <w:r w:rsidRPr="0093536A">
              <w:rPr>
                <w:rFonts w:ascii="Times New Roman" w:hAnsi="Times New Roman" w:cs="Times New Roman"/>
                <w:sz w:val="18"/>
                <w:szCs w:val="18"/>
              </w:rPr>
              <w:t>R&amp;D- EDUCATION: EDUCATIONAL (BASIC RESEARCH)</w:t>
            </w:r>
          </w:p>
        </w:tc>
      </w:tr>
      <w:tr w:rsidR="00672E70" w:rsidRPr="0093536A" w14:paraId="1032E5CB" w14:textId="77777777" w:rsidTr="00B61A3C">
        <w:trPr>
          <w:trHeight w:val="20"/>
          <w:jc w:val="center"/>
        </w:trPr>
        <w:tc>
          <w:tcPr>
            <w:tcW w:w="711" w:type="dxa"/>
            <w:tcBorders>
              <w:top w:val="nil"/>
              <w:left w:val="single" w:sz="4" w:space="0" w:color="auto"/>
              <w:bottom w:val="nil"/>
              <w:right w:val="single" w:sz="4" w:space="0" w:color="auto"/>
            </w:tcBorders>
            <w:shd w:val="clear" w:color="auto" w:fill="auto"/>
            <w:noWrap/>
            <w:hideMark/>
          </w:tcPr>
          <w:p w14:paraId="7D44E332" w14:textId="77777777" w:rsidR="00672E70" w:rsidRPr="0093536A" w:rsidRDefault="00672E70" w:rsidP="00B61A3C">
            <w:pPr>
              <w:pStyle w:val="Default"/>
              <w:rPr>
                <w:rFonts w:ascii="Times New Roman" w:hAnsi="Times New Roman" w:cs="Times New Roman"/>
                <w:sz w:val="18"/>
                <w:szCs w:val="18"/>
              </w:rPr>
            </w:pPr>
            <w:r w:rsidRPr="0093536A">
              <w:rPr>
                <w:rFonts w:ascii="Times New Roman" w:hAnsi="Times New Roman" w:cs="Times New Roman"/>
                <w:sz w:val="18"/>
                <w:szCs w:val="18"/>
              </w:rPr>
              <w:t>B542</w:t>
            </w:r>
          </w:p>
        </w:tc>
        <w:tc>
          <w:tcPr>
            <w:tcW w:w="7190" w:type="dxa"/>
            <w:tcBorders>
              <w:top w:val="nil"/>
              <w:left w:val="nil"/>
              <w:bottom w:val="nil"/>
              <w:right w:val="single" w:sz="4" w:space="0" w:color="auto"/>
            </w:tcBorders>
            <w:shd w:val="clear" w:color="auto" w:fill="auto"/>
            <w:hideMark/>
          </w:tcPr>
          <w:p w14:paraId="56CCF72A" w14:textId="77777777" w:rsidR="00672E70" w:rsidRPr="0093536A" w:rsidRDefault="00672E70" w:rsidP="00B61A3C">
            <w:pPr>
              <w:pStyle w:val="Default"/>
              <w:rPr>
                <w:rFonts w:ascii="Times New Roman" w:hAnsi="Times New Roman" w:cs="Times New Roman"/>
                <w:sz w:val="18"/>
                <w:szCs w:val="18"/>
              </w:rPr>
            </w:pPr>
            <w:r w:rsidRPr="0093536A">
              <w:rPr>
                <w:rFonts w:ascii="Times New Roman" w:hAnsi="Times New Roman" w:cs="Times New Roman"/>
                <w:sz w:val="18"/>
                <w:szCs w:val="18"/>
              </w:rPr>
              <w:t>SPECIAL STUDIES/ANALYSIS- EDUCATIONAL</w:t>
            </w:r>
          </w:p>
        </w:tc>
      </w:tr>
      <w:tr w:rsidR="00672E70" w:rsidRPr="0093536A" w14:paraId="4181F380" w14:textId="77777777" w:rsidTr="00672E70">
        <w:trPr>
          <w:trHeight w:val="20"/>
          <w:jc w:val="center"/>
        </w:trPr>
        <w:tc>
          <w:tcPr>
            <w:tcW w:w="711" w:type="dxa"/>
            <w:tcBorders>
              <w:top w:val="nil"/>
              <w:left w:val="single" w:sz="4" w:space="0" w:color="auto"/>
              <w:bottom w:val="nil"/>
              <w:right w:val="single" w:sz="4" w:space="0" w:color="auto"/>
            </w:tcBorders>
            <w:shd w:val="clear" w:color="auto" w:fill="auto"/>
            <w:noWrap/>
          </w:tcPr>
          <w:p w14:paraId="0BA666EE" w14:textId="77777777" w:rsidR="00672E70" w:rsidRPr="0093536A" w:rsidRDefault="00672E70" w:rsidP="00B61A3C">
            <w:pPr>
              <w:pStyle w:val="Default"/>
              <w:rPr>
                <w:rFonts w:ascii="Times New Roman" w:hAnsi="Times New Roman" w:cs="Times New Roman"/>
                <w:sz w:val="18"/>
                <w:szCs w:val="18"/>
              </w:rPr>
            </w:pPr>
            <w:r>
              <w:rPr>
                <w:rFonts w:ascii="Times New Roman" w:hAnsi="Times New Roman" w:cs="Times New Roman"/>
                <w:sz w:val="18"/>
                <w:szCs w:val="18"/>
              </w:rPr>
              <w:t>D399</w:t>
            </w:r>
          </w:p>
        </w:tc>
        <w:tc>
          <w:tcPr>
            <w:tcW w:w="7190" w:type="dxa"/>
            <w:tcBorders>
              <w:top w:val="nil"/>
              <w:left w:val="nil"/>
              <w:bottom w:val="nil"/>
              <w:right w:val="single" w:sz="4" w:space="0" w:color="auto"/>
            </w:tcBorders>
            <w:shd w:val="clear" w:color="auto" w:fill="auto"/>
          </w:tcPr>
          <w:p w14:paraId="09C76532" w14:textId="77777777" w:rsidR="00672E70" w:rsidRPr="0093536A" w:rsidRDefault="00672E70" w:rsidP="00B61A3C">
            <w:pPr>
              <w:pStyle w:val="Default"/>
              <w:rPr>
                <w:rFonts w:ascii="Times New Roman" w:hAnsi="Times New Roman" w:cs="Times New Roman"/>
                <w:sz w:val="18"/>
                <w:szCs w:val="18"/>
              </w:rPr>
            </w:pPr>
            <w:r>
              <w:rPr>
                <w:rFonts w:ascii="Times New Roman" w:hAnsi="Times New Roman" w:cs="Times New Roman"/>
                <w:sz w:val="18"/>
                <w:szCs w:val="18"/>
              </w:rPr>
              <w:t>IT AND TELECOM Other IT and TELECOMMUNICATIONs</w:t>
            </w:r>
          </w:p>
        </w:tc>
      </w:tr>
      <w:tr w:rsidR="00672E70" w:rsidRPr="0093536A" w14:paraId="7A05466C" w14:textId="77777777" w:rsidTr="00B61A3C">
        <w:trPr>
          <w:trHeight w:val="20"/>
          <w:jc w:val="center"/>
        </w:trPr>
        <w:tc>
          <w:tcPr>
            <w:tcW w:w="711" w:type="dxa"/>
            <w:tcBorders>
              <w:top w:val="nil"/>
              <w:left w:val="single" w:sz="4" w:space="0" w:color="auto"/>
              <w:bottom w:val="nil"/>
              <w:right w:val="single" w:sz="4" w:space="0" w:color="auto"/>
            </w:tcBorders>
            <w:shd w:val="clear" w:color="auto" w:fill="auto"/>
            <w:noWrap/>
            <w:hideMark/>
          </w:tcPr>
          <w:p w14:paraId="31674227" w14:textId="77777777" w:rsidR="00672E70" w:rsidRPr="0093536A" w:rsidRDefault="00672E70" w:rsidP="00B61A3C">
            <w:pPr>
              <w:pStyle w:val="Default"/>
              <w:rPr>
                <w:rFonts w:ascii="Times New Roman" w:hAnsi="Times New Roman" w:cs="Times New Roman"/>
                <w:sz w:val="18"/>
                <w:szCs w:val="18"/>
              </w:rPr>
            </w:pPr>
            <w:r w:rsidRPr="0093536A">
              <w:rPr>
                <w:rFonts w:ascii="Times New Roman" w:hAnsi="Times New Roman" w:cs="Times New Roman"/>
                <w:sz w:val="18"/>
                <w:szCs w:val="18"/>
              </w:rPr>
              <w:t>D313</w:t>
            </w:r>
          </w:p>
        </w:tc>
        <w:tc>
          <w:tcPr>
            <w:tcW w:w="7190" w:type="dxa"/>
            <w:tcBorders>
              <w:top w:val="nil"/>
              <w:left w:val="nil"/>
              <w:bottom w:val="nil"/>
              <w:right w:val="single" w:sz="4" w:space="0" w:color="auto"/>
            </w:tcBorders>
            <w:shd w:val="clear" w:color="auto" w:fill="auto"/>
            <w:hideMark/>
          </w:tcPr>
          <w:p w14:paraId="6161A509" w14:textId="77777777" w:rsidR="00672E70" w:rsidRPr="0093536A" w:rsidRDefault="00672E70" w:rsidP="00B61A3C">
            <w:pPr>
              <w:pStyle w:val="Default"/>
              <w:rPr>
                <w:rFonts w:ascii="Times New Roman" w:hAnsi="Times New Roman" w:cs="Times New Roman"/>
                <w:sz w:val="18"/>
                <w:szCs w:val="18"/>
              </w:rPr>
            </w:pPr>
            <w:r w:rsidRPr="0093536A">
              <w:rPr>
                <w:rFonts w:ascii="Times New Roman" w:hAnsi="Times New Roman" w:cs="Times New Roman"/>
                <w:sz w:val="18"/>
                <w:szCs w:val="18"/>
              </w:rPr>
              <w:t>IT AND TELECOM- COMPUTER AIDED DESIGN/COMPUTER AIDED MANUFACTURING (CAD/CAM)</w:t>
            </w:r>
          </w:p>
        </w:tc>
      </w:tr>
      <w:tr w:rsidR="00672E70" w:rsidRPr="0093536A" w14:paraId="36184D04" w14:textId="77777777" w:rsidTr="00B61A3C">
        <w:trPr>
          <w:trHeight w:val="20"/>
          <w:jc w:val="center"/>
        </w:trPr>
        <w:tc>
          <w:tcPr>
            <w:tcW w:w="711" w:type="dxa"/>
            <w:tcBorders>
              <w:top w:val="nil"/>
              <w:left w:val="single" w:sz="4" w:space="0" w:color="auto"/>
              <w:bottom w:val="nil"/>
              <w:right w:val="single" w:sz="4" w:space="0" w:color="auto"/>
            </w:tcBorders>
            <w:shd w:val="clear" w:color="auto" w:fill="auto"/>
            <w:noWrap/>
            <w:hideMark/>
          </w:tcPr>
          <w:p w14:paraId="376B9C9D" w14:textId="77777777" w:rsidR="00672E70" w:rsidRPr="0093536A" w:rsidRDefault="00672E70" w:rsidP="00672E70">
            <w:pPr>
              <w:pStyle w:val="Default"/>
              <w:rPr>
                <w:rFonts w:ascii="Times New Roman" w:hAnsi="Times New Roman" w:cs="Times New Roman"/>
                <w:sz w:val="18"/>
                <w:szCs w:val="18"/>
              </w:rPr>
            </w:pPr>
            <w:r w:rsidRPr="0093536A">
              <w:rPr>
                <w:rFonts w:ascii="Times New Roman" w:hAnsi="Times New Roman" w:cs="Times New Roman"/>
                <w:sz w:val="18"/>
                <w:szCs w:val="18"/>
              </w:rPr>
              <w:t>R4</w:t>
            </w:r>
            <w:r>
              <w:rPr>
                <w:rFonts w:ascii="Times New Roman" w:hAnsi="Times New Roman" w:cs="Times New Roman"/>
                <w:sz w:val="18"/>
                <w:szCs w:val="18"/>
              </w:rPr>
              <w:t>10</w:t>
            </w:r>
          </w:p>
        </w:tc>
        <w:tc>
          <w:tcPr>
            <w:tcW w:w="7190" w:type="dxa"/>
            <w:tcBorders>
              <w:top w:val="nil"/>
              <w:left w:val="nil"/>
              <w:bottom w:val="nil"/>
              <w:right w:val="single" w:sz="4" w:space="0" w:color="auto"/>
            </w:tcBorders>
            <w:shd w:val="clear" w:color="auto" w:fill="auto"/>
            <w:hideMark/>
          </w:tcPr>
          <w:p w14:paraId="366404C8" w14:textId="77777777" w:rsidR="00672E70" w:rsidRPr="0093536A" w:rsidRDefault="00672E70" w:rsidP="00672E70">
            <w:pPr>
              <w:pStyle w:val="Default"/>
              <w:rPr>
                <w:rFonts w:ascii="Times New Roman" w:hAnsi="Times New Roman" w:cs="Times New Roman"/>
                <w:sz w:val="18"/>
                <w:szCs w:val="18"/>
              </w:rPr>
            </w:pPr>
            <w:r w:rsidRPr="0093536A">
              <w:rPr>
                <w:rFonts w:ascii="Times New Roman" w:hAnsi="Times New Roman" w:cs="Times New Roman"/>
                <w:sz w:val="18"/>
                <w:szCs w:val="18"/>
              </w:rPr>
              <w:t xml:space="preserve">SUPPORT- PROFESSIONAL: PROGRAM </w:t>
            </w:r>
            <w:r>
              <w:rPr>
                <w:rFonts w:ascii="Times New Roman" w:hAnsi="Times New Roman" w:cs="Times New Roman"/>
                <w:sz w:val="18"/>
                <w:szCs w:val="18"/>
              </w:rPr>
              <w:t>EVALUATION/REVIEW/DEVELOPMENT</w:t>
            </w:r>
          </w:p>
        </w:tc>
      </w:tr>
      <w:tr w:rsidR="00672E70" w:rsidRPr="0093536A" w14:paraId="095615BA" w14:textId="77777777" w:rsidTr="00672E70">
        <w:trPr>
          <w:trHeight w:val="20"/>
          <w:jc w:val="center"/>
        </w:trPr>
        <w:tc>
          <w:tcPr>
            <w:tcW w:w="711" w:type="dxa"/>
            <w:tcBorders>
              <w:top w:val="nil"/>
              <w:left w:val="single" w:sz="4" w:space="0" w:color="auto"/>
              <w:bottom w:val="single" w:sz="4" w:space="0" w:color="auto"/>
              <w:right w:val="single" w:sz="4" w:space="0" w:color="auto"/>
            </w:tcBorders>
            <w:shd w:val="clear" w:color="auto" w:fill="auto"/>
            <w:noWrap/>
          </w:tcPr>
          <w:p w14:paraId="5D4F5C8E" w14:textId="77777777" w:rsidR="00672E70" w:rsidRPr="0093536A" w:rsidRDefault="00672E70" w:rsidP="00B61A3C">
            <w:pPr>
              <w:pStyle w:val="Default"/>
              <w:rPr>
                <w:rFonts w:ascii="Times New Roman" w:hAnsi="Times New Roman" w:cs="Times New Roman"/>
                <w:sz w:val="18"/>
                <w:szCs w:val="18"/>
              </w:rPr>
            </w:pPr>
          </w:p>
        </w:tc>
        <w:tc>
          <w:tcPr>
            <w:tcW w:w="7190" w:type="dxa"/>
            <w:tcBorders>
              <w:top w:val="nil"/>
              <w:left w:val="nil"/>
              <w:bottom w:val="single" w:sz="4" w:space="0" w:color="auto"/>
              <w:right w:val="single" w:sz="4" w:space="0" w:color="auto"/>
            </w:tcBorders>
            <w:shd w:val="clear" w:color="auto" w:fill="auto"/>
          </w:tcPr>
          <w:p w14:paraId="489EA613" w14:textId="77777777" w:rsidR="00672E70" w:rsidRPr="0093536A" w:rsidRDefault="00672E70" w:rsidP="00B61A3C">
            <w:pPr>
              <w:pStyle w:val="Default"/>
              <w:rPr>
                <w:rFonts w:ascii="Times New Roman" w:hAnsi="Times New Roman" w:cs="Times New Roman"/>
                <w:sz w:val="18"/>
                <w:szCs w:val="18"/>
              </w:rPr>
            </w:pPr>
          </w:p>
        </w:tc>
      </w:tr>
    </w:tbl>
    <w:p w14:paraId="468C267C" w14:textId="77777777" w:rsidR="00174045" w:rsidRPr="00AB7B2E" w:rsidRDefault="00174045" w:rsidP="00174045">
      <w:pPr>
        <w:pStyle w:val="Default"/>
        <w:rPr>
          <w:rFonts w:ascii="Times New Roman" w:hAnsi="Times New Roman" w:cs="Times New Roman"/>
        </w:rPr>
      </w:pPr>
    </w:p>
    <w:p w14:paraId="09AD3971" w14:textId="77777777" w:rsidR="00014BEA" w:rsidRDefault="00014BEA" w:rsidP="00174045">
      <w:pPr>
        <w:pStyle w:val="Default"/>
        <w:rPr>
          <w:rFonts w:ascii="Times New Roman" w:hAnsi="Times New Roman" w:cs="Times New Roman"/>
        </w:rPr>
      </w:pPr>
    </w:p>
    <w:p w14:paraId="55816816" w14:textId="77777777" w:rsidR="00014BEA" w:rsidRDefault="00174045" w:rsidP="00174045">
      <w:pPr>
        <w:pStyle w:val="Default"/>
        <w:rPr>
          <w:rFonts w:ascii="Times New Roman" w:hAnsi="Times New Roman" w:cs="Times New Roman"/>
        </w:rPr>
      </w:pPr>
      <w:r>
        <w:rPr>
          <w:rFonts w:ascii="Times New Roman" w:hAnsi="Times New Roman" w:cs="Times New Roman"/>
        </w:rPr>
        <w:t>ED Analysis Plan</w:t>
      </w:r>
      <w:r w:rsidRPr="00AB7B2E">
        <w:rPr>
          <w:rFonts w:ascii="Times New Roman" w:hAnsi="Times New Roman" w:cs="Times New Roman"/>
        </w:rPr>
        <w:t>:</w:t>
      </w:r>
    </w:p>
    <w:p w14:paraId="6082EB22" w14:textId="77777777" w:rsidR="00174045" w:rsidRDefault="00174045" w:rsidP="00174045">
      <w:pPr>
        <w:pStyle w:val="Default"/>
        <w:spacing w:after="150"/>
        <w:contextualSpacing/>
        <w:rPr>
          <w:rFonts w:ascii="Times New Roman" w:hAnsi="Times New Roman" w:cs="Times New Roman"/>
        </w:rPr>
      </w:pPr>
      <w:r w:rsidRPr="00AB7B2E">
        <w:rPr>
          <w:rFonts w:ascii="Times New Roman" w:hAnsi="Times New Roman" w:cs="Times New Roman"/>
          <w:b/>
          <w:bCs/>
        </w:rPr>
        <w:t xml:space="preserve">Step 1: </w:t>
      </w:r>
      <w:r w:rsidRPr="00AB7B2E">
        <w:rPr>
          <w:rFonts w:ascii="Times New Roman" w:hAnsi="Times New Roman" w:cs="Times New Roman"/>
        </w:rPr>
        <w:t xml:space="preserve">Identify </w:t>
      </w:r>
      <w:r w:rsidR="00672E70">
        <w:rPr>
          <w:rFonts w:ascii="Times New Roman" w:hAnsi="Times New Roman" w:cs="Times New Roman"/>
        </w:rPr>
        <w:t xml:space="preserve">pool of </w:t>
      </w:r>
      <w:r w:rsidRPr="00AB7B2E">
        <w:rPr>
          <w:rFonts w:ascii="Times New Roman" w:hAnsi="Times New Roman" w:cs="Times New Roman"/>
        </w:rPr>
        <w:t>service contracts w</w:t>
      </w:r>
      <w:r w:rsidR="00672E70">
        <w:rPr>
          <w:rFonts w:ascii="Times New Roman" w:hAnsi="Times New Roman" w:cs="Times New Roman"/>
        </w:rPr>
        <w:t>ith special interest functions.</w:t>
      </w:r>
    </w:p>
    <w:p w14:paraId="19835AB6" w14:textId="77777777" w:rsidR="00174045" w:rsidRDefault="00174045" w:rsidP="00174045">
      <w:pPr>
        <w:pStyle w:val="Default"/>
        <w:spacing w:after="150"/>
        <w:contextualSpacing/>
        <w:rPr>
          <w:rFonts w:ascii="Times New Roman" w:hAnsi="Times New Roman" w:cs="Times New Roman"/>
        </w:rPr>
      </w:pPr>
      <w:r w:rsidRPr="00AB7B2E">
        <w:rPr>
          <w:rFonts w:ascii="Times New Roman" w:hAnsi="Times New Roman" w:cs="Times New Roman"/>
          <w:b/>
          <w:bCs/>
        </w:rPr>
        <w:t xml:space="preserve">Step 2: </w:t>
      </w:r>
      <w:r w:rsidRPr="00AB7B2E">
        <w:rPr>
          <w:rFonts w:ascii="Times New Roman" w:hAnsi="Times New Roman" w:cs="Times New Roman"/>
        </w:rPr>
        <w:t xml:space="preserve">Notify respective programs </w:t>
      </w:r>
      <w:r>
        <w:rPr>
          <w:rFonts w:ascii="Times New Roman" w:hAnsi="Times New Roman" w:cs="Times New Roman"/>
        </w:rPr>
        <w:t xml:space="preserve">offices of their </w:t>
      </w:r>
      <w:r w:rsidRPr="00AB7B2E">
        <w:rPr>
          <w:rFonts w:ascii="Times New Roman" w:hAnsi="Times New Roman" w:cs="Times New Roman"/>
        </w:rPr>
        <w:t>responsib</w:t>
      </w:r>
      <w:r>
        <w:rPr>
          <w:rFonts w:ascii="Times New Roman" w:hAnsi="Times New Roman" w:cs="Times New Roman"/>
        </w:rPr>
        <w:t>ilities related to this analysis.</w:t>
      </w:r>
      <w:r w:rsidRPr="00AB7B2E">
        <w:rPr>
          <w:rFonts w:ascii="Times New Roman" w:hAnsi="Times New Roman" w:cs="Times New Roman"/>
        </w:rPr>
        <w:t xml:space="preserve"> </w:t>
      </w:r>
    </w:p>
    <w:p w14:paraId="5F3BA60C" w14:textId="77777777" w:rsidR="00174045" w:rsidRDefault="00174045" w:rsidP="00174045">
      <w:pPr>
        <w:pStyle w:val="Default"/>
        <w:contextualSpacing/>
        <w:rPr>
          <w:rFonts w:ascii="Times New Roman" w:hAnsi="Times New Roman" w:cs="Times New Roman"/>
        </w:rPr>
      </w:pPr>
      <w:r w:rsidRPr="00AB7B2E">
        <w:rPr>
          <w:rFonts w:ascii="Times New Roman" w:hAnsi="Times New Roman" w:cs="Times New Roman"/>
          <w:b/>
          <w:bCs/>
        </w:rPr>
        <w:t xml:space="preserve">Step 3: </w:t>
      </w:r>
      <w:r w:rsidR="00014BEA" w:rsidRPr="00AA350B">
        <w:rPr>
          <w:rFonts w:ascii="Times New Roman" w:hAnsi="Times New Roman" w:cs="Times New Roman"/>
          <w:bCs/>
        </w:rPr>
        <w:t>I</w:t>
      </w:r>
      <w:r w:rsidRPr="00AB7B2E">
        <w:rPr>
          <w:rFonts w:ascii="Times New Roman" w:hAnsi="Times New Roman" w:cs="Times New Roman"/>
        </w:rPr>
        <w:t xml:space="preserve">dentify contracts for in-depth review </w:t>
      </w:r>
      <w:r>
        <w:rPr>
          <w:rFonts w:ascii="Times New Roman" w:hAnsi="Times New Roman" w:cs="Times New Roman"/>
        </w:rPr>
        <w:t>using established criteria.</w:t>
      </w:r>
    </w:p>
    <w:p w14:paraId="0E5E0177" w14:textId="77777777" w:rsidR="00174045" w:rsidRDefault="00174045" w:rsidP="00174045">
      <w:pPr>
        <w:pStyle w:val="Default"/>
        <w:spacing w:after="150"/>
        <w:contextualSpacing/>
        <w:rPr>
          <w:rFonts w:ascii="Times New Roman" w:hAnsi="Times New Roman" w:cs="Times New Roman"/>
        </w:rPr>
      </w:pPr>
      <w:r w:rsidRPr="00AB7B2E">
        <w:rPr>
          <w:rFonts w:ascii="Times New Roman" w:hAnsi="Times New Roman" w:cs="Times New Roman"/>
          <w:b/>
          <w:bCs/>
        </w:rPr>
        <w:t xml:space="preserve">Step 4: </w:t>
      </w:r>
      <w:r w:rsidRPr="00AB7B2E">
        <w:rPr>
          <w:rFonts w:ascii="Times New Roman" w:hAnsi="Times New Roman" w:cs="Times New Roman"/>
        </w:rPr>
        <w:t>Programs</w:t>
      </w:r>
      <w:r w:rsidR="00014BEA">
        <w:rPr>
          <w:rFonts w:ascii="Times New Roman" w:hAnsi="Times New Roman" w:cs="Times New Roman"/>
        </w:rPr>
        <w:t xml:space="preserve"> </w:t>
      </w:r>
      <w:r w:rsidRPr="00AB7B2E">
        <w:rPr>
          <w:rFonts w:ascii="Times New Roman" w:hAnsi="Times New Roman" w:cs="Times New Roman"/>
        </w:rPr>
        <w:t xml:space="preserve">evaluate contracts in accordance with guidance. </w:t>
      </w:r>
    </w:p>
    <w:p w14:paraId="476AE34F" w14:textId="77777777" w:rsidR="00014BEA" w:rsidRDefault="00174045" w:rsidP="00174045">
      <w:pPr>
        <w:pStyle w:val="Default"/>
        <w:spacing w:after="150"/>
        <w:contextualSpacing/>
        <w:rPr>
          <w:rFonts w:ascii="Times New Roman" w:hAnsi="Times New Roman" w:cs="Times New Roman"/>
        </w:rPr>
      </w:pPr>
      <w:r w:rsidRPr="00AB7B2E">
        <w:rPr>
          <w:rFonts w:ascii="Times New Roman" w:hAnsi="Times New Roman" w:cs="Times New Roman"/>
          <w:b/>
          <w:bCs/>
        </w:rPr>
        <w:t xml:space="preserve">Step 5: </w:t>
      </w:r>
      <w:r w:rsidRPr="00AB7B2E">
        <w:rPr>
          <w:rFonts w:ascii="Times New Roman" w:hAnsi="Times New Roman" w:cs="Times New Roman"/>
        </w:rPr>
        <w:t xml:space="preserve">Programs report results of evaluation to </w:t>
      </w:r>
      <w:r>
        <w:rPr>
          <w:rFonts w:ascii="Times New Roman" w:hAnsi="Times New Roman" w:cs="Times New Roman"/>
        </w:rPr>
        <w:t>the Department</w:t>
      </w:r>
      <w:r w:rsidRPr="00AB7B2E">
        <w:rPr>
          <w:rFonts w:ascii="Times New Roman" w:hAnsi="Times New Roman" w:cs="Times New Roman"/>
        </w:rPr>
        <w:t>.</w:t>
      </w:r>
    </w:p>
    <w:p w14:paraId="6A9F2690" w14:textId="77777777" w:rsidR="00174045" w:rsidRDefault="00174045" w:rsidP="00174045">
      <w:pPr>
        <w:pStyle w:val="Default"/>
        <w:spacing w:after="150"/>
        <w:contextualSpacing/>
        <w:rPr>
          <w:rFonts w:ascii="Times New Roman" w:hAnsi="Times New Roman" w:cs="Times New Roman"/>
        </w:rPr>
      </w:pPr>
      <w:r w:rsidRPr="00AB7B2E">
        <w:rPr>
          <w:rFonts w:ascii="Times New Roman" w:hAnsi="Times New Roman" w:cs="Times New Roman"/>
          <w:b/>
          <w:bCs/>
        </w:rPr>
        <w:t xml:space="preserve">Step 6: </w:t>
      </w:r>
      <w:r w:rsidRPr="00AB7B2E">
        <w:rPr>
          <w:rFonts w:ascii="Times New Roman" w:hAnsi="Times New Roman" w:cs="Times New Roman"/>
        </w:rPr>
        <w:t>C</w:t>
      </w:r>
      <w:r w:rsidR="00014BEA">
        <w:rPr>
          <w:rFonts w:ascii="Times New Roman" w:hAnsi="Times New Roman" w:cs="Times New Roman"/>
        </w:rPr>
        <w:t xml:space="preserve">ontracting </w:t>
      </w:r>
      <w:r w:rsidRPr="00AB7B2E">
        <w:rPr>
          <w:rFonts w:ascii="Times New Roman" w:hAnsi="Times New Roman" w:cs="Times New Roman"/>
        </w:rPr>
        <w:t>O</w:t>
      </w:r>
      <w:r w:rsidR="00014BEA">
        <w:rPr>
          <w:rFonts w:ascii="Times New Roman" w:hAnsi="Times New Roman" w:cs="Times New Roman"/>
        </w:rPr>
        <w:t xml:space="preserve">fficers </w:t>
      </w:r>
      <w:r w:rsidRPr="00AB7B2E">
        <w:rPr>
          <w:rFonts w:ascii="Times New Roman" w:hAnsi="Times New Roman" w:cs="Times New Roman"/>
        </w:rPr>
        <w:t xml:space="preserve">review </w:t>
      </w:r>
      <w:r w:rsidR="00014BEA">
        <w:rPr>
          <w:rFonts w:ascii="Times New Roman" w:hAnsi="Times New Roman" w:cs="Times New Roman"/>
        </w:rPr>
        <w:t>results.</w:t>
      </w:r>
    </w:p>
    <w:p w14:paraId="76974C7C" w14:textId="77777777" w:rsidR="00174045" w:rsidRPr="00AB7B2E" w:rsidRDefault="00174045" w:rsidP="00174045">
      <w:pPr>
        <w:pStyle w:val="Default"/>
        <w:contextualSpacing/>
        <w:rPr>
          <w:rFonts w:ascii="Times New Roman" w:hAnsi="Times New Roman" w:cs="Times New Roman"/>
        </w:rPr>
      </w:pPr>
      <w:r w:rsidRPr="00AB7B2E">
        <w:rPr>
          <w:rFonts w:ascii="Times New Roman" w:hAnsi="Times New Roman" w:cs="Times New Roman"/>
          <w:b/>
          <w:bCs/>
        </w:rPr>
        <w:t xml:space="preserve">Step 7: </w:t>
      </w:r>
      <w:r>
        <w:rPr>
          <w:rFonts w:ascii="Times New Roman" w:hAnsi="Times New Roman" w:cs="Times New Roman"/>
          <w:bCs/>
        </w:rPr>
        <w:t>Draft re</w:t>
      </w:r>
      <w:r>
        <w:rPr>
          <w:rFonts w:ascii="Times New Roman" w:hAnsi="Times New Roman" w:cs="Times New Roman"/>
        </w:rPr>
        <w:t>port summarizing results of analysis.</w:t>
      </w:r>
    </w:p>
    <w:p w14:paraId="255E19A6" w14:textId="77777777" w:rsidR="00174045" w:rsidRPr="008F03FE" w:rsidRDefault="00174045" w:rsidP="00936028">
      <w:pPr>
        <w:spacing w:after="0" w:line="240" w:lineRule="auto"/>
        <w:rPr>
          <w:rFonts w:ascii="Times New Roman" w:hAnsi="Times New Roman" w:cs="Times New Roman"/>
        </w:rPr>
      </w:pPr>
    </w:p>
    <w:sectPr w:rsidR="00174045" w:rsidRPr="008F03FE" w:rsidSect="009C534B">
      <w:pgSz w:w="12240" w:h="15840" w:code="1"/>
      <w:pgMar w:top="1080" w:right="1080" w:bottom="1080" w:left="1080" w:header="720" w:footer="450" w:gutter="0"/>
      <w:paperSrc w:first="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30E0" w14:textId="77777777" w:rsidR="00CB0411" w:rsidRDefault="00CB0411" w:rsidP="008F03FE">
      <w:pPr>
        <w:spacing w:after="0" w:line="240" w:lineRule="auto"/>
      </w:pPr>
      <w:r>
        <w:separator/>
      </w:r>
    </w:p>
  </w:endnote>
  <w:endnote w:type="continuationSeparator" w:id="0">
    <w:p w14:paraId="08A8A71F" w14:textId="77777777" w:rsidR="00CB0411" w:rsidRDefault="00CB0411" w:rsidP="008F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8437" w14:textId="77777777" w:rsidR="002B1B4E" w:rsidRPr="0006469B" w:rsidRDefault="0006469B" w:rsidP="0006469B">
    <w:pPr>
      <w:pStyle w:val="Header"/>
      <w:jc w:val="right"/>
      <w:rPr>
        <w:rFonts w:ascii="Times New Roman" w:hAnsi="Times New Roman" w:cs="Times New Roman"/>
      </w:rPr>
    </w:pPr>
    <w:r w:rsidRPr="0006469B">
      <w:rPr>
        <w:rFonts w:ascii="Times New Roman" w:hAnsi="Times New Roman" w:cs="Times New Roman"/>
      </w:rPr>
      <w:ptab w:relativeTo="margin" w:alignment="center" w:leader="none"/>
    </w:r>
    <w:r>
      <w:rPr>
        <w:rFonts w:ascii="Times New Roman" w:hAnsi="Times New Roman" w:cs="Times New Roman"/>
      </w:rPr>
      <w:t xml:space="preserve">Department of Education Service Contract Inventory Report FY 2017 </w:t>
    </w:r>
    <w:r w:rsidRPr="0006469B">
      <w:rPr>
        <w:rFonts w:ascii="Times New Roman" w:hAnsi="Times New Roman" w:cs="Times New Roman"/>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2AC9" w14:textId="77777777" w:rsidR="008F03FE" w:rsidRPr="008F03FE" w:rsidRDefault="008F03FE" w:rsidP="008F03FE">
    <w:pPr>
      <w:pStyle w:val="Footer"/>
      <w:jc w:val="center"/>
      <w:rPr>
        <w:rFonts w:ascii="Times New Roman" w:hAnsi="Times New Roman" w:cs="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81FB" w14:textId="77777777" w:rsidR="00CB0411" w:rsidRDefault="00CB0411" w:rsidP="008F03FE">
      <w:pPr>
        <w:spacing w:after="0" w:line="240" w:lineRule="auto"/>
      </w:pPr>
      <w:r>
        <w:separator/>
      </w:r>
    </w:p>
  </w:footnote>
  <w:footnote w:type="continuationSeparator" w:id="0">
    <w:p w14:paraId="456639BA" w14:textId="77777777" w:rsidR="00CB0411" w:rsidRDefault="00CB0411" w:rsidP="008F0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9CC1" w14:textId="77777777" w:rsidR="008F03FE" w:rsidRDefault="009C534B" w:rsidP="008F03FE">
    <w:pPr>
      <w:pStyle w:val="Header"/>
      <w:jc w:val="right"/>
    </w:pPr>
    <w:r>
      <w:fldChar w:fldCharType="begin"/>
    </w:r>
    <w:r>
      <w:instrText xml:space="preserve"> PAGE   \* MERGEFORMAT </w:instrText>
    </w:r>
    <w:r>
      <w:fldChar w:fldCharType="separate"/>
    </w:r>
    <w:r w:rsidR="0078751A">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448E"/>
    <w:multiLevelType w:val="hybridMultilevel"/>
    <w:tmpl w:val="91AC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302A8"/>
    <w:multiLevelType w:val="hybridMultilevel"/>
    <w:tmpl w:val="1A6C1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A5964"/>
    <w:multiLevelType w:val="hybridMultilevel"/>
    <w:tmpl w:val="1938D3AC"/>
    <w:lvl w:ilvl="0" w:tplc="EC1225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9B13B5"/>
    <w:multiLevelType w:val="hybridMultilevel"/>
    <w:tmpl w:val="415E2D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35B"/>
    <w:rsid w:val="00014BEA"/>
    <w:rsid w:val="00015178"/>
    <w:rsid w:val="000202D8"/>
    <w:rsid w:val="0006469B"/>
    <w:rsid w:val="00086DC6"/>
    <w:rsid w:val="00105306"/>
    <w:rsid w:val="00157AE3"/>
    <w:rsid w:val="001644D0"/>
    <w:rsid w:val="00165954"/>
    <w:rsid w:val="001713BD"/>
    <w:rsid w:val="001718B0"/>
    <w:rsid w:val="00171A9D"/>
    <w:rsid w:val="00174045"/>
    <w:rsid w:val="00174B90"/>
    <w:rsid w:val="0017635B"/>
    <w:rsid w:val="00180150"/>
    <w:rsid w:val="001B12CE"/>
    <w:rsid w:val="001B7D41"/>
    <w:rsid w:val="001C2503"/>
    <w:rsid w:val="001E64DF"/>
    <w:rsid w:val="0020443C"/>
    <w:rsid w:val="002312AA"/>
    <w:rsid w:val="0024528D"/>
    <w:rsid w:val="002824EA"/>
    <w:rsid w:val="002B1B4E"/>
    <w:rsid w:val="002D2720"/>
    <w:rsid w:val="002E3FAC"/>
    <w:rsid w:val="00314F09"/>
    <w:rsid w:val="003206F4"/>
    <w:rsid w:val="003602A3"/>
    <w:rsid w:val="0039002B"/>
    <w:rsid w:val="00394BDD"/>
    <w:rsid w:val="003A4FF1"/>
    <w:rsid w:val="003B1EDB"/>
    <w:rsid w:val="003B6D66"/>
    <w:rsid w:val="003D13A2"/>
    <w:rsid w:val="003F0348"/>
    <w:rsid w:val="004130EC"/>
    <w:rsid w:val="0042273A"/>
    <w:rsid w:val="004358A0"/>
    <w:rsid w:val="00450ED2"/>
    <w:rsid w:val="0045479A"/>
    <w:rsid w:val="0046338D"/>
    <w:rsid w:val="0046718B"/>
    <w:rsid w:val="004922F2"/>
    <w:rsid w:val="00495F0F"/>
    <w:rsid w:val="004B5BAF"/>
    <w:rsid w:val="004B662D"/>
    <w:rsid w:val="004F5723"/>
    <w:rsid w:val="0059658C"/>
    <w:rsid w:val="005A2722"/>
    <w:rsid w:val="005C0BCB"/>
    <w:rsid w:val="005F0F52"/>
    <w:rsid w:val="006162F8"/>
    <w:rsid w:val="00634CF5"/>
    <w:rsid w:val="00672E70"/>
    <w:rsid w:val="006B1803"/>
    <w:rsid w:val="006E485D"/>
    <w:rsid w:val="00701B35"/>
    <w:rsid w:val="0074512A"/>
    <w:rsid w:val="0074555C"/>
    <w:rsid w:val="00764209"/>
    <w:rsid w:val="007676BC"/>
    <w:rsid w:val="00773F1D"/>
    <w:rsid w:val="0078751A"/>
    <w:rsid w:val="007A48BB"/>
    <w:rsid w:val="007A6787"/>
    <w:rsid w:val="007B7EC2"/>
    <w:rsid w:val="007C6508"/>
    <w:rsid w:val="007F69F1"/>
    <w:rsid w:val="0080055C"/>
    <w:rsid w:val="00817260"/>
    <w:rsid w:val="008238CF"/>
    <w:rsid w:val="0083453E"/>
    <w:rsid w:val="00846E5A"/>
    <w:rsid w:val="00864175"/>
    <w:rsid w:val="00884530"/>
    <w:rsid w:val="008B4E71"/>
    <w:rsid w:val="008E1A7E"/>
    <w:rsid w:val="008F03FE"/>
    <w:rsid w:val="00905FF7"/>
    <w:rsid w:val="00926468"/>
    <w:rsid w:val="00936028"/>
    <w:rsid w:val="009C534B"/>
    <w:rsid w:val="009E4FD2"/>
    <w:rsid w:val="009F0376"/>
    <w:rsid w:val="00A86D74"/>
    <w:rsid w:val="00AA350B"/>
    <w:rsid w:val="00AD1192"/>
    <w:rsid w:val="00AE7622"/>
    <w:rsid w:val="00B463E8"/>
    <w:rsid w:val="00B53D2C"/>
    <w:rsid w:val="00B54E49"/>
    <w:rsid w:val="00B92170"/>
    <w:rsid w:val="00BB1E19"/>
    <w:rsid w:val="00C07886"/>
    <w:rsid w:val="00C07BEC"/>
    <w:rsid w:val="00C1231C"/>
    <w:rsid w:val="00C339FE"/>
    <w:rsid w:val="00C35EDC"/>
    <w:rsid w:val="00C366B8"/>
    <w:rsid w:val="00C516E6"/>
    <w:rsid w:val="00CB0411"/>
    <w:rsid w:val="00CC0DD0"/>
    <w:rsid w:val="00CD6339"/>
    <w:rsid w:val="00CF1419"/>
    <w:rsid w:val="00D25AA1"/>
    <w:rsid w:val="00D42305"/>
    <w:rsid w:val="00D57038"/>
    <w:rsid w:val="00D72B46"/>
    <w:rsid w:val="00DE19EA"/>
    <w:rsid w:val="00E80440"/>
    <w:rsid w:val="00E9379C"/>
    <w:rsid w:val="00EA1E7B"/>
    <w:rsid w:val="00EC0F24"/>
    <w:rsid w:val="00F17135"/>
    <w:rsid w:val="00F22E2E"/>
    <w:rsid w:val="00F233EF"/>
    <w:rsid w:val="00F412BA"/>
    <w:rsid w:val="00F62924"/>
    <w:rsid w:val="00F777FD"/>
    <w:rsid w:val="00F901D7"/>
    <w:rsid w:val="00FA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B673E"/>
  <w15:docId w15:val="{0EB9224A-E7D2-4ED7-A801-5137590C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22"/>
    <w:rPr>
      <w:rFonts w:ascii="Tahoma" w:hAnsi="Tahoma" w:cs="Tahoma"/>
      <w:sz w:val="16"/>
      <w:szCs w:val="16"/>
    </w:rPr>
  </w:style>
  <w:style w:type="paragraph" w:styleId="Header">
    <w:name w:val="header"/>
    <w:basedOn w:val="Normal"/>
    <w:link w:val="HeaderChar"/>
    <w:uiPriority w:val="99"/>
    <w:unhideWhenUsed/>
    <w:rsid w:val="008F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3FE"/>
  </w:style>
  <w:style w:type="paragraph" w:styleId="Footer">
    <w:name w:val="footer"/>
    <w:basedOn w:val="Normal"/>
    <w:link w:val="FooterChar"/>
    <w:uiPriority w:val="99"/>
    <w:unhideWhenUsed/>
    <w:rsid w:val="008F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3FE"/>
  </w:style>
  <w:style w:type="character" w:styleId="Hyperlink">
    <w:name w:val="Hyperlink"/>
    <w:basedOn w:val="DefaultParagraphFont"/>
    <w:uiPriority w:val="99"/>
    <w:unhideWhenUsed/>
    <w:rsid w:val="008F03FE"/>
    <w:rPr>
      <w:color w:val="0000FF" w:themeColor="hyperlink"/>
      <w:u w:val="single"/>
    </w:rPr>
  </w:style>
  <w:style w:type="character" w:styleId="CommentReference">
    <w:name w:val="annotation reference"/>
    <w:uiPriority w:val="99"/>
    <w:semiHidden/>
    <w:unhideWhenUsed/>
    <w:rsid w:val="00936028"/>
    <w:rPr>
      <w:sz w:val="16"/>
      <w:szCs w:val="16"/>
    </w:rPr>
  </w:style>
  <w:style w:type="paragraph" w:styleId="CommentText">
    <w:name w:val="annotation text"/>
    <w:basedOn w:val="Normal"/>
    <w:link w:val="CommentTextChar"/>
    <w:uiPriority w:val="99"/>
    <w:semiHidden/>
    <w:unhideWhenUsed/>
    <w:rsid w:val="009360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36028"/>
    <w:rPr>
      <w:rFonts w:ascii="Times New Roman" w:eastAsia="Times New Roman" w:hAnsi="Times New Roman" w:cs="Times New Roman"/>
      <w:sz w:val="20"/>
      <w:szCs w:val="20"/>
    </w:rPr>
  </w:style>
  <w:style w:type="paragraph" w:styleId="ListParagraph">
    <w:name w:val="List Paragraph"/>
    <w:basedOn w:val="Normal"/>
    <w:uiPriority w:val="34"/>
    <w:qFormat/>
    <w:rsid w:val="00CC0DD0"/>
    <w:pPr>
      <w:ind w:left="720"/>
      <w:contextualSpacing/>
    </w:pPr>
  </w:style>
  <w:style w:type="paragraph" w:styleId="CommentSubject">
    <w:name w:val="annotation subject"/>
    <w:basedOn w:val="CommentText"/>
    <w:next w:val="CommentText"/>
    <w:link w:val="CommentSubjectChar"/>
    <w:uiPriority w:val="99"/>
    <w:semiHidden/>
    <w:unhideWhenUsed/>
    <w:rsid w:val="002452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28D"/>
    <w:rPr>
      <w:rFonts w:ascii="Times New Roman" w:eastAsia="Times New Roman" w:hAnsi="Times New Roman" w:cs="Times New Roman"/>
      <w:b/>
      <w:bCs/>
      <w:sz w:val="20"/>
      <w:szCs w:val="20"/>
    </w:rPr>
  </w:style>
  <w:style w:type="paragraph" w:styleId="Revision">
    <w:name w:val="Revision"/>
    <w:hidden/>
    <w:uiPriority w:val="99"/>
    <w:semiHidden/>
    <w:rsid w:val="0024528D"/>
    <w:pPr>
      <w:spacing w:after="0" w:line="240" w:lineRule="auto"/>
    </w:pPr>
  </w:style>
  <w:style w:type="paragraph" w:customStyle="1" w:styleId="Default">
    <w:name w:val="Default"/>
    <w:rsid w:val="00174045"/>
    <w:pPr>
      <w:autoSpaceDE w:val="0"/>
      <w:autoSpaceDN w:val="0"/>
      <w:adjustRightInd w:val="0"/>
      <w:spacing w:after="0" w:line="240" w:lineRule="auto"/>
    </w:pPr>
    <w:rPr>
      <w:rFonts w:ascii="Calibri" w:hAnsi="Calibri" w:cs="Calibri"/>
      <w:color w:val="000000"/>
      <w:sz w:val="24"/>
      <w:szCs w:val="24"/>
    </w:rPr>
  </w:style>
  <w:style w:type="paragraph" w:customStyle="1" w:styleId="DecimalAligned">
    <w:name w:val="Decimal Aligned"/>
    <w:basedOn w:val="Normal"/>
    <w:uiPriority w:val="40"/>
    <w:qFormat/>
    <w:rsid w:val="007B7EC2"/>
    <w:pPr>
      <w:tabs>
        <w:tab w:val="decimal" w:pos="360"/>
      </w:tabs>
    </w:pPr>
    <w:rPr>
      <w:lang w:eastAsia="ja-JP"/>
    </w:rPr>
  </w:style>
  <w:style w:type="paragraph" w:styleId="FootnoteText">
    <w:name w:val="footnote text"/>
    <w:basedOn w:val="Normal"/>
    <w:link w:val="FootnoteTextChar"/>
    <w:uiPriority w:val="99"/>
    <w:unhideWhenUsed/>
    <w:rsid w:val="007B7EC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7B7EC2"/>
    <w:rPr>
      <w:rFonts w:eastAsiaTheme="minorEastAsia"/>
      <w:sz w:val="20"/>
      <w:szCs w:val="20"/>
      <w:lang w:eastAsia="ja-JP"/>
    </w:rPr>
  </w:style>
  <w:style w:type="character" w:styleId="SubtleEmphasis">
    <w:name w:val="Subtle Emphasis"/>
    <w:basedOn w:val="DefaultParagraphFont"/>
    <w:uiPriority w:val="19"/>
    <w:qFormat/>
    <w:rsid w:val="007B7EC2"/>
    <w:rPr>
      <w:i/>
      <w:iCs/>
      <w:color w:val="7F7F7F" w:themeColor="text1" w:themeTint="80"/>
    </w:rPr>
  </w:style>
  <w:style w:type="table" w:styleId="MediumShading2-Accent5">
    <w:name w:val="Medium Shading 2 Accent 5"/>
    <w:basedOn w:val="TableNormal"/>
    <w:uiPriority w:val="64"/>
    <w:rsid w:val="007B7EC2"/>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0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0479">
      <w:bodyDiv w:val="1"/>
      <w:marLeft w:val="0"/>
      <w:marRight w:val="0"/>
      <w:marTop w:val="0"/>
      <w:marBottom w:val="0"/>
      <w:divBdr>
        <w:top w:val="none" w:sz="0" w:space="0" w:color="auto"/>
        <w:left w:val="none" w:sz="0" w:space="0" w:color="auto"/>
        <w:bottom w:val="none" w:sz="0" w:space="0" w:color="auto"/>
        <w:right w:val="none" w:sz="0" w:space="0" w:color="auto"/>
      </w:divBdr>
      <w:divsChild>
        <w:div w:id="1660814550">
          <w:marLeft w:val="0"/>
          <w:marRight w:val="0"/>
          <w:marTop w:val="0"/>
          <w:marBottom w:val="0"/>
          <w:divBdr>
            <w:top w:val="none" w:sz="0" w:space="0" w:color="auto"/>
            <w:left w:val="none" w:sz="0" w:space="0" w:color="auto"/>
            <w:bottom w:val="none" w:sz="0" w:space="0" w:color="auto"/>
            <w:right w:val="none" w:sz="0" w:space="0" w:color="auto"/>
          </w:divBdr>
        </w:div>
        <w:div w:id="257908785">
          <w:marLeft w:val="0"/>
          <w:marRight w:val="0"/>
          <w:marTop w:val="0"/>
          <w:marBottom w:val="0"/>
          <w:divBdr>
            <w:top w:val="none" w:sz="0" w:space="0" w:color="auto"/>
            <w:left w:val="none" w:sz="0" w:space="0" w:color="auto"/>
            <w:bottom w:val="none" w:sz="0" w:space="0" w:color="auto"/>
            <w:right w:val="none" w:sz="0" w:space="0" w:color="auto"/>
          </w:divBdr>
        </w:div>
        <w:div w:id="1279871975">
          <w:marLeft w:val="0"/>
          <w:marRight w:val="0"/>
          <w:marTop w:val="0"/>
          <w:marBottom w:val="0"/>
          <w:divBdr>
            <w:top w:val="none" w:sz="0" w:space="0" w:color="auto"/>
            <w:left w:val="none" w:sz="0" w:space="0" w:color="auto"/>
            <w:bottom w:val="none" w:sz="0" w:space="0" w:color="auto"/>
            <w:right w:val="none" w:sz="0" w:space="0" w:color="auto"/>
          </w:divBdr>
        </w:div>
        <w:div w:id="107504357">
          <w:marLeft w:val="0"/>
          <w:marRight w:val="0"/>
          <w:marTop w:val="0"/>
          <w:marBottom w:val="0"/>
          <w:divBdr>
            <w:top w:val="none" w:sz="0" w:space="0" w:color="auto"/>
            <w:left w:val="none" w:sz="0" w:space="0" w:color="auto"/>
            <w:bottom w:val="none" w:sz="0" w:space="0" w:color="auto"/>
            <w:right w:val="none" w:sz="0" w:space="0" w:color="auto"/>
          </w:divBdr>
        </w:div>
        <w:div w:id="41289890">
          <w:marLeft w:val="0"/>
          <w:marRight w:val="0"/>
          <w:marTop w:val="0"/>
          <w:marBottom w:val="0"/>
          <w:divBdr>
            <w:top w:val="none" w:sz="0" w:space="0" w:color="auto"/>
            <w:left w:val="none" w:sz="0" w:space="0" w:color="auto"/>
            <w:bottom w:val="none" w:sz="0" w:space="0" w:color="auto"/>
            <w:right w:val="none" w:sz="0" w:space="0" w:color="auto"/>
          </w:divBdr>
        </w:div>
        <w:div w:id="1023749070">
          <w:marLeft w:val="0"/>
          <w:marRight w:val="0"/>
          <w:marTop w:val="0"/>
          <w:marBottom w:val="0"/>
          <w:divBdr>
            <w:top w:val="none" w:sz="0" w:space="0" w:color="auto"/>
            <w:left w:val="none" w:sz="0" w:space="0" w:color="auto"/>
            <w:bottom w:val="none" w:sz="0" w:space="0" w:color="auto"/>
            <w:right w:val="none" w:sz="0" w:space="0" w:color="auto"/>
          </w:divBdr>
        </w:div>
      </w:divsChild>
    </w:div>
    <w:div w:id="642856382">
      <w:bodyDiv w:val="1"/>
      <w:marLeft w:val="0"/>
      <w:marRight w:val="0"/>
      <w:marTop w:val="0"/>
      <w:marBottom w:val="0"/>
      <w:divBdr>
        <w:top w:val="none" w:sz="0" w:space="0" w:color="auto"/>
        <w:left w:val="none" w:sz="0" w:space="0" w:color="auto"/>
        <w:bottom w:val="none" w:sz="0" w:space="0" w:color="auto"/>
        <w:right w:val="none" w:sz="0" w:space="0" w:color="auto"/>
      </w:divBdr>
    </w:div>
    <w:div w:id="1659266367">
      <w:bodyDiv w:val="1"/>
      <w:marLeft w:val="0"/>
      <w:marRight w:val="0"/>
      <w:marTop w:val="0"/>
      <w:marBottom w:val="0"/>
      <w:divBdr>
        <w:top w:val="none" w:sz="0" w:space="0" w:color="auto"/>
        <w:left w:val="none" w:sz="0" w:space="0" w:color="auto"/>
        <w:bottom w:val="none" w:sz="0" w:space="0" w:color="auto"/>
        <w:right w:val="none" w:sz="0" w:space="0" w:color="auto"/>
      </w:divBdr>
    </w:div>
    <w:div w:id="1947881301">
      <w:bodyDiv w:val="1"/>
      <w:marLeft w:val="0"/>
      <w:marRight w:val="0"/>
      <w:marTop w:val="0"/>
      <w:marBottom w:val="0"/>
      <w:divBdr>
        <w:top w:val="none" w:sz="0" w:space="0" w:color="auto"/>
        <w:left w:val="none" w:sz="0" w:space="0" w:color="auto"/>
        <w:bottom w:val="none" w:sz="0" w:space="0" w:color="auto"/>
        <w:right w:val="none" w:sz="0" w:space="0" w:color="auto"/>
      </w:divBdr>
    </w:div>
    <w:div w:id="20676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fund/data/report/contracts/servicecontractinventoryappendix/servicecontractinventor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c31f6d037a9170a50c66e617e8b53b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ee4e32592e0fe6cd470e85c320ec0e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4442-45B4-4C99-BAA9-D8B9FDF5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F61E2-68BC-4F20-AED7-E53CEE31C099}">
  <ds:schemaRefs>
    <ds:schemaRef ds:uri="http://schemas.microsoft.com/sharepoint/v3/contenttype/forms"/>
  </ds:schemaRefs>
</ds:datastoreItem>
</file>

<file path=customXml/itemProps3.xml><?xml version="1.0" encoding="utf-8"?>
<ds:datastoreItem xmlns:ds="http://schemas.openxmlformats.org/officeDocument/2006/customXml" ds:itemID="{7EE9152F-4D27-4D74-8EA6-C190DCACAE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24F71-5E17-4CCC-A27D-A87131A8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1414</Words>
  <Characters>8061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Mason, Chanel</cp:lastModifiedBy>
  <cp:revision>2</cp:revision>
  <cp:lastPrinted>2019-02-05T17:38:00Z</cp:lastPrinted>
  <dcterms:created xsi:type="dcterms:W3CDTF">2020-02-11T19:39:00Z</dcterms:created>
  <dcterms:modified xsi:type="dcterms:W3CDTF">2020-02-11T19:39:00Z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