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7E58" w14:textId="77777777" w:rsidR="009F0376" w:rsidRDefault="009F0376" w:rsidP="009F0376">
      <w:pPr>
        <w:jc w:val="center"/>
        <w:rPr>
          <w:sz w:val="36"/>
          <w:szCs w:val="36"/>
        </w:rPr>
      </w:pPr>
      <w:bookmarkStart w:id="0" w:name="_GoBack"/>
      <w:bookmarkEnd w:id="0"/>
    </w:p>
    <w:p w14:paraId="565A7E59" w14:textId="77777777" w:rsidR="009F0376" w:rsidRDefault="009F0376" w:rsidP="009F0376">
      <w:pPr>
        <w:jc w:val="center"/>
        <w:rPr>
          <w:sz w:val="36"/>
          <w:szCs w:val="36"/>
        </w:rPr>
      </w:pPr>
    </w:p>
    <w:p w14:paraId="565A7E5A" w14:textId="77777777" w:rsidR="009F0376" w:rsidRDefault="009F0376" w:rsidP="009F0376">
      <w:pPr>
        <w:jc w:val="center"/>
        <w:rPr>
          <w:sz w:val="36"/>
          <w:szCs w:val="36"/>
        </w:rPr>
      </w:pPr>
    </w:p>
    <w:p w14:paraId="565A7E5B" w14:textId="77777777" w:rsidR="009F0376" w:rsidRPr="009F0376" w:rsidRDefault="009F0376" w:rsidP="009F0376">
      <w:pPr>
        <w:jc w:val="center"/>
        <w:rPr>
          <w:sz w:val="36"/>
          <w:szCs w:val="36"/>
        </w:rPr>
      </w:pPr>
      <w:r w:rsidRPr="009F0376">
        <w:rPr>
          <w:sz w:val="36"/>
          <w:szCs w:val="36"/>
        </w:rPr>
        <w:t>Department of Education</w:t>
      </w:r>
    </w:p>
    <w:p w14:paraId="565A7E5C" w14:textId="77777777" w:rsidR="009F0376" w:rsidRPr="009F0376" w:rsidRDefault="009F0376" w:rsidP="009F0376">
      <w:pPr>
        <w:jc w:val="center"/>
        <w:rPr>
          <w:sz w:val="36"/>
          <w:szCs w:val="36"/>
        </w:rPr>
      </w:pPr>
      <w:r w:rsidRPr="009F0376">
        <w:rPr>
          <w:sz w:val="36"/>
          <w:szCs w:val="36"/>
        </w:rPr>
        <w:t>Service Contract Inventory (SCI)</w:t>
      </w:r>
    </w:p>
    <w:p w14:paraId="565A7E5D" w14:textId="77777777" w:rsidR="009F0376" w:rsidRPr="009F0376" w:rsidRDefault="009F0376" w:rsidP="009F0376">
      <w:pPr>
        <w:jc w:val="center"/>
        <w:rPr>
          <w:sz w:val="36"/>
          <w:szCs w:val="36"/>
        </w:rPr>
      </w:pPr>
    </w:p>
    <w:p w14:paraId="565A7E5E" w14:textId="480B43D6" w:rsidR="009F0376" w:rsidRPr="009F0376" w:rsidRDefault="009F0376" w:rsidP="009F0376">
      <w:pPr>
        <w:jc w:val="center"/>
        <w:rPr>
          <w:sz w:val="36"/>
          <w:szCs w:val="36"/>
        </w:rPr>
      </w:pPr>
      <w:r w:rsidRPr="009F0376">
        <w:rPr>
          <w:sz w:val="36"/>
          <w:szCs w:val="36"/>
        </w:rPr>
        <w:t>FY201</w:t>
      </w:r>
      <w:r w:rsidR="00FC58B1">
        <w:rPr>
          <w:sz w:val="36"/>
          <w:szCs w:val="36"/>
        </w:rPr>
        <w:t>8</w:t>
      </w:r>
      <w:r w:rsidRPr="009F0376">
        <w:rPr>
          <w:sz w:val="36"/>
          <w:szCs w:val="36"/>
        </w:rPr>
        <w:t xml:space="preserve"> SCI Analysis Report</w:t>
      </w:r>
    </w:p>
    <w:p w14:paraId="565A7E5F" w14:textId="05A7A8A8" w:rsidR="009F0376" w:rsidRPr="009F0376" w:rsidRDefault="009F0376" w:rsidP="009F0376">
      <w:pPr>
        <w:jc w:val="center"/>
        <w:rPr>
          <w:sz w:val="36"/>
          <w:szCs w:val="36"/>
        </w:rPr>
      </w:pPr>
      <w:r w:rsidRPr="009F0376">
        <w:rPr>
          <w:sz w:val="36"/>
          <w:szCs w:val="36"/>
        </w:rPr>
        <w:t>FY201</w:t>
      </w:r>
      <w:r w:rsidR="00FC58B1">
        <w:rPr>
          <w:sz w:val="36"/>
          <w:szCs w:val="36"/>
        </w:rPr>
        <w:t>9</w:t>
      </w:r>
      <w:r w:rsidRPr="009F0376">
        <w:rPr>
          <w:sz w:val="36"/>
          <w:szCs w:val="36"/>
        </w:rPr>
        <w:t xml:space="preserve"> SCI Analysis Plan</w:t>
      </w:r>
    </w:p>
    <w:p w14:paraId="565A7E60" w14:textId="77777777" w:rsidR="009F0376" w:rsidRPr="009F0376" w:rsidRDefault="009F0376" w:rsidP="009F0376">
      <w:pPr>
        <w:jc w:val="center"/>
        <w:rPr>
          <w:sz w:val="36"/>
          <w:szCs w:val="36"/>
        </w:rPr>
      </w:pPr>
    </w:p>
    <w:p w14:paraId="565A7E61" w14:textId="77CBCAC4" w:rsidR="009F0376" w:rsidRPr="009F0376" w:rsidRDefault="007A6787" w:rsidP="009F0376">
      <w:pPr>
        <w:jc w:val="center"/>
        <w:rPr>
          <w:sz w:val="36"/>
          <w:szCs w:val="36"/>
        </w:rPr>
      </w:pPr>
      <w:r>
        <w:rPr>
          <w:sz w:val="36"/>
          <w:szCs w:val="36"/>
        </w:rPr>
        <w:t>February</w:t>
      </w:r>
      <w:r w:rsidR="009F0376" w:rsidRPr="009F0376">
        <w:rPr>
          <w:sz w:val="36"/>
          <w:szCs w:val="36"/>
        </w:rPr>
        <w:t xml:space="preserve"> 20</w:t>
      </w:r>
      <w:r w:rsidR="00FC58B1">
        <w:rPr>
          <w:sz w:val="36"/>
          <w:szCs w:val="36"/>
        </w:rPr>
        <w:t>20</w:t>
      </w:r>
    </w:p>
    <w:p w14:paraId="565A7E62" w14:textId="77777777" w:rsidR="009F0376" w:rsidRPr="009F0376" w:rsidRDefault="009F0376" w:rsidP="009F0376"/>
    <w:p w14:paraId="565A7E63" w14:textId="77777777" w:rsidR="009F0376" w:rsidRPr="009F0376" w:rsidRDefault="009F0376" w:rsidP="009F0376"/>
    <w:p w14:paraId="565A7E64" w14:textId="77777777" w:rsidR="009F0376" w:rsidRPr="009F0376" w:rsidRDefault="009F0376" w:rsidP="009F0376">
      <w:pPr>
        <w:jc w:val="center"/>
      </w:pPr>
      <w:r w:rsidRPr="009F0376">
        <w:rPr>
          <w:noProof/>
        </w:rPr>
        <w:drawing>
          <wp:inline distT="0" distB="0" distL="0" distR="0" wp14:anchorId="565A7F42" wp14:editId="565A7F43">
            <wp:extent cx="2423160" cy="2461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1049" cy="2459066"/>
                    </a:xfrm>
                    <a:prstGeom prst="rect">
                      <a:avLst/>
                    </a:prstGeom>
                    <a:noFill/>
                  </pic:spPr>
                </pic:pic>
              </a:graphicData>
            </a:graphic>
          </wp:inline>
        </w:drawing>
      </w:r>
    </w:p>
    <w:p w14:paraId="565A7E65" w14:textId="77777777" w:rsidR="00936028" w:rsidRPr="00936028" w:rsidRDefault="00936028" w:rsidP="00936028">
      <w:pPr>
        <w:spacing w:after="0" w:line="240" w:lineRule="auto"/>
        <w:rPr>
          <w:rFonts w:ascii="Times New Roman" w:eastAsia="Times New Roman" w:hAnsi="Times New Roman" w:cs="Times New Roman"/>
          <w:sz w:val="24"/>
          <w:szCs w:val="24"/>
        </w:rPr>
      </w:pPr>
    </w:p>
    <w:p w14:paraId="565A7E66" w14:textId="77777777" w:rsidR="009F0376" w:rsidRDefault="009F0376" w:rsidP="00936028">
      <w:pPr>
        <w:spacing w:after="0" w:line="240" w:lineRule="auto"/>
        <w:rPr>
          <w:rFonts w:ascii="Times New Roman" w:eastAsia="Calibri" w:hAnsi="Times New Roman" w:cs="Times New Roman"/>
          <w:b/>
          <w:sz w:val="24"/>
          <w:szCs w:val="24"/>
        </w:rPr>
      </w:pPr>
    </w:p>
    <w:p w14:paraId="565A7E67" w14:textId="77777777" w:rsidR="009F0376" w:rsidRDefault="009F0376" w:rsidP="00936028">
      <w:pPr>
        <w:spacing w:after="0" w:line="240" w:lineRule="auto"/>
        <w:rPr>
          <w:rFonts w:ascii="Times New Roman" w:eastAsia="Calibri" w:hAnsi="Times New Roman" w:cs="Times New Roman"/>
          <w:b/>
          <w:sz w:val="24"/>
          <w:szCs w:val="24"/>
        </w:rPr>
      </w:pPr>
    </w:p>
    <w:p w14:paraId="565A7E68" w14:textId="77777777" w:rsidR="001718B0" w:rsidRDefault="001718B0" w:rsidP="00936028">
      <w:pPr>
        <w:spacing w:after="0" w:line="240" w:lineRule="auto"/>
        <w:rPr>
          <w:rFonts w:ascii="Times New Roman" w:eastAsia="Calibri" w:hAnsi="Times New Roman" w:cs="Times New Roman"/>
          <w:b/>
          <w:sz w:val="24"/>
          <w:szCs w:val="24"/>
        </w:rPr>
      </w:pPr>
    </w:p>
    <w:p w14:paraId="565A7E69" w14:textId="77777777" w:rsidR="009F0376" w:rsidRDefault="009F0376" w:rsidP="00936028">
      <w:pPr>
        <w:spacing w:after="0" w:line="240" w:lineRule="auto"/>
        <w:rPr>
          <w:rFonts w:ascii="Times New Roman" w:eastAsia="Calibri" w:hAnsi="Times New Roman" w:cs="Times New Roman"/>
          <w:b/>
          <w:sz w:val="24"/>
          <w:szCs w:val="24"/>
        </w:rPr>
      </w:pPr>
    </w:p>
    <w:p w14:paraId="565A7E6A" w14:textId="66203EBC" w:rsidR="00B53D2C" w:rsidRPr="004B662D" w:rsidRDefault="00B53D2C" w:rsidP="00936028">
      <w:pPr>
        <w:spacing w:after="0" w:line="240" w:lineRule="auto"/>
        <w:rPr>
          <w:rFonts w:ascii="Times New Roman" w:eastAsia="Calibri" w:hAnsi="Times New Roman" w:cs="Times New Roman"/>
          <w:b/>
          <w:sz w:val="24"/>
          <w:szCs w:val="24"/>
        </w:rPr>
      </w:pPr>
      <w:r w:rsidRPr="004B662D">
        <w:rPr>
          <w:rFonts w:ascii="Times New Roman" w:eastAsia="Calibri" w:hAnsi="Times New Roman" w:cs="Times New Roman"/>
          <w:b/>
          <w:sz w:val="24"/>
          <w:szCs w:val="24"/>
        </w:rPr>
        <w:lastRenderedPageBreak/>
        <w:t>B</w:t>
      </w:r>
      <w:r w:rsidR="00926468">
        <w:rPr>
          <w:rFonts w:ascii="Times New Roman" w:eastAsia="Calibri" w:hAnsi="Times New Roman" w:cs="Times New Roman"/>
          <w:b/>
          <w:sz w:val="24"/>
          <w:szCs w:val="24"/>
        </w:rPr>
        <w:t>ackground</w:t>
      </w:r>
    </w:p>
    <w:p w14:paraId="565A7E6B" w14:textId="77777777" w:rsidR="00B53D2C" w:rsidRDefault="00B53D2C" w:rsidP="00936028">
      <w:pPr>
        <w:spacing w:after="0" w:line="240" w:lineRule="auto"/>
        <w:rPr>
          <w:rFonts w:ascii="Times New Roman" w:eastAsia="Calibri" w:hAnsi="Times New Roman" w:cs="Times New Roman"/>
          <w:sz w:val="24"/>
          <w:szCs w:val="24"/>
        </w:rPr>
      </w:pPr>
    </w:p>
    <w:p w14:paraId="565A7E6C" w14:textId="7B6AFD7F" w:rsidR="0024528D" w:rsidRPr="001D7444" w:rsidRDefault="0024528D" w:rsidP="00936028">
      <w:pPr>
        <w:spacing w:after="0" w:line="240" w:lineRule="auto"/>
        <w:rPr>
          <w:rFonts w:ascii="Times New Roman" w:eastAsia="Calibri" w:hAnsi="Times New Roman" w:cs="Times New Roman"/>
          <w:color w:val="FF0000"/>
          <w:sz w:val="24"/>
          <w:szCs w:val="24"/>
        </w:rPr>
      </w:pPr>
      <w:r w:rsidRPr="00C11C04">
        <w:rPr>
          <w:rFonts w:ascii="Times New Roman" w:eastAsia="Calibri" w:hAnsi="Times New Roman" w:cs="Times New Roman"/>
          <w:sz w:val="24"/>
          <w:szCs w:val="24"/>
        </w:rPr>
        <w:t xml:space="preserve">The Consolidated Appropriations Act, 2010, Public Law 111-117, requires civilian agencies to prepare </w:t>
      </w:r>
      <w:r w:rsidR="00AA123D">
        <w:rPr>
          <w:rFonts w:ascii="Times New Roman" w:eastAsia="Calibri" w:hAnsi="Times New Roman" w:cs="Times New Roman"/>
          <w:sz w:val="24"/>
          <w:szCs w:val="24"/>
        </w:rPr>
        <w:t>and analyze inventories of their service contracts annually. The analysis help</w:t>
      </w:r>
      <w:r w:rsidR="00333138">
        <w:rPr>
          <w:rFonts w:ascii="Times New Roman" w:eastAsia="Calibri" w:hAnsi="Times New Roman" w:cs="Times New Roman"/>
          <w:sz w:val="24"/>
          <w:szCs w:val="24"/>
        </w:rPr>
        <w:t>s</w:t>
      </w:r>
      <w:r w:rsidR="00AA123D">
        <w:rPr>
          <w:rFonts w:ascii="Times New Roman" w:eastAsia="Calibri" w:hAnsi="Times New Roman" w:cs="Times New Roman"/>
          <w:sz w:val="24"/>
          <w:szCs w:val="24"/>
        </w:rPr>
        <w:t xml:space="preserve"> inform the agency managers </w:t>
      </w:r>
      <w:r w:rsidR="00333138">
        <w:rPr>
          <w:rFonts w:ascii="Times New Roman" w:eastAsia="Calibri" w:hAnsi="Times New Roman" w:cs="Times New Roman"/>
          <w:sz w:val="24"/>
          <w:szCs w:val="24"/>
        </w:rPr>
        <w:t xml:space="preserve">to determine </w:t>
      </w:r>
      <w:r w:rsidR="00AA123D">
        <w:rPr>
          <w:rFonts w:ascii="Times New Roman" w:eastAsia="Calibri" w:hAnsi="Times New Roman" w:cs="Times New Roman"/>
          <w:sz w:val="24"/>
          <w:szCs w:val="24"/>
        </w:rPr>
        <w:t xml:space="preserve">whether contractors are being used appropriately in their workforce. </w:t>
      </w:r>
      <w:r w:rsidR="00EF68C7">
        <w:rPr>
          <w:rFonts w:ascii="Times New Roman" w:eastAsia="Calibri" w:hAnsi="Times New Roman" w:cs="Times New Roman"/>
          <w:sz w:val="24"/>
          <w:szCs w:val="24"/>
        </w:rPr>
        <w:t>T</w:t>
      </w:r>
      <w:r w:rsidR="00AA123D">
        <w:rPr>
          <w:rFonts w:ascii="Times New Roman" w:eastAsia="Calibri" w:hAnsi="Times New Roman" w:cs="Times New Roman"/>
          <w:sz w:val="24"/>
          <w:szCs w:val="24"/>
        </w:rPr>
        <w:t xml:space="preserve">he process includes extracting contract data from the Federal Procurement Data System (FPDS) and the System for Award Management (SAM). </w:t>
      </w:r>
      <w:r w:rsidRPr="00C11C04">
        <w:rPr>
          <w:rFonts w:ascii="Times New Roman" w:eastAsia="Calibri" w:hAnsi="Times New Roman" w:cs="Times New Roman"/>
          <w:sz w:val="24"/>
          <w:szCs w:val="24"/>
        </w:rPr>
        <w:t>As</w:t>
      </w:r>
      <w:r w:rsidRPr="0083453E">
        <w:rPr>
          <w:rFonts w:ascii="Times New Roman" w:eastAsia="Calibri" w:hAnsi="Times New Roman" w:cs="Times New Roman"/>
          <w:sz w:val="24"/>
          <w:szCs w:val="24"/>
        </w:rPr>
        <w:t xml:space="preserve"> required, we completed our fiscal year (FY) 201</w:t>
      </w:r>
      <w:r w:rsidR="00297D20">
        <w:rPr>
          <w:rFonts w:ascii="Times New Roman" w:eastAsia="Calibri" w:hAnsi="Times New Roman" w:cs="Times New Roman"/>
          <w:sz w:val="24"/>
          <w:szCs w:val="24"/>
        </w:rPr>
        <w:t>8</w:t>
      </w:r>
      <w:r w:rsidRPr="0083453E">
        <w:rPr>
          <w:rFonts w:ascii="Times New Roman" w:eastAsia="Calibri" w:hAnsi="Times New Roman" w:cs="Times New Roman"/>
          <w:sz w:val="24"/>
          <w:szCs w:val="24"/>
        </w:rPr>
        <w:t xml:space="preserve"> analysis and posted it on our website at </w:t>
      </w:r>
    </w:p>
    <w:p w14:paraId="565A7E6D" w14:textId="173A7021" w:rsidR="00B53D2C" w:rsidRDefault="002123F8" w:rsidP="00936028">
      <w:pPr>
        <w:spacing w:after="0" w:line="240" w:lineRule="auto"/>
        <w:rPr>
          <w:rFonts w:ascii="Times New Roman" w:eastAsia="Calibri" w:hAnsi="Times New Roman" w:cs="Times New Roman"/>
          <w:sz w:val="24"/>
          <w:szCs w:val="24"/>
        </w:rPr>
      </w:pPr>
      <w:hyperlink r:id="rId12" w:history="1">
        <w:r w:rsidR="00510701">
          <w:rPr>
            <w:rStyle w:val="Hyperlink"/>
          </w:rPr>
          <w:t>https://www2.ed.gov/fund/data/report/contracts/servicecontractinventoryappendix/servicecontractinventory.html</w:t>
        </w:r>
      </w:hyperlink>
      <w:r w:rsidR="00510701">
        <w:t>.</w:t>
      </w:r>
    </w:p>
    <w:p w14:paraId="41BF54B2" w14:textId="77777777" w:rsidR="009D2E27" w:rsidRDefault="009D2E27" w:rsidP="00936028">
      <w:pPr>
        <w:spacing w:after="0" w:line="240" w:lineRule="auto"/>
        <w:rPr>
          <w:rFonts w:ascii="Times New Roman" w:eastAsia="Calibri" w:hAnsi="Times New Roman" w:cs="Times New Roman"/>
          <w:sz w:val="24"/>
          <w:szCs w:val="24"/>
        </w:rPr>
      </w:pPr>
    </w:p>
    <w:p w14:paraId="565A7E6E" w14:textId="77777777" w:rsidR="00B53D2C" w:rsidRPr="00CC0DD0" w:rsidRDefault="00CC0DD0" w:rsidP="009F0376">
      <w:pPr>
        <w:pStyle w:val="ListParagraph"/>
        <w:numPr>
          <w:ilvl w:val="0"/>
          <w:numId w:val="4"/>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Scope</w:t>
      </w:r>
    </w:p>
    <w:p w14:paraId="565A7E6F" w14:textId="77777777" w:rsidR="00936028" w:rsidRPr="00936028" w:rsidRDefault="00936028" w:rsidP="00936028">
      <w:pPr>
        <w:spacing w:after="0" w:line="240" w:lineRule="auto"/>
        <w:rPr>
          <w:rFonts w:ascii="Times New Roman" w:eastAsia="Calibri" w:hAnsi="Times New Roman" w:cs="Times New Roman"/>
          <w:sz w:val="24"/>
          <w:szCs w:val="24"/>
        </w:rPr>
      </w:pPr>
    </w:p>
    <w:p w14:paraId="565A7E70" w14:textId="3C94BDDF" w:rsidR="001B12CE" w:rsidRDefault="001B12CE" w:rsidP="009360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Department of Education</w:t>
      </w:r>
      <w:r w:rsidR="005F0F52">
        <w:rPr>
          <w:rFonts w:ascii="Times New Roman" w:eastAsia="Calibri" w:hAnsi="Times New Roman" w:cs="Times New Roman"/>
          <w:sz w:val="24"/>
          <w:szCs w:val="24"/>
        </w:rPr>
        <w:t xml:space="preserve"> (ED)</w:t>
      </w:r>
      <w:r>
        <w:rPr>
          <w:rFonts w:ascii="Times New Roman" w:eastAsia="Calibri" w:hAnsi="Times New Roman" w:cs="Times New Roman"/>
          <w:sz w:val="24"/>
          <w:szCs w:val="24"/>
        </w:rPr>
        <w:t xml:space="preserve"> conducted an analysis of its service contract inventory to determine if our agency is using service contracts in an appropriate and effective manner</w:t>
      </w:r>
      <w:r w:rsidR="005C0FA1">
        <w:rPr>
          <w:rFonts w:ascii="Times New Roman" w:eastAsia="Calibri" w:hAnsi="Times New Roman" w:cs="Times New Roman"/>
          <w:sz w:val="24"/>
          <w:szCs w:val="24"/>
        </w:rPr>
        <w:t xml:space="preserve">. </w:t>
      </w:r>
      <w:r w:rsidR="00B54121">
        <w:rPr>
          <w:rFonts w:ascii="Times New Roman" w:eastAsia="Calibri" w:hAnsi="Times New Roman" w:cs="Times New Roman"/>
          <w:sz w:val="24"/>
          <w:szCs w:val="24"/>
        </w:rPr>
        <w:t xml:space="preserve">The </w:t>
      </w:r>
      <w:r w:rsidR="00333138">
        <w:rPr>
          <w:rFonts w:ascii="Times New Roman" w:eastAsia="Calibri" w:hAnsi="Times New Roman" w:cs="Times New Roman"/>
          <w:sz w:val="24"/>
          <w:szCs w:val="24"/>
        </w:rPr>
        <w:t>Produce Service Codes (</w:t>
      </w:r>
      <w:r w:rsidR="005C0FA1">
        <w:rPr>
          <w:rFonts w:ascii="Times New Roman" w:eastAsia="Calibri" w:hAnsi="Times New Roman" w:cs="Times New Roman"/>
          <w:sz w:val="24"/>
          <w:szCs w:val="24"/>
        </w:rPr>
        <w:t>PSC</w:t>
      </w:r>
      <w:r w:rsidR="00333138">
        <w:rPr>
          <w:rFonts w:ascii="Times New Roman" w:eastAsia="Calibri" w:hAnsi="Times New Roman" w:cs="Times New Roman"/>
          <w:sz w:val="24"/>
          <w:szCs w:val="24"/>
        </w:rPr>
        <w:t>s)</w:t>
      </w:r>
      <w:r w:rsidR="005C0FA1">
        <w:rPr>
          <w:rFonts w:ascii="Times New Roman" w:eastAsia="Calibri" w:hAnsi="Times New Roman" w:cs="Times New Roman"/>
          <w:sz w:val="24"/>
          <w:szCs w:val="24"/>
        </w:rPr>
        <w:t xml:space="preserve"> </w:t>
      </w:r>
      <w:r w:rsidR="00B54121">
        <w:rPr>
          <w:rFonts w:ascii="Times New Roman" w:eastAsia="Calibri" w:hAnsi="Times New Roman" w:cs="Times New Roman"/>
          <w:sz w:val="24"/>
          <w:szCs w:val="24"/>
        </w:rPr>
        <w:t xml:space="preserve">we used </w:t>
      </w:r>
      <w:r w:rsidR="00333138">
        <w:rPr>
          <w:rFonts w:ascii="Times New Roman" w:eastAsia="Calibri" w:hAnsi="Times New Roman" w:cs="Times New Roman"/>
          <w:sz w:val="24"/>
          <w:szCs w:val="24"/>
        </w:rPr>
        <w:t xml:space="preserve">for our analysis </w:t>
      </w:r>
      <w:r w:rsidR="00B54121">
        <w:rPr>
          <w:rFonts w:ascii="Times New Roman" w:eastAsia="Calibri" w:hAnsi="Times New Roman" w:cs="Times New Roman"/>
          <w:sz w:val="24"/>
          <w:szCs w:val="24"/>
        </w:rPr>
        <w:t xml:space="preserve">were selected </w:t>
      </w:r>
      <w:r w:rsidR="0032737B">
        <w:rPr>
          <w:rFonts w:ascii="Times New Roman" w:eastAsia="Calibri" w:hAnsi="Times New Roman" w:cs="Times New Roman"/>
          <w:sz w:val="24"/>
          <w:szCs w:val="24"/>
        </w:rPr>
        <w:t>from</w:t>
      </w:r>
      <w:r w:rsidR="00B54121">
        <w:rPr>
          <w:rFonts w:ascii="Times New Roman" w:eastAsia="Calibri" w:hAnsi="Times New Roman" w:cs="Times New Roman"/>
          <w:sz w:val="24"/>
          <w:szCs w:val="24"/>
        </w:rPr>
        <w:t xml:space="preserve"> last year’s plan.</w:t>
      </w:r>
      <w:r w:rsidR="005C0F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565A7E71" w14:textId="77777777" w:rsidR="00394BDD" w:rsidRDefault="00394BDD" w:rsidP="00936028">
      <w:pPr>
        <w:spacing w:after="0" w:line="240" w:lineRule="auto"/>
        <w:rPr>
          <w:rFonts w:ascii="Times New Roman" w:eastAsia="Calibri" w:hAnsi="Times New Roman" w:cs="Times New Roman"/>
          <w:sz w:val="24"/>
          <w:szCs w:val="24"/>
        </w:rPr>
      </w:pPr>
    </w:p>
    <w:p w14:paraId="6870F799" w14:textId="5684B11F" w:rsidR="009D2E27" w:rsidRPr="009D2E27" w:rsidRDefault="00E06695" w:rsidP="00893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Using</w:t>
      </w:r>
      <w:r w:rsidR="001B12CE">
        <w:rPr>
          <w:rFonts w:ascii="Times New Roman" w:eastAsia="Calibri" w:hAnsi="Times New Roman" w:cs="Times New Roman"/>
          <w:sz w:val="24"/>
          <w:szCs w:val="24"/>
        </w:rPr>
        <w:t xml:space="preserve"> t</w:t>
      </w:r>
      <w:r w:rsidR="00936028" w:rsidRPr="00936028">
        <w:rPr>
          <w:rFonts w:ascii="Times New Roman" w:eastAsia="Calibri" w:hAnsi="Times New Roman" w:cs="Times New Roman"/>
          <w:sz w:val="24"/>
          <w:szCs w:val="24"/>
        </w:rPr>
        <w:t xml:space="preserve">he Office of Management and Budget (OMB) </w:t>
      </w:r>
      <w:r w:rsidR="001B12CE">
        <w:rPr>
          <w:rFonts w:ascii="Times New Roman" w:eastAsia="Calibri" w:hAnsi="Times New Roman" w:cs="Times New Roman"/>
          <w:sz w:val="24"/>
          <w:szCs w:val="24"/>
        </w:rPr>
        <w:t xml:space="preserve">guidance </w:t>
      </w:r>
      <w:r w:rsidR="0089330E">
        <w:rPr>
          <w:rFonts w:ascii="Times New Roman" w:eastAsia="Calibri" w:hAnsi="Times New Roman" w:cs="Times New Roman"/>
          <w:sz w:val="24"/>
          <w:szCs w:val="24"/>
        </w:rPr>
        <w:t xml:space="preserve">and </w:t>
      </w:r>
      <w:r w:rsidR="005C0FA1">
        <w:rPr>
          <w:rFonts w:ascii="Times New Roman" w:eastAsia="Calibri" w:hAnsi="Times New Roman" w:cs="Times New Roman"/>
          <w:sz w:val="24"/>
          <w:szCs w:val="24"/>
        </w:rPr>
        <w:t xml:space="preserve">the </w:t>
      </w:r>
      <w:r>
        <w:rPr>
          <w:rFonts w:ascii="Times New Roman" w:eastAsia="Calibri" w:hAnsi="Times New Roman" w:cs="Times New Roman"/>
          <w:sz w:val="24"/>
          <w:szCs w:val="24"/>
        </w:rPr>
        <w:t>our</w:t>
      </w:r>
      <w:r w:rsidR="0089330E" w:rsidRPr="0089330E">
        <w:rPr>
          <w:rFonts w:ascii="Times New Roman" w:eastAsia="Calibri" w:hAnsi="Times New Roman" w:cs="Times New Roman"/>
          <w:sz w:val="24"/>
          <w:szCs w:val="24"/>
        </w:rPr>
        <w:t xml:space="preserve"> FY201</w:t>
      </w:r>
      <w:r w:rsidR="0089330E">
        <w:rPr>
          <w:rFonts w:ascii="Times New Roman" w:eastAsia="Calibri" w:hAnsi="Times New Roman" w:cs="Times New Roman"/>
          <w:sz w:val="24"/>
          <w:szCs w:val="24"/>
        </w:rPr>
        <w:t>8</w:t>
      </w:r>
      <w:r w:rsidR="0089330E" w:rsidRPr="0089330E">
        <w:rPr>
          <w:rFonts w:ascii="Times New Roman" w:eastAsia="Calibri" w:hAnsi="Times New Roman" w:cs="Times New Roman"/>
          <w:sz w:val="24"/>
          <w:szCs w:val="24"/>
        </w:rPr>
        <w:t xml:space="preserve"> Government-wide Service Contract Inventory report</w:t>
      </w:r>
      <w:r w:rsidR="0089330E">
        <w:rPr>
          <w:rFonts w:ascii="Times New Roman" w:eastAsia="Calibri" w:hAnsi="Times New Roman" w:cs="Times New Roman"/>
          <w:sz w:val="24"/>
          <w:szCs w:val="24"/>
        </w:rPr>
        <w:t xml:space="preserve">, </w:t>
      </w:r>
      <w:r>
        <w:rPr>
          <w:rFonts w:ascii="Times New Roman" w:eastAsia="Calibri" w:hAnsi="Times New Roman" w:cs="Times New Roman"/>
          <w:sz w:val="24"/>
          <w:szCs w:val="24"/>
        </w:rPr>
        <w:t>we</w:t>
      </w:r>
      <w:r w:rsidR="0089330E">
        <w:rPr>
          <w:rFonts w:ascii="Times New Roman" w:eastAsia="Calibri" w:hAnsi="Times New Roman" w:cs="Times New Roman"/>
          <w:sz w:val="24"/>
          <w:szCs w:val="24"/>
        </w:rPr>
        <w:t xml:space="preserve"> reviewed 248 contr</w:t>
      </w:r>
      <w:r w:rsidR="001B12CE">
        <w:rPr>
          <w:rFonts w:ascii="Times New Roman" w:eastAsia="Calibri" w:hAnsi="Times New Roman" w:cs="Times New Roman"/>
          <w:sz w:val="24"/>
          <w:szCs w:val="24"/>
        </w:rPr>
        <w:t>a</w:t>
      </w:r>
      <w:r w:rsidR="0089330E">
        <w:rPr>
          <w:rFonts w:ascii="Times New Roman" w:eastAsia="Calibri" w:hAnsi="Times New Roman" w:cs="Times New Roman"/>
          <w:sz w:val="24"/>
          <w:szCs w:val="24"/>
        </w:rPr>
        <w:t>ct entries. We</w:t>
      </w:r>
      <w:r w:rsidR="001B12CE">
        <w:rPr>
          <w:rFonts w:ascii="Times New Roman" w:eastAsia="Calibri" w:hAnsi="Times New Roman" w:cs="Times New Roman"/>
          <w:sz w:val="24"/>
          <w:szCs w:val="24"/>
        </w:rPr>
        <w:t xml:space="preserve"> consider</w:t>
      </w:r>
      <w:r w:rsidR="0089330E">
        <w:rPr>
          <w:rFonts w:ascii="Times New Roman" w:eastAsia="Calibri" w:hAnsi="Times New Roman" w:cs="Times New Roman"/>
          <w:sz w:val="24"/>
          <w:szCs w:val="24"/>
        </w:rPr>
        <w:t>ed</w:t>
      </w:r>
      <w:r w:rsidR="001B12CE">
        <w:rPr>
          <w:rFonts w:ascii="Times New Roman" w:eastAsia="Calibri" w:hAnsi="Times New Roman" w:cs="Times New Roman"/>
          <w:sz w:val="24"/>
          <w:szCs w:val="24"/>
        </w:rPr>
        <w:t xml:space="preserve"> multiple contract functions</w:t>
      </w:r>
      <w:r w:rsidR="0089330E">
        <w:rPr>
          <w:rFonts w:ascii="Times New Roman" w:eastAsia="Calibri" w:hAnsi="Times New Roman" w:cs="Times New Roman"/>
          <w:sz w:val="24"/>
          <w:szCs w:val="24"/>
        </w:rPr>
        <w:t xml:space="preserve"> and</w:t>
      </w:r>
      <w:r w:rsidR="001B12CE">
        <w:rPr>
          <w:rFonts w:ascii="Times New Roman" w:eastAsia="Calibri" w:hAnsi="Times New Roman" w:cs="Times New Roman"/>
          <w:sz w:val="24"/>
          <w:szCs w:val="24"/>
        </w:rPr>
        <w:t xml:space="preserve"> </w:t>
      </w:r>
      <w:r w:rsidR="00CC0DD0">
        <w:rPr>
          <w:rFonts w:ascii="Times New Roman" w:eastAsia="Calibri" w:hAnsi="Times New Roman" w:cs="Times New Roman"/>
          <w:sz w:val="24"/>
          <w:szCs w:val="24"/>
        </w:rPr>
        <w:t xml:space="preserve">selected the </w:t>
      </w:r>
      <w:r w:rsidR="003602A3">
        <w:rPr>
          <w:rFonts w:ascii="Times New Roman" w:eastAsia="Calibri" w:hAnsi="Times New Roman" w:cs="Times New Roman"/>
          <w:sz w:val="24"/>
          <w:szCs w:val="24"/>
        </w:rPr>
        <w:t xml:space="preserve">PSCs listed in Table 1 </w:t>
      </w:r>
      <w:r w:rsidR="00CC0DD0">
        <w:rPr>
          <w:rFonts w:ascii="Times New Roman" w:eastAsia="Calibri" w:hAnsi="Times New Roman" w:cs="Times New Roman"/>
          <w:sz w:val="24"/>
          <w:szCs w:val="24"/>
        </w:rPr>
        <w:t xml:space="preserve">for </w:t>
      </w:r>
      <w:r w:rsidR="00BC6244">
        <w:rPr>
          <w:rFonts w:ascii="Times New Roman" w:eastAsia="Calibri" w:hAnsi="Times New Roman" w:cs="Times New Roman"/>
          <w:sz w:val="24"/>
          <w:szCs w:val="24"/>
        </w:rPr>
        <w:t>our</w:t>
      </w:r>
      <w:r w:rsidR="001B12CE">
        <w:rPr>
          <w:rFonts w:ascii="Times New Roman" w:eastAsia="Calibri" w:hAnsi="Times New Roman" w:cs="Times New Roman"/>
          <w:sz w:val="24"/>
          <w:szCs w:val="24"/>
        </w:rPr>
        <w:t xml:space="preserve"> FY201</w:t>
      </w:r>
      <w:r w:rsidR="009427DD">
        <w:rPr>
          <w:rFonts w:ascii="Times New Roman" w:eastAsia="Calibri" w:hAnsi="Times New Roman" w:cs="Times New Roman"/>
          <w:sz w:val="24"/>
          <w:szCs w:val="24"/>
        </w:rPr>
        <w:t>8</w:t>
      </w:r>
      <w:r w:rsidR="001B12CE">
        <w:rPr>
          <w:rFonts w:ascii="Times New Roman" w:eastAsia="Calibri" w:hAnsi="Times New Roman" w:cs="Times New Roman"/>
          <w:sz w:val="24"/>
          <w:szCs w:val="24"/>
        </w:rPr>
        <w:t xml:space="preserve"> SCI</w:t>
      </w:r>
      <w:r w:rsidR="009E4FD2">
        <w:rPr>
          <w:rFonts w:ascii="Times New Roman" w:eastAsia="Calibri" w:hAnsi="Times New Roman" w:cs="Times New Roman"/>
          <w:sz w:val="24"/>
          <w:szCs w:val="24"/>
        </w:rPr>
        <w:t xml:space="preserve"> analysis</w:t>
      </w:r>
      <w:r w:rsidR="00FA2FAF">
        <w:rPr>
          <w:rFonts w:ascii="Times New Roman" w:eastAsia="Calibri" w:hAnsi="Times New Roman" w:cs="Times New Roman"/>
          <w:sz w:val="24"/>
          <w:szCs w:val="24"/>
        </w:rPr>
        <w:t xml:space="preserve"> based on last year’s plan</w:t>
      </w:r>
      <w:r w:rsidR="001B12CE">
        <w:rPr>
          <w:rFonts w:ascii="Times New Roman" w:eastAsia="Calibri" w:hAnsi="Times New Roman" w:cs="Times New Roman"/>
          <w:sz w:val="24"/>
          <w:szCs w:val="24"/>
        </w:rPr>
        <w:t>.</w:t>
      </w:r>
      <w:r w:rsidR="005F0F52">
        <w:rPr>
          <w:rFonts w:ascii="Times New Roman" w:eastAsia="Calibri" w:hAnsi="Times New Roman" w:cs="Times New Roman"/>
          <w:sz w:val="24"/>
          <w:szCs w:val="24"/>
        </w:rPr>
        <w:t xml:space="preserve"> </w:t>
      </w:r>
      <w:r w:rsidR="00CC0DD0" w:rsidRPr="00936028">
        <w:rPr>
          <w:rFonts w:ascii="Times New Roman" w:eastAsia="Calibri" w:hAnsi="Times New Roman" w:cs="Times New Roman"/>
          <w:sz w:val="24"/>
          <w:szCs w:val="24"/>
        </w:rPr>
        <w:t xml:space="preserve">A brief description of the rationale </w:t>
      </w:r>
      <w:r w:rsidR="009E4FD2">
        <w:rPr>
          <w:rFonts w:ascii="Times New Roman" w:eastAsia="Calibri" w:hAnsi="Times New Roman" w:cs="Times New Roman"/>
          <w:sz w:val="24"/>
          <w:szCs w:val="24"/>
        </w:rPr>
        <w:t xml:space="preserve">for including these PSCs is provided </w:t>
      </w:r>
      <w:r w:rsidR="00CC0DD0" w:rsidRPr="00936028">
        <w:rPr>
          <w:rFonts w:ascii="Times New Roman" w:eastAsia="Calibri" w:hAnsi="Times New Roman" w:cs="Times New Roman"/>
          <w:sz w:val="24"/>
          <w:szCs w:val="24"/>
        </w:rPr>
        <w:t>in Table 2</w:t>
      </w:r>
      <w:r w:rsidR="00095A51">
        <w:rPr>
          <w:rFonts w:ascii="Times New Roman" w:eastAsia="Calibri" w:hAnsi="Times New Roman" w:cs="Times New Roman"/>
          <w:sz w:val="24"/>
          <w:szCs w:val="24"/>
        </w:rPr>
        <w:t xml:space="preserve">: </w:t>
      </w:r>
      <w:r w:rsidR="009F6867">
        <w:rPr>
          <w:rFonts w:ascii="Times New Roman" w:eastAsia="Calibri" w:hAnsi="Times New Roman" w:cs="Times New Roman"/>
          <w:sz w:val="24"/>
          <w:szCs w:val="24"/>
        </w:rPr>
        <w:br/>
      </w:r>
    </w:p>
    <w:p w14:paraId="45D6ED89" w14:textId="77777777" w:rsidR="009D2E27" w:rsidRDefault="009D2E27" w:rsidP="00D86BA3">
      <w:pPr>
        <w:spacing w:after="0" w:line="240" w:lineRule="auto"/>
        <w:rPr>
          <w:rFonts w:ascii="Times New Roman" w:eastAsia="Calibri" w:hAnsi="Times New Roman" w:cs="Times New Roman"/>
          <w:b/>
          <w:sz w:val="24"/>
          <w:szCs w:val="24"/>
        </w:rPr>
      </w:pPr>
    </w:p>
    <w:p w14:paraId="565A7E74" w14:textId="0385FA10" w:rsidR="00CC0DD0" w:rsidRPr="00936028" w:rsidRDefault="00CC0DD0" w:rsidP="0083453E">
      <w:pPr>
        <w:spacing w:after="0" w:line="240" w:lineRule="auto"/>
        <w:jc w:val="center"/>
        <w:rPr>
          <w:rFonts w:ascii="Times New Roman" w:eastAsia="Calibri" w:hAnsi="Times New Roman" w:cs="Times New Roman"/>
          <w:sz w:val="24"/>
          <w:szCs w:val="24"/>
        </w:rPr>
      </w:pPr>
      <w:r w:rsidRPr="0083453E">
        <w:rPr>
          <w:rFonts w:ascii="Times New Roman" w:eastAsia="Calibri" w:hAnsi="Times New Roman" w:cs="Times New Roman"/>
          <w:b/>
          <w:sz w:val="24"/>
          <w:szCs w:val="24"/>
        </w:rPr>
        <w:t xml:space="preserve">Table 1 – </w:t>
      </w:r>
      <w:r w:rsidR="00926468">
        <w:rPr>
          <w:rFonts w:ascii="Times New Roman" w:eastAsia="Calibri" w:hAnsi="Times New Roman" w:cs="Times New Roman"/>
          <w:b/>
          <w:sz w:val="24"/>
          <w:szCs w:val="24"/>
        </w:rPr>
        <w:t>PSCs</w:t>
      </w:r>
      <w:r w:rsidRPr="0083453E">
        <w:rPr>
          <w:rFonts w:ascii="Times New Roman" w:eastAsia="Calibri" w:hAnsi="Times New Roman" w:cs="Times New Roman"/>
          <w:b/>
          <w:sz w:val="24"/>
          <w:szCs w:val="24"/>
        </w:rPr>
        <w:t xml:space="preserve"> Selected </w:t>
      </w:r>
      <w:r w:rsidR="006E6B6A" w:rsidRPr="0083453E">
        <w:rPr>
          <w:rFonts w:ascii="Times New Roman" w:eastAsia="Calibri" w:hAnsi="Times New Roman" w:cs="Times New Roman"/>
          <w:b/>
          <w:sz w:val="24"/>
          <w:szCs w:val="24"/>
        </w:rPr>
        <w:t>for</w:t>
      </w:r>
      <w:r w:rsidRPr="0083453E">
        <w:rPr>
          <w:rFonts w:ascii="Times New Roman" w:eastAsia="Calibri" w:hAnsi="Times New Roman" w:cs="Times New Roman"/>
          <w:b/>
          <w:sz w:val="24"/>
          <w:szCs w:val="24"/>
        </w:rPr>
        <w:t xml:space="preserve"> FY 201</w:t>
      </w:r>
      <w:r w:rsidR="007754DB">
        <w:rPr>
          <w:rFonts w:ascii="Times New Roman" w:eastAsia="Calibri" w:hAnsi="Times New Roman" w:cs="Times New Roman"/>
          <w:b/>
          <w:sz w:val="24"/>
          <w:szCs w:val="24"/>
        </w:rPr>
        <w:t>8</w:t>
      </w:r>
      <w:r w:rsidRPr="0083453E">
        <w:rPr>
          <w:rFonts w:ascii="Times New Roman" w:eastAsia="Calibri" w:hAnsi="Times New Roman" w:cs="Times New Roman"/>
          <w:b/>
          <w:sz w:val="24"/>
          <w:szCs w:val="24"/>
        </w:rPr>
        <w:t xml:space="preserve"> Review</w:t>
      </w:r>
    </w:p>
    <w:p w14:paraId="3767C792" w14:textId="236003A2" w:rsidR="00FC1562" w:rsidRDefault="00FC1562" w:rsidP="00D14B41">
      <w:pPr>
        <w:spacing w:after="0" w:line="240" w:lineRule="auto"/>
        <w:rPr>
          <w:rFonts w:ascii="Times New Roman" w:eastAsia="Calibri" w:hAnsi="Times New Roman" w:cs="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536"/>
        <w:gridCol w:w="1466"/>
        <w:gridCol w:w="1353"/>
      </w:tblGrid>
      <w:tr w:rsidR="00FC1562" w:rsidRPr="00C07489" w14:paraId="2A383F94" w14:textId="77777777" w:rsidTr="00C07489">
        <w:trPr>
          <w:trHeight w:val="495"/>
        </w:trPr>
        <w:tc>
          <w:tcPr>
            <w:tcW w:w="720" w:type="dxa"/>
            <w:noWrap/>
            <w:vAlign w:val="center"/>
            <w:hideMark/>
          </w:tcPr>
          <w:p w14:paraId="5D390873" w14:textId="77777777" w:rsidR="00FC1562" w:rsidRPr="00C07489" w:rsidRDefault="00FC1562">
            <w:pPr>
              <w:spacing w:after="0" w:line="240" w:lineRule="auto"/>
              <w:rPr>
                <w:rFonts w:ascii="Times New Roman" w:eastAsia="Times New Roman" w:hAnsi="Times New Roman" w:cs="Times New Roman"/>
                <w:b/>
                <w:bCs/>
                <w:color w:val="000000"/>
                <w:sz w:val="20"/>
                <w:szCs w:val="20"/>
              </w:rPr>
            </w:pPr>
            <w:r w:rsidRPr="00C07489">
              <w:rPr>
                <w:rFonts w:ascii="Times New Roman" w:eastAsia="Times New Roman" w:hAnsi="Times New Roman" w:cs="Times New Roman"/>
                <w:b/>
                <w:bCs/>
                <w:color w:val="000000"/>
                <w:sz w:val="20"/>
                <w:szCs w:val="20"/>
              </w:rPr>
              <w:t>PSC</w:t>
            </w:r>
          </w:p>
        </w:tc>
        <w:tc>
          <w:tcPr>
            <w:tcW w:w="6536" w:type="dxa"/>
            <w:noWrap/>
            <w:vAlign w:val="center"/>
            <w:hideMark/>
          </w:tcPr>
          <w:p w14:paraId="70060388" w14:textId="77777777" w:rsidR="00FC1562" w:rsidRPr="00C07489" w:rsidRDefault="00FC1562">
            <w:pPr>
              <w:spacing w:after="0" w:line="240" w:lineRule="auto"/>
              <w:jc w:val="center"/>
              <w:rPr>
                <w:rFonts w:ascii="Times New Roman" w:eastAsia="Times New Roman" w:hAnsi="Times New Roman" w:cs="Times New Roman"/>
                <w:b/>
                <w:bCs/>
                <w:color w:val="000000"/>
                <w:sz w:val="20"/>
                <w:szCs w:val="20"/>
              </w:rPr>
            </w:pPr>
            <w:r w:rsidRPr="00C07489">
              <w:rPr>
                <w:rFonts w:ascii="Times New Roman" w:eastAsia="Times New Roman" w:hAnsi="Times New Roman" w:cs="Times New Roman"/>
                <w:b/>
                <w:bCs/>
                <w:color w:val="000000"/>
                <w:sz w:val="20"/>
                <w:szCs w:val="20"/>
              </w:rPr>
              <w:t>Description</w:t>
            </w:r>
          </w:p>
        </w:tc>
        <w:tc>
          <w:tcPr>
            <w:tcW w:w="1466" w:type="dxa"/>
            <w:vAlign w:val="center"/>
            <w:hideMark/>
          </w:tcPr>
          <w:p w14:paraId="31C27DDB" w14:textId="77777777" w:rsidR="00FC1562" w:rsidRPr="00C07489" w:rsidRDefault="00FC1562">
            <w:pPr>
              <w:spacing w:after="0" w:line="240" w:lineRule="auto"/>
              <w:jc w:val="center"/>
              <w:rPr>
                <w:rFonts w:ascii="Times New Roman" w:eastAsia="Times New Roman" w:hAnsi="Times New Roman" w:cs="Times New Roman"/>
                <w:b/>
                <w:bCs/>
                <w:color w:val="000000"/>
                <w:sz w:val="20"/>
                <w:szCs w:val="20"/>
              </w:rPr>
            </w:pPr>
            <w:r w:rsidRPr="00C07489">
              <w:rPr>
                <w:rFonts w:ascii="Times New Roman" w:eastAsia="Times New Roman" w:hAnsi="Times New Roman" w:cs="Times New Roman"/>
                <w:b/>
                <w:bCs/>
                <w:color w:val="000000"/>
                <w:sz w:val="20"/>
                <w:szCs w:val="20"/>
              </w:rPr>
              <w:t>FY 2018 Obligations</w:t>
            </w:r>
          </w:p>
        </w:tc>
        <w:tc>
          <w:tcPr>
            <w:tcW w:w="1353" w:type="dxa"/>
            <w:vAlign w:val="center"/>
            <w:hideMark/>
          </w:tcPr>
          <w:p w14:paraId="0D63015F" w14:textId="77777777" w:rsidR="00FC1562" w:rsidRPr="00C07489" w:rsidRDefault="00FC1562">
            <w:pPr>
              <w:spacing w:after="0" w:line="240" w:lineRule="auto"/>
              <w:jc w:val="center"/>
              <w:rPr>
                <w:rFonts w:ascii="Times New Roman" w:eastAsia="Times New Roman" w:hAnsi="Times New Roman" w:cs="Times New Roman"/>
                <w:b/>
                <w:bCs/>
                <w:color w:val="000000"/>
                <w:sz w:val="20"/>
                <w:szCs w:val="20"/>
              </w:rPr>
            </w:pPr>
            <w:r w:rsidRPr="00C07489">
              <w:rPr>
                <w:rFonts w:ascii="Times New Roman" w:eastAsia="Times New Roman" w:hAnsi="Times New Roman" w:cs="Times New Roman"/>
                <w:b/>
                <w:bCs/>
                <w:color w:val="000000"/>
                <w:sz w:val="20"/>
                <w:szCs w:val="20"/>
              </w:rPr>
              <w:t>% Total Obligations</w:t>
            </w:r>
          </w:p>
        </w:tc>
      </w:tr>
      <w:tr w:rsidR="00FC1562" w:rsidRPr="00C07489" w14:paraId="3D7A3EFA" w14:textId="77777777" w:rsidTr="00C07489">
        <w:trPr>
          <w:trHeight w:val="300"/>
        </w:trPr>
        <w:tc>
          <w:tcPr>
            <w:tcW w:w="720" w:type="dxa"/>
            <w:noWrap/>
            <w:vAlign w:val="center"/>
            <w:hideMark/>
          </w:tcPr>
          <w:p w14:paraId="4AEBCEBB"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R710</w:t>
            </w:r>
          </w:p>
        </w:tc>
        <w:tc>
          <w:tcPr>
            <w:tcW w:w="6536" w:type="dxa"/>
            <w:vAlign w:val="center"/>
            <w:hideMark/>
          </w:tcPr>
          <w:p w14:paraId="5366BE17"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SUPPORT- MANAGEMENT: FINANCIAL</w:t>
            </w:r>
          </w:p>
        </w:tc>
        <w:tc>
          <w:tcPr>
            <w:tcW w:w="1466" w:type="dxa"/>
            <w:noWrap/>
            <w:vAlign w:val="center"/>
            <w:hideMark/>
          </w:tcPr>
          <w:p w14:paraId="27975040"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$2,302,232,126</w:t>
            </w:r>
          </w:p>
        </w:tc>
        <w:tc>
          <w:tcPr>
            <w:tcW w:w="1353" w:type="dxa"/>
            <w:noWrap/>
            <w:vAlign w:val="center"/>
            <w:hideMark/>
          </w:tcPr>
          <w:p w14:paraId="72EE5D32"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58%</w:t>
            </w:r>
          </w:p>
        </w:tc>
      </w:tr>
      <w:tr w:rsidR="00FC1562" w:rsidRPr="00C07489" w14:paraId="4DC0A0E0" w14:textId="77777777" w:rsidTr="00C07489">
        <w:trPr>
          <w:trHeight w:val="300"/>
        </w:trPr>
        <w:tc>
          <w:tcPr>
            <w:tcW w:w="720" w:type="dxa"/>
            <w:noWrap/>
            <w:vAlign w:val="center"/>
            <w:hideMark/>
          </w:tcPr>
          <w:p w14:paraId="15CEC162"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R705</w:t>
            </w:r>
          </w:p>
        </w:tc>
        <w:tc>
          <w:tcPr>
            <w:tcW w:w="6536" w:type="dxa"/>
            <w:vAlign w:val="center"/>
            <w:hideMark/>
          </w:tcPr>
          <w:p w14:paraId="37DD87CC"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SUPPORT- MANAGEMENT: DEBT COLLECTION</w:t>
            </w:r>
          </w:p>
        </w:tc>
        <w:tc>
          <w:tcPr>
            <w:tcW w:w="1466" w:type="dxa"/>
            <w:noWrap/>
            <w:vAlign w:val="center"/>
            <w:hideMark/>
          </w:tcPr>
          <w:p w14:paraId="48AF639E"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$641,798,111</w:t>
            </w:r>
          </w:p>
        </w:tc>
        <w:tc>
          <w:tcPr>
            <w:tcW w:w="1353" w:type="dxa"/>
            <w:noWrap/>
            <w:vAlign w:val="center"/>
            <w:hideMark/>
          </w:tcPr>
          <w:p w14:paraId="0B8D7B52"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16%</w:t>
            </w:r>
          </w:p>
        </w:tc>
      </w:tr>
      <w:tr w:rsidR="00FC1562" w:rsidRPr="00C07489" w14:paraId="23042713" w14:textId="77777777" w:rsidTr="00C07489">
        <w:trPr>
          <w:trHeight w:val="300"/>
        </w:trPr>
        <w:tc>
          <w:tcPr>
            <w:tcW w:w="720" w:type="dxa"/>
            <w:noWrap/>
            <w:vAlign w:val="center"/>
            <w:hideMark/>
          </w:tcPr>
          <w:p w14:paraId="71E89208"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R499</w:t>
            </w:r>
          </w:p>
        </w:tc>
        <w:tc>
          <w:tcPr>
            <w:tcW w:w="6536" w:type="dxa"/>
            <w:vAlign w:val="center"/>
            <w:hideMark/>
          </w:tcPr>
          <w:p w14:paraId="023722E3"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SUPPORT- PROFESSIONAL: OTHER</w:t>
            </w:r>
          </w:p>
        </w:tc>
        <w:tc>
          <w:tcPr>
            <w:tcW w:w="1466" w:type="dxa"/>
            <w:noWrap/>
            <w:vAlign w:val="center"/>
            <w:hideMark/>
          </w:tcPr>
          <w:p w14:paraId="18421A2F"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$350,844,080</w:t>
            </w:r>
          </w:p>
        </w:tc>
        <w:tc>
          <w:tcPr>
            <w:tcW w:w="1353" w:type="dxa"/>
            <w:noWrap/>
            <w:vAlign w:val="center"/>
            <w:hideMark/>
          </w:tcPr>
          <w:p w14:paraId="3AF34E00"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9%</w:t>
            </w:r>
          </w:p>
        </w:tc>
      </w:tr>
      <w:tr w:rsidR="00FC1562" w:rsidRPr="00C07489" w14:paraId="5FC38EFE" w14:textId="77777777" w:rsidTr="00C07489">
        <w:trPr>
          <w:trHeight w:val="300"/>
        </w:trPr>
        <w:tc>
          <w:tcPr>
            <w:tcW w:w="720" w:type="dxa"/>
            <w:noWrap/>
            <w:vAlign w:val="center"/>
            <w:hideMark/>
          </w:tcPr>
          <w:p w14:paraId="715BCBE8"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D301</w:t>
            </w:r>
          </w:p>
        </w:tc>
        <w:tc>
          <w:tcPr>
            <w:tcW w:w="6536" w:type="dxa"/>
            <w:vAlign w:val="center"/>
            <w:hideMark/>
          </w:tcPr>
          <w:p w14:paraId="69AA7279"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IT AND TELECOM- FACILITY OPERATION AND MAINTENANCE</w:t>
            </w:r>
          </w:p>
        </w:tc>
        <w:tc>
          <w:tcPr>
            <w:tcW w:w="1466" w:type="dxa"/>
            <w:noWrap/>
            <w:vAlign w:val="center"/>
            <w:hideMark/>
          </w:tcPr>
          <w:p w14:paraId="4AF67B13"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$212,507,151</w:t>
            </w:r>
          </w:p>
        </w:tc>
        <w:tc>
          <w:tcPr>
            <w:tcW w:w="1353" w:type="dxa"/>
            <w:noWrap/>
            <w:vAlign w:val="center"/>
            <w:hideMark/>
          </w:tcPr>
          <w:p w14:paraId="6CDC700D"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5%</w:t>
            </w:r>
          </w:p>
        </w:tc>
      </w:tr>
      <w:tr w:rsidR="00FC1562" w:rsidRPr="00C07489" w14:paraId="679528D1" w14:textId="77777777" w:rsidTr="00C07489">
        <w:trPr>
          <w:trHeight w:val="300"/>
        </w:trPr>
        <w:tc>
          <w:tcPr>
            <w:tcW w:w="720" w:type="dxa"/>
            <w:noWrap/>
            <w:vAlign w:val="center"/>
            <w:hideMark/>
          </w:tcPr>
          <w:p w14:paraId="6C51923E"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D399</w:t>
            </w:r>
          </w:p>
        </w:tc>
        <w:tc>
          <w:tcPr>
            <w:tcW w:w="6536" w:type="dxa"/>
            <w:vAlign w:val="center"/>
            <w:hideMark/>
          </w:tcPr>
          <w:p w14:paraId="10644AEA"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IT AND TELECOM – OTHER IT AND TELECOMMUNICATIONS</w:t>
            </w:r>
          </w:p>
        </w:tc>
        <w:tc>
          <w:tcPr>
            <w:tcW w:w="1466" w:type="dxa"/>
            <w:noWrap/>
            <w:vAlign w:val="center"/>
            <w:hideMark/>
          </w:tcPr>
          <w:p w14:paraId="729AA62E"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$151,255,941</w:t>
            </w:r>
          </w:p>
        </w:tc>
        <w:tc>
          <w:tcPr>
            <w:tcW w:w="1353" w:type="dxa"/>
            <w:noWrap/>
            <w:vAlign w:val="center"/>
            <w:hideMark/>
          </w:tcPr>
          <w:p w14:paraId="31E6353D"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4%</w:t>
            </w:r>
          </w:p>
        </w:tc>
      </w:tr>
      <w:tr w:rsidR="00FC1562" w:rsidRPr="00C07489" w14:paraId="1D8526FC" w14:textId="77777777" w:rsidTr="00C07489">
        <w:trPr>
          <w:trHeight w:val="300"/>
        </w:trPr>
        <w:tc>
          <w:tcPr>
            <w:tcW w:w="720" w:type="dxa"/>
            <w:noWrap/>
            <w:vAlign w:val="center"/>
            <w:hideMark/>
          </w:tcPr>
          <w:p w14:paraId="604BDAF3"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D313</w:t>
            </w:r>
            <w:r w:rsidRPr="00C07489">
              <w:rPr>
                <w:rFonts w:ascii="Times New Roman" w:eastAsia="Times New Roman" w:hAnsi="Times New Roman" w:cs="Times New Roman"/>
                <w:color w:val="000000"/>
                <w:sz w:val="20"/>
                <w:szCs w:val="20"/>
              </w:rPr>
              <w:br/>
            </w:r>
          </w:p>
        </w:tc>
        <w:tc>
          <w:tcPr>
            <w:tcW w:w="6536" w:type="dxa"/>
            <w:vAlign w:val="center"/>
            <w:hideMark/>
          </w:tcPr>
          <w:p w14:paraId="591B943D"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IT AND TELECOM- COMPUTER AIDED DESIGN/COMPUTER AIDED MANUFACTURING (CAD/CAM)</w:t>
            </w:r>
          </w:p>
        </w:tc>
        <w:tc>
          <w:tcPr>
            <w:tcW w:w="1466" w:type="dxa"/>
            <w:noWrap/>
            <w:vAlign w:val="center"/>
          </w:tcPr>
          <w:p w14:paraId="1212BA96"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$107,890,842</w:t>
            </w:r>
          </w:p>
          <w:p w14:paraId="738CB879"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p>
        </w:tc>
        <w:tc>
          <w:tcPr>
            <w:tcW w:w="1353" w:type="dxa"/>
            <w:noWrap/>
            <w:vAlign w:val="center"/>
          </w:tcPr>
          <w:p w14:paraId="788DEBB2"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3%</w:t>
            </w:r>
          </w:p>
          <w:p w14:paraId="779801AC"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p>
        </w:tc>
      </w:tr>
      <w:tr w:rsidR="00FC1562" w:rsidRPr="00C07489" w14:paraId="61A79631" w14:textId="77777777" w:rsidTr="00C07489">
        <w:trPr>
          <w:trHeight w:val="300"/>
        </w:trPr>
        <w:tc>
          <w:tcPr>
            <w:tcW w:w="720" w:type="dxa"/>
            <w:noWrap/>
            <w:vAlign w:val="center"/>
            <w:hideMark/>
          </w:tcPr>
          <w:p w14:paraId="183562FF"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B542</w:t>
            </w:r>
          </w:p>
        </w:tc>
        <w:tc>
          <w:tcPr>
            <w:tcW w:w="6536" w:type="dxa"/>
            <w:vAlign w:val="center"/>
            <w:hideMark/>
          </w:tcPr>
          <w:p w14:paraId="5323951F"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SPECIAL STUDIES/ANALYSIS- EDUCATIONAL</w:t>
            </w:r>
          </w:p>
        </w:tc>
        <w:tc>
          <w:tcPr>
            <w:tcW w:w="1466" w:type="dxa"/>
            <w:noWrap/>
            <w:vAlign w:val="center"/>
            <w:hideMark/>
          </w:tcPr>
          <w:p w14:paraId="171CA0DA"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$104,444,987</w:t>
            </w:r>
          </w:p>
        </w:tc>
        <w:tc>
          <w:tcPr>
            <w:tcW w:w="1353" w:type="dxa"/>
            <w:noWrap/>
            <w:vAlign w:val="center"/>
            <w:hideMark/>
          </w:tcPr>
          <w:p w14:paraId="405395D3"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3%</w:t>
            </w:r>
          </w:p>
        </w:tc>
      </w:tr>
      <w:tr w:rsidR="00FC1562" w:rsidRPr="00C07489" w14:paraId="21FCC57F" w14:textId="77777777" w:rsidTr="00C07489">
        <w:trPr>
          <w:trHeight w:val="300"/>
        </w:trPr>
        <w:tc>
          <w:tcPr>
            <w:tcW w:w="720" w:type="dxa"/>
            <w:noWrap/>
            <w:vAlign w:val="center"/>
            <w:hideMark/>
          </w:tcPr>
          <w:p w14:paraId="7539CE22"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R410</w:t>
            </w:r>
            <w:r w:rsidRPr="00C07489">
              <w:rPr>
                <w:rFonts w:ascii="Times New Roman" w:eastAsia="Times New Roman" w:hAnsi="Times New Roman" w:cs="Times New Roman"/>
                <w:color w:val="000000"/>
                <w:sz w:val="20"/>
                <w:szCs w:val="20"/>
              </w:rPr>
              <w:br/>
            </w:r>
          </w:p>
        </w:tc>
        <w:tc>
          <w:tcPr>
            <w:tcW w:w="6536" w:type="dxa"/>
            <w:vAlign w:val="center"/>
            <w:hideMark/>
          </w:tcPr>
          <w:p w14:paraId="45A5E39D"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SUPPORT- PROFESSIONAL: PROGRAM EVALUATION/REVIEW/ DEVELOPMENT</w:t>
            </w:r>
          </w:p>
        </w:tc>
        <w:tc>
          <w:tcPr>
            <w:tcW w:w="1466" w:type="dxa"/>
            <w:noWrap/>
            <w:vAlign w:val="center"/>
          </w:tcPr>
          <w:p w14:paraId="0819E238"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$57,755,544</w:t>
            </w:r>
          </w:p>
          <w:p w14:paraId="64082C33"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p>
        </w:tc>
        <w:tc>
          <w:tcPr>
            <w:tcW w:w="1353" w:type="dxa"/>
            <w:noWrap/>
            <w:vAlign w:val="center"/>
          </w:tcPr>
          <w:p w14:paraId="289480A9"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1%</w:t>
            </w:r>
          </w:p>
          <w:p w14:paraId="6418AEF4"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p>
        </w:tc>
      </w:tr>
      <w:tr w:rsidR="00FC1562" w:rsidRPr="00C07489" w14:paraId="4C4F406B" w14:textId="77777777" w:rsidTr="00C07489">
        <w:trPr>
          <w:trHeight w:val="300"/>
        </w:trPr>
        <w:tc>
          <w:tcPr>
            <w:tcW w:w="720" w:type="dxa"/>
            <w:noWrap/>
            <w:vAlign w:val="center"/>
            <w:hideMark/>
          </w:tcPr>
          <w:p w14:paraId="79316077"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AF11</w:t>
            </w:r>
          </w:p>
        </w:tc>
        <w:tc>
          <w:tcPr>
            <w:tcW w:w="6536" w:type="dxa"/>
            <w:vAlign w:val="center"/>
            <w:hideMark/>
          </w:tcPr>
          <w:p w14:paraId="764EB26F"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R&amp;D- EDUCATION: EDUCATIONAL (BASIC RESEARCH)</w:t>
            </w:r>
          </w:p>
        </w:tc>
        <w:tc>
          <w:tcPr>
            <w:tcW w:w="1466" w:type="dxa"/>
            <w:noWrap/>
            <w:vAlign w:val="center"/>
            <w:hideMark/>
          </w:tcPr>
          <w:p w14:paraId="44203A3E"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$36,672,880</w:t>
            </w:r>
          </w:p>
        </w:tc>
        <w:tc>
          <w:tcPr>
            <w:tcW w:w="1353" w:type="dxa"/>
            <w:noWrap/>
            <w:vAlign w:val="center"/>
            <w:hideMark/>
          </w:tcPr>
          <w:p w14:paraId="23674859"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1%</w:t>
            </w:r>
          </w:p>
        </w:tc>
      </w:tr>
      <w:tr w:rsidR="00FC1562" w:rsidRPr="00C07489" w14:paraId="3ADAEC58" w14:textId="77777777" w:rsidTr="00C07489">
        <w:trPr>
          <w:trHeight w:val="300"/>
        </w:trPr>
        <w:tc>
          <w:tcPr>
            <w:tcW w:w="720" w:type="dxa"/>
            <w:noWrap/>
            <w:vAlign w:val="center"/>
            <w:hideMark/>
          </w:tcPr>
          <w:p w14:paraId="17672AA8"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B506</w:t>
            </w:r>
          </w:p>
        </w:tc>
        <w:tc>
          <w:tcPr>
            <w:tcW w:w="6536" w:type="dxa"/>
            <w:vAlign w:val="center"/>
            <w:hideMark/>
          </w:tcPr>
          <w:p w14:paraId="6BDC2414" w14:textId="77777777" w:rsidR="00FC1562" w:rsidRPr="00C07489" w:rsidRDefault="00FC1562">
            <w:pPr>
              <w:spacing w:after="0" w:line="240" w:lineRule="auto"/>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SPECIAL STUDIES/ANALYSIS-DATA (OTHER THAN SCIENTIFIC)</w:t>
            </w:r>
          </w:p>
        </w:tc>
        <w:tc>
          <w:tcPr>
            <w:tcW w:w="1466" w:type="dxa"/>
            <w:noWrap/>
            <w:vAlign w:val="center"/>
            <w:hideMark/>
          </w:tcPr>
          <w:p w14:paraId="7761042E"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$3,332,320</w:t>
            </w:r>
          </w:p>
        </w:tc>
        <w:tc>
          <w:tcPr>
            <w:tcW w:w="1353" w:type="dxa"/>
            <w:noWrap/>
            <w:vAlign w:val="center"/>
            <w:hideMark/>
          </w:tcPr>
          <w:p w14:paraId="5FEA4EB9" w14:textId="77777777" w:rsidR="00FC1562" w:rsidRPr="00C07489" w:rsidRDefault="00FC1562">
            <w:pPr>
              <w:spacing w:after="0" w:line="240" w:lineRule="auto"/>
              <w:jc w:val="right"/>
              <w:rPr>
                <w:rFonts w:ascii="Times New Roman" w:eastAsia="Times New Roman" w:hAnsi="Times New Roman" w:cs="Times New Roman"/>
                <w:color w:val="000000"/>
                <w:sz w:val="20"/>
                <w:szCs w:val="20"/>
              </w:rPr>
            </w:pPr>
            <w:r w:rsidRPr="00C07489">
              <w:rPr>
                <w:rFonts w:ascii="Times New Roman" w:eastAsia="Times New Roman" w:hAnsi="Times New Roman" w:cs="Times New Roman"/>
                <w:color w:val="000000"/>
                <w:sz w:val="20"/>
                <w:szCs w:val="20"/>
              </w:rPr>
              <w:t>0%</w:t>
            </w:r>
          </w:p>
        </w:tc>
      </w:tr>
    </w:tbl>
    <w:p w14:paraId="35781E4A" w14:textId="5C2EDED0" w:rsidR="00FC1562" w:rsidRDefault="00FC1562" w:rsidP="00FC1562">
      <w:pPr>
        <w:spacing w:after="0" w:line="240" w:lineRule="auto"/>
        <w:rPr>
          <w:rFonts w:ascii="Times New Roman" w:eastAsia="Calibri" w:hAnsi="Times New Roman" w:cs="Times New Roman"/>
          <w:sz w:val="24"/>
          <w:szCs w:val="24"/>
        </w:rPr>
      </w:pPr>
    </w:p>
    <w:p w14:paraId="0D26BAEA" w14:textId="77777777" w:rsidR="00FC1562" w:rsidRDefault="00FC1562" w:rsidP="00FC1562">
      <w:pPr>
        <w:spacing w:after="0" w:line="240" w:lineRule="auto"/>
        <w:rPr>
          <w:rFonts w:ascii="Times New Roman" w:eastAsia="Calibri" w:hAnsi="Times New Roman" w:cs="Times New Roman"/>
          <w:sz w:val="24"/>
          <w:szCs w:val="24"/>
        </w:rPr>
      </w:pPr>
    </w:p>
    <w:p w14:paraId="62AA9553" w14:textId="646A30AC" w:rsidR="00D86BA3" w:rsidRDefault="00D86BA3" w:rsidP="00D14B41">
      <w:pPr>
        <w:rPr>
          <w:rFonts w:ascii="Times New Roman" w:eastAsia="Calibri" w:hAnsi="Times New Roman" w:cs="Times New Roman"/>
          <w:sz w:val="24"/>
          <w:szCs w:val="24"/>
        </w:rPr>
      </w:pPr>
    </w:p>
    <w:p w14:paraId="4DEE3746" w14:textId="72AAB58A" w:rsidR="00603BC4" w:rsidRDefault="00603BC4" w:rsidP="00D14B41">
      <w:pPr>
        <w:rPr>
          <w:rFonts w:ascii="Times New Roman" w:eastAsia="Calibri" w:hAnsi="Times New Roman" w:cs="Times New Roman"/>
          <w:sz w:val="24"/>
          <w:szCs w:val="24"/>
        </w:rPr>
      </w:pPr>
    </w:p>
    <w:p w14:paraId="1A03539D" w14:textId="1B01FB0E" w:rsidR="00C07489" w:rsidRDefault="00C07489" w:rsidP="00D14B41">
      <w:pPr>
        <w:rPr>
          <w:rFonts w:ascii="Times New Roman" w:eastAsia="Calibri" w:hAnsi="Times New Roman" w:cs="Times New Roman"/>
          <w:sz w:val="24"/>
          <w:szCs w:val="24"/>
        </w:rPr>
      </w:pPr>
    </w:p>
    <w:p w14:paraId="36090288" w14:textId="77777777" w:rsidR="009F6867" w:rsidRPr="00D14B41" w:rsidRDefault="009F6867" w:rsidP="00D14B41">
      <w:pPr>
        <w:rPr>
          <w:rFonts w:ascii="Times New Roman" w:eastAsia="Calibri" w:hAnsi="Times New Roman" w:cs="Times New Roman"/>
          <w:sz w:val="24"/>
          <w:szCs w:val="24"/>
        </w:rPr>
      </w:pPr>
    </w:p>
    <w:p w14:paraId="565A7EB5" w14:textId="452F87FD" w:rsidR="00CC0DD0" w:rsidRDefault="00CC0DD0" w:rsidP="00CC0DD0">
      <w:pPr>
        <w:spacing w:after="0" w:line="240" w:lineRule="auto"/>
        <w:jc w:val="center"/>
        <w:rPr>
          <w:rFonts w:ascii="Times New Roman" w:eastAsia="Calibri" w:hAnsi="Times New Roman" w:cs="Times New Roman"/>
          <w:b/>
          <w:sz w:val="24"/>
          <w:szCs w:val="24"/>
        </w:rPr>
      </w:pPr>
      <w:r w:rsidRPr="0083453E">
        <w:rPr>
          <w:rFonts w:ascii="Times New Roman" w:eastAsia="Calibri" w:hAnsi="Times New Roman" w:cs="Times New Roman"/>
          <w:b/>
          <w:sz w:val="24"/>
          <w:szCs w:val="24"/>
        </w:rPr>
        <w:lastRenderedPageBreak/>
        <w:t xml:space="preserve">Table 2 – </w:t>
      </w:r>
      <w:r w:rsidR="0024528D">
        <w:rPr>
          <w:rFonts w:ascii="Times New Roman" w:eastAsia="Calibri" w:hAnsi="Times New Roman" w:cs="Times New Roman"/>
          <w:b/>
          <w:sz w:val="24"/>
          <w:szCs w:val="24"/>
        </w:rPr>
        <w:t>PSC</w:t>
      </w:r>
      <w:r w:rsidRPr="0083453E">
        <w:rPr>
          <w:rFonts w:ascii="Times New Roman" w:eastAsia="Calibri" w:hAnsi="Times New Roman" w:cs="Times New Roman"/>
          <w:b/>
          <w:sz w:val="24"/>
          <w:szCs w:val="24"/>
        </w:rPr>
        <w:t xml:space="preserve"> Detail</w:t>
      </w:r>
      <w:r w:rsidR="0024528D">
        <w:rPr>
          <w:rFonts w:ascii="Times New Roman" w:eastAsia="Calibri" w:hAnsi="Times New Roman" w:cs="Times New Roman"/>
          <w:b/>
          <w:sz w:val="24"/>
          <w:szCs w:val="24"/>
        </w:rPr>
        <w:t xml:space="preserve"> and Rationale</w:t>
      </w:r>
      <w:r w:rsidR="00D86BA3">
        <w:rPr>
          <w:rFonts w:ascii="Times New Roman" w:eastAsia="Calibri" w:hAnsi="Times New Roman" w:cs="Times New Roman"/>
          <w:b/>
          <w:sz w:val="24"/>
          <w:szCs w:val="24"/>
        </w:rPr>
        <w:br/>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616"/>
        <w:gridCol w:w="7190"/>
      </w:tblGrid>
      <w:tr w:rsidR="00370261" w:rsidRPr="00085130" w14:paraId="7D84DCF0" w14:textId="77777777" w:rsidTr="001E432E">
        <w:trPr>
          <w:trHeight w:val="872"/>
        </w:trPr>
        <w:tc>
          <w:tcPr>
            <w:tcW w:w="654" w:type="dxa"/>
            <w:shd w:val="clear" w:color="auto" w:fill="auto"/>
          </w:tcPr>
          <w:p w14:paraId="315BB825" w14:textId="77777777"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AF11</w:t>
            </w:r>
          </w:p>
        </w:tc>
        <w:tc>
          <w:tcPr>
            <w:tcW w:w="2073" w:type="dxa"/>
            <w:shd w:val="clear" w:color="auto" w:fill="auto"/>
          </w:tcPr>
          <w:p w14:paraId="26B429BA" w14:textId="36FE38E2" w:rsidR="00370261" w:rsidRPr="00085130" w:rsidRDefault="007754FB" w:rsidP="007D6B4C">
            <w:pPr>
              <w:spacing w:after="0" w:line="240" w:lineRule="auto"/>
              <w:rPr>
                <w:rFonts w:ascii="Times New Roman" w:eastAsia="Times New Roman" w:hAnsi="Times New Roman" w:cs="Times New Roman"/>
                <w:sz w:val="18"/>
                <w:szCs w:val="18"/>
              </w:rPr>
            </w:pPr>
            <w:r w:rsidRPr="007754FB">
              <w:rPr>
                <w:rFonts w:ascii="Times New Roman" w:eastAsia="Times New Roman" w:hAnsi="Times New Roman" w:cs="Times New Roman"/>
                <w:sz w:val="18"/>
                <w:szCs w:val="18"/>
              </w:rPr>
              <w:t>R&amp;D- Education: Educational (Basic Research)</w:t>
            </w:r>
          </w:p>
        </w:tc>
        <w:tc>
          <w:tcPr>
            <w:tcW w:w="7731" w:type="dxa"/>
            <w:shd w:val="clear" w:color="auto" w:fill="auto"/>
          </w:tcPr>
          <w:p w14:paraId="68B18694" w14:textId="3B8BCDAD" w:rsidR="00370261" w:rsidRPr="00085130" w:rsidRDefault="00E06695" w:rsidP="007D6B4C">
            <w:pPr>
              <w:numPr>
                <w:ilvl w:val="0"/>
                <w:numId w:val="1"/>
              </w:numPr>
              <w:spacing w:after="0" w:line="240" w:lineRule="auto"/>
              <w:ind w:left="276" w:hanging="276"/>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w:t>
            </w:r>
            <w:r w:rsidR="00370261" w:rsidRPr="00085130">
              <w:rPr>
                <w:rFonts w:ascii="Times New Roman" w:eastAsia="Times New Roman" w:hAnsi="Times New Roman" w:cs="Times New Roman"/>
                <w:sz w:val="18"/>
                <w:szCs w:val="18"/>
              </w:rPr>
              <w:t xml:space="preserve">PSC </w:t>
            </w:r>
            <w:r w:rsidR="00333138">
              <w:rPr>
                <w:rFonts w:ascii="Times New Roman" w:eastAsia="Times New Roman" w:hAnsi="Times New Roman" w:cs="Times New Roman"/>
                <w:sz w:val="18"/>
                <w:szCs w:val="18"/>
              </w:rPr>
              <w:t xml:space="preserve">is </w:t>
            </w:r>
            <w:r w:rsidR="00370261" w:rsidRPr="00085130">
              <w:rPr>
                <w:rFonts w:ascii="Times New Roman" w:eastAsia="Times New Roman" w:hAnsi="Times New Roman" w:cs="Times New Roman"/>
                <w:sz w:val="18"/>
                <w:szCs w:val="18"/>
              </w:rPr>
              <w:t>considered a mission critical function of the Department. Research and Special Studies are services that are identified as being commercial services and appropriately outsourced under prior FAIR Act Inventory reviews.</w:t>
            </w:r>
            <w:r w:rsidR="001E432E" w:rsidRPr="001E432E">
              <w:rPr>
                <w:rFonts w:ascii="Times New Roman" w:eastAsia="Times New Roman" w:hAnsi="Times New Roman" w:cs="Times New Roman"/>
                <w:sz w:val="18"/>
                <w:szCs w:val="18"/>
              </w:rPr>
              <w:t xml:space="preserve"> The Department spent </w:t>
            </w:r>
            <w:r w:rsidR="00F92CD7" w:rsidRPr="001F2EA0">
              <w:rPr>
                <w:rFonts w:ascii="Times New Roman" w:eastAsia="Times New Roman" w:hAnsi="Times New Roman" w:cs="Times New Roman"/>
                <w:color w:val="000000"/>
                <w:sz w:val="18"/>
                <w:szCs w:val="18"/>
              </w:rPr>
              <w:t>$</w:t>
            </w:r>
            <w:r w:rsidR="00C94C11">
              <w:rPr>
                <w:rFonts w:ascii="Times New Roman" w:eastAsia="Times New Roman" w:hAnsi="Times New Roman" w:cs="Times New Roman"/>
                <w:color w:val="000000"/>
                <w:sz w:val="18"/>
                <w:szCs w:val="18"/>
              </w:rPr>
              <w:t>36</w:t>
            </w:r>
            <w:r w:rsidR="00F92CD7">
              <w:rPr>
                <w:rFonts w:ascii="Times New Roman" w:eastAsia="Times New Roman" w:hAnsi="Times New Roman" w:cs="Times New Roman"/>
                <w:color w:val="000000"/>
                <w:sz w:val="18"/>
                <w:szCs w:val="18"/>
              </w:rPr>
              <w:t>M</w:t>
            </w:r>
            <w:r w:rsidR="001E432E" w:rsidRPr="001E432E">
              <w:rPr>
                <w:rFonts w:ascii="Times New Roman" w:eastAsia="Times New Roman" w:hAnsi="Times New Roman" w:cs="Times New Roman"/>
                <w:sz w:val="18"/>
                <w:szCs w:val="18"/>
              </w:rPr>
              <w:t xml:space="preserve"> (</w:t>
            </w:r>
            <w:r w:rsidR="00F92CD7">
              <w:rPr>
                <w:rFonts w:ascii="Times New Roman" w:eastAsia="Times New Roman" w:hAnsi="Times New Roman" w:cs="Times New Roman"/>
                <w:sz w:val="18"/>
                <w:szCs w:val="18"/>
              </w:rPr>
              <w:t>1</w:t>
            </w:r>
            <w:r w:rsidR="001E432E" w:rsidRPr="001E432E">
              <w:rPr>
                <w:rFonts w:ascii="Times New Roman" w:eastAsia="Times New Roman" w:hAnsi="Times New Roman" w:cs="Times New Roman"/>
                <w:sz w:val="18"/>
                <w:szCs w:val="18"/>
              </w:rPr>
              <w:t>% of its total FY201</w:t>
            </w:r>
            <w:r w:rsidR="00F92CD7">
              <w:rPr>
                <w:rFonts w:ascii="Times New Roman" w:eastAsia="Times New Roman" w:hAnsi="Times New Roman" w:cs="Times New Roman"/>
                <w:sz w:val="18"/>
                <w:szCs w:val="18"/>
              </w:rPr>
              <w:t>8</w:t>
            </w:r>
            <w:r w:rsidR="001E432E" w:rsidRPr="001E432E">
              <w:rPr>
                <w:rFonts w:ascii="Times New Roman" w:eastAsia="Times New Roman" w:hAnsi="Times New Roman" w:cs="Times New Roman"/>
                <w:sz w:val="18"/>
                <w:szCs w:val="18"/>
              </w:rPr>
              <w:t xml:space="preserve"> obligations) for these services.</w:t>
            </w:r>
          </w:p>
        </w:tc>
      </w:tr>
      <w:tr w:rsidR="00370261" w:rsidRPr="00085130" w14:paraId="0DC0E5BA" w14:textId="77777777" w:rsidTr="00F56220">
        <w:trPr>
          <w:trHeight w:val="719"/>
        </w:trPr>
        <w:tc>
          <w:tcPr>
            <w:tcW w:w="654" w:type="dxa"/>
            <w:shd w:val="clear" w:color="auto" w:fill="auto"/>
          </w:tcPr>
          <w:p w14:paraId="6D1CE915" w14:textId="77777777"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B506</w:t>
            </w:r>
          </w:p>
        </w:tc>
        <w:tc>
          <w:tcPr>
            <w:tcW w:w="2073" w:type="dxa"/>
            <w:shd w:val="clear" w:color="auto" w:fill="auto"/>
          </w:tcPr>
          <w:p w14:paraId="0926BB40" w14:textId="23BCEA3F" w:rsidR="00370261" w:rsidRPr="00085130" w:rsidRDefault="007754FB" w:rsidP="007D6B4C">
            <w:pPr>
              <w:spacing w:after="0" w:line="240" w:lineRule="auto"/>
              <w:rPr>
                <w:rFonts w:ascii="Times New Roman" w:eastAsia="Times New Roman" w:hAnsi="Times New Roman" w:cs="Times New Roman"/>
                <w:sz w:val="18"/>
                <w:szCs w:val="18"/>
              </w:rPr>
            </w:pPr>
            <w:r w:rsidRPr="007754FB">
              <w:rPr>
                <w:rFonts w:ascii="Times New Roman" w:eastAsia="Times New Roman" w:hAnsi="Times New Roman" w:cs="Times New Roman"/>
                <w:sz w:val="18"/>
                <w:szCs w:val="18"/>
              </w:rPr>
              <w:t>Special Studies/Analysis</w:t>
            </w:r>
            <w:r>
              <w:rPr>
                <w:rFonts w:ascii="Times New Roman" w:eastAsia="Times New Roman" w:hAnsi="Times New Roman" w:cs="Times New Roman"/>
                <w:sz w:val="18"/>
                <w:szCs w:val="18"/>
              </w:rPr>
              <w:t xml:space="preserve"> </w:t>
            </w:r>
            <w:r w:rsidRPr="007754FB">
              <w:rPr>
                <w:rFonts w:ascii="Times New Roman" w:eastAsia="Times New Roman" w:hAnsi="Times New Roman" w:cs="Times New Roman"/>
                <w:sz w:val="18"/>
                <w:szCs w:val="18"/>
              </w:rPr>
              <w:t>- Data (Other Than Scientific)</w:t>
            </w:r>
          </w:p>
        </w:tc>
        <w:tc>
          <w:tcPr>
            <w:tcW w:w="7731" w:type="dxa"/>
            <w:shd w:val="clear" w:color="auto" w:fill="auto"/>
          </w:tcPr>
          <w:p w14:paraId="2DEA3A07" w14:textId="7D5E3066" w:rsidR="00370261" w:rsidRPr="00085130" w:rsidRDefault="00370261" w:rsidP="007D6B4C">
            <w:pPr>
              <w:numPr>
                <w:ilvl w:val="0"/>
                <w:numId w:val="1"/>
              </w:numPr>
              <w:spacing w:after="0" w:line="240" w:lineRule="auto"/>
              <w:ind w:left="252" w:hanging="252"/>
              <w:contextualSpacing/>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Many of the services under contract in this PSC are non-commercial; there</w:t>
            </w:r>
            <w:r w:rsidR="00E06695">
              <w:rPr>
                <w:rFonts w:ascii="Times New Roman" w:eastAsia="Times New Roman" w:hAnsi="Times New Roman" w:cs="Times New Roman"/>
                <w:sz w:val="18"/>
                <w:szCs w:val="18"/>
              </w:rPr>
              <w:t>fore, there</w:t>
            </w:r>
            <w:r w:rsidRPr="00085130">
              <w:rPr>
                <w:rFonts w:ascii="Times New Roman" w:eastAsia="Times New Roman" w:hAnsi="Times New Roman" w:cs="Times New Roman"/>
                <w:sz w:val="18"/>
                <w:szCs w:val="18"/>
              </w:rPr>
              <w:t xml:space="preserve"> is a higher risk for over-reliance on contractors for these types of contracts.</w:t>
            </w:r>
            <w:r w:rsidR="00F92CD7">
              <w:rPr>
                <w:rFonts w:ascii="Times New Roman" w:eastAsia="Times New Roman" w:hAnsi="Times New Roman" w:cs="Times New Roman"/>
                <w:sz w:val="18"/>
                <w:szCs w:val="18"/>
              </w:rPr>
              <w:t xml:space="preserve"> </w:t>
            </w:r>
            <w:r w:rsidR="00F92CD7" w:rsidRPr="001E432E">
              <w:rPr>
                <w:rFonts w:ascii="Times New Roman" w:eastAsia="Times New Roman" w:hAnsi="Times New Roman" w:cs="Times New Roman"/>
                <w:sz w:val="18"/>
                <w:szCs w:val="18"/>
              </w:rPr>
              <w:t xml:space="preserve">The Department spent </w:t>
            </w:r>
            <w:r w:rsidR="00F56220" w:rsidRPr="00BD5ED3">
              <w:rPr>
                <w:rFonts w:ascii="Times New Roman" w:eastAsia="Times New Roman" w:hAnsi="Times New Roman" w:cs="Times New Roman"/>
                <w:color w:val="000000"/>
                <w:sz w:val="18"/>
                <w:szCs w:val="18"/>
              </w:rPr>
              <w:t>$</w:t>
            </w:r>
            <w:r w:rsidR="005C7A1C">
              <w:rPr>
                <w:rFonts w:ascii="Times New Roman" w:eastAsia="Times New Roman" w:hAnsi="Times New Roman" w:cs="Times New Roman"/>
                <w:color w:val="000000"/>
                <w:sz w:val="18"/>
                <w:szCs w:val="18"/>
              </w:rPr>
              <w:t>3</w:t>
            </w:r>
            <w:r w:rsidR="00F92CD7">
              <w:rPr>
                <w:rFonts w:ascii="Times New Roman" w:eastAsia="Times New Roman" w:hAnsi="Times New Roman" w:cs="Times New Roman"/>
                <w:color w:val="000000"/>
                <w:sz w:val="18"/>
                <w:szCs w:val="18"/>
              </w:rPr>
              <w:t>M</w:t>
            </w:r>
            <w:r w:rsidR="00F92CD7" w:rsidRPr="001E432E">
              <w:rPr>
                <w:rFonts w:ascii="Times New Roman" w:eastAsia="Times New Roman" w:hAnsi="Times New Roman" w:cs="Times New Roman"/>
                <w:sz w:val="18"/>
                <w:szCs w:val="18"/>
              </w:rPr>
              <w:t xml:space="preserve"> (</w:t>
            </w:r>
            <w:r w:rsidR="00F56220">
              <w:rPr>
                <w:rFonts w:ascii="Times New Roman" w:eastAsia="Times New Roman" w:hAnsi="Times New Roman" w:cs="Times New Roman"/>
                <w:sz w:val="18"/>
                <w:szCs w:val="18"/>
              </w:rPr>
              <w:t xml:space="preserve">less than </w:t>
            </w:r>
            <w:r w:rsidR="00F92CD7">
              <w:rPr>
                <w:rFonts w:ascii="Times New Roman" w:eastAsia="Times New Roman" w:hAnsi="Times New Roman" w:cs="Times New Roman"/>
                <w:sz w:val="18"/>
                <w:szCs w:val="18"/>
              </w:rPr>
              <w:t>1</w:t>
            </w:r>
            <w:r w:rsidR="00F92CD7" w:rsidRPr="001E432E">
              <w:rPr>
                <w:rFonts w:ascii="Times New Roman" w:eastAsia="Times New Roman" w:hAnsi="Times New Roman" w:cs="Times New Roman"/>
                <w:sz w:val="18"/>
                <w:szCs w:val="18"/>
              </w:rPr>
              <w:t>% of its total FY201</w:t>
            </w:r>
            <w:r w:rsidR="00F92CD7">
              <w:rPr>
                <w:rFonts w:ascii="Times New Roman" w:eastAsia="Times New Roman" w:hAnsi="Times New Roman" w:cs="Times New Roman"/>
                <w:sz w:val="18"/>
                <w:szCs w:val="18"/>
              </w:rPr>
              <w:t>8</w:t>
            </w:r>
            <w:r w:rsidR="00F92CD7" w:rsidRPr="001E432E">
              <w:rPr>
                <w:rFonts w:ascii="Times New Roman" w:eastAsia="Times New Roman" w:hAnsi="Times New Roman" w:cs="Times New Roman"/>
                <w:sz w:val="18"/>
                <w:szCs w:val="18"/>
              </w:rPr>
              <w:t xml:space="preserve"> obligations) for these services.</w:t>
            </w:r>
          </w:p>
        </w:tc>
      </w:tr>
      <w:tr w:rsidR="00370261" w:rsidRPr="00085130" w14:paraId="799D09D3" w14:textId="77777777" w:rsidTr="00F56220">
        <w:trPr>
          <w:trHeight w:val="701"/>
        </w:trPr>
        <w:tc>
          <w:tcPr>
            <w:tcW w:w="654" w:type="dxa"/>
            <w:shd w:val="clear" w:color="auto" w:fill="auto"/>
          </w:tcPr>
          <w:p w14:paraId="3C39D97A" w14:textId="77777777"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B542</w:t>
            </w:r>
          </w:p>
        </w:tc>
        <w:tc>
          <w:tcPr>
            <w:tcW w:w="2073" w:type="dxa"/>
            <w:shd w:val="clear" w:color="auto" w:fill="auto"/>
          </w:tcPr>
          <w:p w14:paraId="1258ED0C" w14:textId="477EB6E6" w:rsidR="00370261" w:rsidRPr="00085130" w:rsidRDefault="007754FB" w:rsidP="007D6B4C">
            <w:pPr>
              <w:spacing w:after="0" w:line="240" w:lineRule="auto"/>
              <w:rPr>
                <w:rFonts w:ascii="Times New Roman" w:eastAsia="Times New Roman" w:hAnsi="Times New Roman" w:cs="Times New Roman"/>
                <w:sz w:val="18"/>
                <w:szCs w:val="18"/>
              </w:rPr>
            </w:pPr>
            <w:r w:rsidRPr="007754FB">
              <w:rPr>
                <w:rFonts w:ascii="Times New Roman" w:eastAsia="Times New Roman" w:hAnsi="Times New Roman" w:cs="Times New Roman"/>
                <w:sz w:val="18"/>
                <w:szCs w:val="18"/>
              </w:rPr>
              <w:t>Special Studies/Analysis</w:t>
            </w:r>
            <w:r>
              <w:rPr>
                <w:rFonts w:ascii="Times New Roman" w:eastAsia="Times New Roman" w:hAnsi="Times New Roman" w:cs="Times New Roman"/>
                <w:sz w:val="18"/>
                <w:szCs w:val="18"/>
              </w:rPr>
              <w:t xml:space="preserve"> </w:t>
            </w:r>
            <w:r w:rsidRPr="007754FB">
              <w:rPr>
                <w:rFonts w:ascii="Times New Roman" w:eastAsia="Times New Roman" w:hAnsi="Times New Roman" w:cs="Times New Roman"/>
                <w:sz w:val="18"/>
                <w:szCs w:val="18"/>
              </w:rPr>
              <w:t>- Educational</w:t>
            </w:r>
          </w:p>
        </w:tc>
        <w:tc>
          <w:tcPr>
            <w:tcW w:w="7731" w:type="dxa"/>
            <w:shd w:val="clear" w:color="auto" w:fill="auto"/>
          </w:tcPr>
          <w:p w14:paraId="788AA306" w14:textId="2173AEFE" w:rsidR="00370261" w:rsidRPr="00085130" w:rsidRDefault="00370261" w:rsidP="007D6B4C">
            <w:pPr>
              <w:numPr>
                <w:ilvl w:val="0"/>
                <w:numId w:val="1"/>
              </w:numPr>
              <w:spacing w:after="0" w:line="240" w:lineRule="auto"/>
              <w:ind w:left="252" w:hanging="252"/>
              <w:contextualSpacing/>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Many of the services under contract in this PSC are non-commercial; there</w:t>
            </w:r>
            <w:r w:rsidR="00E06695">
              <w:rPr>
                <w:rFonts w:ascii="Times New Roman" w:eastAsia="Times New Roman" w:hAnsi="Times New Roman" w:cs="Times New Roman"/>
                <w:sz w:val="18"/>
                <w:szCs w:val="18"/>
              </w:rPr>
              <w:t>fore, there</w:t>
            </w:r>
            <w:r w:rsidRPr="00085130">
              <w:rPr>
                <w:rFonts w:ascii="Times New Roman" w:eastAsia="Times New Roman" w:hAnsi="Times New Roman" w:cs="Times New Roman"/>
                <w:sz w:val="18"/>
                <w:szCs w:val="18"/>
              </w:rPr>
              <w:t xml:space="preserve"> is a higher risk for over-reliance on contractors for these types of contracts.</w:t>
            </w:r>
            <w:r w:rsidR="00F56220" w:rsidRPr="00BD5ED3">
              <w:rPr>
                <w:rFonts w:ascii="Times New Roman" w:eastAsia="Times New Roman" w:hAnsi="Times New Roman" w:cs="Times New Roman"/>
                <w:color w:val="000000"/>
                <w:sz w:val="18"/>
                <w:szCs w:val="18"/>
              </w:rPr>
              <w:t xml:space="preserve"> </w:t>
            </w:r>
            <w:r w:rsidR="00F56220" w:rsidRPr="001E432E">
              <w:rPr>
                <w:rFonts w:ascii="Times New Roman" w:eastAsia="Times New Roman" w:hAnsi="Times New Roman" w:cs="Times New Roman"/>
                <w:sz w:val="18"/>
                <w:szCs w:val="18"/>
              </w:rPr>
              <w:t xml:space="preserve">The Department spent </w:t>
            </w:r>
            <w:r w:rsidR="00F56220" w:rsidRPr="001F2EA0">
              <w:rPr>
                <w:rFonts w:ascii="Times New Roman" w:eastAsia="Times New Roman" w:hAnsi="Times New Roman" w:cs="Times New Roman"/>
                <w:color w:val="000000"/>
                <w:sz w:val="18"/>
                <w:szCs w:val="18"/>
              </w:rPr>
              <w:t>$</w:t>
            </w:r>
            <w:r w:rsidR="00235D71">
              <w:rPr>
                <w:rFonts w:ascii="Times New Roman" w:eastAsia="Times New Roman" w:hAnsi="Times New Roman" w:cs="Times New Roman"/>
                <w:color w:val="000000"/>
                <w:sz w:val="18"/>
                <w:szCs w:val="18"/>
              </w:rPr>
              <w:t>104</w:t>
            </w:r>
            <w:r w:rsidR="00F56220">
              <w:rPr>
                <w:rFonts w:ascii="Times New Roman" w:eastAsia="Times New Roman" w:hAnsi="Times New Roman" w:cs="Times New Roman"/>
                <w:color w:val="000000"/>
                <w:sz w:val="18"/>
                <w:szCs w:val="18"/>
              </w:rPr>
              <w:t>M</w:t>
            </w:r>
            <w:r w:rsidR="00F56220" w:rsidRPr="001E432E">
              <w:rPr>
                <w:rFonts w:ascii="Times New Roman" w:eastAsia="Times New Roman" w:hAnsi="Times New Roman" w:cs="Times New Roman"/>
                <w:sz w:val="18"/>
                <w:szCs w:val="18"/>
              </w:rPr>
              <w:t xml:space="preserve"> (</w:t>
            </w:r>
            <w:r w:rsidR="00235D71">
              <w:rPr>
                <w:rFonts w:ascii="Times New Roman" w:eastAsia="Times New Roman" w:hAnsi="Times New Roman" w:cs="Times New Roman"/>
                <w:sz w:val="18"/>
                <w:szCs w:val="18"/>
              </w:rPr>
              <w:t>3</w:t>
            </w:r>
            <w:r w:rsidR="00F56220" w:rsidRPr="001E432E">
              <w:rPr>
                <w:rFonts w:ascii="Times New Roman" w:eastAsia="Times New Roman" w:hAnsi="Times New Roman" w:cs="Times New Roman"/>
                <w:sz w:val="18"/>
                <w:szCs w:val="18"/>
              </w:rPr>
              <w:t>% of its total FY201</w:t>
            </w:r>
            <w:r w:rsidR="00F56220">
              <w:rPr>
                <w:rFonts w:ascii="Times New Roman" w:eastAsia="Times New Roman" w:hAnsi="Times New Roman" w:cs="Times New Roman"/>
                <w:sz w:val="18"/>
                <w:szCs w:val="18"/>
              </w:rPr>
              <w:t>8</w:t>
            </w:r>
            <w:r w:rsidR="00F56220" w:rsidRPr="001E432E">
              <w:rPr>
                <w:rFonts w:ascii="Times New Roman" w:eastAsia="Times New Roman" w:hAnsi="Times New Roman" w:cs="Times New Roman"/>
                <w:sz w:val="18"/>
                <w:szCs w:val="18"/>
              </w:rPr>
              <w:t xml:space="preserve"> obligations) for these services.</w:t>
            </w:r>
          </w:p>
        </w:tc>
      </w:tr>
      <w:tr w:rsidR="00370261" w:rsidRPr="00085130" w14:paraId="608F30B1" w14:textId="77777777" w:rsidTr="007754FB">
        <w:trPr>
          <w:trHeight w:val="494"/>
        </w:trPr>
        <w:tc>
          <w:tcPr>
            <w:tcW w:w="654" w:type="dxa"/>
            <w:shd w:val="clear" w:color="auto" w:fill="auto"/>
          </w:tcPr>
          <w:p w14:paraId="188ECC2E" w14:textId="77777777"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D301</w:t>
            </w:r>
          </w:p>
        </w:tc>
        <w:tc>
          <w:tcPr>
            <w:tcW w:w="2073" w:type="dxa"/>
            <w:shd w:val="clear" w:color="auto" w:fill="auto"/>
          </w:tcPr>
          <w:p w14:paraId="393BC32C" w14:textId="58ADDDD8" w:rsidR="00370261" w:rsidRPr="00085130" w:rsidRDefault="007754FB" w:rsidP="007D6B4C">
            <w:pPr>
              <w:spacing w:after="0" w:line="240" w:lineRule="auto"/>
              <w:rPr>
                <w:rFonts w:ascii="Times New Roman" w:eastAsia="Times New Roman" w:hAnsi="Times New Roman" w:cs="Times New Roman"/>
                <w:sz w:val="18"/>
                <w:szCs w:val="18"/>
              </w:rPr>
            </w:pPr>
            <w:r w:rsidRPr="007754FB">
              <w:rPr>
                <w:rFonts w:ascii="Times New Roman" w:eastAsia="Times New Roman" w:hAnsi="Times New Roman" w:cs="Times New Roman"/>
                <w:sz w:val="18"/>
                <w:szCs w:val="18"/>
              </w:rPr>
              <w:t>IT and Telecom</w:t>
            </w:r>
            <w:r>
              <w:rPr>
                <w:rFonts w:ascii="Times New Roman" w:eastAsia="Times New Roman" w:hAnsi="Times New Roman" w:cs="Times New Roman"/>
                <w:sz w:val="18"/>
                <w:szCs w:val="18"/>
              </w:rPr>
              <w:t xml:space="preserve"> </w:t>
            </w:r>
            <w:r w:rsidRPr="007754FB">
              <w:rPr>
                <w:rFonts w:ascii="Times New Roman" w:eastAsia="Times New Roman" w:hAnsi="Times New Roman" w:cs="Times New Roman"/>
                <w:sz w:val="18"/>
                <w:szCs w:val="18"/>
              </w:rPr>
              <w:t>- Facility Operation and Maintenance</w:t>
            </w:r>
          </w:p>
        </w:tc>
        <w:tc>
          <w:tcPr>
            <w:tcW w:w="7731" w:type="dxa"/>
            <w:shd w:val="clear" w:color="auto" w:fill="auto"/>
          </w:tcPr>
          <w:p w14:paraId="44BB4D3F" w14:textId="6E0D1C83" w:rsidR="00370261" w:rsidRPr="00085130" w:rsidRDefault="00E06695" w:rsidP="007D6B4C">
            <w:pPr>
              <w:numPr>
                <w:ilvl w:val="0"/>
                <w:numId w:val="1"/>
              </w:numPr>
              <w:spacing w:after="0" w:line="240" w:lineRule="auto"/>
              <w:ind w:left="252" w:hanging="252"/>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This is a</w:t>
            </w:r>
            <w:r w:rsidR="00370261" w:rsidRPr="00085130">
              <w:rPr>
                <w:rFonts w:ascii="Times New Roman" w:eastAsia="Times New Roman" w:hAnsi="Times New Roman" w:cs="Times New Roman"/>
                <w:sz w:val="18"/>
                <w:szCs w:val="18"/>
              </w:rPr>
              <w:t xml:space="preserve"> top 10 PSC in terms of obligations</w:t>
            </w:r>
            <w:r w:rsidR="00F56220">
              <w:rPr>
                <w:rFonts w:ascii="Times New Roman" w:eastAsia="Times New Roman" w:hAnsi="Times New Roman" w:cs="Times New Roman"/>
                <w:sz w:val="18"/>
                <w:szCs w:val="18"/>
              </w:rPr>
              <w:t xml:space="preserve">. </w:t>
            </w:r>
            <w:r w:rsidR="00F56220" w:rsidRPr="001E432E">
              <w:rPr>
                <w:rFonts w:ascii="Times New Roman" w:eastAsia="Times New Roman" w:hAnsi="Times New Roman" w:cs="Times New Roman"/>
                <w:sz w:val="18"/>
                <w:szCs w:val="18"/>
              </w:rPr>
              <w:t xml:space="preserve">The Department spent </w:t>
            </w:r>
            <w:r w:rsidR="00F56220" w:rsidRPr="00BD5ED3">
              <w:rPr>
                <w:rFonts w:ascii="Times New Roman" w:eastAsia="Times New Roman" w:hAnsi="Times New Roman" w:cs="Times New Roman"/>
                <w:color w:val="000000"/>
                <w:sz w:val="18"/>
                <w:szCs w:val="18"/>
              </w:rPr>
              <w:t>$</w:t>
            </w:r>
            <w:r w:rsidR="00821591">
              <w:rPr>
                <w:rFonts w:ascii="Times New Roman" w:eastAsia="Times New Roman" w:hAnsi="Times New Roman" w:cs="Times New Roman"/>
                <w:color w:val="000000"/>
                <w:sz w:val="18"/>
                <w:szCs w:val="18"/>
              </w:rPr>
              <w:t>212</w:t>
            </w:r>
            <w:r w:rsidR="00F56220">
              <w:rPr>
                <w:rFonts w:ascii="Times New Roman" w:eastAsia="Times New Roman" w:hAnsi="Times New Roman" w:cs="Times New Roman"/>
                <w:color w:val="000000"/>
                <w:sz w:val="18"/>
                <w:szCs w:val="18"/>
              </w:rPr>
              <w:t>M</w:t>
            </w:r>
            <w:r w:rsidR="00F56220" w:rsidRPr="001E432E">
              <w:rPr>
                <w:rFonts w:ascii="Times New Roman" w:eastAsia="Times New Roman" w:hAnsi="Times New Roman" w:cs="Times New Roman"/>
                <w:sz w:val="18"/>
                <w:szCs w:val="18"/>
              </w:rPr>
              <w:t xml:space="preserve"> (</w:t>
            </w:r>
            <w:r w:rsidR="00821591">
              <w:rPr>
                <w:rFonts w:ascii="Times New Roman" w:eastAsia="Times New Roman" w:hAnsi="Times New Roman" w:cs="Times New Roman"/>
                <w:sz w:val="18"/>
                <w:szCs w:val="18"/>
              </w:rPr>
              <w:t>5</w:t>
            </w:r>
            <w:r w:rsidR="00F56220" w:rsidRPr="001E432E">
              <w:rPr>
                <w:rFonts w:ascii="Times New Roman" w:eastAsia="Times New Roman" w:hAnsi="Times New Roman" w:cs="Times New Roman"/>
                <w:sz w:val="18"/>
                <w:szCs w:val="18"/>
              </w:rPr>
              <w:t>% of its total FY201</w:t>
            </w:r>
            <w:r w:rsidR="00F56220">
              <w:rPr>
                <w:rFonts w:ascii="Times New Roman" w:eastAsia="Times New Roman" w:hAnsi="Times New Roman" w:cs="Times New Roman"/>
                <w:sz w:val="18"/>
                <w:szCs w:val="18"/>
              </w:rPr>
              <w:t>8</w:t>
            </w:r>
            <w:r w:rsidR="00F56220" w:rsidRPr="001E432E">
              <w:rPr>
                <w:rFonts w:ascii="Times New Roman" w:eastAsia="Times New Roman" w:hAnsi="Times New Roman" w:cs="Times New Roman"/>
                <w:sz w:val="18"/>
                <w:szCs w:val="18"/>
              </w:rPr>
              <w:t xml:space="preserve"> obligations) for these services.</w:t>
            </w:r>
            <w:r w:rsidR="00370261" w:rsidRPr="00085130">
              <w:rPr>
                <w:rFonts w:ascii="Times New Roman" w:eastAsia="Times New Roman" w:hAnsi="Times New Roman" w:cs="Times New Roman"/>
                <w:sz w:val="18"/>
                <w:szCs w:val="18"/>
              </w:rPr>
              <w:t xml:space="preserve"> </w:t>
            </w:r>
          </w:p>
        </w:tc>
      </w:tr>
      <w:tr w:rsidR="00370261" w:rsidRPr="00085130" w14:paraId="52F647DB" w14:textId="77777777" w:rsidTr="007754FB">
        <w:trPr>
          <w:trHeight w:val="710"/>
        </w:trPr>
        <w:tc>
          <w:tcPr>
            <w:tcW w:w="654" w:type="dxa"/>
            <w:shd w:val="clear" w:color="auto" w:fill="auto"/>
          </w:tcPr>
          <w:p w14:paraId="704BE917" w14:textId="77777777"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D313</w:t>
            </w:r>
          </w:p>
        </w:tc>
        <w:tc>
          <w:tcPr>
            <w:tcW w:w="2073" w:type="dxa"/>
            <w:shd w:val="clear" w:color="auto" w:fill="auto"/>
          </w:tcPr>
          <w:p w14:paraId="6A794ACE" w14:textId="41068A74" w:rsidR="00370261" w:rsidRPr="00085130" w:rsidRDefault="00EF4F40" w:rsidP="007D6B4C">
            <w:pPr>
              <w:spacing w:after="0" w:line="240" w:lineRule="auto"/>
              <w:rPr>
                <w:rFonts w:ascii="Times New Roman" w:eastAsia="Times New Roman" w:hAnsi="Times New Roman" w:cs="Times New Roman"/>
                <w:sz w:val="18"/>
                <w:szCs w:val="18"/>
              </w:rPr>
            </w:pPr>
            <w:r w:rsidRPr="00EF4F40">
              <w:rPr>
                <w:rFonts w:ascii="Times New Roman" w:eastAsia="Times New Roman" w:hAnsi="Times New Roman" w:cs="Times New Roman"/>
                <w:sz w:val="18"/>
                <w:szCs w:val="18"/>
              </w:rPr>
              <w:t>IT and Telecom</w:t>
            </w:r>
            <w:r>
              <w:rPr>
                <w:rFonts w:ascii="Times New Roman" w:eastAsia="Times New Roman" w:hAnsi="Times New Roman" w:cs="Times New Roman"/>
                <w:sz w:val="18"/>
                <w:szCs w:val="18"/>
              </w:rPr>
              <w:t xml:space="preserve"> </w:t>
            </w:r>
            <w:r w:rsidRPr="00EF4F40">
              <w:rPr>
                <w:rFonts w:ascii="Times New Roman" w:eastAsia="Times New Roman" w:hAnsi="Times New Roman" w:cs="Times New Roman"/>
                <w:sz w:val="18"/>
                <w:szCs w:val="18"/>
              </w:rPr>
              <w:t>- Computer Aided Design/Computer Aided Manufacturing (CAD/CAM)</w:t>
            </w:r>
          </w:p>
        </w:tc>
        <w:tc>
          <w:tcPr>
            <w:tcW w:w="7731" w:type="dxa"/>
            <w:shd w:val="clear" w:color="auto" w:fill="auto"/>
          </w:tcPr>
          <w:p w14:paraId="4A379FB2" w14:textId="080BD06B" w:rsidR="00370261" w:rsidRPr="00085130" w:rsidRDefault="00E06695" w:rsidP="007D6B4C">
            <w:pPr>
              <w:numPr>
                <w:ilvl w:val="0"/>
                <w:numId w:val="1"/>
              </w:numPr>
              <w:spacing w:after="0" w:line="240" w:lineRule="auto"/>
              <w:ind w:left="252" w:hanging="252"/>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w:t>
            </w:r>
            <w:r w:rsidR="00370261" w:rsidRPr="00085130">
              <w:rPr>
                <w:rFonts w:ascii="Times New Roman" w:eastAsia="Times New Roman" w:hAnsi="Times New Roman" w:cs="Times New Roman"/>
                <w:sz w:val="18"/>
                <w:szCs w:val="18"/>
              </w:rPr>
              <w:t>PSC includes contracts for IT Acquisition Support Services, which are high on OMB’s priority list.</w:t>
            </w:r>
            <w:r w:rsidR="00F56220">
              <w:rPr>
                <w:rFonts w:ascii="Times New Roman" w:eastAsia="Times New Roman" w:hAnsi="Times New Roman" w:cs="Times New Roman"/>
                <w:sz w:val="18"/>
                <w:szCs w:val="18"/>
              </w:rPr>
              <w:t xml:space="preserve"> </w:t>
            </w:r>
            <w:r w:rsidR="00F56220" w:rsidRPr="001E432E">
              <w:rPr>
                <w:rFonts w:ascii="Times New Roman" w:eastAsia="Times New Roman" w:hAnsi="Times New Roman" w:cs="Times New Roman"/>
                <w:sz w:val="18"/>
                <w:szCs w:val="18"/>
              </w:rPr>
              <w:t xml:space="preserve">The Department spent </w:t>
            </w:r>
            <w:r w:rsidR="00F56220" w:rsidRPr="00BD5ED3">
              <w:rPr>
                <w:rFonts w:ascii="Times New Roman" w:eastAsia="Times New Roman" w:hAnsi="Times New Roman" w:cs="Times New Roman"/>
                <w:color w:val="000000"/>
                <w:sz w:val="18"/>
                <w:szCs w:val="18"/>
              </w:rPr>
              <w:t>$</w:t>
            </w:r>
            <w:r w:rsidR="002D576E">
              <w:rPr>
                <w:rFonts w:ascii="Times New Roman" w:eastAsia="Times New Roman" w:hAnsi="Times New Roman" w:cs="Times New Roman"/>
                <w:color w:val="000000"/>
                <w:sz w:val="18"/>
                <w:szCs w:val="18"/>
              </w:rPr>
              <w:t>107</w:t>
            </w:r>
            <w:r w:rsidR="00F56220">
              <w:rPr>
                <w:rFonts w:ascii="Times New Roman" w:eastAsia="Times New Roman" w:hAnsi="Times New Roman" w:cs="Times New Roman"/>
                <w:color w:val="000000"/>
                <w:sz w:val="18"/>
                <w:szCs w:val="18"/>
              </w:rPr>
              <w:t>M</w:t>
            </w:r>
            <w:r w:rsidR="00F56220" w:rsidRPr="001E432E">
              <w:rPr>
                <w:rFonts w:ascii="Times New Roman" w:eastAsia="Times New Roman" w:hAnsi="Times New Roman" w:cs="Times New Roman"/>
                <w:sz w:val="18"/>
                <w:szCs w:val="18"/>
              </w:rPr>
              <w:t xml:space="preserve"> (</w:t>
            </w:r>
            <w:r w:rsidR="002D576E">
              <w:rPr>
                <w:rFonts w:ascii="Times New Roman" w:eastAsia="Times New Roman" w:hAnsi="Times New Roman" w:cs="Times New Roman"/>
                <w:sz w:val="18"/>
                <w:szCs w:val="18"/>
              </w:rPr>
              <w:t>3</w:t>
            </w:r>
            <w:r w:rsidR="00F56220" w:rsidRPr="001E432E">
              <w:rPr>
                <w:rFonts w:ascii="Times New Roman" w:eastAsia="Times New Roman" w:hAnsi="Times New Roman" w:cs="Times New Roman"/>
                <w:sz w:val="18"/>
                <w:szCs w:val="18"/>
              </w:rPr>
              <w:t>% of its total FY201</w:t>
            </w:r>
            <w:r w:rsidR="00F56220">
              <w:rPr>
                <w:rFonts w:ascii="Times New Roman" w:eastAsia="Times New Roman" w:hAnsi="Times New Roman" w:cs="Times New Roman"/>
                <w:sz w:val="18"/>
                <w:szCs w:val="18"/>
              </w:rPr>
              <w:t>8</w:t>
            </w:r>
            <w:r w:rsidR="00F56220" w:rsidRPr="001E432E">
              <w:rPr>
                <w:rFonts w:ascii="Times New Roman" w:eastAsia="Times New Roman" w:hAnsi="Times New Roman" w:cs="Times New Roman"/>
                <w:sz w:val="18"/>
                <w:szCs w:val="18"/>
              </w:rPr>
              <w:t xml:space="preserve"> obligations) for these services.</w:t>
            </w:r>
          </w:p>
        </w:tc>
      </w:tr>
      <w:tr w:rsidR="00370261" w:rsidRPr="00085130" w14:paraId="435F06D2" w14:textId="77777777" w:rsidTr="00EF68C7">
        <w:trPr>
          <w:trHeight w:val="764"/>
        </w:trPr>
        <w:tc>
          <w:tcPr>
            <w:tcW w:w="654" w:type="dxa"/>
            <w:shd w:val="clear" w:color="auto" w:fill="auto"/>
          </w:tcPr>
          <w:p w14:paraId="47B664D5" w14:textId="67577443" w:rsidR="00370261" w:rsidRPr="00085130" w:rsidRDefault="00370261" w:rsidP="00370261">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D399</w:t>
            </w:r>
          </w:p>
        </w:tc>
        <w:tc>
          <w:tcPr>
            <w:tcW w:w="2073" w:type="dxa"/>
            <w:shd w:val="clear" w:color="auto" w:fill="auto"/>
          </w:tcPr>
          <w:p w14:paraId="3B470EF4" w14:textId="21142481" w:rsidR="00370261" w:rsidRPr="00085130" w:rsidRDefault="00370261" w:rsidP="00370261">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IT &amp; Telecom: Other IT and Telecommunications</w:t>
            </w:r>
          </w:p>
        </w:tc>
        <w:tc>
          <w:tcPr>
            <w:tcW w:w="7731" w:type="dxa"/>
            <w:shd w:val="clear" w:color="auto" w:fill="auto"/>
          </w:tcPr>
          <w:p w14:paraId="30157CBC" w14:textId="2E30C857" w:rsidR="00370261" w:rsidRPr="00085130" w:rsidRDefault="00E06695" w:rsidP="00370261">
            <w:pPr>
              <w:numPr>
                <w:ilvl w:val="0"/>
                <w:numId w:val="1"/>
              </w:numPr>
              <w:spacing w:after="0" w:line="240" w:lineRule="auto"/>
              <w:ind w:left="252" w:hanging="252"/>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This PSC includes o</w:t>
            </w:r>
            <w:r w:rsidR="007754FB">
              <w:rPr>
                <w:rFonts w:ascii="Times New Roman" w:eastAsia="Times New Roman" w:hAnsi="Times New Roman" w:cs="Times New Roman"/>
                <w:sz w:val="18"/>
                <w:szCs w:val="18"/>
              </w:rPr>
              <w:t xml:space="preserve">ther types </w:t>
            </w:r>
            <w:r w:rsidR="00C11C04">
              <w:rPr>
                <w:rFonts w:ascii="Times New Roman" w:eastAsia="Times New Roman" w:hAnsi="Times New Roman" w:cs="Times New Roman"/>
                <w:sz w:val="18"/>
                <w:szCs w:val="18"/>
              </w:rPr>
              <w:t>IT and Telecom related</w:t>
            </w:r>
            <w:r w:rsidR="007754FB">
              <w:rPr>
                <w:rFonts w:ascii="Times New Roman" w:eastAsia="Times New Roman" w:hAnsi="Times New Roman" w:cs="Times New Roman"/>
                <w:sz w:val="18"/>
                <w:szCs w:val="18"/>
              </w:rPr>
              <w:t xml:space="preserve"> contracts and services</w:t>
            </w:r>
            <w:r w:rsidR="00F56220">
              <w:rPr>
                <w:rFonts w:ascii="Times New Roman" w:eastAsia="Times New Roman" w:hAnsi="Times New Roman" w:cs="Times New Roman"/>
                <w:sz w:val="18"/>
                <w:szCs w:val="18"/>
              </w:rPr>
              <w:t xml:space="preserve">. </w:t>
            </w:r>
            <w:r w:rsidR="00F56220" w:rsidRPr="001E432E">
              <w:rPr>
                <w:rFonts w:ascii="Times New Roman" w:eastAsia="Times New Roman" w:hAnsi="Times New Roman" w:cs="Times New Roman"/>
                <w:sz w:val="18"/>
                <w:szCs w:val="18"/>
              </w:rPr>
              <w:t xml:space="preserve">The Department spent </w:t>
            </w:r>
            <w:r w:rsidR="00F56220" w:rsidRPr="00BD5ED3">
              <w:rPr>
                <w:rFonts w:ascii="Times New Roman" w:eastAsia="Times New Roman" w:hAnsi="Times New Roman" w:cs="Times New Roman"/>
                <w:color w:val="000000"/>
                <w:sz w:val="18"/>
                <w:szCs w:val="18"/>
              </w:rPr>
              <w:t>$</w:t>
            </w:r>
            <w:r w:rsidR="002368D1">
              <w:rPr>
                <w:rFonts w:ascii="Times New Roman" w:eastAsia="Times New Roman" w:hAnsi="Times New Roman" w:cs="Times New Roman"/>
                <w:color w:val="000000"/>
                <w:sz w:val="18"/>
                <w:szCs w:val="18"/>
              </w:rPr>
              <w:t>151</w:t>
            </w:r>
            <w:r w:rsidR="00F56220">
              <w:rPr>
                <w:rFonts w:ascii="Times New Roman" w:eastAsia="Times New Roman" w:hAnsi="Times New Roman" w:cs="Times New Roman"/>
                <w:color w:val="000000"/>
                <w:sz w:val="18"/>
                <w:szCs w:val="18"/>
              </w:rPr>
              <w:t>M</w:t>
            </w:r>
            <w:r w:rsidR="00F56220" w:rsidRPr="001E432E">
              <w:rPr>
                <w:rFonts w:ascii="Times New Roman" w:eastAsia="Times New Roman" w:hAnsi="Times New Roman" w:cs="Times New Roman"/>
                <w:sz w:val="18"/>
                <w:szCs w:val="18"/>
              </w:rPr>
              <w:t xml:space="preserve"> (</w:t>
            </w:r>
            <w:r w:rsidR="00F56220">
              <w:rPr>
                <w:rFonts w:ascii="Times New Roman" w:eastAsia="Times New Roman" w:hAnsi="Times New Roman" w:cs="Times New Roman"/>
                <w:sz w:val="18"/>
                <w:szCs w:val="18"/>
              </w:rPr>
              <w:t>4</w:t>
            </w:r>
            <w:r w:rsidR="00F56220" w:rsidRPr="001E432E">
              <w:rPr>
                <w:rFonts w:ascii="Times New Roman" w:eastAsia="Times New Roman" w:hAnsi="Times New Roman" w:cs="Times New Roman"/>
                <w:sz w:val="18"/>
                <w:szCs w:val="18"/>
              </w:rPr>
              <w:t>% of its total FY201</w:t>
            </w:r>
            <w:r w:rsidR="00F56220">
              <w:rPr>
                <w:rFonts w:ascii="Times New Roman" w:eastAsia="Times New Roman" w:hAnsi="Times New Roman" w:cs="Times New Roman"/>
                <w:sz w:val="18"/>
                <w:szCs w:val="18"/>
              </w:rPr>
              <w:t>8</w:t>
            </w:r>
            <w:r w:rsidR="00F56220" w:rsidRPr="001E432E">
              <w:rPr>
                <w:rFonts w:ascii="Times New Roman" w:eastAsia="Times New Roman" w:hAnsi="Times New Roman" w:cs="Times New Roman"/>
                <w:sz w:val="18"/>
                <w:szCs w:val="18"/>
              </w:rPr>
              <w:t xml:space="preserve"> obligations) for these services</w:t>
            </w:r>
            <w:r w:rsidR="00EF68C7">
              <w:rPr>
                <w:rFonts w:ascii="Times New Roman" w:eastAsia="Times New Roman" w:hAnsi="Times New Roman" w:cs="Times New Roman"/>
                <w:sz w:val="18"/>
                <w:szCs w:val="18"/>
              </w:rPr>
              <w:t xml:space="preserve"> and was a selected PSC to evaluate from last year’</w:t>
            </w:r>
            <w:r w:rsidR="00B24A4F">
              <w:rPr>
                <w:rFonts w:ascii="Times New Roman" w:eastAsia="Times New Roman" w:hAnsi="Times New Roman" w:cs="Times New Roman"/>
                <w:sz w:val="18"/>
                <w:szCs w:val="18"/>
              </w:rPr>
              <w:t>s analysis plan</w:t>
            </w:r>
            <w:r w:rsidR="00F56220" w:rsidRPr="001E432E">
              <w:rPr>
                <w:rFonts w:ascii="Times New Roman" w:eastAsia="Times New Roman" w:hAnsi="Times New Roman" w:cs="Times New Roman"/>
                <w:sz w:val="18"/>
                <w:szCs w:val="18"/>
              </w:rPr>
              <w:t>.</w:t>
            </w:r>
          </w:p>
        </w:tc>
      </w:tr>
      <w:tr w:rsidR="00370261" w:rsidRPr="00085130" w14:paraId="7DD116FF" w14:textId="77777777" w:rsidTr="00EF68C7">
        <w:trPr>
          <w:trHeight w:val="719"/>
        </w:trPr>
        <w:tc>
          <w:tcPr>
            <w:tcW w:w="654" w:type="dxa"/>
            <w:shd w:val="clear" w:color="auto" w:fill="auto"/>
          </w:tcPr>
          <w:p w14:paraId="073CFD7E" w14:textId="306381D1"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R410</w:t>
            </w:r>
          </w:p>
        </w:tc>
        <w:tc>
          <w:tcPr>
            <w:tcW w:w="2073" w:type="dxa"/>
            <w:shd w:val="clear" w:color="auto" w:fill="auto"/>
          </w:tcPr>
          <w:p w14:paraId="49D58272" w14:textId="64C972AD" w:rsidR="00370261" w:rsidRPr="00085130" w:rsidRDefault="007754FB" w:rsidP="007D6B4C">
            <w:pPr>
              <w:spacing w:after="0" w:line="240" w:lineRule="auto"/>
              <w:rPr>
                <w:rFonts w:ascii="Times New Roman" w:eastAsia="Times New Roman" w:hAnsi="Times New Roman" w:cs="Times New Roman"/>
                <w:color w:val="000000"/>
                <w:sz w:val="18"/>
                <w:szCs w:val="18"/>
              </w:rPr>
            </w:pPr>
            <w:r w:rsidRPr="007754FB">
              <w:rPr>
                <w:rFonts w:ascii="Times New Roman" w:eastAsia="Times New Roman" w:hAnsi="Times New Roman" w:cs="Times New Roman"/>
                <w:sz w:val="18"/>
                <w:szCs w:val="18"/>
              </w:rPr>
              <w:t>Support</w:t>
            </w:r>
            <w:r>
              <w:rPr>
                <w:rFonts w:ascii="Times New Roman" w:eastAsia="Times New Roman" w:hAnsi="Times New Roman" w:cs="Times New Roman"/>
                <w:sz w:val="18"/>
                <w:szCs w:val="18"/>
              </w:rPr>
              <w:t xml:space="preserve"> </w:t>
            </w:r>
            <w:r w:rsidRPr="007754FB">
              <w:rPr>
                <w:rFonts w:ascii="Times New Roman" w:eastAsia="Times New Roman" w:hAnsi="Times New Roman" w:cs="Times New Roman"/>
                <w:sz w:val="18"/>
                <w:szCs w:val="18"/>
              </w:rPr>
              <w:t>- Professional: Program Evaluation/Review/Development</w:t>
            </w:r>
          </w:p>
        </w:tc>
        <w:tc>
          <w:tcPr>
            <w:tcW w:w="7731" w:type="dxa"/>
            <w:shd w:val="clear" w:color="auto" w:fill="auto"/>
          </w:tcPr>
          <w:p w14:paraId="1EFA27AF" w14:textId="6DE96767" w:rsidR="00370261" w:rsidRPr="00085130" w:rsidRDefault="00E06695" w:rsidP="00370261">
            <w:pPr>
              <w:numPr>
                <w:ilvl w:val="0"/>
                <w:numId w:val="1"/>
              </w:numPr>
              <w:spacing w:after="0" w:line="240" w:lineRule="auto"/>
              <w:ind w:left="252" w:hanging="252"/>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PSC includes </w:t>
            </w:r>
            <w:r w:rsidR="00356C97">
              <w:rPr>
                <w:rFonts w:ascii="Times New Roman" w:eastAsia="Times New Roman" w:hAnsi="Times New Roman" w:cs="Times New Roman"/>
                <w:sz w:val="18"/>
                <w:szCs w:val="18"/>
              </w:rPr>
              <w:t xml:space="preserve">support </w:t>
            </w:r>
            <w:r w:rsidR="009E0B4C" w:rsidRPr="00085130">
              <w:rPr>
                <w:rFonts w:ascii="Times New Roman" w:eastAsia="Times New Roman" w:hAnsi="Times New Roman" w:cs="Times New Roman"/>
                <w:sz w:val="18"/>
                <w:szCs w:val="18"/>
              </w:rPr>
              <w:t>services</w:t>
            </w:r>
            <w:r w:rsidR="009E0B4C">
              <w:rPr>
                <w:rFonts w:ascii="Times New Roman" w:eastAsia="Times New Roman" w:hAnsi="Times New Roman" w:cs="Times New Roman"/>
                <w:sz w:val="18"/>
                <w:szCs w:val="18"/>
              </w:rPr>
              <w:t xml:space="preserve"> </w:t>
            </w:r>
            <w:r w:rsidR="00356C97">
              <w:rPr>
                <w:rFonts w:ascii="Times New Roman" w:eastAsia="Times New Roman" w:hAnsi="Times New Roman" w:cs="Times New Roman"/>
                <w:sz w:val="18"/>
                <w:szCs w:val="18"/>
              </w:rPr>
              <w:t xml:space="preserve">in the areas of </w:t>
            </w:r>
            <w:r w:rsidR="009E0B4C">
              <w:rPr>
                <w:rFonts w:ascii="Times New Roman" w:eastAsia="Times New Roman" w:hAnsi="Times New Roman" w:cs="Times New Roman"/>
                <w:sz w:val="18"/>
                <w:szCs w:val="18"/>
              </w:rPr>
              <w:t>program evaluations, etc.</w:t>
            </w:r>
            <w:r w:rsidR="00F56220">
              <w:rPr>
                <w:rFonts w:ascii="Times New Roman" w:eastAsia="Times New Roman" w:hAnsi="Times New Roman" w:cs="Times New Roman"/>
                <w:sz w:val="18"/>
                <w:szCs w:val="18"/>
              </w:rPr>
              <w:t xml:space="preserve"> </w:t>
            </w:r>
            <w:r w:rsidR="00F56220" w:rsidRPr="001E432E">
              <w:rPr>
                <w:rFonts w:ascii="Times New Roman" w:eastAsia="Times New Roman" w:hAnsi="Times New Roman" w:cs="Times New Roman"/>
                <w:sz w:val="18"/>
                <w:szCs w:val="18"/>
              </w:rPr>
              <w:t xml:space="preserve">The Department spent </w:t>
            </w:r>
            <w:r w:rsidR="00F56220" w:rsidRPr="00BD5ED3">
              <w:rPr>
                <w:rFonts w:ascii="Times New Roman" w:eastAsia="Times New Roman" w:hAnsi="Times New Roman" w:cs="Times New Roman"/>
                <w:color w:val="000000"/>
                <w:sz w:val="18"/>
                <w:szCs w:val="18"/>
              </w:rPr>
              <w:t>$</w:t>
            </w:r>
            <w:r w:rsidR="00A577A6">
              <w:rPr>
                <w:rFonts w:ascii="Times New Roman" w:eastAsia="Times New Roman" w:hAnsi="Times New Roman" w:cs="Times New Roman"/>
                <w:color w:val="000000"/>
                <w:sz w:val="18"/>
                <w:szCs w:val="18"/>
              </w:rPr>
              <w:t>57</w:t>
            </w:r>
            <w:r w:rsidR="00F56220">
              <w:rPr>
                <w:rFonts w:ascii="Times New Roman" w:eastAsia="Times New Roman" w:hAnsi="Times New Roman" w:cs="Times New Roman"/>
                <w:color w:val="000000"/>
                <w:sz w:val="18"/>
                <w:szCs w:val="18"/>
              </w:rPr>
              <w:t>M</w:t>
            </w:r>
            <w:r w:rsidR="00F56220" w:rsidRPr="001E432E">
              <w:rPr>
                <w:rFonts w:ascii="Times New Roman" w:eastAsia="Times New Roman" w:hAnsi="Times New Roman" w:cs="Times New Roman"/>
                <w:sz w:val="18"/>
                <w:szCs w:val="18"/>
              </w:rPr>
              <w:t xml:space="preserve"> (</w:t>
            </w:r>
            <w:r w:rsidR="00A577A6">
              <w:rPr>
                <w:rFonts w:ascii="Times New Roman" w:eastAsia="Times New Roman" w:hAnsi="Times New Roman" w:cs="Times New Roman"/>
                <w:sz w:val="18"/>
                <w:szCs w:val="18"/>
              </w:rPr>
              <w:t>1</w:t>
            </w:r>
            <w:r w:rsidR="00F56220" w:rsidRPr="001E432E">
              <w:rPr>
                <w:rFonts w:ascii="Times New Roman" w:eastAsia="Times New Roman" w:hAnsi="Times New Roman" w:cs="Times New Roman"/>
                <w:sz w:val="18"/>
                <w:szCs w:val="18"/>
              </w:rPr>
              <w:t>% of its total FY201</w:t>
            </w:r>
            <w:r w:rsidR="00F56220">
              <w:rPr>
                <w:rFonts w:ascii="Times New Roman" w:eastAsia="Times New Roman" w:hAnsi="Times New Roman" w:cs="Times New Roman"/>
                <w:sz w:val="18"/>
                <w:szCs w:val="18"/>
              </w:rPr>
              <w:t>8</w:t>
            </w:r>
            <w:r w:rsidR="00F56220" w:rsidRPr="001E432E">
              <w:rPr>
                <w:rFonts w:ascii="Times New Roman" w:eastAsia="Times New Roman" w:hAnsi="Times New Roman" w:cs="Times New Roman"/>
                <w:sz w:val="18"/>
                <w:szCs w:val="18"/>
              </w:rPr>
              <w:t xml:space="preserve"> obligations) for these services</w:t>
            </w:r>
            <w:r w:rsidR="00EF68C7">
              <w:rPr>
                <w:rFonts w:ascii="Times New Roman" w:eastAsia="Times New Roman" w:hAnsi="Times New Roman" w:cs="Times New Roman"/>
                <w:sz w:val="18"/>
                <w:szCs w:val="18"/>
              </w:rPr>
              <w:t xml:space="preserve"> and was a selected PSC to evaluate from last year’s analysis plan</w:t>
            </w:r>
            <w:r w:rsidR="00F56220" w:rsidRPr="001E432E">
              <w:rPr>
                <w:rFonts w:ascii="Times New Roman" w:eastAsia="Times New Roman" w:hAnsi="Times New Roman" w:cs="Times New Roman"/>
                <w:sz w:val="18"/>
                <w:szCs w:val="18"/>
              </w:rPr>
              <w:t>.</w:t>
            </w:r>
          </w:p>
        </w:tc>
      </w:tr>
      <w:tr w:rsidR="00370261" w:rsidRPr="00085130" w14:paraId="5C0A6525" w14:textId="77777777" w:rsidTr="00DC1093">
        <w:trPr>
          <w:trHeight w:val="737"/>
        </w:trPr>
        <w:tc>
          <w:tcPr>
            <w:tcW w:w="654" w:type="dxa"/>
            <w:shd w:val="clear" w:color="auto" w:fill="auto"/>
          </w:tcPr>
          <w:p w14:paraId="596C3E34" w14:textId="77777777"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R499</w:t>
            </w:r>
          </w:p>
        </w:tc>
        <w:tc>
          <w:tcPr>
            <w:tcW w:w="2073" w:type="dxa"/>
            <w:shd w:val="clear" w:color="auto" w:fill="auto"/>
          </w:tcPr>
          <w:p w14:paraId="289B3D9D" w14:textId="26E69438"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 xml:space="preserve">Support </w:t>
            </w:r>
            <w:r w:rsidR="007754FB">
              <w:rPr>
                <w:rFonts w:ascii="Times New Roman" w:eastAsia="Times New Roman" w:hAnsi="Times New Roman" w:cs="Times New Roman"/>
                <w:sz w:val="18"/>
                <w:szCs w:val="18"/>
              </w:rPr>
              <w:t>-</w:t>
            </w:r>
            <w:r w:rsidRPr="00085130">
              <w:rPr>
                <w:rFonts w:ascii="Times New Roman" w:eastAsia="Times New Roman" w:hAnsi="Times New Roman" w:cs="Times New Roman"/>
                <w:sz w:val="18"/>
                <w:szCs w:val="18"/>
              </w:rPr>
              <w:t xml:space="preserve"> Professional / Other</w:t>
            </w:r>
          </w:p>
        </w:tc>
        <w:tc>
          <w:tcPr>
            <w:tcW w:w="7731" w:type="dxa"/>
            <w:shd w:val="clear" w:color="auto" w:fill="auto"/>
          </w:tcPr>
          <w:p w14:paraId="66977903" w14:textId="4847520B" w:rsidR="00370261" w:rsidRPr="00085130" w:rsidRDefault="00370261" w:rsidP="007D6B4C">
            <w:pPr>
              <w:numPr>
                <w:ilvl w:val="0"/>
                <w:numId w:val="1"/>
              </w:numPr>
              <w:spacing w:after="0" w:line="240" w:lineRule="auto"/>
              <w:ind w:left="252" w:hanging="252"/>
              <w:contextualSpacing/>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Identified as a targeted PSC under the ongoing effort to reduce contract spending for professional and other services.</w:t>
            </w:r>
            <w:r w:rsidR="00DC1093">
              <w:rPr>
                <w:rFonts w:ascii="Times New Roman" w:eastAsia="Times New Roman" w:hAnsi="Times New Roman" w:cs="Times New Roman"/>
                <w:sz w:val="18"/>
                <w:szCs w:val="18"/>
              </w:rPr>
              <w:t xml:space="preserve"> </w:t>
            </w:r>
            <w:r w:rsidR="00DC1093" w:rsidRPr="001E432E">
              <w:rPr>
                <w:rFonts w:ascii="Times New Roman" w:eastAsia="Times New Roman" w:hAnsi="Times New Roman" w:cs="Times New Roman"/>
                <w:sz w:val="18"/>
                <w:szCs w:val="18"/>
              </w:rPr>
              <w:t xml:space="preserve">The Department spent </w:t>
            </w:r>
            <w:r w:rsidR="00DC1093" w:rsidRPr="00BD5ED3">
              <w:rPr>
                <w:rFonts w:ascii="Times New Roman" w:eastAsia="Times New Roman" w:hAnsi="Times New Roman" w:cs="Times New Roman"/>
                <w:color w:val="000000"/>
                <w:sz w:val="18"/>
                <w:szCs w:val="18"/>
              </w:rPr>
              <w:t>$</w:t>
            </w:r>
            <w:r w:rsidR="0041717D">
              <w:rPr>
                <w:rFonts w:ascii="Times New Roman" w:eastAsia="Times New Roman" w:hAnsi="Times New Roman" w:cs="Times New Roman"/>
                <w:color w:val="000000"/>
                <w:sz w:val="18"/>
                <w:szCs w:val="18"/>
              </w:rPr>
              <w:t>350</w:t>
            </w:r>
            <w:r w:rsidR="00DC1093">
              <w:rPr>
                <w:rFonts w:ascii="Times New Roman" w:eastAsia="Times New Roman" w:hAnsi="Times New Roman" w:cs="Times New Roman"/>
                <w:color w:val="000000"/>
                <w:sz w:val="18"/>
                <w:szCs w:val="18"/>
              </w:rPr>
              <w:t>M</w:t>
            </w:r>
            <w:r w:rsidR="00DC1093" w:rsidRPr="001E432E">
              <w:rPr>
                <w:rFonts w:ascii="Times New Roman" w:eastAsia="Times New Roman" w:hAnsi="Times New Roman" w:cs="Times New Roman"/>
                <w:sz w:val="18"/>
                <w:szCs w:val="18"/>
              </w:rPr>
              <w:t xml:space="preserve"> (</w:t>
            </w:r>
            <w:r w:rsidR="0041717D">
              <w:rPr>
                <w:rFonts w:ascii="Times New Roman" w:eastAsia="Times New Roman" w:hAnsi="Times New Roman" w:cs="Times New Roman"/>
                <w:sz w:val="18"/>
                <w:szCs w:val="18"/>
              </w:rPr>
              <w:t>9</w:t>
            </w:r>
            <w:r w:rsidR="00DC1093" w:rsidRPr="001E432E">
              <w:rPr>
                <w:rFonts w:ascii="Times New Roman" w:eastAsia="Times New Roman" w:hAnsi="Times New Roman" w:cs="Times New Roman"/>
                <w:sz w:val="18"/>
                <w:szCs w:val="18"/>
              </w:rPr>
              <w:t>% of its total FY201</w:t>
            </w:r>
            <w:r w:rsidR="00DC1093">
              <w:rPr>
                <w:rFonts w:ascii="Times New Roman" w:eastAsia="Times New Roman" w:hAnsi="Times New Roman" w:cs="Times New Roman"/>
                <w:sz w:val="18"/>
                <w:szCs w:val="18"/>
              </w:rPr>
              <w:t>8</w:t>
            </w:r>
            <w:r w:rsidR="00DC1093" w:rsidRPr="001E432E">
              <w:rPr>
                <w:rFonts w:ascii="Times New Roman" w:eastAsia="Times New Roman" w:hAnsi="Times New Roman" w:cs="Times New Roman"/>
                <w:sz w:val="18"/>
                <w:szCs w:val="18"/>
              </w:rPr>
              <w:t xml:space="preserve"> obligations) for these services.</w:t>
            </w:r>
          </w:p>
        </w:tc>
      </w:tr>
      <w:tr w:rsidR="00370261" w:rsidRPr="00085130" w14:paraId="15464B95" w14:textId="77777777" w:rsidTr="00085130">
        <w:trPr>
          <w:trHeight w:val="1115"/>
        </w:trPr>
        <w:tc>
          <w:tcPr>
            <w:tcW w:w="654" w:type="dxa"/>
            <w:shd w:val="clear" w:color="auto" w:fill="auto"/>
          </w:tcPr>
          <w:p w14:paraId="15D71C5A" w14:textId="77777777"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R705</w:t>
            </w:r>
          </w:p>
        </w:tc>
        <w:tc>
          <w:tcPr>
            <w:tcW w:w="2073" w:type="dxa"/>
            <w:shd w:val="clear" w:color="auto" w:fill="auto"/>
          </w:tcPr>
          <w:p w14:paraId="78676F59" w14:textId="6561D961"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Support: Management Data Collection</w:t>
            </w:r>
          </w:p>
        </w:tc>
        <w:tc>
          <w:tcPr>
            <w:tcW w:w="7731" w:type="dxa"/>
            <w:shd w:val="clear" w:color="auto" w:fill="auto"/>
          </w:tcPr>
          <w:p w14:paraId="3327B48D" w14:textId="7472A9CF" w:rsidR="00370261" w:rsidRPr="00085130" w:rsidRDefault="00370261" w:rsidP="007D6B4C">
            <w:pPr>
              <w:numPr>
                <w:ilvl w:val="0"/>
                <w:numId w:val="1"/>
              </w:numPr>
              <w:spacing w:after="0" w:line="240" w:lineRule="auto"/>
              <w:ind w:left="252" w:hanging="252"/>
              <w:contextualSpacing/>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 xml:space="preserve">Identified as a targeted PSC under the ongoing effort to reduce contract spending for management support services. This PSC is included to guard against expansion of the contractor’s duties into inherently governmental functions and to ensure </w:t>
            </w:r>
            <w:r w:rsidR="00231033" w:rsidRPr="00085130">
              <w:rPr>
                <w:rFonts w:ascii="Times New Roman" w:eastAsia="Times New Roman" w:hAnsi="Times New Roman" w:cs="Times New Roman"/>
                <w:sz w:val="18"/>
                <w:szCs w:val="18"/>
              </w:rPr>
              <w:t xml:space="preserve">enough </w:t>
            </w:r>
            <w:r w:rsidRPr="00085130">
              <w:rPr>
                <w:rFonts w:ascii="Times New Roman" w:eastAsia="Times New Roman" w:hAnsi="Times New Roman" w:cs="Times New Roman"/>
                <w:sz w:val="18"/>
                <w:szCs w:val="18"/>
              </w:rPr>
              <w:t>management and oversight remains in place.</w:t>
            </w:r>
            <w:r w:rsidR="00DC1093" w:rsidRPr="00085130">
              <w:rPr>
                <w:rFonts w:ascii="Times New Roman" w:eastAsia="Times New Roman" w:hAnsi="Times New Roman" w:cs="Times New Roman"/>
                <w:sz w:val="18"/>
                <w:szCs w:val="18"/>
              </w:rPr>
              <w:t xml:space="preserve"> The Department spent $</w:t>
            </w:r>
            <w:r w:rsidR="00DC1093">
              <w:rPr>
                <w:rFonts w:ascii="Times New Roman" w:eastAsia="Times New Roman" w:hAnsi="Times New Roman" w:cs="Times New Roman"/>
                <w:sz w:val="18"/>
                <w:szCs w:val="18"/>
              </w:rPr>
              <w:t>64</w:t>
            </w:r>
            <w:r w:rsidR="00746FA2">
              <w:rPr>
                <w:rFonts w:ascii="Times New Roman" w:eastAsia="Times New Roman" w:hAnsi="Times New Roman" w:cs="Times New Roman"/>
                <w:sz w:val="18"/>
                <w:szCs w:val="18"/>
              </w:rPr>
              <w:t>1</w:t>
            </w:r>
            <w:r w:rsidR="00DC1093" w:rsidRPr="00085130">
              <w:rPr>
                <w:rFonts w:ascii="Times New Roman" w:eastAsia="Times New Roman" w:hAnsi="Times New Roman" w:cs="Times New Roman"/>
                <w:sz w:val="18"/>
                <w:szCs w:val="18"/>
              </w:rPr>
              <w:t>M (</w:t>
            </w:r>
            <w:r w:rsidR="00DC1093">
              <w:rPr>
                <w:rFonts w:ascii="Times New Roman" w:eastAsia="Times New Roman" w:hAnsi="Times New Roman" w:cs="Times New Roman"/>
                <w:sz w:val="18"/>
                <w:szCs w:val="18"/>
              </w:rPr>
              <w:t>1</w:t>
            </w:r>
            <w:r w:rsidR="00746FA2">
              <w:rPr>
                <w:rFonts w:ascii="Times New Roman" w:eastAsia="Times New Roman" w:hAnsi="Times New Roman" w:cs="Times New Roman"/>
                <w:sz w:val="18"/>
                <w:szCs w:val="18"/>
              </w:rPr>
              <w:t>6</w:t>
            </w:r>
            <w:r w:rsidR="00DC1093" w:rsidRPr="00085130">
              <w:rPr>
                <w:rFonts w:ascii="Times New Roman" w:eastAsia="Times New Roman" w:hAnsi="Times New Roman" w:cs="Times New Roman"/>
                <w:sz w:val="18"/>
                <w:szCs w:val="18"/>
              </w:rPr>
              <w:t>% of its total FY201</w:t>
            </w:r>
            <w:r w:rsidR="00DC1093">
              <w:rPr>
                <w:rFonts w:ascii="Times New Roman" w:eastAsia="Times New Roman" w:hAnsi="Times New Roman" w:cs="Times New Roman"/>
                <w:sz w:val="18"/>
                <w:szCs w:val="18"/>
              </w:rPr>
              <w:t>8</w:t>
            </w:r>
            <w:r w:rsidR="00DC1093" w:rsidRPr="00085130">
              <w:rPr>
                <w:rFonts w:ascii="Times New Roman" w:eastAsia="Times New Roman" w:hAnsi="Times New Roman" w:cs="Times New Roman"/>
                <w:sz w:val="18"/>
                <w:szCs w:val="18"/>
              </w:rPr>
              <w:t xml:space="preserve"> obligations) for these services.</w:t>
            </w:r>
          </w:p>
        </w:tc>
      </w:tr>
      <w:tr w:rsidR="00370261" w:rsidRPr="00926468" w14:paraId="7DAC9ED1" w14:textId="77777777" w:rsidTr="00085130">
        <w:trPr>
          <w:trHeight w:val="719"/>
        </w:trPr>
        <w:tc>
          <w:tcPr>
            <w:tcW w:w="654" w:type="dxa"/>
            <w:shd w:val="clear" w:color="auto" w:fill="auto"/>
          </w:tcPr>
          <w:p w14:paraId="44CE5C1C" w14:textId="77777777"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R710</w:t>
            </w:r>
          </w:p>
        </w:tc>
        <w:tc>
          <w:tcPr>
            <w:tcW w:w="2073" w:type="dxa"/>
            <w:shd w:val="clear" w:color="auto" w:fill="auto"/>
          </w:tcPr>
          <w:p w14:paraId="3BB074DD" w14:textId="46E1F038" w:rsidR="00370261" w:rsidRPr="00085130" w:rsidRDefault="00370261" w:rsidP="007D6B4C">
            <w:pPr>
              <w:spacing w:after="0" w:line="240" w:lineRule="auto"/>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Support: Management Financial</w:t>
            </w:r>
          </w:p>
        </w:tc>
        <w:tc>
          <w:tcPr>
            <w:tcW w:w="7731" w:type="dxa"/>
            <w:shd w:val="clear" w:color="auto" w:fill="auto"/>
          </w:tcPr>
          <w:p w14:paraId="7B802231" w14:textId="6063C6E0" w:rsidR="00370261" w:rsidRPr="00085130" w:rsidRDefault="00370261" w:rsidP="007D6B4C">
            <w:pPr>
              <w:numPr>
                <w:ilvl w:val="0"/>
                <w:numId w:val="1"/>
              </w:numPr>
              <w:spacing w:after="0" w:line="240" w:lineRule="auto"/>
              <w:ind w:left="252" w:hanging="252"/>
              <w:contextualSpacing/>
              <w:rPr>
                <w:rFonts w:ascii="Times New Roman" w:eastAsia="Times New Roman" w:hAnsi="Times New Roman" w:cs="Times New Roman"/>
                <w:sz w:val="18"/>
                <w:szCs w:val="18"/>
              </w:rPr>
            </w:pPr>
            <w:r w:rsidRPr="00085130">
              <w:rPr>
                <w:rFonts w:ascii="Times New Roman" w:eastAsia="Times New Roman" w:hAnsi="Times New Roman" w:cs="Times New Roman"/>
                <w:sz w:val="18"/>
                <w:szCs w:val="18"/>
              </w:rPr>
              <w:t xml:space="preserve">This PSC is included to guard against expansion of the contractor’s duties into inherently governmental functions and to ensure </w:t>
            </w:r>
            <w:r w:rsidR="00231033" w:rsidRPr="00085130">
              <w:rPr>
                <w:rFonts w:ascii="Times New Roman" w:eastAsia="Times New Roman" w:hAnsi="Times New Roman" w:cs="Times New Roman"/>
                <w:sz w:val="18"/>
                <w:szCs w:val="18"/>
              </w:rPr>
              <w:t>enough</w:t>
            </w:r>
            <w:r w:rsidRPr="00085130">
              <w:rPr>
                <w:rFonts w:ascii="Times New Roman" w:eastAsia="Times New Roman" w:hAnsi="Times New Roman" w:cs="Times New Roman"/>
                <w:sz w:val="18"/>
                <w:szCs w:val="18"/>
              </w:rPr>
              <w:t xml:space="preserve"> management and oversight remains in place.</w:t>
            </w:r>
            <w:r w:rsidR="00DC1093" w:rsidRPr="00085130">
              <w:rPr>
                <w:rFonts w:ascii="Times New Roman" w:eastAsia="Times New Roman" w:hAnsi="Times New Roman" w:cs="Times New Roman"/>
                <w:sz w:val="18"/>
                <w:szCs w:val="18"/>
              </w:rPr>
              <w:t xml:space="preserve"> The Department spent $</w:t>
            </w:r>
            <w:r w:rsidR="00325499">
              <w:rPr>
                <w:rFonts w:ascii="Times New Roman" w:eastAsia="Times New Roman" w:hAnsi="Times New Roman" w:cs="Times New Roman"/>
                <w:sz w:val="18"/>
                <w:szCs w:val="18"/>
              </w:rPr>
              <w:t>2</w:t>
            </w:r>
            <w:r w:rsidR="00DC1093">
              <w:rPr>
                <w:rFonts w:ascii="Times New Roman" w:eastAsia="Times New Roman" w:hAnsi="Times New Roman" w:cs="Times New Roman"/>
                <w:sz w:val="18"/>
                <w:szCs w:val="18"/>
              </w:rPr>
              <w:t>.</w:t>
            </w:r>
            <w:r w:rsidR="00325499">
              <w:rPr>
                <w:rFonts w:ascii="Times New Roman" w:eastAsia="Times New Roman" w:hAnsi="Times New Roman" w:cs="Times New Roman"/>
                <w:sz w:val="18"/>
                <w:szCs w:val="18"/>
              </w:rPr>
              <w:t>3</w:t>
            </w:r>
            <w:r w:rsidR="00DC1093" w:rsidRPr="00085130">
              <w:rPr>
                <w:rFonts w:ascii="Times New Roman" w:eastAsia="Times New Roman" w:hAnsi="Times New Roman" w:cs="Times New Roman"/>
                <w:sz w:val="18"/>
                <w:szCs w:val="18"/>
              </w:rPr>
              <w:t>B (</w:t>
            </w:r>
            <w:r w:rsidR="00DC1093">
              <w:rPr>
                <w:rFonts w:ascii="Times New Roman" w:eastAsia="Times New Roman" w:hAnsi="Times New Roman" w:cs="Times New Roman"/>
                <w:sz w:val="18"/>
                <w:szCs w:val="18"/>
              </w:rPr>
              <w:t>5</w:t>
            </w:r>
            <w:r w:rsidR="00325499">
              <w:rPr>
                <w:rFonts w:ascii="Times New Roman" w:eastAsia="Times New Roman" w:hAnsi="Times New Roman" w:cs="Times New Roman"/>
                <w:sz w:val="18"/>
                <w:szCs w:val="18"/>
              </w:rPr>
              <w:t>8</w:t>
            </w:r>
            <w:r w:rsidR="00DC1093" w:rsidRPr="00085130">
              <w:rPr>
                <w:rFonts w:ascii="Times New Roman" w:eastAsia="Times New Roman" w:hAnsi="Times New Roman" w:cs="Times New Roman"/>
                <w:sz w:val="18"/>
                <w:szCs w:val="18"/>
              </w:rPr>
              <w:t>% of its total FY201</w:t>
            </w:r>
            <w:r w:rsidR="00DC1093">
              <w:rPr>
                <w:rFonts w:ascii="Times New Roman" w:eastAsia="Times New Roman" w:hAnsi="Times New Roman" w:cs="Times New Roman"/>
                <w:sz w:val="18"/>
                <w:szCs w:val="18"/>
              </w:rPr>
              <w:t>8</w:t>
            </w:r>
            <w:r w:rsidR="00DC1093" w:rsidRPr="00085130">
              <w:rPr>
                <w:rFonts w:ascii="Times New Roman" w:eastAsia="Times New Roman" w:hAnsi="Times New Roman" w:cs="Times New Roman"/>
                <w:sz w:val="18"/>
                <w:szCs w:val="18"/>
              </w:rPr>
              <w:t xml:space="preserve"> obligations) for these services.</w:t>
            </w:r>
          </w:p>
        </w:tc>
      </w:tr>
    </w:tbl>
    <w:p w14:paraId="565A7EB6" w14:textId="4D907CA8" w:rsidR="0078751A" w:rsidRDefault="0078751A" w:rsidP="00CC0DD0">
      <w:pPr>
        <w:spacing w:after="0" w:line="240" w:lineRule="auto"/>
        <w:jc w:val="center"/>
        <w:rPr>
          <w:rFonts w:ascii="Times New Roman" w:eastAsia="Calibri" w:hAnsi="Times New Roman" w:cs="Times New Roman"/>
          <w:b/>
          <w:sz w:val="24"/>
          <w:szCs w:val="24"/>
        </w:rPr>
      </w:pPr>
    </w:p>
    <w:p w14:paraId="565A7EE1" w14:textId="77777777" w:rsidR="00CC0DD0" w:rsidRPr="00CC0DD0" w:rsidRDefault="00CC0DD0" w:rsidP="0083453E">
      <w:pPr>
        <w:pStyle w:val="ListParagraph"/>
        <w:numPr>
          <w:ilvl w:val="0"/>
          <w:numId w:val="4"/>
        </w:numPr>
        <w:spacing w:after="0" w:line="240" w:lineRule="auto"/>
        <w:rPr>
          <w:rFonts w:ascii="Times New Roman" w:eastAsia="Calibri" w:hAnsi="Times New Roman" w:cs="Times New Roman"/>
          <w:b/>
          <w:sz w:val="24"/>
          <w:szCs w:val="24"/>
        </w:rPr>
      </w:pPr>
      <w:r w:rsidRPr="00CC0DD0">
        <w:rPr>
          <w:rFonts w:ascii="Times New Roman" w:eastAsia="Calibri" w:hAnsi="Times New Roman" w:cs="Times New Roman"/>
          <w:b/>
          <w:sz w:val="24"/>
          <w:szCs w:val="24"/>
        </w:rPr>
        <w:t>Methodology</w:t>
      </w:r>
    </w:p>
    <w:p w14:paraId="565A7EE2" w14:textId="77777777" w:rsidR="00CC0DD0" w:rsidRDefault="00CC0DD0" w:rsidP="00936028">
      <w:pPr>
        <w:spacing w:after="0" w:line="240" w:lineRule="auto"/>
        <w:rPr>
          <w:rFonts w:ascii="Times New Roman" w:eastAsia="Calibri" w:hAnsi="Times New Roman" w:cs="Times New Roman"/>
          <w:sz w:val="24"/>
          <w:szCs w:val="24"/>
        </w:rPr>
      </w:pPr>
    </w:p>
    <w:p w14:paraId="565A7EE3" w14:textId="73233A2C" w:rsidR="00B53D2C" w:rsidRDefault="00E87AE1" w:rsidP="009360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Department selected PSC codes that were identified in </w:t>
      </w:r>
      <w:r w:rsidR="006E11E1">
        <w:rPr>
          <w:rFonts w:ascii="Times New Roman" w:eastAsia="Calibri" w:hAnsi="Times New Roman" w:cs="Times New Roman"/>
          <w:sz w:val="24"/>
          <w:szCs w:val="24"/>
        </w:rPr>
        <w:t xml:space="preserve">our </w:t>
      </w:r>
      <w:r>
        <w:rPr>
          <w:rFonts w:ascii="Times New Roman" w:eastAsia="Calibri" w:hAnsi="Times New Roman" w:cs="Times New Roman"/>
          <w:sz w:val="24"/>
          <w:szCs w:val="24"/>
        </w:rPr>
        <w:t>FY2018 SCI Plan for Analysis</w:t>
      </w:r>
      <w:r w:rsidR="006E11E1">
        <w:rPr>
          <w:rFonts w:ascii="Times New Roman" w:eastAsia="Calibri" w:hAnsi="Times New Roman" w:cs="Times New Roman"/>
          <w:sz w:val="24"/>
          <w:szCs w:val="24"/>
        </w:rPr>
        <w:t>. We selected these codes</w:t>
      </w:r>
      <w:r>
        <w:rPr>
          <w:rFonts w:ascii="Times New Roman" w:eastAsia="Calibri" w:hAnsi="Times New Roman" w:cs="Times New Roman"/>
          <w:sz w:val="24"/>
          <w:szCs w:val="24"/>
        </w:rPr>
        <w:t xml:space="preserve"> based on the potential </w:t>
      </w:r>
      <w:r w:rsidR="00340A5F">
        <w:rPr>
          <w:rFonts w:ascii="Times New Roman" w:eastAsia="Calibri" w:hAnsi="Times New Roman" w:cs="Times New Roman"/>
          <w:sz w:val="24"/>
          <w:szCs w:val="24"/>
        </w:rPr>
        <w:t>for contractors performing inherently governmental functions, the over</w:t>
      </w:r>
      <w:r>
        <w:rPr>
          <w:rFonts w:ascii="Times New Roman" w:eastAsia="Calibri" w:hAnsi="Times New Roman" w:cs="Times New Roman"/>
          <w:sz w:val="24"/>
          <w:szCs w:val="24"/>
        </w:rPr>
        <w:t>use of contractors for these services over Federal Employees</w:t>
      </w:r>
      <w:r w:rsidR="00374BF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F5723">
        <w:rPr>
          <w:rFonts w:ascii="Times New Roman" w:eastAsia="Calibri" w:hAnsi="Times New Roman" w:cs="Times New Roman"/>
          <w:sz w:val="24"/>
          <w:szCs w:val="24"/>
        </w:rPr>
        <w:t>as well as contracts that are mission</w:t>
      </w:r>
      <w:r w:rsidR="00340A5F">
        <w:rPr>
          <w:rFonts w:ascii="Times New Roman" w:eastAsia="Calibri" w:hAnsi="Times New Roman" w:cs="Times New Roman"/>
          <w:sz w:val="24"/>
          <w:szCs w:val="24"/>
        </w:rPr>
        <w:t>-</w:t>
      </w:r>
      <w:r w:rsidR="004F5723">
        <w:rPr>
          <w:rFonts w:ascii="Times New Roman" w:eastAsia="Calibri" w:hAnsi="Times New Roman" w:cs="Times New Roman"/>
          <w:sz w:val="24"/>
          <w:szCs w:val="24"/>
        </w:rPr>
        <w:t xml:space="preserve">critical and </w:t>
      </w:r>
      <w:r w:rsidR="0089330E">
        <w:rPr>
          <w:rFonts w:ascii="Times New Roman" w:eastAsia="Calibri" w:hAnsi="Times New Roman" w:cs="Times New Roman"/>
          <w:sz w:val="24"/>
          <w:szCs w:val="24"/>
        </w:rPr>
        <w:t xml:space="preserve">other functions </w:t>
      </w:r>
      <w:r w:rsidR="004F5723">
        <w:rPr>
          <w:rFonts w:ascii="Times New Roman" w:eastAsia="Calibri" w:hAnsi="Times New Roman" w:cs="Times New Roman"/>
          <w:sz w:val="24"/>
          <w:szCs w:val="24"/>
        </w:rPr>
        <w:t>within the</w:t>
      </w:r>
      <w:r w:rsidR="001E59AC">
        <w:rPr>
          <w:rFonts w:ascii="Times New Roman" w:eastAsia="Calibri" w:hAnsi="Times New Roman" w:cs="Times New Roman"/>
          <w:sz w:val="24"/>
          <w:szCs w:val="24"/>
        </w:rPr>
        <w:t xml:space="preserve"> </w:t>
      </w:r>
      <w:r w:rsidR="00926468" w:rsidRPr="00936028">
        <w:rPr>
          <w:rFonts w:ascii="Times New Roman" w:eastAsia="Calibri" w:hAnsi="Times New Roman" w:cs="Times New Roman"/>
          <w:sz w:val="24"/>
          <w:szCs w:val="24"/>
        </w:rPr>
        <w:t xml:space="preserve">10 </w:t>
      </w:r>
      <w:r w:rsidR="00394BDD">
        <w:rPr>
          <w:rFonts w:ascii="Times New Roman" w:eastAsia="Calibri" w:hAnsi="Times New Roman" w:cs="Times New Roman"/>
          <w:sz w:val="24"/>
          <w:szCs w:val="24"/>
        </w:rPr>
        <w:t>PSC</w:t>
      </w:r>
      <w:r w:rsidR="00926468" w:rsidRPr="00936028">
        <w:rPr>
          <w:rFonts w:ascii="Times New Roman" w:eastAsia="Calibri" w:hAnsi="Times New Roman" w:cs="Times New Roman"/>
          <w:sz w:val="24"/>
          <w:szCs w:val="24"/>
        </w:rPr>
        <w:t xml:space="preserve">s </w:t>
      </w:r>
      <w:r w:rsidR="003602A3">
        <w:rPr>
          <w:rFonts w:ascii="Times New Roman" w:eastAsia="Calibri" w:hAnsi="Times New Roman" w:cs="Times New Roman"/>
          <w:sz w:val="24"/>
          <w:szCs w:val="24"/>
        </w:rPr>
        <w:t>listed in T</w:t>
      </w:r>
      <w:r w:rsidR="004F5723">
        <w:rPr>
          <w:rFonts w:ascii="Times New Roman" w:eastAsia="Calibri" w:hAnsi="Times New Roman" w:cs="Times New Roman"/>
          <w:sz w:val="24"/>
          <w:szCs w:val="24"/>
        </w:rPr>
        <w:t>able 1</w:t>
      </w:r>
      <w:r w:rsidR="00864175">
        <w:rPr>
          <w:rFonts w:ascii="Times New Roman" w:eastAsia="Calibri" w:hAnsi="Times New Roman" w:cs="Times New Roman"/>
          <w:sz w:val="24"/>
          <w:szCs w:val="24"/>
        </w:rPr>
        <w:t xml:space="preserve">. </w:t>
      </w:r>
    </w:p>
    <w:p w14:paraId="565A7EE4" w14:textId="77777777" w:rsidR="00C366B8" w:rsidRDefault="00C366B8" w:rsidP="009F0376">
      <w:pPr>
        <w:spacing w:after="0" w:line="240" w:lineRule="auto"/>
        <w:rPr>
          <w:rFonts w:ascii="Times New Roman" w:eastAsia="Calibri" w:hAnsi="Times New Roman" w:cs="Times New Roman"/>
          <w:b/>
          <w:sz w:val="24"/>
          <w:szCs w:val="24"/>
        </w:rPr>
      </w:pPr>
    </w:p>
    <w:p w14:paraId="565A7EE5" w14:textId="77777777" w:rsidR="00B53D2C" w:rsidRPr="009F0376" w:rsidRDefault="009F0376" w:rsidP="00D42305">
      <w:pPr>
        <w:spacing w:after="0" w:line="240" w:lineRule="auto"/>
        <w:rPr>
          <w:rFonts w:ascii="Times New Roman" w:eastAsia="Calibri" w:hAnsi="Times New Roman" w:cs="Times New Roman"/>
          <w:b/>
          <w:sz w:val="24"/>
          <w:szCs w:val="24"/>
        </w:rPr>
      </w:pPr>
      <w:r w:rsidRPr="009F0376">
        <w:rPr>
          <w:rFonts w:ascii="Times New Roman" w:eastAsia="Calibri" w:hAnsi="Times New Roman" w:cs="Times New Roman"/>
          <w:b/>
          <w:sz w:val="24"/>
          <w:szCs w:val="24"/>
        </w:rPr>
        <w:t>C.</w:t>
      </w:r>
      <w:r>
        <w:rPr>
          <w:rFonts w:ascii="Times New Roman" w:eastAsia="Calibri" w:hAnsi="Times New Roman" w:cs="Times New Roman"/>
          <w:b/>
          <w:sz w:val="24"/>
          <w:szCs w:val="24"/>
        </w:rPr>
        <w:t xml:space="preserve"> </w:t>
      </w:r>
      <w:r w:rsidRPr="009F0376">
        <w:rPr>
          <w:rFonts w:ascii="Times New Roman" w:eastAsia="Calibri" w:hAnsi="Times New Roman" w:cs="Times New Roman"/>
          <w:b/>
          <w:sz w:val="24"/>
          <w:szCs w:val="24"/>
        </w:rPr>
        <w:t>Findin</w:t>
      </w:r>
      <w:r>
        <w:rPr>
          <w:rFonts w:ascii="Times New Roman" w:eastAsia="Calibri" w:hAnsi="Times New Roman" w:cs="Times New Roman"/>
          <w:b/>
          <w:sz w:val="24"/>
          <w:szCs w:val="24"/>
        </w:rPr>
        <w:t>g</w:t>
      </w:r>
      <w:r w:rsidRPr="009F0376">
        <w:rPr>
          <w:rFonts w:ascii="Times New Roman" w:eastAsia="Calibri" w:hAnsi="Times New Roman" w:cs="Times New Roman"/>
          <w:b/>
          <w:sz w:val="24"/>
          <w:szCs w:val="24"/>
        </w:rPr>
        <w:t>s</w:t>
      </w:r>
    </w:p>
    <w:p w14:paraId="565A7EE6" w14:textId="77777777" w:rsidR="00B53D2C" w:rsidRDefault="00B53D2C" w:rsidP="00936028">
      <w:pPr>
        <w:spacing w:after="0" w:line="240" w:lineRule="auto"/>
        <w:rPr>
          <w:rFonts w:ascii="Times New Roman" w:eastAsia="Calibri" w:hAnsi="Times New Roman" w:cs="Times New Roman"/>
          <w:sz w:val="24"/>
          <w:szCs w:val="24"/>
        </w:rPr>
      </w:pPr>
    </w:p>
    <w:p w14:paraId="565A7EE9" w14:textId="6A96953C" w:rsidR="00BB1E19" w:rsidRPr="00CB2931" w:rsidRDefault="009F0376" w:rsidP="009F0376">
      <w:pPr>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b/>
          <w:sz w:val="24"/>
          <w:szCs w:val="24"/>
        </w:rPr>
        <w:t>Inherently Governmental Functions (IGF)</w:t>
      </w:r>
      <w:r w:rsidR="00CB2931">
        <w:rPr>
          <w:rFonts w:ascii="Times New Roman" w:eastAsia="Times New Roman" w:hAnsi="Times New Roman" w:cs="Times New Roman"/>
          <w:b/>
          <w:sz w:val="24"/>
          <w:szCs w:val="24"/>
        </w:rPr>
        <w:br/>
      </w:r>
      <w:r w:rsidR="00CB2931">
        <w:rPr>
          <w:rFonts w:ascii="Times New Roman" w:eastAsia="Times New Roman" w:hAnsi="Times New Roman" w:cs="Times New Roman"/>
          <w:b/>
          <w:sz w:val="24"/>
          <w:szCs w:val="24"/>
        </w:rPr>
        <w:br/>
      </w:r>
      <w:r w:rsidRPr="009F0376">
        <w:rPr>
          <w:rFonts w:ascii="Times New Roman" w:eastAsia="Times New Roman" w:hAnsi="Times New Roman" w:cs="Times New Roman"/>
          <w:sz w:val="24"/>
          <w:szCs w:val="24"/>
        </w:rPr>
        <w:t xml:space="preserve">Based on the </w:t>
      </w:r>
      <w:r w:rsidR="00DB0136">
        <w:rPr>
          <w:rFonts w:ascii="Times New Roman" w:eastAsia="Times New Roman" w:hAnsi="Times New Roman" w:cs="Times New Roman"/>
          <w:sz w:val="24"/>
          <w:szCs w:val="24"/>
        </w:rPr>
        <w:t xml:space="preserve">information from the </w:t>
      </w:r>
      <w:r w:rsidR="00340A5F">
        <w:rPr>
          <w:rFonts w:ascii="Times New Roman" w:eastAsia="Times New Roman" w:hAnsi="Times New Roman" w:cs="Times New Roman"/>
          <w:sz w:val="24"/>
          <w:szCs w:val="24"/>
        </w:rPr>
        <w:t>Federal Procurement Data System (</w:t>
      </w:r>
      <w:r w:rsidR="00DB0136">
        <w:rPr>
          <w:rFonts w:ascii="Times New Roman" w:eastAsia="Times New Roman" w:hAnsi="Times New Roman" w:cs="Times New Roman"/>
          <w:sz w:val="24"/>
          <w:szCs w:val="24"/>
        </w:rPr>
        <w:t>FPDS</w:t>
      </w:r>
      <w:r w:rsidR="00340A5F">
        <w:rPr>
          <w:rFonts w:ascii="Times New Roman" w:eastAsia="Times New Roman" w:hAnsi="Times New Roman" w:cs="Times New Roman"/>
          <w:sz w:val="24"/>
          <w:szCs w:val="24"/>
        </w:rPr>
        <w:t>)</w:t>
      </w:r>
      <w:r w:rsidR="00DB0136">
        <w:rPr>
          <w:rFonts w:ascii="Times New Roman" w:eastAsia="Times New Roman" w:hAnsi="Times New Roman" w:cs="Times New Roman"/>
          <w:sz w:val="24"/>
          <w:szCs w:val="24"/>
        </w:rPr>
        <w:t xml:space="preserve"> data spreadsheet of the established criteri</w:t>
      </w:r>
      <w:r w:rsidRPr="009F0376">
        <w:rPr>
          <w:rFonts w:ascii="Times New Roman" w:eastAsia="Times New Roman" w:hAnsi="Times New Roman" w:cs="Times New Roman"/>
          <w:sz w:val="24"/>
          <w:szCs w:val="24"/>
        </w:rPr>
        <w:t>a for classifying</w:t>
      </w:r>
      <w:r w:rsidR="00DB0136">
        <w:rPr>
          <w:rFonts w:ascii="Times New Roman" w:eastAsia="Times New Roman" w:hAnsi="Times New Roman" w:cs="Times New Roman"/>
          <w:sz w:val="24"/>
          <w:szCs w:val="24"/>
        </w:rPr>
        <w:t xml:space="preserve"> </w:t>
      </w:r>
      <w:r w:rsidRPr="009F0376">
        <w:rPr>
          <w:rFonts w:ascii="Times New Roman" w:eastAsia="Times New Roman" w:hAnsi="Times New Roman" w:cs="Times New Roman"/>
          <w:sz w:val="24"/>
          <w:szCs w:val="24"/>
        </w:rPr>
        <w:t>inherently governmental</w:t>
      </w:r>
      <w:r w:rsidR="00DB0136">
        <w:rPr>
          <w:rFonts w:ascii="Times New Roman" w:eastAsia="Times New Roman" w:hAnsi="Times New Roman" w:cs="Times New Roman"/>
          <w:sz w:val="24"/>
          <w:szCs w:val="24"/>
        </w:rPr>
        <w:t xml:space="preserve"> functions, </w:t>
      </w:r>
      <w:r w:rsidR="00340A5F">
        <w:rPr>
          <w:rFonts w:ascii="Times New Roman" w:eastAsia="Times New Roman" w:hAnsi="Times New Roman" w:cs="Times New Roman"/>
          <w:sz w:val="24"/>
          <w:szCs w:val="24"/>
        </w:rPr>
        <w:t>we</w:t>
      </w:r>
      <w:r w:rsidR="00DB0136">
        <w:rPr>
          <w:rFonts w:ascii="Times New Roman" w:eastAsia="Times New Roman" w:hAnsi="Times New Roman" w:cs="Times New Roman"/>
          <w:sz w:val="24"/>
          <w:szCs w:val="24"/>
        </w:rPr>
        <w:t xml:space="preserve"> determined that none of the contracts are performing </w:t>
      </w:r>
      <w:r w:rsidR="00340A5F">
        <w:rPr>
          <w:rFonts w:ascii="Times New Roman" w:eastAsia="Times New Roman" w:hAnsi="Times New Roman" w:cs="Times New Roman"/>
          <w:sz w:val="24"/>
          <w:szCs w:val="24"/>
        </w:rPr>
        <w:t>an inherently governmental function.</w:t>
      </w:r>
    </w:p>
    <w:p w14:paraId="565A7EED" w14:textId="15C9EDF1" w:rsidR="009F0376" w:rsidRPr="000A118E" w:rsidRDefault="0089330E" w:rsidP="000A118E">
      <w:pPr>
        <w:spacing w:after="0" w:line="240" w:lineRule="auto"/>
        <w:rPr>
          <w:rFonts w:ascii="Times New Roman" w:eastAsia="Times New Roman" w:hAnsi="Times New Roman" w:cs="Times New Roman"/>
          <w:sz w:val="24"/>
          <w:szCs w:val="24"/>
        </w:rPr>
      </w:pPr>
      <w:bookmarkStart w:id="1" w:name="_Hlk31878581"/>
      <w:r>
        <w:rPr>
          <w:rFonts w:ascii="Times New Roman" w:eastAsia="Times New Roman" w:hAnsi="Times New Roman" w:cs="Times New Roman"/>
          <w:b/>
          <w:sz w:val="24"/>
          <w:szCs w:val="24"/>
        </w:rPr>
        <w:br/>
      </w:r>
      <w:r w:rsidR="009F0376" w:rsidRPr="009F0376">
        <w:rPr>
          <w:rFonts w:ascii="Times New Roman" w:eastAsia="Times New Roman" w:hAnsi="Times New Roman" w:cs="Times New Roman"/>
          <w:b/>
          <w:sz w:val="24"/>
          <w:szCs w:val="24"/>
        </w:rPr>
        <w:t>Functions Closely Associated with IGFs</w:t>
      </w:r>
      <w:r w:rsidR="00CB2931">
        <w:rPr>
          <w:rFonts w:ascii="Times New Roman" w:eastAsia="Times New Roman" w:hAnsi="Times New Roman" w:cs="Times New Roman"/>
          <w:b/>
          <w:sz w:val="24"/>
          <w:szCs w:val="24"/>
        </w:rPr>
        <w:br/>
      </w:r>
      <w:r w:rsidR="00CB2931">
        <w:rPr>
          <w:rFonts w:ascii="Times New Roman" w:eastAsia="Times New Roman" w:hAnsi="Times New Roman" w:cs="Times New Roman"/>
          <w:b/>
          <w:sz w:val="24"/>
          <w:szCs w:val="24"/>
        </w:rPr>
        <w:br/>
      </w:r>
      <w:r w:rsidR="000A118E" w:rsidRPr="000A118E">
        <w:rPr>
          <w:rFonts w:ascii="Times New Roman" w:hAnsi="Times New Roman" w:cs="Times New Roman"/>
          <w:sz w:val="24"/>
          <w:szCs w:val="24"/>
        </w:rPr>
        <w:t xml:space="preserve">We reviewed contracts where contractors performed functions that were closely associated with the </w:t>
      </w:r>
      <w:r w:rsidR="000A118E" w:rsidRPr="000A118E">
        <w:rPr>
          <w:rFonts w:ascii="Times New Roman" w:hAnsi="Times New Roman" w:cs="Times New Roman"/>
          <w:sz w:val="24"/>
          <w:szCs w:val="24"/>
        </w:rPr>
        <w:lastRenderedPageBreak/>
        <w:t xml:space="preserve">service needs of our Department. When Governmental resources were available, the duties were retained in-house. When the level of available resources was not adequate for performance by a Federal employee, consideration was given to ensure that </w:t>
      </w:r>
      <w:proofErr w:type="gramStart"/>
      <w:r w:rsidR="007404DF">
        <w:rPr>
          <w:rFonts w:ascii="Times New Roman" w:hAnsi="Times New Roman" w:cs="Times New Roman"/>
          <w:sz w:val="24"/>
          <w:szCs w:val="24"/>
        </w:rPr>
        <w:t>sufficient</w:t>
      </w:r>
      <w:proofErr w:type="gramEnd"/>
      <w:r w:rsidR="000A118E" w:rsidRPr="000A118E">
        <w:rPr>
          <w:rFonts w:ascii="Times New Roman" w:hAnsi="Times New Roman" w:cs="Times New Roman"/>
          <w:sz w:val="24"/>
          <w:szCs w:val="24"/>
        </w:rPr>
        <w:t xml:space="preserve"> resources were available for proper oversight.</w:t>
      </w:r>
      <w:r w:rsidR="000A118E">
        <w:t xml:space="preserve"> </w:t>
      </w:r>
      <w:r w:rsidR="00DB0136">
        <w:rPr>
          <w:rFonts w:ascii="Times New Roman" w:eastAsia="Times New Roman" w:hAnsi="Times New Roman" w:cs="Times New Roman"/>
          <w:sz w:val="24"/>
          <w:szCs w:val="24"/>
        </w:rPr>
        <w:t xml:space="preserve">Based on </w:t>
      </w:r>
      <w:r w:rsidR="00A320DD">
        <w:rPr>
          <w:rFonts w:ascii="Times New Roman" w:eastAsia="Times New Roman" w:hAnsi="Times New Roman" w:cs="Times New Roman"/>
          <w:sz w:val="24"/>
          <w:szCs w:val="24"/>
        </w:rPr>
        <w:t xml:space="preserve">a review of </w:t>
      </w:r>
      <w:r w:rsidR="00DB0136">
        <w:rPr>
          <w:rFonts w:ascii="Times New Roman" w:eastAsia="Times New Roman" w:hAnsi="Times New Roman" w:cs="Times New Roman"/>
          <w:sz w:val="24"/>
          <w:szCs w:val="24"/>
        </w:rPr>
        <w:t xml:space="preserve">these contracting activities in conjunction with the data provided, </w:t>
      </w:r>
      <w:r w:rsidR="00A320DD">
        <w:rPr>
          <w:rFonts w:ascii="Times New Roman" w:eastAsia="Times New Roman" w:hAnsi="Times New Roman" w:cs="Times New Roman"/>
          <w:sz w:val="24"/>
          <w:szCs w:val="24"/>
        </w:rPr>
        <w:t>we</w:t>
      </w:r>
      <w:r w:rsidR="00DB0136">
        <w:rPr>
          <w:rFonts w:ascii="Times New Roman" w:eastAsia="Times New Roman" w:hAnsi="Times New Roman" w:cs="Times New Roman"/>
          <w:sz w:val="24"/>
          <w:szCs w:val="24"/>
        </w:rPr>
        <w:t xml:space="preserve"> determined that there were no contracts closely associated with IGFs.</w:t>
      </w:r>
    </w:p>
    <w:bookmarkEnd w:id="1"/>
    <w:p w14:paraId="565A7EEE" w14:textId="77777777" w:rsidR="009F0376" w:rsidRPr="009F0376" w:rsidRDefault="009F0376" w:rsidP="009F0376">
      <w:pPr>
        <w:spacing w:after="0" w:line="240" w:lineRule="auto"/>
        <w:rPr>
          <w:rFonts w:ascii="Times New Roman" w:eastAsia="Times New Roman" w:hAnsi="Times New Roman" w:cs="Times New Roman"/>
          <w:b/>
          <w:sz w:val="24"/>
          <w:szCs w:val="24"/>
        </w:rPr>
      </w:pPr>
    </w:p>
    <w:p w14:paraId="565A7EF1" w14:textId="7EF75A36" w:rsidR="009F0376" w:rsidRPr="00CB2931" w:rsidRDefault="009F0376" w:rsidP="009F0376">
      <w:pPr>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b/>
          <w:sz w:val="24"/>
          <w:szCs w:val="24"/>
        </w:rPr>
        <w:t>Mission Critical Functions</w:t>
      </w:r>
      <w:r w:rsidR="00CB2931">
        <w:rPr>
          <w:rFonts w:ascii="Times New Roman" w:eastAsia="Times New Roman" w:hAnsi="Times New Roman" w:cs="Times New Roman"/>
          <w:b/>
          <w:sz w:val="24"/>
          <w:szCs w:val="24"/>
        </w:rPr>
        <w:br/>
      </w:r>
      <w:r w:rsidR="00CB2931">
        <w:rPr>
          <w:rFonts w:ascii="Times New Roman" w:eastAsia="Times New Roman" w:hAnsi="Times New Roman" w:cs="Times New Roman"/>
          <w:b/>
          <w:sz w:val="24"/>
          <w:szCs w:val="24"/>
        </w:rPr>
        <w:br/>
      </w:r>
      <w:bookmarkStart w:id="2" w:name="_Hlk31888114"/>
      <w:r w:rsidR="00A320DD">
        <w:rPr>
          <w:rFonts w:ascii="Times New Roman" w:eastAsia="Times New Roman" w:hAnsi="Times New Roman" w:cs="Times New Roman"/>
          <w:sz w:val="24"/>
          <w:szCs w:val="24"/>
        </w:rPr>
        <w:t>We reviewed c</w:t>
      </w:r>
      <w:r w:rsidRPr="009F0376">
        <w:rPr>
          <w:rFonts w:ascii="Times New Roman" w:eastAsia="Times New Roman" w:hAnsi="Times New Roman" w:cs="Times New Roman"/>
          <w:sz w:val="24"/>
          <w:szCs w:val="24"/>
        </w:rPr>
        <w:t xml:space="preserve">ontracts where contractors performed services that </w:t>
      </w:r>
      <w:r w:rsidR="006C74DB" w:rsidRPr="009F0376">
        <w:rPr>
          <w:rFonts w:ascii="Times New Roman" w:eastAsia="Times New Roman" w:hAnsi="Times New Roman" w:cs="Times New Roman"/>
          <w:sz w:val="24"/>
          <w:szCs w:val="24"/>
        </w:rPr>
        <w:t>are</w:t>
      </w:r>
      <w:r w:rsidRPr="009F0376">
        <w:rPr>
          <w:rFonts w:ascii="Times New Roman" w:eastAsia="Times New Roman" w:hAnsi="Times New Roman" w:cs="Times New Roman"/>
          <w:sz w:val="24"/>
          <w:szCs w:val="24"/>
        </w:rPr>
        <w:t xml:space="preserve"> critical functions</w:t>
      </w:r>
      <w:r w:rsidR="00A320DD">
        <w:rPr>
          <w:rFonts w:ascii="Times New Roman" w:eastAsia="Times New Roman" w:hAnsi="Times New Roman" w:cs="Times New Roman"/>
          <w:sz w:val="24"/>
          <w:szCs w:val="24"/>
        </w:rPr>
        <w:t xml:space="preserve"> that are</w:t>
      </w:r>
      <w:r w:rsidRPr="009F0376">
        <w:rPr>
          <w:rFonts w:ascii="Times New Roman" w:eastAsia="Times New Roman" w:hAnsi="Times New Roman" w:cs="Times New Roman"/>
          <w:sz w:val="24"/>
          <w:szCs w:val="24"/>
        </w:rPr>
        <w:t xml:space="preserve"> closely associated with the Department’s mission and operations</w:t>
      </w:r>
      <w:r w:rsidR="004F5723">
        <w:rPr>
          <w:rFonts w:ascii="Times New Roman" w:eastAsia="Times New Roman" w:hAnsi="Times New Roman" w:cs="Times New Roman"/>
          <w:sz w:val="24"/>
          <w:szCs w:val="24"/>
        </w:rPr>
        <w:t xml:space="preserve">. </w:t>
      </w:r>
      <w:bookmarkEnd w:id="2"/>
      <w:r w:rsidR="00A320DD">
        <w:rPr>
          <w:rFonts w:ascii="Times New Roman" w:eastAsia="Times New Roman" w:hAnsi="Times New Roman" w:cs="Times New Roman"/>
          <w:sz w:val="24"/>
          <w:szCs w:val="24"/>
        </w:rPr>
        <w:t xml:space="preserve">These </w:t>
      </w:r>
      <w:r w:rsidR="00A320DD" w:rsidRPr="009F0376">
        <w:rPr>
          <w:rFonts w:ascii="Times New Roman" w:eastAsia="Times New Roman" w:hAnsi="Times New Roman" w:cs="Times New Roman"/>
          <w:sz w:val="24"/>
          <w:szCs w:val="24"/>
        </w:rPr>
        <w:t xml:space="preserve">“mission critical” </w:t>
      </w:r>
      <w:r w:rsidR="00A320DD">
        <w:rPr>
          <w:rFonts w:ascii="Times New Roman" w:eastAsia="Times New Roman" w:hAnsi="Times New Roman" w:cs="Times New Roman"/>
          <w:sz w:val="24"/>
          <w:szCs w:val="24"/>
        </w:rPr>
        <w:t xml:space="preserve">functions included </w:t>
      </w:r>
      <w:r w:rsidR="00A320DD" w:rsidRPr="009F0376">
        <w:rPr>
          <w:rFonts w:ascii="Times New Roman" w:eastAsia="Times New Roman" w:hAnsi="Times New Roman" w:cs="Times New Roman"/>
          <w:sz w:val="24"/>
          <w:szCs w:val="24"/>
        </w:rPr>
        <w:t xml:space="preserve">assessments of educational progress, </w:t>
      </w:r>
      <w:r w:rsidR="00A320DD">
        <w:rPr>
          <w:rFonts w:ascii="Times New Roman" w:eastAsia="Times New Roman" w:hAnsi="Times New Roman" w:cs="Times New Roman"/>
          <w:sz w:val="24"/>
          <w:szCs w:val="24"/>
        </w:rPr>
        <w:t>program management oversight, student aid loan servicing, and loan collections</w:t>
      </w:r>
      <w:r w:rsidR="00A320DD" w:rsidRPr="009F0376">
        <w:rPr>
          <w:rFonts w:ascii="Times New Roman" w:eastAsia="Times New Roman" w:hAnsi="Times New Roman" w:cs="Times New Roman"/>
          <w:sz w:val="24"/>
          <w:szCs w:val="24"/>
        </w:rPr>
        <w:t>.</w:t>
      </w:r>
      <w:r w:rsidR="00A320DD">
        <w:rPr>
          <w:rFonts w:ascii="Times New Roman" w:eastAsia="Times New Roman" w:hAnsi="Times New Roman" w:cs="Times New Roman"/>
          <w:sz w:val="24"/>
          <w:szCs w:val="24"/>
        </w:rPr>
        <w:t xml:space="preserve"> We found that t</w:t>
      </w:r>
      <w:r w:rsidR="004F5723">
        <w:rPr>
          <w:rFonts w:ascii="Times New Roman" w:eastAsia="Times New Roman" w:hAnsi="Times New Roman" w:cs="Times New Roman"/>
          <w:sz w:val="24"/>
          <w:szCs w:val="24"/>
        </w:rPr>
        <w:t>h</w:t>
      </w:r>
      <w:r w:rsidR="00394BDD">
        <w:rPr>
          <w:rFonts w:ascii="Times New Roman" w:eastAsia="Times New Roman" w:hAnsi="Times New Roman" w:cs="Times New Roman"/>
          <w:sz w:val="24"/>
          <w:szCs w:val="24"/>
        </w:rPr>
        <w:t xml:space="preserve">ere were </w:t>
      </w:r>
      <w:r w:rsidR="006C74DB">
        <w:rPr>
          <w:rFonts w:ascii="Times New Roman" w:eastAsia="Times New Roman" w:hAnsi="Times New Roman" w:cs="Times New Roman"/>
          <w:sz w:val="24"/>
          <w:szCs w:val="24"/>
        </w:rPr>
        <w:t>enough</w:t>
      </w:r>
      <w:r w:rsidR="00394BDD">
        <w:rPr>
          <w:rFonts w:ascii="Times New Roman" w:eastAsia="Times New Roman" w:hAnsi="Times New Roman" w:cs="Times New Roman"/>
          <w:sz w:val="24"/>
          <w:szCs w:val="24"/>
        </w:rPr>
        <w:t xml:space="preserve"> resources in place to manage and oversee these contracts. </w:t>
      </w:r>
      <w:r w:rsidRPr="009F0376">
        <w:rPr>
          <w:rFonts w:ascii="Times New Roman" w:eastAsia="Times New Roman" w:hAnsi="Times New Roman" w:cs="Times New Roman"/>
          <w:sz w:val="24"/>
          <w:szCs w:val="24"/>
        </w:rPr>
        <w:t>The Department will continue to pay close attention to contracts where contractors perform these</w:t>
      </w:r>
      <w:r w:rsidR="003800E4">
        <w:rPr>
          <w:rFonts w:ascii="Times New Roman" w:eastAsia="Times New Roman" w:hAnsi="Times New Roman" w:cs="Times New Roman"/>
          <w:sz w:val="24"/>
          <w:szCs w:val="24"/>
        </w:rPr>
        <w:t xml:space="preserve"> types of</w:t>
      </w:r>
      <w:r w:rsidRPr="009F0376">
        <w:rPr>
          <w:rFonts w:ascii="Times New Roman" w:eastAsia="Times New Roman" w:hAnsi="Times New Roman" w:cs="Times New Roman"/>
          <w:sz w:val="24"/>
          <w:szCs w:val="24"/>
        </w:rPr>
        <w:t xml:space="preserve"> services in order to maintain </w:t>
      </w:r>
      <w:proofErr w:type="gramStart"/>
      <w:r w:rsidR="00A320DD">
        <w:rPr>
          <w:rFonts w:ascii="Times New Roman" w:eastAsia="Times New Roman" w:hAnsi="Times New Roman" w:cs="Times New Roman"/>
          <w:sz w:val="24"/>
          <w:szCs w:val="24"/>
        </w:rPr>
        <w:t>sufficient</w:t>
      </w:r>
      <w:proofErr w:type="gramEnd"/>
      <w:r w:rsidR="00A320DD">
        <w:rPr>
          <w:rFonts w:ascii="Times New Roman" w:eastAsia="Times New Roman" w:hAnsi="Times New Roman" w:cs="Times New Roman"/>
          <w:sz w:val="24"/>
          <w:szCs w:val="24"/>
        </w:rPr>
        <w:t xml:space="preserve"> </w:t>
      </w:r>
      <w:r w:rsidRPr="009F0376">
        <w:rPr>
          <w:rFonts w:ascii="Times New Roman" w:eastAsia="Times New Roman" w:hAnsi="Times New Roman" w:cs="Times New Roman"/>
          <w:sz w:val="24"/>
          <w:szCs w:val="24"/>
        </w:rPr>
        <w:t xml:space="preserve">internal control </w:t>
      </w:r>
      <w:r w:rsidR="00A320DD">
        <w:rPr>
          <w:rFonts w:ascii="Times New Roman" w:eastAsia="Times New Roman" w:hAnsi="Times New Roman" w:cs="Times New Roman"/>
          <w:sz w:val="24"/>
          <w:szCs w:val="24"/>
        </w:rPr>
        <w:t>process</w:t>
      </w:r>
      <w:r w:rsidR="00A320DD" w:rsidRPr="009F0376">
        <w:rPr>
          <w:rFonts w:ascii="Times New Roman" w:eastAsia="Times New Roman" w:hAnsi="Times New Roman" w:cs="Times New Roman"/>
          <w:sz w:val="24"/>
          <w:szCs w:val="24"/>
        </w:rPr>
        <w:t>es</w:t>
      </w:r>
      <w:r w:rsidR="00A320DD">
        <w:rPr>
          <w:rFonts w:ascii="Times New Roman" w:eastAsia="Times New Roman" w:hAnsi="Times New Roman" w:cs="Times New Roman"/>
          <w:sz w:val="24"/>
          <w:szCs w:val="24"/>
        </w:rPr>
        <w:t>,</w:t>
      </w:r>
      <w:r w:rsidR="00394BDD">
        <w:rPr>
          <w:rFonts w:ascii="Times New Roman" w:eastAsia="Times New Roman" w:hAnsi="Times New Roman" w:cs="Times New Roman"/>
          <w:sz w:val="24"/>
          <w:szCs w:val="24"/>
        </w:rPr>
        <w:t xml:space="preserve"> as it relates to </w:t>
      </w:r>
      <w:r w:rsidRPr="009F0376">
        <w:rPr>
          <w:rFonts w:ascii="Times New Roman" w:eastAsia="Times New Roman" w:hAnsi="Times New Roman" w:cs="Times New Roman"/>
          <w:sz w:val="24"/>
          <w:szCs w:val="24"/>
        </w:rPr>
        <w:t>inherently governmental</w:t>
      </w:r>
      <w:r w:rsidR="00394BDD">
        <w:rPr>
          <w:rFonts w:ascii="Times New Roman" w:eastAsia="Times New Roman" w:hAnsi="Times New Roman" w:cs="Times New Roman"/>
          <w:sz w:val="24"/>
          <w:szCs w:val="24"/>
        </w:rPr>
        <w:t xml:space="preserve"> activities.</w:t>
      </w:r>
    </w:p>
    <w:p w14:paraId="565A7EF2" w14:textId="77777777" w:rsidR="009F0376" w:rsidRPr="009F0376" w:rsidRDefault="009F0376" w:rsidP="009F0376">
      <w:pPr>
        <w:tabs>
          <w:tab w:val="left" w:pos="0"/>
        </w:tabs>
        <w:spacing w:after="0" w:line="240" w:lineRule="auto"/>
        <w:rPr>
          <w:rFonts w:ascii="Times New Roman" w:eastAsia="Times New Roman" w:hAnsi="Times New Roman" w:cs="Times New Roman"/>
          <w:sz w:val="24"/>
          <w:szCs w:val="24"/>
        </w:rPr>
      </w:pPr>
    </w:p>
    <w:p w14:paraId="565A7EF5" w14:textId="42E65589" w:rsidR="009F0376" w:rsidRPr="00CB2931" w:rsidRDefault="009F0376" w:rsidP="00CB2931">
      <w:pPr>
        <w:tabs>
          <w:tab w:val="left" w:pos="0"/>
        </w:tabs>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b/>
          <w:sz w:val="24"/>
          <w:szCs w:val="24"/>
        </w:rPr>
        <w:t>Personal Services</w:t>
      </w:r>
      <w:r w:rsidR="00CB2931">
        <w:rPr>
          <w:rFonts w:ascii="Times New Roman" w:eastAsia="Times New Roman" w:hAnsi="Times New Roman" w:cs="Times New Roman"/>
          <w:b/>
          <w:sz w:val="24"/>
          <w:szCs w:val="24"/>
        </w:rPr>
        <w:br/>
      </w:r>
      <w:r w:rsidR="00CB2931">
        <w:rPr>
          <w:rFonts w:ascii="Times New Roman" w:eastAsia="Times New Roman" w:hAnsi="Times New Roman" w:cs="Times New Roman"/>
          <w:b/>
          <w:sz w:val="24"/>
          <w:szCs w:val="24"/>
        </w:rPr>
        <w:br/>
      </w:r>
      <w:r w:rsidR="00394BDD">
        <w:rPr>
          <w:rFonts w:ascii="Times New Roman" w:eastAsia="Times New Roman" w:hAnsi="Times New Roman" w:cs="Times New Roman"/>
          <w:sz w:val="24"/>
          <w:szCs w:val="24"/>
        </w:rPr>
        <w:t>The department does not award a</w:t>
      </w:r>
      <w:r w:rsidR="002824EA">
        <w:rPr>
          <w:rFonts w:ascii="Times New Roman" w:eastAsia="Times New Roman" w:hAnsi="Times New Roman" w:cs="Times New Roman"/>
          <w:sz w:val="24"/>
          <w:szCs w:val="24"/>
        </w:rPr>
        <w:t>ny personal services contracts.</w:t>
      </w:r>
    </w:p>
    <w:p w14:paraId="565A7EF6" w14:textId="77777777" w:rsidR="002824EA" w:rsidRDefault="002824EA" w:rsidP="009F0376">
      <w:pPr>
        <w:spacing w:after="0" w:line="240" w:lineRule="auto"/>
        <w:rPr>
          <w:rFonts w:ascii="Times New Roman" w:eastAsia="Times New Roman" w:hAnsi="Times New Roman" w:cs="Times New Roman"/>
          <w:sz w:val="24"/>
          <w:szCs w:val="24"/>
        </w:rPr>
      </w:pPr>
    </w:p>
    <w:p w14:paraId="565A7EF9" w14:textId="0F2AB0D2" w:rsidR="002824EA" w:rsidRPr="009F0376" w:rsidRDefault="002824EA" w:rsidP="002824EA">
      <w:pPr>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b/>
          <w:sz w:val="24"/>
          <w:szCs w:val="24"/>
        </w:rPr>
        <w:t xml:space="preserve">Contract Management and Oversight </w:t>
      </w:r>
      <w:r w:rsidR="006106D7">
        <w:rPr>
          <w:rFonts w:ascii="Times New Roman" w:eastAsia="Times New Roman" w:hAnsi="Times New Roman" w:cs="Times New Roman"/>
          <w:b/>
          <w:sz w:val="24"/>
          <w:szCs w:val="24"/>
        </w:rPr>
        <w:br/>
      </w:r>
      <w:r w:rsidR="006106D7">
        <w:rPr>
          <w:rFonts w:ascii="Times New Roman" w:eastAsia="Times New Roman" w:hAnsi="Times New Roman" w:cs="Times New Roman"/>
          <w:b/>
          <w:sz w:val="24"/>
          <w:szCs w:val="24"/>
        </w:rPr>
        <w:br/>
      </w:r>
      <w:r w:rsidR="00CE2B67">
        <w:rPr>
          <w:rFonts w:ascii="Times New Roman" w:eastAsia="Times New Roman" w:hAnsi="Times New Roman" w:cs="Times New Roman"/>
          <w:sz w:val="24"/>
          <w:szCs w:val="24"/>
        </w:rPr>
        <w:t xml:space="preserve">Based on our review of the FPDS </w:t>
      </w:r>
      <w:r w:rsidR="00B24A4F">
        <w:rPr>
          <w:rFonts w:ascii="Times New Roman" w:eastAsia="Times New Roman" w:hAnsi="Times New Roman" w:cs="Times New Roman"/>
          <w:sz w:val="24"/>
          <w:szCs w:val="24"/>
        </w:rPr>
        <w:t>i</w:t>
      </w:r>
      <w:r w:rsidR="00CE2B67">
        <w:rPr>
          <w:rFonts w:ascii="Times New Roman" w:eastAsia="Times New Roman" w:hAnsi="Times New Roman" w:cs="Times New Roman"/>
          <w:sz w:val="24"/>
          <w:szCs w:val="24"/>
        </w:rPr>
        <w:t>nformation that was provided</w:t>
      </w:r>
      <w:r w:rsidR="00BD1427">
        <w:rPr>
          <w:rFonts w:ascii="Times New Roman" w:eastAsia="Times New Roman" w:hAnsi="Times New Roman" w:cs="Times New Roman"/>
          <w:sz w:val="24"/>
          <w:szCs w:val="24"/>
        </w:rPr>
        <w:t xml:space="preserve"> </w:t>
      </w:r>
      <w:r w:rsidR="00ED3FFD">
        <w:rPr>
          <w:rFonts w:ascii="Times New Roman" w:eastAsia="Times New Roman" w:hAnsi="Times New Roman" w:cs="Times New Roman"/>
          <w:sz w:val="24"/>
          <w:szCs w:val="24"/>
        </w:rPr>
        <w:t xml:space="preserve">from OMB to conduct </w:t>
      </w:r>
      <w:r w:rsidR="00BD1427">
        <w:rPr>
          <w:rFonts w:ascii="Times New Roman" w:eastAsia="Times New Roman" w:hAnsi="Times New Roman" w:cs="Times New Roman"/>
          <w:sz w:val="24"/>
          <w:szCs w:val="24"/>
        </w:rPr>
        <w:t xml:space="preserve">our SCI analysis, </w:t>
      </w:r>
      <w:r w:rsidR="00A320DD">
        <w:rPr>
          <w:rFonts w:ascii="Times New Roman" w:eastAsia="Times New Roman" w:hAnsi="Times New Roman" w:cs="Times New Roman"/>
          <w:sz w:val="24"/>
          <w:szCs w:val="24"/>
        </w:rPr>
        <w:t>we</w:t>
      </w:r>
      <w:r w:rsidR="00D14040">
        <w:rPr>
          <w:rFonts w:ascii="Times New Roman" w:eastAsia="Times New Roman" w:hAnsi="Times New Roman" w:cs="Times New Roman"/>
          <w:sz w:val="24"/>
          <w:szCs w:val="24"/>
        </w:rPr>
        <w:t xml:space="preserve"> concluded that </w:t>
      </w:r>
      <w:r w:rsidR="00ED3FFD">
        <w:rPr>
          <w:rFonts w:ascii="Times New Roman" w:eastAsia="Times New Roman" w:hAnsi="Times New Roman" w:cs="Times New Roman"/>
          <w:sz w:val="24"/>
          <w:szCs w:val="24"/>
        </w:rPr>
        <w:t xml:space="preserve">our </w:t>
      </w:r>
      <w:r w:rsidR="00D14040">
        <w:rPr>
          <w:rFonts w:ascii="Times New Roman" w:eastAsia="Times New Roman" w:hAnsi="Times New Roman" w:cs="Times New Roman"/>
          <w:sz w:val="24"/>
          <w:szCs w:val="24"/>
        </w:rPr>
        <w:t>agency is managing and reporting</w:t>
      </w:r>
      <w:r w:rsidRPr="009F0376">
        <w:rPr>
          <w:rFonts w:ascii="Times New Roman" w:eastAsia="Times New Roman" w:hAnsi="Times New Roman" w:cs="Times New Roman"/>
          <w:sz w:val="24"/>
          <w:szCs w:val="24"/>
        </w:rPr>
        <w:t xml:space="preserve"> contract administration functions</w:t>
      </w:r>
      <w:r w:rsidR="006F6F6A">
        <w:rPr>
          <w:rFonts w:ascii="Times New Roman" w:eastAsia="Times New Roman" w:hAnsi="Times New Roman" w:cs="Times New Roman"/>
          <w:sz w:val="24"/>
          <w:szCs w:val="24"/>
        </w:rPr>
        <w:t xml:space="preserve"> sufficiently</w:t>
      </w:r>
      <w:r w:rsidRPr="009F0376">
        <w:rPr>
          <w:rFonts w:ascii="Times New Roman" w:eastAsia="Times New Roman" w:hAnsi="Times New Roman" w:cs="Times New Roman"/>
          <w:sz w:val="24"/>
          <w:szCs w:val="24"/>
        </w:rPr>
        <w:t xml:space="preserve">. </w:t>
      </w:r>
    </w:p>
    <w:p w14:paraId="565A7EFA" w14:textId="77777777" w:rsidR="00394BDD" w:rsidRPr="009F0376" w:rsidRDefault="00394BDD" w:rsidP="009F0376">
      <w:pPr>
        <w:spacing w:after="0" w:line="240" w:lineRule="auto"/>
        <w:rPr>
          <w:rFonts w:ascii="Times New Roman" w:eastAsia="Times New Roman" w:hAnsi="Times New Roman" w:cs="Times New Roman"/>
          <w:sz w:val="24"/>
          <w:szCs w:val="24"/>
        </w:rPr>
      </w:pPr>
    </w:p>
    <w:p w14:paraId="565A7EFD" w14:textId="27CEA4D8" w:rsidR="009F0376" w:rsidRPr="006106D7" w:rsidRDefault="009F0376" w:rsidP="009F0376">
      <w:pPr>
        <w:spacing w:after="0" w:line="240" w:lineRule="auto"/>
        <w:rPr>
          <w:rFonts w:ascii="Times New Roman" w:eastAsia="Times New Roman" w:hAnsi="Times New Roman" w:cs="Times New Roman"/>
          <w:b/>
          <w:sz w:val="24"/>
          <w:szCs w:val="24"/>
        </w:rPr>
      </w:pPr>
      <w:r w:rsidRPr="009F0376">
        <w:rPr>
          <w:rFonts w:ascii="Times New Roman" w:eastAsia="Times New Roman" w:hAnsi="Times New Roman" w:cs="Times New Roman"/>
          <w:b/>
          <w:sz w:val="24"/>
          <w:szCs w:val="24"/>
        </w:rPr>
        <w:t>Summary</w:t>
      </w:r>
      <w:r w:rsidR="006106D7">
        <w:rPr>
          <w:rFonts w:ascii="Times New Roman" w:eastAsia="Times New Roman" w:hAnsi="Times New Roman" w:cs="Times New Roman"/>
          <w:b/>
          <w:sz w:val="24"/>
          <w:szCs w:val="24"/>
        </w:rPr>
        <w:br/>
      </w:r>
      <w:r w:rsidR="006106D7">
        <w:rPr>
          <w:rFonts w:ascii="Times New Roman" w:eastAsia="Times New Roman" w:hAnsi="Times New Roman" w:cs="Times New Roman"/>
          <w:b/>
          <w:sz w:val="24"/>
          <w:szCs w:val="24"/>
        </w:rPr>
        <w:br/>
      </w:r>
      <w:r w:rsidRPr="009F0376">
        <w:rPr>
          <w:rFonts w:ascii="Times New Roman" w:eastAsia="Times New Roman" w:hAnsi="Times New Roman" w:cs="Times New Roman"/>
          <w:sz w:val="24"/>
          <w:szCs w:val="24"/>
        </w:rPr>
        <w:t>The analysis of the contracts reviewed indicates:</w:t>
      </w:r>
    </w:p>
    <w:p w14:paraId="565A7EFE" w14:textId="77777777" w:rsidR="009F0376" w:rsidRPr="009F0376" w:rsidRDefault="009F0376" w:rsidP="009F0376">
      <w:pPr>
        <w:spacing w:after="0" w:line="240" w:lineRule="auto"/>
        <w:rPr>
          <w:rFonts w:ascii="Times New Roman" w:eastAsia="Times New Roman" w:hAnsi="Times New Roman" w:cs="Times New Roman"/>
          <w:sz w:val="10"/>
          <w:szCs w:val="10"/>
        </w:rPr>
      </w:pPr>
    </w:p>
    <w:p w14:paraId="565A7EFF" w14:textId="77777777" w:rsidR="009F0376" w:rsidRPr="009F0376" w:rsidRDefault="009F0376" w:rsidP="009F0376">
      <w:pPr>
        <w:numPr>
          <w:ilvl w:val="0"/>
          <w:numId w:val="5"/>
        </w:numPr>
        <w:spacing w:after="0" w:line="240" w:lineRule="auto"/>
        <w:rPr>
          <w:rFonts w:ascii="Times New Roman" w:eastAsia="Times New Roman" w:hAnsi="Times New Roman" w:cs="Times New Roman"/>
          <w:sz w:val="24"/>
          <w:szCs w:val="24"/>
        </w:rPr>
      </w:pPr>
      <w:r w:rsidRPr="009F0376">
        <w:rPr>
          <w:rFonts w:ascii="Times New Roman" w:eastAsia="Times New Roman" w:hAnsi="Times New Roman" w:cs="Times New Roman"/>
          <w:sz w:val="24"/>
          <w:szCs w:val="24"/>
        </w:rPr>
        <w:t>No evidence of contractors performing IGF services</w:t>
      </w:r>
    </w:p>
    <w:p w14:paraId="565A7F00" w14:textId="77777777" w:rsidR="009F0376" w:rsidRPr="009F0376" w:rsidRDefault="009F0376" w:rsidP="009F0376">
      <w:pPr>
        <w:numPr>
          <w:ilvl w:val="0"/>
          <w:numId w:val="5"/>
        </w:numPr>
        <w:spacing w:after="0" w:line="240" w:lineRule="auto"/>
        <w:rPr>
          <w:rFonts w:ascii="Times New Roman" w:eastAsia="Times New Roman" w:hAnsi="Times New Roman" w:cs="Times New Roman"/>
          <w:sz w:val="24"/>
          <w:szCs w:val="24"/>
        </w:rPr>
      </w:pPr>
      <w:r w:rsidRPr="009F0376">
        <w:rPr>
          <w:rFonts w:ascii="Times New Roman" w:eastAsia="Times New Roman" w:hAnsi="Times New Roman" w:cs="Times New Roman"/>
          <w:sz w:val="24"/>
          <w:szCs w:val="24"/>
        </w:rPr>
        <w:t>No evidence of contractors performing personal services</w:t>
      </w:r>
    </w:p>
    <w:p w14:paraId="565A7F01" w14:textId="77777777" w:rsidR="009F0376" w:rsidRPr="009F0376" w:rsidRDefault="009F0376" w:rsidP="009F0376">
      <w:pPr>
        <w:numPr>
          <w:ilvl w:val="0"/>
          <w:numId w:val="5"/>
        </w:numPr>
        <w:spacing w:after="0" w:line="240" w:lineRule="auto"/>
        <w:rPr>
          <w:rFonts w:ascii="Times New Roman" w:eastAsia="Times New Roman" w:hAnsi="Times New Roman" w:cs="Times New Roman"/>
          <w:sz w:val="24"/>
          <w:szCs w:val="24"/>
        </w:rPr>
      </w:pPr>
      <w:r w:rsidRPr="009F0376">
        <w:rPr>
          <w:rFonts w:ascii="Times New Roman" w:eastAsia="Times New Roman" w:hAnsi="Times New Roman" w:cs="Times New Roman"/>
          <w:sz w:val="24"/>
          <w:szCs w:val="24"/>
        </w:rPr>
        <w:t>No contracts recommended for further in-sourcing study</w:t>
      </w:r>
    </w:p>
    <w:p w14:paraId="565A7F03" w14:textId="77777777" w:rsidR="00C366B8" w:rsidRDefault="00C366B8" w:rsidP="00936028">
      <w:pPr>
        <w:spacing w:after="0" w:line="240" w:lineRule="auto"/>
        <w:rPr>
          <w:rFonts w:ascii="Times New Roman" w:eastAsia="Calibri" w:hAnsi="Times New Roman" w:cs="Times New Roman"/>
          <w:sz w:val="24"/>
          <w:szCs w:val="24"/>
        </w:rPr>
      </w:pPr>
    </w:p>
    <w:p w14:paraId="565A7F04" w14:textId="77777777" w:rsidR="00CC0DD0" w:rsidRPr="00CC0DD0" w:rsidRDefault="00CC0DD0" w:rsidP="00CC0DD0">
      <w:pPr>
        <w:spacing w:after="0" w:line="240" w:lineRule="auto"/>
        <w:rPr>
          <w:rFonts w:ascii="Times New Roman" w:eastAsia="Calibri" w:hAnsi="Times New Roman" w:cs="Times New Roman"/>
          <w:b/>
          <w:sz w:val="24"/>
          <w:szCs w:val="24"/>
        </w:rPr>
      </w:pPr>
      <w:r w:rsidRPr="00CC0DD0">
        <w:rPr>
          <w:rFonts w:ascii="Times New Roman" w:eastAsia="Calibri" w:hAnsi="Times New Roman" w:cs="Times New Roman"/>
          <w:b/>
          <w:sz w:val="24"/>
          <w:szCs w:val="24"/>
        </w:rPr>
        <w:t>D.  Actions Taken or Planned</w:t>
      </w:r>
    </w:p>
    <w:p w14:paraId="565A7F05" w14:textId="77777777" w:rsidR="00CC0DD0" w:rsidRDefault="00CC0DD0" w:rsidP="00936028">
      <w:pPr>
        <w:spacing w:after="0" w:line="240" w:lineRule="auto"/>
        <w:rPr>
          <w:rFonts w:ascii="Times New Roman" w:eastAsia="Calibri" w:hAnsi="Times New Roman" w:cs="Times New Roman"/>
          <w:sz w:val="24"/>
          <w:szCs w:val="24"/>
        </w:rPr>
      </w:pPr>
    </w:p>
    <w:p w14:paraId="565A7F06" w14:textId="618138A1" w:rsidR="009F0376" w:rsidRDefault="009F0376" w:rsidP="00936028">
      <w:pPr>
        <w:spacing w:after="0" w:line="240" w:lineRule="auto"/>
        <w:rPr>
          <w:rFonts w:ascii="Times New Roman" w:eastAsia="Calibri" w:hAnsi="Times New Roman" w:cs="Times New Roman"/>
          <w:sz w:val="24"/>
          <w:szCs w:val="24"/>
        </w:rPr>
      </w:pPr>
      <w:r w:rsidRPr="009F0376">
        <w:rPr>
          <w:rFonts w:ascii="Times New Roman" w:eastAsia="Calibri" w:hAnsi="Times New Roman" w:cs="Times New Roman"/>
          <w:sz w:val="24"/>
          <w:szCs w:val="24"/>
        </w:rPr>
        <w:t>There are no action items based on the FY201</w:t>
      </w:r>
      <w:r w:rsidR="006106D7">
        <w:rPr>
          <w:rFonts w:ascii="Times New Roman" w:eastAsia="Calibri" w:hAnsi="Times New Roman" w:cs="Times New Roman"/>
          <w:sz w:val="24"/>
          <w:szCs w:val="24"/>
        </w:rPr>
        <w:t>8</w:t>
      </w:r>
      <w:r w:rsidRPr="009F0376">
        <w:rPr>
          <w:rFonts w:ascii="Times New Roman" w:eastAsia="Calibri" w:hAnsi="Times New Roman" w:cs="Times New Roman"/>
          <w:sz w:val="24"/>
          <w:szCs w:val="24"/>
        </w:rPr>
        <w:t xml:space="preserve"> se</w:t>
      </w:r>
      <w:r w:rsidR="003602A3">
        <w:rPr>
          <w:rFonts w:ascii="Times New Roman" w:eastAsia="Calibri" w:hAnsi="Times New Roman" w:cs="Times New Roman"/>
          <w:sz w:val="24"/>
          <w:szCs w:val="24"/>
        </w:rPr>
        <w:t>rvice contract inventory review</w:t>
      </w:r>
      <w:r w:rsidRPr="009F0376">
        <w:rPr>
          <w:rFonts w:ascii="Times New Roman" w:eastAsia="Calibri" w:hAnsi="Times New Roman" w:cs="Times New Roman"/>
          <w:sz w:val="24"/>
          <w:szCs w:val="24"/>
        </w:rPr>
        <w:t>.</w:t>
      </w:r>
    </w:p>
    <w:p w14:paraId="565A7F08" w14:textId="77777777" w:rsidR="00905FF7" w:rsidRPr="00936028" w:rsidRDefault="00905FF7" w:rsidP="00936028">
      <w:pPr>
        <w:spacing w:after="0" w:line="240" w:lineRule="auto"/>
        <w:rPr>
          <w:rFonts w:ascii="Times New Roman" w:eastAsia="Calibri" w:hAnsi="Times New Roman" w:cs="Times New Roman"/>
          <w:sz w:val="24"/>
          <w:szCs w:val="24"/>
        </w:rPr>
      </w:pPr>
    </w:p>
    <w:p w14:paraId="565A7F09" w14:textId="43C7B0D3" w:rsidR="00936028" w:rsidRPr="0083453E" w:rsidRDefault="00CC0DD0" w:rsidP="00CC0DD0">
      <w:pPr>
        <w:spacing w:after="0" w:line="240" w:lineRule="auto"/>
        <w:rPr>
          <w:rFonts w:ascii="Times New Roman" w:eastAsia="Calibri" w:hAnsi="Times New Roman" w:cs="Times New Roman"/>
          <w:b/>
          <w:sz w:val="24"/>
          <w:szCs w:val="24"/>
        </w:rPr>
      </w:pPr>
      <w:r w:rsidRPr="0083453E">
        <w:rPr>
          <w:rFonts w:ascii="Times New Roman" w:eastAsia="Calibri" w:hAnsi="Times New Roman" w:cs="Times New Roman"/>
          <w:b/>
          <w:sz w:val="24"/>
          <w:szCs w:val="24"/>
        </w:rPr>
        <w:t>E.</w:t>
      </w:r>
      <w:r w:rsidR="00BB1E19">
        <w:rPr>
          <w:rFonts w:ascii="Times New Roman" w:eastAsia="Calibri" w:hAnsi="Times New Roman" w:cs="Times New Roman"/>
          <w:b/>
          <w:sz w:val="24"/>
          <w:szCs w:val="24"/>
        </w:rPr>
        <w:t xml:space="preserve"> </w:t>
      </w:r>
      <w:r w:rsidR="00926468" w:rsidRPr="0083453E">
        <w:rPr>
          <w:rFonts w:ascii="Times New Roman" w:eastAsia="Calibri" w:hAnsi="Times New Roman" w:cs="Times New Roman"/>
          <w:b/>
          <w:sz w:val="24"/>
          <w:szCs w:val="24"/>
        </w:rPr>
        <w:t xml:space="preserve"> </w:t>
      </w:r>
      <w:r w:rsidRPr="0083453E">
        <w:rPr>
          <w:rFonts w:ascii="Times New Roman" w:eastAsia="Calibri" w:hAnsi="Times New Roman" w:cs="Times New Roman"/>
          <w:b/>
          <w:sz w:val="24"/>
          <w:szCs w:val="24"/>
        </w:rPr>
        <w:t>Accountable Official</w:t>
      </w:r>
      <w:r w:rsidR="00D959FF">
        <w:rPr>
          <w:rFonts w:ascii="Times New Roman" w:eastAsia="Calibri" w:hAnsi="Times New Roman" w:cs="Times New Roman"/>
          <w:b/>
          <w:sz w:val="24"/>
          <w:szCs w:val="24"/>
        </w:rPr>
        <w:t>s</w:t>
      </w:r>
    </w:p>
    <w:p w14:paraId="565A7F0A" w14:textId="77777777" w:rsidR="00CC0DD0" w:rsidRPr="00936028" w:rsidRDefault="00CC0DD0" w:rsidP="00936028">
      <w:pPr>
        <w:spacing w:after="0" w:line="240" w:lineRule="auto"/>
        <w:rPr>
          <w:rFonts w:ascii="Times New Roman" w:eastAsia="Times New Roman" w:hAnsi="Times New Roman" w:cs="Times New Roman"/>
          <w:b/>
          <w:sz w:val="24"/>
          <w:szCs w:val="24"/>
        </w:rPr>
      </w:pPr>
    </w:p>
    <w:p w14:paraId="565A7F0B" w14:textId="77777777" w:rsidR="0074512A" w:rsidRDefault="00936028" w:rsidP="00936028">
      <w:pPr>
        <w:spacing w:after="0" w:line="240" w:lineRule="auto"/>
        <w:rPr>
          <w:rFonts w:ascii="Times New Roman" w:eastAsia="Times New Roman" w:hAnsi="Times New Roman" w:cs="Times New Roman"/>
          <w:sz w:val="24"/>
          <w:szCs w:val="24"/>
        </w:rPr>
      </w:pPr>
      <w:r w:rsidRPr="00936028">
        <w:rPr>
          <w:rFonts w:ascii="Times New Roman" w:eastAsia="Times New Roman" w:hAnsi="Times New Roman" w:cs="Times New Roman"/>
          <w:sz w:val="24"/>
          <w:szCs w:val="24"/>
        </w:rPr>
        <w:t>The Department’s senior management official who is accountable for the development of agency policies, procedures, a</w:t>
      </w:r>
      <w:r w:rsidR="00394BDD">
        <w:rPr>
          <w:rFonts w:ascii="Times New Roman" w:eastAsia="Times New Roman" w:hAnsi="Times New Roman" w:cs="Times New Roman"/>
          <w:sz w:val="24"/>
          <w:szCs w:val="24"/>
        </w:rPr>
        <w:t>nd training associated with Acquisition Management</w:t>
      </w:r>
      <w:r w:rsidR="00174045">
        <w:rPr>
          <w:rFonts w:ascii="Times New Roman" w:eastAsia="Times New Roman" w:hAnsi="Times New Roman" w:cs="Times New Roman"/>
          <w:sz w:val="24"/>
          <w:szCs w:val="24"/>
        </w:rPr>
        <w:t xml:space="preserve"> (including Service Contract Inventory Analysis) </w:t>
      </w:r>
      <w:r w:rsidR="00394BDD">
        <w:rPr>
          <w:rFonts w:ascii="Times New Roman" w:eastAsia="Times New Roman" w:hAnsi="Times New Roman" w:cs="Times New Roman"/>
          <w:sz w:val="24"/>
          <w:szCs w:val="24"/>
        </w:rPr>
        <w:t>is the Senior Procurement Executive</w:t>
      </w:r>
      <w:r w:rsidR="00174045">
        <w:rPr>
          <w:rFonts w:ascii="Times New Roman" w:eastAsia="Times New Roman" w:hAnsi="Times New Roman" w:cs="Times New Roman"/>
          <w:sz w:val="24"/>
          <w:szCs w:val="24"/>
        </w:rPr>
        <w:t xml:space="preserve">.  </w:t>
      </w:r>
    </w:p>
    <w:p w14:paraId="565A7F0C" w14:textId="77777777" w:rsidR="00174045" w:rsidRDefault="00174045" w:rsidP="00936028">
      <w:pPr>
        <w:spacing w:after="0" w:line="240" w:lineRule="auto"/>
        <w:rPr>
          <w:rFonts w:ascii="Times New Roman" w:eastAsia="Times New Roman" w:hAnsi="Times New Roman" w:cs="Times New Roman"/>
          <w:sz w:val="24"/>
          <w:szCs w:val="24"/>
        </w:rPr>
      </w:pPr>
    </w:p>
    <w:p w14:paraId="565A7F0D" w14:textId="77777777" w:rsidR="00174045" w:rsidRDefault="00174045" w:rsidP="00936028">
      <w:pPr>
        <w:spacing w:after="0" w:line="240" w:lineRule="auto"/>
        <w:rPr>
          <w:rFonts w:ascii="Times New Roman" w:hAnsi="Times New Roman" w:cs="Times New Roman"/>
        </w:rPr>
      </w:pPr>
    </w:p>
    <w:p w14:paraId="565A7F0F" w14:textId="77777777" w:rsidR="002B1B4E" w:rsidRDefault="002B1B4E" w:rsidP="00174045">
      <w:pPr>
        <w:pStyle w:val="Default"/>
        <w:jc w:val="center"/>
        <w:rPr>
          <w:rFonts w:ascii="Times New Roman" w:hAnsi="Times New Roman" w:cs="Times New Roman"/>
          <w:b/>
          <w:bCs/>
        </w:rPr>
        <w:sectPr w:rsidR="002B1B4E" w:rsidSect="009C534B">
          <w:headerReference w:type="default" r:id="rId13"/>
          <w:footerReference w:type="default" r:id="rId14"/>
          <w:footerReference w:type="first" r:id="rId15"/>
          <w:pgSz w:w="12240" w:h="15840" w:code="1"/>
          <w:pgMar w:top="1080" w:right="1080" w:bottom="1080" w:left="1080" w:header="720" w:footer="450" w:gutter="0"/>
          <w:paperSrc w:first="15"/>
          <w:pgNumType w:start="1"/>
          <w:cols w:space="720"/>
          <w:titlePg/>
          <w:docGrid w:linePitch="360"/>
        </w:sectPr>
      </w:pPr>
    </w:p>
    <w:p w14:paraId="565A7F10" w14:textId="297BA372" w:rsidR="00174045" w:rsidRPr="0093536A" w:rsidRDefault="00174045" w:rsidP="00174045">
      <w:pPr>
        <w:pStyle w:val="Default"/>
        <w:jc w:val="center"/>
        <w:rPr>
          <w:rFonts w:ascii="Times New Roman" w:hAnsi="Times New Roman" w:cs="Times New Roman"/>
        </w:rPr>
      </w:pPr>
      <w:r w:rsidRPr="00AB7B2E">
        <w:rPr>
          <w:rFonts w:ascii="Times New Roman" w:hAnsi="Times New Roman" w:cs="Times New Roman"/>
          <w:b/>
          <w:bCs/>
        </w:rPr>
        <w:lastRenderedPageBreak/>
        <w:t>FY201</w:t>
      </w:r>
      <w:r w:rsidR="00B42825">
        <w:rPr>
          <w:rFonts w:ascii="Times New Roman" w:hAnsi="Times New Roman" w:cs="Times New Roman"/>
          <w:b/>
          <w:bCs/>
        </w:rPr>
        <w:t>9</w:t>
      </w:r>
      <w:r w:rsidRPr="00AB7B2E">
        <w:rPr>
          <w:rFonts w:ascii="Times New Roman" w:hAnsi="Times New Roman" w:cs="Times New Roman"/>
          <w:b/>
          <w:bCs/>
        </w:rPr>
        <w:t xml:space="preserve"> Service Contract Inventory</w:t>
      </w:r>
      <w:r>
        <w:rPr>
          <w:rFonts w:ascii="Times New Roman" w:hAnsi="Times New Roman" w:cs="Times New Roman"/>
        </w:rPr>
        <w:t xml:space="preserve"> </w:t>
      </w:r>
      <w:r w:rsidRPr="00AB7B2E">
        <w:rPr>
          <w:rFonts w:ascii="Times New Roman" w:hAnsi="Times New Roman" w:cs="Times New Roman"/>
          <w:b/>
          <w:bCs/>
        </w:rPr>
        <w:t>Plan for Analysis</w:t>
      </w:r>
    </w:p>
    <w:p w14:paraId="565A7F11" w14:textId="77777777" w:rsidR="00174045" w:rsidRPr="00AB7B2E" w:rsidRDefault="00174045" w:rsidP="00174045">
      <w:pPr>
        <w:pStyle w:val="Default"/>
        <w:jc w:val="center"/>
        <w:rPr>
          <w:rFonts w:ascii="Times New Roman" w:hAnsi="Times New Roman" w:cs="Times New Roman"/>
          <w:b/>
          <w:bCs/>
        </w:rPr>
      </w:pPr>
    </w:p>
    <w:p w14:paraId="565A7F12" w14:textId="3BEF90F4" w:rsidR="00174045" w:rsidRDefault="00174045" w:rsidP="00174045">
      <w:pPr>
        <w:pStyle w:val="Default"/>
        <w:rPr>
          <w:rFonts w:ascii="Times New Roman" w:hAnsi="Times New Roman" w:cs="Times New Roman"/>
        </w:rPr>
      </w:pPr>
      <w:r w:rsidRPr="00AB7B2E">
        <w:rPr>
          <w:rFonts w:ascii="Times New Roman" w:hAnsi="Times New Roman" w:cs="Times New Roman"/>
        </w:rPr>
        <w:t>The Department of Education (</w:t>
      </w:r>
      <w:r>
        <w:rPr>
          <w:rFonts w:ascii="Times New Roman" w:hAnsi="Times New Roman" w:cs="Times New Roman"/>
        </w:rPr>
        <w:t>ED</w:t>
      </w:r>
      <w:r w:rsidRPr="00AB7B2E">
        <w:rPr>
          <w:rFonts w:ascii="Times New Roman" w:hAnsi="Times New Roman" w:cs="Times New Roman"/>
        </w:rPr>
        <w:t xml:space="preserve">) </w:t>
      </w:r>
      <w:r w:rsidR="00AA350B">
        <w:rPr>
          <w:rFonts w:ascii="Times New Roman" w:hAnsi="Times New Roman" w:cs="Times New Roman"/>
        </w:rPr>
        <w:t>analysis</w:t>
      </w:r>
      <w:r w:rsidRPr="00AB7B2E">
        <w:rPr>
          <w:rFonts w:ascii="Times New Roman" w:hAnsi="Times New Roman" w:cs="Times New Roman"/>
        </w:rPr>
        <w:t xml:space="preserve"> will be performed in accordance with the criteria in Consolidated Appropriations Act, 2010, (Pub. L. No. 111-117, §743</w:t>
      </w:r>
      <w:r>
        <w:rPr>
          <w:rFonts w:ascii="Times New Roman" w:hAnsi="Times New Roman" w:cs="Times New Roman"/>
        </w:rPr>
        <w:t xml:space="preserve"> </w:t>
      </w:r>
      <w:r w:rsidR="00A320DD">
        <w:rPr>
          <w:rFonts w:ascii="Times New Roman" w:hAnsi="Times New Roman" w:cs="Times New Roman"/>
        </w:rPr>
        <w:t>–</w:t>
      </w:r>
      <w:r>
        <w:rPr>
          <w:rFonts w:ascii="Times New Roman" w:hAnsi="Times New Roman" w:cs="Times New Roman"/>
        </w:rPr>
        <w:t xml:space="preserve"> </w:t>
      </w:r>
      <w:r w:rsidRPr="00AB7B2E">
        <w:rPr>
          <w:rFonts w:ascii="Times New Roman" w:hAnsi="Times New Roman" w:cs="Times New Roman"/>
        </w:rPr>
        <w:t>2009</w:t>
      </w:r>
      <w:r w:rsidR="00A320DD">
        <w:rPr>
          <w:rFonts w:ascii="Times New Roman" w:hAnsi="Times New Roman" w:cs="Times New Roman"/>
        </w:rPr>
        <w:t>)</w:t>
      </w:r>
      <w:r>
        <w:rPr>
          <w:rFonts w:ascii="Times New Roman" w:hAnsi="Times New Roman" w:cs="Times New Roman"/>
        </w:rPr>
        <w:t>. ED</w:t>
      </w:r>
      <w:r w:rsidRPr="00AB7B2E">
        <w:rPr>
          <w:rFonts w:ascii="Times New Roman" w:hAnsi="Times New Roman" w:cs="Times New Roman"/>
        </w:rPr>
        <w:t xml:space="preserve"> will develop the basic inventory </w:t>
      </w:r>
      <w:r w:rsidR="00E557CE">
        <w:rPr>
          <w:rFonts w:ascii="Times New Roman" w:hAnsi="Times New Roman" w:cs="Times New Roman"/>
        </w:rPr>
        <w:t xml:space="preserve">analysis </w:t>
      </w:r>
      <w:r w:rsidR="00150C0E">
        <w:rPr>
          <w:rFonts w:ascii="Times New Roman" w:hAnsi="Times New Roman" w:cs="Times New Roman"/>
        </w:rPr>
        <w:t>as directed and encouraged by OMB’s</w:t>
      </w:r>
      <w:r w:rsidRPr="00AB7B2E">
        <w:rPr>
          <w:rFonts w:ascii="Times New Roman" w:hAnsi="Times New Roman" w:cs="Times New Roman"/>
        </w:rPr>
        <w:t xml:space="preserve"> guidance using FPDS-NG data</w:t>
      </w:r>
      <w:r w:rsidR="00E557CE">
        <w:rPr>
          <w:rFonts w:ascii="Times New Roman" w:hAnsi="Times New Roman" w:cs="Times New Roman"/>
        </w:rPr>
        <w:t xml:space="preserve">. The following is a </w:t>
      </w:r>
      <w:r w:rsidRPr="00AB7B2E">
        <w:rPr>
          <w:rFonts w:ascii="Times New Roman" w:hAnsi="Times New Roman" w:cs="Times New Roman"/>
        </w:rPr>
        <w:t xml:space="preserve">list of </w:t>
      </w:r>
      <w:r w:rsidR="00E557CE">
        <w:rPr>
          <w:rFonts w:ascii="Times New Roman" w:hAnsi="Times New Roman" w:cs="Times New Roman"/>
        </w:rPr>
        <w:t xml:space="preserve">PSC </w:t>
      </w:r>
      <w:r w:rsidRPr="00AB7B2E">
        <w:rPr>
          <w:rFonts w:ascii="Times New Roman" w:hAnsi="Times New Roman" w:cs="Times New Roman"/>
        </w:rPr>
        <w:t>special interest functions</w:t>
      </w:r>
      <w:r w:rsidR="00E557CE">
        <w:rPr>
          <w:rFonts w:ascii="Times New Roman" w:hAnsi="Times New Roman" w:cs="Times New Roman"/>
        </w:rPr>
        <w:t xml:space="preserve"> that will be used in the Departments analysis:</w:t>
      </w:r>
    </w:p>
    <w:p w14:paraId="565A7F13" w14:textId="77777777" w:rsidR="00174045" w:rsidRDefault="00174045" w:rsidP="00174045">
      <w:pPr>
        <w:pStyle w:val="Defaul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190"/>
      </w:tblGrid>
      <w:tr w:rsidR="00EE25EC" w:rsidRPr="00BC6244" w14:paraId="565A7F16" w14:textId="77777777" w:rsidTr="00BC6244">
        <w:trPr>
          <w:trHeight w:val="377"/>
          <w:jc w:val="center"/>
        </w:trPr>
        <w:tc>
          <w:tcPr>
            <w:tcW w:w="661" w:type="dxa"/>
            <w:shd w:val="clear" w:color="auto" w:fill="auto"/>
            <w:noWrap/>
          </w:tcPr>
          <w:p w14:paraId="565A7F14" w14:textId="273FB582" w:rsidR="00EE25EC" w:rsidRPr="00BC6244" w:rsidRDefault="00EE25EC" w:rsidP="00B61A3C">
            <w:pPr>
              <w:pStyle w:val="Default"/>
              <w:rPr>
                <w:rFonts w:ascii="Times New Roman" w:hAnsi="Times New Roman" w:cs="Times New Roman"/>
                <w:b/>
                <w:sz w:val="18"/>
                <w:szCs w:val="18"/>
              </w:rPr>
            </w:pPr>
          </w:p>
        </w:tc>
        <w:tc>
          <w:tcPr>
            <w:tcW w:w="7190" w:type="dxa"/>
            <w:shd w:val="clear" w:color="auto" w:fill="auto"/>
            <w:noWrap/>
          </w:tcPr>
          <w:p w14:paraId="3F3FF22A" w14:textId="77777777" w:rsidR="00EE25EC" w:rsidRPr="00BC6244" w:rsidRDefault="00EE25EC" w:rsidP="00B61A3C">
            <w:pPr>
              <w:pStyle w:val="Default"/>
              <w:jc w:val="center"/>
              <w:rPr>
                <w:rFonts w:ascii="Times New Roman" w:hAnsi="Times New Roman" w:cs="Times New Roman"/>
                <w:b/>
                <w:bCs/>
                <w:sz w:val="18"/>
                <w:szCs w:val="18"/>
                <w:highlight w:val="yellow"/>
              </w:rPr>
            </w:pPr>
          </w:p>
          <w:p w14:paraId="365938A2" w14:textId="649EFE98" w:rsidR="00EE25EC" w:rsidRPr="00BC6244" w:rsidRDefault="00EE25EC" w:rsidP="00B61A3C">
            <w:pPr>
              <w:pStyle w:val="Default"/>
              <w:jc w:val="center"/>
              <w:rPr>
                <w:rFonts w:ascii="Times New Roman" w:hAnsi="Times New Roman" w:cs="Times New Roman"/>
                <w:b/>
                <w:bCs/>
                <w:sz w:val="18"/>
                <w:szCs w:val="18"/>
              </w:rPr>
            </w:pPr>
            <w:r w:rsidRPr="00BC6244">
              <w:rPr>
                <w:rFonts w:ascii="Times New Roman" w:hAnsi="Times New Roman" w:cs="Times New Roman"/>
                <w:b/>
                <w:bCs/>
                <w:sz w:val="18"/>
                <w:szCs w:val="18"/>
              </w:rPr>
              <w:t>OMB’s suggested PSC to review:</w:t>
            </w:r>
          </w:p>
          <w:p w14:paraId="565A7F15" w14:textId="133A158B" w:rsidR="00EE25EC" w:rsidRPr="00BC6244" w:rsidRDefault="00EE25EC" w:rsidP="00B61A3C">
            <w:pPr>
              <w:pStyle w:val="Default"/>
              <w:jc w:val="center"/>
              <w:rPr>
                <w:rFonts w:ascii="Times New Roman" w:hAnsi="Times New Roman" w:cs="Times New Roman"/>
                <w:b/>
                <w:sz w:val="18"/>
                <w:szCs w:val="18"/>
              </w:rPr>
            </w:pPr>
          </w:p>
        </w:tc>
      </w:tr>
      <w:tr w:rsidR="00EE25EC" w:rsidRPr="00BC6244" w14:paraId="35E918F1" w14:textId="77777777" w:rsidTr="00BC6244">
        <w:trPr>
          <w:trHeight w:val="197"/>
          <w:jc w:val="center"/>
        </w:trPr>
        <w:tc>
          <w:tcPr>
            <w:tcW w:w="661" w:type="dxa"/>
            <w:shd w:val="clear" w:color="auto" w:fill="auto"/>
            <w:noWrap/>
          </w:tcPr>
          <w:p w14:paraId="59D63481" w14:textId="2CD266FE" w:rsidR="00EE25EC" w:rsidRPr="00BC6244" w:rsidRDefault="00EE25EC" w:rsidP="00EE25EC">
            <w:pPr>
              <w:pStyle w:val="Default"/>
              <w:rPr>
                <w:rFonts w:ascii="Times New Roman" w:hAnsi="Times New Roman" w:cs="Times New Roman"/>
                <w:sz w:val="18"/>
                <w:szCs w:val="18"/>
              </w:rPr>
            </w:pPr>
            <w:r w:rsidRPr="00BC6244">
              <w:rPr>
                <w:rFonts w:ascii="Times New Roman" w:hAnsi="Times New Roman" w:cs="Times New Roman"/>
                <w:b/>
                <w:sz w:val="18"/>
                <w:szCs w:val="18"/>
              </w:rPr>
              <w:t>PSC</w:t>
            </w:r>
          </w:p>
        </w:tc>
        <w:tc>
          <w:tcPr>
            <w:tcW w:w="7190" w:type="dxa"/>
            <w:shd w:val="clear" w:color="auto" w:fill="auto"/>
          </w:tcPr>
          <w:p w14:paraId="09A91075" w14:textId="2C1CBE96" w:rsidR="00EE25EC" w:rsidRPr="00BC6244" w:rsidRDefault="00EE25EC" w:rsidP="00EE25EC">
            <w:pPr>
              <w:pStyle w:val="Default"/>
              <w:jc w:val="center"/>
              <w:rPr>
                <w:rFonts w:ascii="Times New Roman" w:hAnsi="Times New Roman" w:cs="Times New Roman"/>
                <w:b/>
                <w:bCs/>
                <w:sz w:val="18"/>
                <w:szCs w:val="18"/>
              </w:rPr>
            </w:pPr>
            <w:r w:rsidRPr="00BC6244">
              <w:rPr>
                <w:rFonts w:ascii="Times New Roman" w:hAnsi="Times New Roman" w:cs="Times New Roman"/>
                <w:b/>
                <w:sz w:val="18"/>
                <w:szCs w:val="18"/>
              </w:rPr>
              <w:t>Descriptions</w:t>
            </w:r>
          </w:p>
        </w:tc>
      </w:tr>
      <w:tr w:rsidR="00EE25EC" w:rsidRPr="00BC6244" w14:paraId="0831DB20" w14:textId="77777777" w:rsidTr="00BC6244">
        <w:trPr>
          <w:trHeight w:val="197"/>
          <w:jc w:val="center"/>
        </w:trPr>
        <w:tc>
          <w:tcPr>
            <w:tcW w:w="661" w:type="dxa"/>
            <w:shd w:val="clear" w:color="auto" w:fill="auto"/>
            <w:noWrap/>
          </w:tcPr>
          <w:p w14:paraId="5959B338" w14:textId="522181D8" w:rsidR="00EE25EC" w:rsidRPr="00BC6244" w:rsidRDefault="00EE25EC" w:rsidP="00EE25EC">
            <w:pPr>
              <w:pStyle w:val="Default"/>
              <w:rPr>
                <w:rFonts w:ascii="Times New Roman" w:hAnsi="Times New Roman" w:cs="Times New Roman"/>
                <w:sz w:val="18"/>
                <w:szCs w:val="18"/>
              </w:rPr>
            </w:pPr>
            <w:r w:rsidRPr="00BC6244">
              <w:rPr>
                <w:rFonts w:ascii="Times New Roman" w:hAnsi="Times New Roman" w:cs="Times New Roman"/>
                <w:sz w:val="18"/>
                <w:szCs w:val="18"/>
              </w:rPr>
              <w:t>R499</w:t>
            </w:r>
          </w:p>
        </w:tc>
        <w:tc>
          <w:tcPr>
            <w:tcW w:w="7190" w:type="dxa"/>
            <w:shd w:val="clear" w:color="auto" w:fill="auto"/>
          </w:tcPr>
          <w:p w14:paraId="613D4FF9" w14:textId="28BD453C" w:rsidR="00EE25EC" w:rsidRPr="00BC6244" w:rsidRDefault="00EE25EC" w:rsidP="00EE25EC">
            <w:pPr>
              <w:pStyle w:val="Default"/>
              <w:rPr>
                <w:rFonts w:ascii="Times New Roman" w:hAnsi="Times New Roman" w:cs="Times New Roman"/>
                <w:sz w:val="18"/>
                <w:szCs w:val="18"/>
              </w:rPr>
            </w:pPr>
            <w:r w:rsidRPr="00BC6244">
              <w:rPr>
                <w:rFonts w:ascii="Times New Roman" w:hAnsi="Times New Roman" w:cs="Times New Roman"/>
                <w:sz w:val="18"/>
                <w:szCs w:val="18"/>
              </w:rPr>
              <w:t>SUPPORT - PROFESSIONAL: OTHER</w:t>
            </w:r>
          </w:p>
        </w:tc>
      </w:tr>
      <w:tr w:rsidR="00EE25EC" w:rsidRPr="00BC6244" w14:paraId="6759396D" w14:textId="77777777" w:rsidTr="00BC6244">
        <w:trPr>
          <w:trHeight w:val="20"/>
          <w:jc w:val="center"/>
        </w:trPr>
        <w:tc>
          <w:tcPr>
            <w:tcW w:w="661" w:type="dxa"/>
            <w:shd w:val="clear" w:color="auto" w:fill="auto"/>
            <w:noWrap/>
          </w:tcPr>
          <w:p w14:paraId="79277ABD" w14:textId="60F564A1" w:rsidR="00EE25EC" w:rsidRPr="00BC6244" w:rsidRDefault="00EE25EC" w:rsidP="00EE25EC">
            <w:pPr>
              <w:pStyle w:val="Default"/>
              <w:rPr>
                <w:rFonts w:ascii="Times New Roman" w:hAnsi="Times New Roman" w:cs="Times New Roman"/>
                <w:sz w:val="18"/>
                <w:szCs w:val="18"/>
              </w:rPr>
            </w:pPr>
            <w:r w:rsidRPr="00BC6244">
              <w:rPr>
                <w:rFonts w:ascii="Times New Roman" w:hAnsi="Times New Roman" w:cs="Times New Roman"/>
                <w:sz w:val="18"/>
                <w:szCs w:val="18"/>
              </w:rPr>
              <w:t>R699</w:t>
            </w:r>
          </w:p>
        </w:tc>
        <w:tc>
          <w:tcPr>
            <w:tcW w:w="7190" w:type="dxa"/>
            <w:shd w:val="clear" w:color="auto" w:fill="auto"/>
          </w:tcPr>
          <w:p w14:paraId="7A9CAB01" w14:textId="60231DC8" w:rsidR="00EE25EC" w:rsidRPr="00BC6244" w:rsidRDefault="00EE25EC" w:rsidP="00EE25EC">
            <w:pPr>
              <w:pStyle w:val="Default"/>
              <w:rPr>
                <w:rFonts w:ascii="Times New Roman" w:hAnsi="Times New Roman" w:cs="Times New Roman"/>
                <w:sz w:val="18"/>
                <w:szCs w:val="18"/>
              </w:rPr>
            </w:pPr>
            <w:r w:rsidRPr="00BC6244">
              <w:rPr>
                <w:rFonts w:ascii="Times New Roman" w:hAnsi="Times New Roman" w:cs="Times New Roman"/>
                <w:sz w:val="18"/>
                <w:szCs w:val="18"/>
              </w:rPr>
              <w:t>SUPPORT - ADMINISTRATIVE: OTHER</w:t>
            </w:r>
          </w:p>
        </w:tc>
      </w:tr>
      <w:tr w:rsidR="00EE25EC" w:rsidRPr="00BC6244" w14:paraId="46EE2C98" w14:textId="77777777" w:rsidTr="00BC6244">
        <w:trPr>
          <w:trHeight w:val="20"/>
          <w:jc w:val="center"/>
        </w:trPr>
        <w:tc>
          <w:tcPr>
            <w:tcW w:w="661" w:type="dxa"/>
            <w:shd w:val="clear" w:color="auto" w:fill="auto"/>
            <w:noWrap/>
          </w:tcPr>
          <w:p w14:paraId="69B3E486" w14:textId="64753386" w:rsidR="00EE25EC" w:rsidRPr="00BC6244" w:rsidRDefault="00EE25EC" w:rsidP="00EE25EC">
            <w:pPr>
              <w:pStyle w:val="Default"/>
              <w:rPr>
                <w:rFonts w:ascii="Times New Roman" w:hAnsi="Times New Roman" w:cs="Times New Roman"/>
                <w:sz w:val="18"/>
                <w:szCs w:val="18"/>
              </w:rPr>
            </w:pPr>
            <w:r w:rsidRPr="00BC6244">
              <w:rPr>
                <w:rFonts w:ascii="Times New Roman" w:hAnsi="Times New Roman" w:cs="Times New Roman"/>
                <w:sz w:val="18"/>
                <w:szCs w:val="18"/>
              </w:rPr>
              <w:t>R799</w:t>
            </w:r>
          </w:p>
        </w:tc>
        <w:tc>
          <w:tcPr>
            <w:tcW w:w="7190" w:type="dxa"/>
            <w:shd w:val="clear" w:color="auto" w:fill="auto"/>
          </w:tcPr>
          <w:p w14:paraId="3552DCD2" w14:textId="514A509F" w:rsidR="00EE25EC" w:rsidRPr="00BC6244" w:rsidRDefault="00EE25EC" w:rsidP="00EE25EC">
            <w:pPr>
              <w:pStyle w:val="Default"/>
              <w:rPr>
                <w:rFonts w:ascii="Times New Roman" w:hAnsi="Times New Roman" w:cs="Times New Roman"/>
                <w:sz w:val="18"/>
                <w:szCs w:val="18"/>
              </w:rPr>
            </w:pPr>
            <w:r w:rsidRPr="00BC6244">
              <w:rPr>
                <w:rFonts w:ascii="Times New Roman" w:hAnsi="Times New Roman" w:cs="Times New Roman"/>
                <w:sz w:val="18"/>
                <w:szCs w:val="18"/>
              </w:rPr>
              <w:t>SUPPORT - MANAGEMENT: OTHER</w:t>
            </w:r>
          </w:p>
        </w:tc>
      </w:tr>
      <w:tr w:rsidR="00EE25EC" w:rsidRPr="00BC6244" w14:paraId="37AC92FB" w14:textId="77777777" w:rsidTr="00BC6244">
        <w:trPr>
          <w:trHeight w:val="20"/>
          <w:jc w:val="center"/>
        </w:trPr>
        <w:tc>
          <w:tcPr>
            <w:tcW w:w="661" w:type="dxa"/>
            <w:shd w:val="clear" w:color="auto" w:fill="auto"/>
            <w:noWrap/>
          </w:tcPr>
          <w:p w14:paraId="02B41D61" w14:textId="2B03B669" w:rsidR="00EE25EC" w:rsidRPr="00BC6244" w:rsidRDefault="00EE25EC" w:rsidP="00EE25EC">
            <w:pPr>
              <w:pStyle w:val="Default"/>
              <w:rPr>
                <w:rFonts w:ascii="Times New Roman" w:hAnsi="Times New Roman" w:cs="Times New Roman"/>
                <w:sz w:val="18"/>
                <w:szCs w:val="18"/>
                <w:highlight w:val="yellow"/>
              </w:rPr>
            </w:pPr>
          </w:p>
        </w:tc>
        <w:tc>
          <w:tcPr>
            <w:tcW w:w="7190" w:type="dxa"/>
            <w:shd w:val="clear" w:color="auto" w:fill="auto"/>
          </w:tcPr>
          <w:p w14:paraId="52D7B0F5" w14:textId="48799B08" w:rsidR="00EE25EC" w:rsidRPr="00BC6244" w:rsidRDefault="00EE25EC" w:rsidP="00EE25EC">
            <w:pPr>
              <w:pStyle w:val="Default"/>
              <w:rPr>
                <w:rFonts w:ascii="Times New Roman" w:hAnsi="Times New Roman" w:cs="Times New Roman"/>
                <w:sz w:val="18"/>
                <w:szCs w:val="18"/>
                <w:highlight w:val="yellow"/>
              </w:rPr>
            </w:pPr>
          </w:p>
        </w:tc>
      </w:tr>
      <w:tr w:rsidR="00EE25EC" w:rsidRPr="00BC6244" w14:paraId="205AF4D9" w14:textId="77777777" w:rsidTr="00BC6244">
        <w:trPr>
          <w:trHeight w:val="458"/>
          <w:jc w:val="center"/>
        </w:trPr>
        <w:tc>
          <w:tcPr>
            <w:tcW w:w="661" w:type="dxa"/>
            <w:shd w:val="clear" w:color="auto" w:fill="auto"/>
            <w:noWrap/>
          </w:tcPr>
          <w:p w14:paraId="2B2B84D5" w14:textId="77777777" w:rsidR="00EE25EC" w:rsidRPr="00BC6244" w:rsidRDefault="00EE25EC" w:rsidP="00EE25EC">
            <w:pPr>
              <w:pStyle w:val="Default"/>
              <w:rPr>
                <w:rFonts w:ascii="Times New Roman" w:hAnsi="Times New Roman" w:cs="Times New Roman"/>
                <w:sz w:val="18"/>
                <w:szCs w:val="18"/>
                <w:highlight w:val="yellow"/>
              </w:rPr>
            </w:pPr>
          </w:p>
        </w:tc>
        <w:tc>
          <w:tcPr>
            <w:tcW w:w="7190" w:type="dxa"/>
            <w:shd w:val="clear" w:color="auto" w:fill="auto"/>
          </w:tcPr>
          <w:p w14:paraId="4EC650C3" w14:textId="77777777" w:rsidR="00EE25EC" w:rsidRPr="00BC6244" w:rsidRDefault="00EE25EC" w:rsidP="00EE25EC">
            <w:pPr>
              <w:pStyle w:val="Default"/>
              <w:jc w:val="center"/>
              <w:rPr>
                <w:rFonts w:ascii="Times New Roman" w:hAnsi="Times New Roman" w:cs="Times New Roman"/>
                <w:b/>
                <w:bCs/>
                <w:sz w:val="18"/>
                <w:szCs w:val="18"/>
                <w:highlight w:val="yellow"/>
              </w:rPr>
            </w:pPr>
          </w:p>
          <w:p w14:paraId="2AFA1DB8" w14:textId="7037F8AD" w:rsidR="00EE25EC" w:rsidRPr="00BC6244" w:rsidRDefault="00EE25EC" w:rsidP="00EE25EC">
            <w:pPr>
              <w:pStyle w:val="Default"/>
              <w:jc w:val="center"/>
              <w:rPr>
                <w:rFonts w:ascii="Times New Roman" w:hAnsi="Times New Roman" w:cs="Times New Roman"/>
                <w:b/>
                <w:bCs/>
                <w:sz w:val="18"/>
                <w:szCs w:val="18"/>
              </w:rPr>
            </w:pPr>
            <w:r w:rsidRPr="00BC6244">
              <w:rPr>
                <w:rFonts w:ascii="Times New Roman" w:hAnsi="Times New Roman" w:cs="Times New Roman"/>
                <w:b/>
                <w:bCs/>
                <w:sz w:val="18"/>
                <w:szCs w:val="18"/>
              </w:rPr>
              <w:t>ED’s planned PSC to review:</w:t>
            </w:r>
          </w:p>
          <w:p w14:paraId="3F93B386" w14:textId="2915235B" w:rsidR="00EE25EC" w:rsidRPr="00BC6244" w:rsidRDefault="00EE25EC" w:rsidP="00EE25EC">
            <w:pPr>
              <w:pStyle w:val="Default"/>
              <w:jc w:val="center"/>
              <w:rPr>
                <w:rFonts w:ascii="Times New Roman" w:hAnsi="Times New Roman" w:cs="Times New Roman"/>
                <w:sz w:val="18"/>
                <w:szCs w:val="18"/>
                <w:highlight w:val="yellow"/>
              </w:rPr>
            </w:pPr>
          </w:p>
        </w:tc>
      </w:tr>
      <w:tr w:rsidR="00EE25EC" w:rsidRPr="00BC6244" w14:paraId="4E21C141" w14:textId="77777777" w:rsidTr="00BC6244">
        <w:trPr>
          <w:trHeight w:val="125"/>
          <w:jc w:val="center"/>
        </w:trPr>
        <w:tc>
          <w:tcPr>
            <w:tcW w:w="661" w:type="dxa"/>
            <w:shd w:val="clear" w:color="auto" w:fill="auto"/>
            <w:noWrap/>
          </w:tcPr>
          <w:p w14:paraId="7FF23280" w14:textId="18ADFFB1" w:rsidR="00EE25EC" w:rsidRPr="00BC6244" w:rsidRDefault="00EE25EC" w:rsidP="00EE25EC">
            <w:pPr>
              <w:pStyle w:val="Default"/>
              <w:rPr>
                <w:rFonts w:ascii="Times New Roman" w:hAnsi="Times New Roman" w:cs="Times New Roman"/>
                <w:sz w:val="18"/>
                <w:szCs w:val="18"/>
              </w:rPr>
            </w:pPr>
            <w:r w:rsidRPr="00BC6244">
              <w:rPr>
                <w:rFonts w:ascii="Times New Roman" w:hAnsi="Times New Roman" w:cs="Times New Roman"/>
                <w:b/>
                <w:sz w:val="18"/>
                <w:szCs w:val="18"/>
              </w:rPr>
              <w:t>PSC</w:t>
            </w:r>
          </w:p>
        </w:tc>
        <w:tc>
          <w:tcPr>
            <w:tcW w:w="7190" w:type="dxa"/>
            <w:shd w:val="clear" w:color="auto" w:fill="auto"/>
          </w:tcPr>
          <w:p w14:paraId="09885496" w14:textId="6636EC23" w:rsidR="00EE25EC" w:rsidRPr="00BC6244" w:rsidRDefault="00EE25EC" w:rsidP="00EE25EC">
            <w:pPr>
              <w:pStyle w:val="Default"/>
              <w:jc w:val="center"/>
              <w:rPr>
                <w:rFonts w:ascii="Times New Roman" w:hAnsi="Times New Roman" w:cs="Times New Roman"/>
                <w:sz w:val="18"/>
                <w:szCs w:val="18"/>
              </w:rPr>
            </w:pPr>
            <w:r w:rsidRPr="00BC6244">
              <w:rPr>
                <w:rFonts w:ascii="Times New Roman" w:hAnsi="Times New Roman" w:cs="Times New Roman"/>
                <w:b/>
                <w:sz w:val="18"/>
                <w:szCs w:val="18"/>
              </w:rPr>
              <w:t>Descriptions</w:t>
            </w:r>
          </w:p>
        </w:tc>
      </w:tr>
      <w:tr w:rsidR="00F35718" w:rsidRPr="00BC6244" w14:paraId="5E35057C" w14:textId="77777777" w:rsidTr="00BC6244">
        <w:trPr>
          <w:trHeight w:val="20"/>
          <w:jc w:val="center"/>
        </w:trPr>
        <w:tc>
          <w:tcPr>
            <w:tcW w:w="661" w:type="dxa"/>
            <w:shd w:val="clear" w:color="auto" w:fill="auto"/>
            <w:noWrap/>
          </w:tcPr>
          <w:p w14:paraId="481F4BAB" w14:textId="31330786" w:rsidR="00F35718" w:rsidRPr="00BC6244" w:rsidRDefault="00F35718" w:rsidP="00F35718">
            <w:pPr>
              <w:pStyle w:val="Default"/>
              <w:rPr>
                <w:rFonts w:ascii="Times New Roman" w:eastAsia="Times New Roman" w:hAnsi="Times New Roman" w:cs="Times New Roman"/>
                <w:sz w:val="18"/>
                <w:szCs w:val="18"/>
              </w:rPr>
            </w:pPr>
            <w:r w:rsidRPr="00BC6244">
              <w:rPr>
                <w:rFonts w:ascii="Times New Roman" w:hAnsi="Times New Roman" w:cs="Times New Roman"/>
                <w:sz w:val="18"/>
                <w:szCs w:val="18"/>
              </w:rPr>
              <w:t>B542</w:t>
            </w:r>
          </w:p>
        </w:tc>
        <w:tc>
          <w:tcPr>
            <w:tcW w:w="7190" w:type="dxa"/>
            <w:shd w:val="clear" w:color="auto" w:fill="auto"/>
          </w:tcPr>
          <w:p w14:paraId="73A6B9DB" w14:textId="55239001" w:rsidR="00F35718" w:rsidRPr="00BC6244" w:rsidRDefault="00F35718" w:rsidP="00F35718">
            <w:pPr>
              <w:pStyle w:val="Default"/>
              <w:rPr>
                <w:rFonts w:ascii="Times New Roman" w:eastAsia="Times New Roman" w:hAnsi="Times New Roman" w:cs="Times New Roman"/>
                <w:sz w:val="18"/>
                <w:szCs w:val="18"/>
              </w:rPr>
            </w:pPr>
            <w:r w:rsidRPr="00BC6244">
              <w:rPr>
                <w:rFonts w:ascii="Times New Roman" w:hAnsi="Times New Roman" w:cs="Times New Roman"/>
                <w:sz w:val="18"/>
                <w:szCs w:val="18"/>
              </w:rPr>
              <w:t>SPECIAL STUDIES/ANALYSIS</w:t>
            </w:r>
            <w:r w:rsidR="00F92CD7" w:rsidRPr="00BC6244">
              <w:rPr>
                <w:rFonts w:ascii="Times New Roman" w:hAnsi="Times New Roman" w:cs="Times New Roman"/>
                <w:sz w:val="18"/>
                <w:szCs w:val="18"/>
              </w:rPr>
              <w:t xml:space="preserve"> </w:t>
            </w:r>
            <w:r w:rsidRPr="00BC6244">
              <w:rPr>
                <w:rFonts w:ascii="Times New Roman" w:hAnsi="Times New Roman" w:cs="Times New Roman"/>
                <w:sz w:val="18"/>
                <w:szCs w:val="18"/>
              </w:rPr>
              <w:t>- EDUCATIONAL</w:t>
            </w:r>
          </w:p>
        </w:tc>
      </w:tr>
      <w:tr w:rsidR="00F35718" w:rsidRPr="00BC6244" w14:paraId="3B1C4A89" w14:textId="77777777" w:rsidTr="00BC6244">
        <w:trPr>
          <w:trHeight w:val="20"/>
          <w:jc w:val="center"/>
        </w:trPr>
        <w:tc>
          <w:tcPr>
            <w:tcW w:w="661" w:type="dxa"/>
            <w:shd w:val="clear" w:color="auto" w:fill="auto"/>
            <w:noWrap/>
          </w:tcPr>
          <w:p w14:paraId="24150B94" w14:textId="7081C00F" w:rsidR="00F35718" w:rsidRPr="00BC6244" w:rsidRDefault="00F35718" w:rsidP="00F35718">
            <w:pPr>
              <w:pStyle w:val="Default"/>
              <w:rPr>
                <w:rFonts w:ascii="Times New Roman" w:hAnsi="Times New Roman" w:cs="Times New Roman"/>
                <w:sz w:val="18"/>
                <w:szCs w:val="18"/>
              </w:rPr>
            </w:pPr>
            <w:r w:rsidRPr="00BC6244">
              <w:rPr>
                <w:rFonts w:ascii="Times New Roman" w:eastAsia="Times New Roman" w:hAnsi="Times New Roman" w:cs="Times New Roman"/>
                <w:sz w:val="18"/>
                <w:szCs w:val="18"/>
              </w:rPr>
              <w:t>D301</w:t>
            </w:r>
          </w:p>
        </w:tc>
        <w:tc>
          <w:tcPr>
            <w:tcW w:w="7190" w:type="dxa"/>
            <w:shd w:val="clear" w:color="auto" w:fill="auto"/>
          </w:tcPr>
          <w:p w14:paraId="5669FD03" w14:textId="6690F1FE" w:rsidR="00F35718" w:rsidRPr="00BC6244" w:rsidRDefault="00F35718" w:rsidP="00F35718">
            <w:pPr>
              <w:pStyle w:val="Default"/>
              <w:rPr>
                <w:rFonts w:ascii="Times New Roman" w:hAnsi="Times New Roman" w:cs="Times New Roman"/>
                <w:sz w:val="18"/>
                <w:szCs w:val="18"/>
              </w:rPr>
            </w:pPr>
            <w:r w:rsidRPr="00BC6244">
              <w:rPr>
                <w:rFonts w:ascii="Times New Roman" w:eastAsia="Times New Roman" w:hAnsi="Times New Roman" w:cs="Times New Roman"/>
                <w:sz w:val="18"/>
                <w:szCs w:val="18"/>
              </w:rPr>
              <w:t>IT AND TELECOM</w:t>
            </w:r>
            <w:r w:rsidR="00F92CD7" w:rsidRPr="00BC6244">
              <w:rPr>
                <w:rFonts w:ascii="Times New Roman" w:eastAsia="Times New Roman" w:hAnsi="Times New Roman" w:cs="Times New Roman"/>
                <w:sz w:val="18"/>
                <w:szCs w:val="18"/>
              </w:rPr>
              <w:t xml:space="preserve"> </w:t>
            </w:r>
            <w:r w:rsidRPr="00BC6244">
              <w:rPr>
                <w:rFonts w:ascii="Times New Roman" w:eastAsia="Times New Roman" w:hAnsi="Times New Roman" w:cs="Times New Roman"/>
                <w:sz w:val="18"/>
                <w:szCs w:val="18"/>
              </w:rPr>
              <w:t>- FACILITY OPERATION AND MAINTENANCE</w:t>
            </w:r>
          </w:p>
        </w:tc>
      </w:tr>
      <w:tr w:rsidR="00F35718" w:rsidRPr="00BC6244" w14:paraId="2EDD05C4" w14:textId="77777777" w:rsidTr="00BC6244">
        <w:trPr>
          <w:trHeight w:val="20"/>
          <w:jc w:val="center"/>
        </w:trPr>
        <w:tc>
          <w:tcPr>
            <w:tcW w:w="661" w:type="dxa"/>
            <w:shd w:val="clear" w:color="auto" w:fill="auto"/>
            <w:noWrap/>
          </w:tcPr>
          <w:p w14:paraId="7A71B4F2" w14:textId="372ADF57" w:rsidR="00F35718" w:rsidRPr="00BC6244" w:rsidRDefault="00F35718" w:rsidP="00F35718">
            <w:pPr>
              <w:pStyle w:val="Default"/>
              <w:rPr>
                <w:rFonts w:ascii="Times New Roman" w:hAnsi="Times New Roman" w:cs="Times New Roman"/>
                <w:sz w:val="18"/>
                <w:szCs w:val="18"/>
              </w:rPr>
            </w:pPr>
            <w:r w:rsidRPr="00BC6244">
              <w:rPr>
                <w:rFonts w:ascii="Times New Roman" w:hAnsi="Times New Roman" w:cs="Times New Roman"/>
                <w:sz w:val="18"/>
                <w:szCs w:val="18"/>
              </w:rPr>
              <w:t>D313</w:t>
            </w:r>
          </w:p>
        </w:tc>
        <w:tc>
          <w:tcPr>
            <w:tcW w:w="7190" w:type="dxa"/>
            <w:shd w:val="clear" w:color="auto" w:fill="auto"/>
          </w:tcPr>
          <w:p w14:paraId="7737B30E" w14:textId="50584D0E" w:rsidR="00F35718" w:rsidRPr="00BC6244" w:rsidRDefault="00F35718" w:rsidP="00F35718">
            <w:pPr>
              <w:pStyle w:val="Default"/>
              <w:rPr>
                <w:rFonts w:ascii="Times New Roman" w:hAnsi="Times New Roman" w:cs="Times New Roman"/>
                <w:sz w:val="18"/>
                <w:szCs w:val="18"/>
              </w:rPr>
            </w:pPr>
            <w:r w:rsidRPr="00BC6244">
              <w:rPr>
                <w:rFonts w:ascii="Times New Roman" w:hAnsi="Times New Roman" w:cs="Times New Roman"/>
                <w:sz w:val="18"/>
                <w:szCs w:val="18"/>
              </w:rPr>
              <w:t>IT AND TELECOM</w:t>
            </w:r>
            <w:r w:rsidR="00F92CD7" w:rsidRPr="00BC6244">
              <w:rPr>
                <w:rFonts w:ascii="Times New Roman" w:hAnsi="Times New Roman" w:cs="Times New Roman"/>
                <w:sz w:val="18"/>
                <w:szCs w:val="18"/>
              </w:rPr>
              <w:t xml:space="preserve"> </w:t>
            </w:r>
            <w:r w:rsidRPr="00BC6244">
              <w:rPr>
                <w:rFonts w:ascii="Times New Roman" w:hAnsi="Times New Roman" w:cs="Times New Roman"/>
                <w:sz w:val="18"/>
                <w:szCs w:val="18"/>
              </w:rPr>
              <w:t>- COMPUTER AIDED DESIGN/COMPUTER AIDED MANUFACTURING (CAD/CAM)</w:t>
            </w:r>
          </w:p>
        </w:tc>
      </w:tr>
      <w:tr w:rsidR="00F35718" w:rsidRPr="00BC6244" w14:paraId="7E17B152" w14:textId="77777777" w:rsidTr="00BC6244">
        <w:trPr>
          <w:trHeight w:val="20"/>
          <w:jc w:val="center"/>
        </w:trPr>
        <w:tc>
          <w:tcPr>
            <w:tcW w:w="661" w:type="dxa"/>
            <w:shd w:val="clear" w:color="auto" w:fill="auto"/>
            <w:noWrap/>
          </w:tcPr>
          <w:p w14:paraId="6B93759D" w14:textId="10B33DF1" w:rsidR="00F35718" w:rsidRPr="00BC6244" w:rsidRDefault="00F35718" w:rsidP="00F35718">
            <w:pPr>
              <w:pStyle w:val="Default"/>
              <w:rPr>
                <w:rFonts w:ascii="Times New Roman" w:hAnsi="Times New Roman" w:cs="Times New Roman"/>
                <w:sz w:val="18"/>
                <w:szCs w:val="18"/>
              </w:rPr>
            </w:pPr>
            <w:r w:rsidRPr="00BC6244">
              <w:rPr>
                <w:rFonts w:ascii="Times New Roman" w:hAnsi="Times New Roman" w:cs="Times New Roman"/>
                <w:sz w:val="18"/>
                <w:szCs w:val="18"/>
              </w:rPr>
              <w:t>D399</w:t>
            </w:r>
          </w:p>
        </w:tc>
        <w:tc>
          <w:tcPr>
            <w:tcW w:w="7190" w:type="dxa"/>
            <w:shd w:val="clear" w:color="auto" w:fill="auto"/>
          </w:tcPr>
          <w:p w14:paraId="1313EA7E" w14:textId="6601978F" w:rsidR="00F35718" w:rsidRPr="00BC6244" w:rsidRDefault="00F35718" w:rsidP="00F35718">
            <w:pPr>
              <w:pStyle w:val="Default"/>
              <w:rPr>
                <w:rFonts w:ascii="Times New Roman" w:hAnsi="Times New Roman" w:cs="Times New Roman"/>
                <w:sz w:val="18"/>
                <w:szCs w:val="18"/>
              </w:rPr>
            </w:pPr>
            <w:r w:rsidRPr="00BC6244">
              <w:rPr>
                <w:rFonts w:ascii="Times New Roman" w:hAnsi="Times New Roman" w:cs="Times New Roman"/>
                <w:sz w:val="18"/>
                <w:szCs w:val="18"/>
              </w:rPr>
              <w:t>IT AND TELECOM Other IT and TELECOMMUNICATION</w:t>
            </w:r>
            <w:r w:rsidR="00D86BA3" w:rsidRPr="00BC6244">
              <w:rPr>
                <w:rFonts w:ascii="Times New Roman" w:hAnsi="Times New Roman" w:cs="Times New Roman"/>
                <w:sz w:val="18"/>
                <w:szCs w:val="18"/>
              </w:rPr>
              <w:t>S</w:t>
            </w:r>
          </w:p>
        </w:tc>
      </w:tr>
      <w:tr w:rsidR="00F35718" w:rsidRPr="00BC6244" w14:paraId="3F3634C7" w14:textId="77777777" w:rsidTr="00BC6244">
        <w:trPr>
          <w:trHeight w:val="20"/>
          <w:jc w:val="center"/>
        </w:trPr>
        <w:tc>
          <w:tcPr>
            <w:tcW w:w="661" w:type="dxa"/>
            <w:shd w:val="clear" w:color="auto" w:fill="auto"/>
            <w:noWrap/>
          </w:tcPr>
          <w:p w14:paraId="11D97A25" w14:textId="769D180D" w:rsidR="00F35718" w:rsidRPr="00BC6244" w:rsidRDefault="00F35718" w:rsidP="00F35718">
            <w:pPr>
              <w:pStyle w:val="Default"/>
              <w:rPr>
                <w:rFonts w:ascii="Times New Roman" w:hAnsi="Times New Roman" w:cs="Times New Roman"/>
                <w:sz w:val="18"/>
                <w:szCs w:val="18"/>
              </w:rPr>
            </w:pPr>
            <w:r w:rsidRPr="00BC6244">
              <w:rPr>
                <w:rFonts w:ascii="Times New Roman" w:hAnsi="Times New Roman" w:cs="Times New Roman"/>
                <w:sz w:val="18"/>
                <w:szCs w:val="18"/>
              </w:rPr>
              <w:t>R705</w:t>
            </w:r>
          </w:p>
        </w:tc>
        <w:tc>
          <w:tcPr>
            <w:tcW w:w="7190" w:type="dxa"/>
            <w:shd w:val="clear" w:color="auto" w:fill="auto"/>
          </w:tcPr>
          <w:p w14:paraId="5F2F9363" w14:textId="03B099C5" w:rsidR="00F35718" w:rsidRPr="00BC6244" w:rsidRDefault="00F35718" w:rsidP="00F35718">
            <w:pPr>
              <w:pStyle w:val="Default"/>
              <w:rPr>
                <w:rFonts w:ascii="Times New Roman" w:hAnsi="Times New Roman" w:cs="Times New Roman"/>
                <w:sz w:val="18"/>
                <w:szCs w:val="18"/>
              </w:rPr>
            </w:pPr>
            <w:r w:rsidRPr="00BC6244">
              <w:rPr>
                <w:rFonts w:ascii="Times New Roman" w:hAnsi="Times New Roman" w:cs="Times New Roman"/>
                <w:sz w:val="18"/>
                <w:szCs w:val="18"/>
              </w:rPr>
              <w:t>SUPPORT- MANAGEMENT: DEBT COLLECTION</w:t>
            </w:r>
          </w:p>
        </w:tc>
      </w:tr>
      <w:tr w:rsidR="00F35718" w:rsidRPr="00BC6244" w14:paraId="6618ADB9" w14:textId="77777777" w:rsidTr="00BC6244">
        <w:trPr>
          <w:trHeight w:val="20"/>
          <w:jc w:val="center"/>
        </w:trPr>
        <w:tc>
          <w:tcPr>
            <w:tcW w:w="661" w:type="dxa"/>
            <w:shd w:val="clear" w:color="auto" w:fill="auto"/>
            <w:noWrap/>
          </w:tcPr>
          <w:p w14:paraId="6B140A36" w14:textId="59E0686B" w:rsidR="00F35718" w:rsidRPr="00BC6244" w:rsidRDefault="00F35718" w:rsidP="00F35718">
            <w:pPr>
              <w:pStyle w:val="Default"/>
              <w:rPr>
                <w:rFonts w:ascii="Times New Roman" w:hAnsi="Times New Roman" w:cs="Times New Roman"/>
                <w:sz w:val="18"/>
                <w:szCs w:val="18"/>
              </w:rPr>
            </w:pPr>
            <w:r w:rsidRPr="00BC6244">
              <w:rPr>
                <w:rFonts w:ascii="Times New Roman" w:hAnsi="Times New Roman" w:cs="Times New Roman"/>
                <w:sz w:val="18"/>
                <w:szCs w:val="18"/>
              </w:rPr>
              <w:t>R710</w:t>
            </w:r>
          </w:p>
        </w:tc>
        <w:tc>
          <w:tcPr>
            <w:tcW w:w="7190" w:type="dxa"/>
            <w:shd w:val="clear" w:color="auto" w:fill="auto"/>
          </w:tcPr>
          <w:p w14:paraId="7AD8B159" w14:textId="1836AB3C" w:rsidR="00F35718" w:rsidRPr="00BC6244" w:rsidRDefault="00F35718" w:rsidP="00F35718">
            <w:pPr>
              <w:pStyle w:val="Default"/>
              <w:rPr>
                <w:rFonts w:ascii="Times New Roman" w:hAnsi="Times New Roman" w:cs="Times New Roman"/>
                <w:sz w:val="18"/>
                <w:szCs w:val="18"/>
              </w:rPr>
            </w:pPr>
            <w:r w:rsidRPr="00BC6244">
              <w:rPr>
                <w:rFonts w:ascii="Times New Roman" w:hAnsi="Times New Roman" w:cs="Times New Roman"/>
                <w:sz w:val="18"/>
                <w:szCs w:val="18"/>
              </w:rPr>
              <w:t>SUPPORT- MANAGEMENT: FINANCIAL</w:t>
            </w:r>
          </w:p>
        </w:tc>
      </w:tr>
      <w:tr w:rsidR="00BC6244" w:rsidRPr="00BC6244" w14:paraId="565A7F19" w14:textId="77777777" w:rsidTr="00BC6244">
        <w:trPr>
          <w:trHeight w:val="170"/>
          <w:jc w:val="center"/>
        </w:trPr>
        <w:tc>
          <w:tcPr>
            <w:tcW w:w="661" w:type="dxa"/>
            <w:shd w:val="clear" w:color="auto" w:fill="auto"/>
            <w:noWrap/>
            <w:vAlign w:val="center"/>
          </w:tcPr>
          <w:p w14:paraId="565A7F17" w14:textId="1ABC1C0E" w:rsidR="00BC6244" w:rsidRPr="00BC6244" w:rsidRDefault="00BC6244" w:rsidP="00BC6244">
            <w:pPr>
              <w:pStyle w:val="Default"/>
              <w:rPr>
                <w:rFonts w:ascii="Times New Roman" w:hAnsi="Times New Roman" w:cs="Times New Roman"/>
                <w:sz w:val="18"/>
                <w:szCs w:val="18"/>
                <w:highlight w:val="yellow"/>
              </w:rPr>
            </w:pPr>
            <w:r w:rsidRPr="00BC6244">
              <w:rPr>
                <w:rFonts w:ascii="Times New Roman" w:eastAsia="Times New Roman" w:hAnsi="Times New Roman" w:cs="Times New Roman"/>
                <w:sz w:val="18"/>
                <w:szCs w:val="18"/>
              </w:rPr>
              <w:t>AF11</w:t>
            </w:r>
          </w:p>
        </w:tc>
        <w:tc>
          <w:tcPr>
            <w:tcW w:w="7190" w:type="dxa"/>
            <w:shd w:val="clear" w:color="auto" w:fill="auto"/>
            <w:vAlign w:val="center"/>
          </w:tcPr>
          <w:p w14:paraId="565A7F18" w14:textId="3D8CF351" w:rsidR="00BC6244" w:rsidRPr="00BC6244" w:rsidRDefault="00BC6244" w:rsidP="00BC6244">
            <w:pPr>
              <w:pStyle w:val="Default"/>
              <w:rPr>
                <w:rFonts w:ascii="Times New Roman" w:hAnsi="Times New Roman" w:cs="Times New Roman"/>
                <w:sz w:val="18"/>
                <w:szCs w:val="18"/>
                <w:highlight w:val="yellow"/>
              </w:rPr>
            </w:pPr>
            <w:r w:rsidRPr="00BC6244">
              <w:rPr>
                <w:rFonts w:ascii="Times New Roman" w:eastAsia="Times New Roman" w:hAnsi="Times New Roman" w:cs="Times New Roman"/>
                <w:sz w:val="18"/>
                <w:szCs w:val="18"/>
              </w:rPr>
              <w:t>R&amp;D - EDUCATION: EDUCATIONAL (BASIC RESEARCH)</w:t>
            </w:r>
          </w:p>
        </w:tc>
      </w:tr>
      <w:tr w:rsidR="00BC6244" w:rsidRPr="00BC6244" w14:paraId="0B939E92" w14:textId="77777777" w:rsidTr="00BC6244">
        <w:trPr>
          <w:trHeight w:val="170"/>
          <w:jc w:val="center"/>
        </w:trPr>
        <w:tc>
          <w:tcPr>
            <w:tcW w:w="661" w:type="dxa"/>
            <w:shd w:val="clear" w:color="auto" w:fill="auto"/>
            <w:noWrap/>
            <w:vAlign w:val="center"/>
          </w:tcPr>
          <w:p w14:paraId="08D0BBD1" w14:textId="77777777" w:rsidR="00BC6244" w:rsidRPr="00BC6244" w:rsidRDefault="00BC6244" w:rsidP="00BC6244">
            <w:pPr>
              <w:pStyle w:val="Default"/>
              <w:rPr>
                <w:rFonts w:ascii="Times New Roman" w:eastAsia="Times New Roman" w:hAnsi="Times New Roman" w:cs="Times New Roman"/>
                <w:sz w:val="18"/>
                <w:szCs w:val="18"/>
              </w:rPr>
            </w:pPr>
          </w:p>
        </w:tc>
        <w:tc>
          <w:tcPr>
            <w:tcW w:w="7190" w:type="dxa"/>
            <w:shd w:val="clear" w:color="auto" w:fill="auto"/>
            <w:vAlign w:val="center"/>
          </w:tcPr>
          <w:p w14:paraId="4AC1E5A4" w14:textId="77777777" w:rsidR="00BC6244" w:rsidRPr="00BC6244" w:rsidRDefault="00BC6244" w:rsidP="00BC6244">
            <w:pPr>
              <w:pStyle w:val="Default"/>
              <w:rPr>
                <w:rFonts w:ascii="Times New Roman" w:eastAsia="Times New Roman" w:hAnsi="Times New Roman" w:cs="Times New Roman"/>
                <w:sz w:val="18"/>
                <w:szCs w:val="18"/>
              </w:rPr>
            </w:pPr>
          </w:p>
        </w:tc>
      </w:tr>
    </w:tbl>
    <w:p w14:paraId="565A7F37" w14:textId="77777777" w:rsidR="00174045" w:rsidRPr="00BC6244" w:rsidRDefault="00174045" w:rsidP="00174045">
      <w:pPr>
        <w:pStyle w:val="Default"/>
        <w:rPr>
          <w:rFonts w:ascii="Times New Roman" w:hAnsi="Times New Roman" w:cs="Times New Roman"/>
          <w:sz w:val="20"/>
          <w:szCs w:val="20"/>
        </w:rPr>
      </w:pPr>
    </w:p>
    <w:p w14:paraId="565A7F39" w14:textId="775DD7DA" w:rsidR="00014BEA" w:rsidRDefault="00174045" w:rsidP="00174045">
      <w:pPr>
        <w:pStyle w:val="Default"/>
        <w:rPr>
          <w:rFonts w:ascii="Times New Roman" w:hAnsi="Times New Roman" w:cs="Times New Roman"/>
        </w:rPr>
      </w:pPr>
      <w:r>
        <w:rPr>
          <w:rFonts w:ascii="Times New Roman" w:hAnsi="Times New Roman" w:cs="Times New Roman"/>
        </w:rPr>
        <w:t>ED</w:t>
      </w:r>
      <w:r w:rsidR="009E0B4C">
        <w:rPr>
          <w:rFonts w:ascii="Times New Roman" w:hAnsi="Times New Roman" w:cs="Times New Roman"/>
        </w:rPr>
        <w:t>’s</w:t>
      </w:r>
      <w:r>
        <w:rPr>
          <w:rFonts w:ascii="Times New Roman" w:hAnsi="Times New Roman" w:cs="Times New Roman"/>
        </w:rPr>
        <w:t xml:space="preserve"> Analysis Plan</w:t>
      </w:r>
      <w:r w:rsidRPr="00AB7B2E">
        <w:rPr>
          <w:rFonts w:ascii="Times New Roman" w:hAnsi="Times New Roman" w:cs="Times New Roman"/>
        </w:rPr>
        <w:t>:</w:t>
      </w:r>
      <w:r w:rsidR="009E0B4C">
        <w:rPr>
          <w:rFonts w:ascii="Times New Roman" w:hAnsi="Times New Roman" w:cs="Times New Roman"/>
        </w:rPr>
        <w:br/>
      </w:r>
    </w:p>
    <w:p w14:paraId="565A7F3B" w14:textId="13BD61BA" w:rsidR="00174045" w:rsidRDefault="00174045" w:rsidP="00174045">
      <w:pPr>
        <w:pStyle w:val="Default"/>
        <w:spacing w:after="150"/>
        <w:contextualSpacing/>
        <w:rPr>
          <w:rFonts w:ascii="Times New Roman" w:hAnsi="Times New Roman" w:cs="Times New Roman"/>
        </w:rPr>
      </w:pPr>
      <w:r w:rsidRPr="00AB7B2E">
        <w:rPr>
          <w:rFonts w:ascii="Times New Roman" w:hAnsi="Times New Roman" w:cs="Times New Roman"/>
          <w:b/>
          <w:bCs/>
        </w:rPr>
        <w:t xml:space="preserve">Step 1: </w:t>
      </w:r>
      <w:r w:rsidRPr="00AB7B2E">
        <w:rPr>
          <w:rFonts w:ascii="Times New Roman" w:hAnsi="Times New Roman" w:cs="Times New Roman"/>
        </w:rPr>
        <w:t xml:space="preserve">Identify </w:t>
      </w:r>
      <w:r w:rsidR="00672E70">
        <w:rPr>
          <w:rFonts w:ascii="Times New Roman" w:hAnsi="Times New Roman" w:cs="Times New Roman"/>
        </w:rPr>
        <w:t xml:space="preserve">pool of </w:t>
      </w:r>
      <w:r w:rsidRPr="00AB7B2E">
        <w:rPr>
          <w:rFonts w:ascii="Times New Roman" w:hAnsi="Times New Roman" w:cs="Times New Roman"/>
        </w:rPr>
        <w:t>service contracts w</w:t>
      </w:r>
      <w:r w:rsidR="00672E70">
        <w:rPr>
          <w:rFonts w:ascii="Times New Roman" w:hAnsi="Times New Roman" w:cs="Times New Roman"/>
        </w:rPr>
        <w:t>ith special interest functions.</w:t>
      </w:r>
    </w:p>
    <w:p w14:paraId="565A7F3C" w14:textId="751DE56A" w:rsidR="00174045" w:rsidRDefault="00174045" w:rsidP="00174045">
      <w:pPr>
        <w:pStyle w:val="Default"/>
        <w:contextualSpacing/>
        <w:rPr>
          <w:rFonts w:ascii="Times New Roman" w:hAnsi="Times New Roman" w:cs="Times New Roman"/>
        </w:rPr>
      </w:pPr>
      <w:r w:rsidRPr="00AB7B2E">
        <w:rPr>
          <w:rFonts w:ascii="Times New Roman" w:hAnsi="Times New Roman" w:cs="Times New Roman"/>
          <w:b/>
          <w:bCs/>
        </w:rPr>
        <w:t xml:space="preserve">Step </w:t>
      </w:r>
      <w:r w:rsidR="009E0B4C">
        <w:rPr>
          <w:rFonts w:ascii="Times New Roman" w:hAnsi="Times New Roman" w:cs="Times New Roman"/>
          <w:b/>
          <w:bCs/>
        </w:rPr>
        <w:t>2</w:t>
      </w:r>
      <w:r w:rsidRPr="00AB7B2E">
        <w:rPr>
          <w:rFonts w:ascii="Times New Roman" w:hAnsi="Times New Roman" w:cs="Times New Roman"/>
          <w:b/>
          <w:bCs/>
        </w:rPr>
        <w:t xml:space="preserve">: </w:t>
      </w:r>
      <w:r w:rsidR="00014BEA" w:rsidRPr="00AA350B">
        <w:rPr>
          <w:rFonts w:ascii="Times New Roman" w:hAnsi="Times New Roman" w:cs="Times New Roman"/>
          <w:bCs/>
        </w:rPr>
        <w:t>I</w:t>
      </w:r>
      <w:r w:rsidRPr="00AB7B2E">
        <w:rPr>
          <w:rFonts w:ascii="Times New Roman" w:hAnsi="Times New Roman" w:cs="Times New Roman"/>
        </w:rPr>
        <w:t xml:space="preserve">dentify contracts for review </w:t>
      </w:r>
      <w:bookmarkStart w:id="3" w:name="_Hlk31209138"/>
      <w:r w:rsidR="00DC1093">
        <w:rPr>
          <w:rFonts w:ascii="Times New Roman" w:hAnsi="Times New Roman" w:cs="Times New Roman"/>
        </w:rPr>
        <w:t xml:space="preserve">by </w:t>
      </w:r>
      <w:r>
        <w:rPr>
          <w:rFonts w:ascii="Times New Roman" w:hAnsi="Times New Roman" w:cs="Times New Roman"/>
        </w:rPr>
        <w:t xml:space="preserve">using </w:t>
      </w:r>
      <w:r w:rsidR="00DC1093">
        <w:rPr>
          <w:rFonts w:ascii="Times New Roman" w:hAnsi="Times New Roman" w:cs="Times New Roman"/>
        </w:rPr>
        <w:t xml:space="preserve">OMB’s FY2019 Government-wide Service Contract </w:t>
      </w:r>
      <w:r w:rsidR="0089330E">
        <w:rPr>
          <w:rFonts w:ascii="Times New Roman" w:hAnsi="Times New Roman" w:cs="Times New Roman"/>
        </w:rPr>
        <w:t xml:space="preserve"> </w:t>
      </w:r>
      <w:r w:rsidR="0089330E">
        <w:rPr>
          <w:rFonts w:ascii="Times New Roman" w:hAnsi="Times New Roman" w:cs="Times New Roman"/>
        </w:rPr>
        <w:br/>
        <w:t xml:space="preserve">             </w:t>
      </w:r>
      <w:r w:rsidR="00DC1093">
        <w:rPr>
          <w:rFonts w:ascii="Times New Roman" w:hAnsi="Times New Roman" w:cs="Times New Roman"/>
        </w:rPr>
        <w:t>Inventory</w:t>
      </w:r>
      <w:r w:rsidR="0089330E">
        <w:rPr>
          <w:rFonts w:ascii="Times New Roman" w:hAnsi="Times New Roman" w:cs="Times New Roman"/>
        </w:rPr>
        <w:t xml:space="preserve"> report</w:t>
      </w:r>
      <w:r>
        <w:rPr>
          <w:rFonts w:ascii="Times New Roman" w:hAnsi="Times New Roman" w:cs="Times New Roman"/>
        </w:rPr>
        <w:t>.</w:t>
      </w:r>
      <w:bookmarkEnd w:id="3"/>
    </w:p>
    <w:p w14:paraId="565A7F40" w14:textId="1B55939D" w:rsidR="00174045" w:rsidRPr="00AB7B2E" w:rsidRDefault="00174045" w:rsidP="00174045">
      <w:pPr>
        <w:pStyle w:val="Default"/>
        <w:contextualSpacing/>
        <w:rPr>
          <w:rFonts w:ascii="Times New Roman" w:hAnsi="Times New Roman" w:cs="Times New Roman"/>
        </w:rPr>
      </w:pPr>
      <w:r w:rsidRPr="00AB7B2E">
        <w:rPr>
          <w:rFonts w:ascii="Times New Roman" w:hAnsi="Times New Roman" w:cs="Times New Roman"/>
          <w:b/>
          <w:bCs/>
        </w:rPr>
        <w:t xml:space="preserve">Step </w:t>
      </w:r>
      <w:r w:rsidR="009E0B4C">
        <w:rPr>
          <w:rFonts w:ascii="Times New Roman" w:hAnsi="Times New Roman" w:cs="Times New Roman"/>
          <w:b/>
          <w:bCs/>
        </w:rPr>
        <w:t>3</w:t>
      </w:r>
      <w:r w:rsidRPr="00AB7B2E">
        <w:rPr>
          <w:rFonts w:ascii="Times New Roman" w:hAnsi="Times New Roman" w:cs="Times New Roman"/>
          <w:b/>
          <w:bCs/>
        </w:rPr>
        <w:t xml:space="preserve">: </w:t>
      </w:r>
      <w:r>
        <w:rPr>
          <w:rFonts w:ascii="Times New Roman" w:hAnsi="Times New Roman" w:cs="Times New Roman"/>
          <w:bCs/>
        </w:rPr>
        <w:t>Draft re</w:t>
      </w:r>
      <w:r>
        <w:rPr>
          <w:rFonts w:ascii="Times New Roman" w:hAnsi="Times New Roman" w:cs="Times New Roman"/>
        </w:rPr>
        <w:t>port summarizing results of analysis.</w:t>
      </w:r>
    </w:p>
    <w:p w14:paraId="565A7F41" w14:textId="77777777" w:rsidR="00174045" w:rsidRPr="008F03FE" w:rsidRDefault="00174045" w:rsidP="00936028">
      <w:pPr>
        <w:spacing w:after="0" w:line="240" w:lineRule="auto"/>
        <w:rPr>
          <w:rFonts w:ascii="Times New Roman" w:hAnsi="Times New Roman" w:cs="Times New Roman"/>
        </w:rPr>
      </w:pPr>
    </w:p>
    <w:sectPr w:rsidR="00174045" w:rsidRPr="008F03FE" w:rsidSect="009C534B">
      <w:pgSz w:w="12240" w:h="15840" w:code="1"/>
      <w:pgMar w:top="1080" w:right="1080" w:bottom="1080" w:left="1080" w:header="720" w:footer="450" w:gutter="0"/>
      <w:paperSrc w:first="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A3F9" w14:textId="77777777" w:rsidR="00281732" w:rsidRDefault="00281732" w:rsidP="008F03FE">
      <w:pPr>
        <w:spacing w:after="0" w:line="240" w:lineRule="auto"/>
      </w:pPr>
      <w:r>
        <w:separator/>
      </w:r>
    </w:p>
  </w:endnote>
  <w:endnote w:type="continuationSeparator" w:id="0">
    <w:p w14:paraId="05C8B1B2" w14:textId="77777777" w:rsidR="00281732" w:rsidRDefault="00281732" w:rsidP="008F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7F49" w14:textId="28436F79" w:rsidR="002B1B4E" w:rsidRPr="0006469B" w:rsidRDefault="0006469B" w:rsidP="0006469B">
    <w:pPr>
      <w:pStyle w:val="Header"/>
      <w:jc w:val="right"/>
      <w:rPr>
        <w:rFonts w:ascii="Times New Roman" w:hAnsi="Times New Roman" w:cs="Times New Roman"/>
      </w:rPr>
    </w:pPr>
    <w:r w:rsidRPr="0006469B">
      <w:rPr>
        <w:rFonts w:ascii="Times New Roman" w:hAnsi="Times New Roman" w:cs="Times New Roman"/>
      </w:rPr>
      <w:ptab w:relativeTo="margin" w:alignment="center" w:leader="none"/>
    </w:r>
    <w:r>
      <w:rPr>
        <w:rFonts w:ascii="Times New Roman" w:hAnsi="Times New Roman" w:cs="Times New Roman"/>
      </w:rPr>
      <w:t>Department of Education Service Contract Inventory Report FY 201</w:t>
    </w:r>
    <w:r w:rsidR="00F84503">
      <w:rPr>
        <w:rFonts w:ascii="Times New Roman" w:hAnsi="Times New Roman" w:cs="Times New Roman"/>
      </w:rPr>
      <w:t>8</w:t>
    </w:r>
    <w:r>
      <w:rPr>
        <w:rFonts w:ascii="Times New Roman" w:hAnsi="Times New Roman" w:cs="Times New Roman"/>
      </w:rPr>
      <w:t xml:space="preserve"> </w:t>
    </w:r>
    <w:r w:rsidRPr="0006469B">
      <w:rPr>
        <w:rFonts w:ascii="Times New Roman" w:hAnsi="Times New Roman" w:cs="Times New Roman"/>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7F4A" w14:textId="77777777" w:rsidR="008F03FE" w:rsidRPr="008F03FE" w:rsidRDefault="008F03FE" w:rsidP="008F03FE">
    <w:pPr>
      <w:pStyle w:val="Footer"/>
      <w:jc w:val="center"/>
      <w:rPr>
        <w:rFonts w:ascii="Times New Roman" w:hAnsi="Times New Roman" w:cs="Times New Roma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36887" w14:textId="77777777" w:rsidR="00281732" w:rsidRDefault="00281732" w:rsidP="008F03FE">
      <w:pPr>
        <w:spacing w:after="0" w:line="240" w:lineRule="auto"/>
      </w:pPr>
      <w:r>
        <w:separator/>
      </w:r>
    </w:p>
  </w:footnote>
  <w:footnote w:type="continuationSeparator" w:id="0">
    <w:p w14:paraId="6A79E855" w14:textId="77777777" w:rsidR="00281732" w:rsidRDefault="00281732" w:rsidP="008F0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7F48" w14:textId="77777777" w:rsidR="008F03FE" w:rsidRDefault="009C534B" w:rsidP="008F03FE">
    <w:pPr>
      <w:pStyle w:val="Header"/>
      <w:jc w:val="right"/>
    </w:pPr>
    <w:r>
      <w:fldChar w:fldCharType="begin"/>
    </w:r>
    <w:r>
      <w:instrText xml:space="preserve"> PAGE   \* MERGEFORMAT </w:instrText>
    </w:r>
    <w:r>
      <w:fldChar w:fldCharType="separate"/>
    </w:r>
    <w:r w:rsidR="0078751A">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448E"/>
    <w:multiLevelType w:val="hybridMultilevel"/>
    <w:tmpl w:val="91AC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302A8"/>
    <w:multiLevelType w:val="hybridMultilevel"/>
    <w:tmpl w:val="1A6C1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A5964"/>
    <w:multiLevelType w:val="hybridMultilevel"/>
    <w:tmpl w:val="1938D3AC"/>
    <w:lvl w:ilvl="0" w:tplc="EC1225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9B13B5"/>
    <w:multiLevelType w:val="hybridMultilevel"/>
    <w:tmpl w:val="415E2D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5B"/>
    <w:rsid w:val="000118D6"/>
    <w:rsid w:val="00014BEA"/>
    <w:rsid w:val="00015178"/>
    <w:rsid w:val="000202D8"/>
    <w:rsid w:val="00052E73"/>
    <w:rsid w:val="0006469B"/>
    <w:rsid w:val="00085130"/>
    <w:rsid w:val="00086DC6"/>
    <w:rsid w:val="00095A51"/>
    <w:rsid w:val="000A118E"/>
    <w:rsid w:val="000C02CE"/>
    <w:rsid w:val="00105306"/>
    <w:rsid w:val="001370FD"/>
    <w:rsid w:val="00144589"/>
    <w:rsid w:val="00150C0E"/>
    <w:rsid w:val="00157AE3"/>
    <w:rsid w:val="001644D0"/>
    <w:rsid w:val="00165954"/>
    <w:rsid w:val="001704FD"/>
    <w:rsid w:val="001713BD"/>
    <w:rsid w:val="001718B0"/>
    <w:rsid w:val="00171A9D"/>
    <w:rsid w:val="00174045"/>
    <w:rsid w:val="00174B90"/>
    <w:rsid w:val="00175D0B"/>
    <w:rsid w:val="0017635B"/>
    <w:rsid w:val="0017792E"/>
    <w:rsid w:val="00180150"/>
    <w:rsid w:val="001876BD"/>
    <w:rsid w:val="001968B1"/>
    <w:rsid w:val="001B12CE"/>
    <w:rsid w:val="001B7D41"/>
    <w:rsid w:val="001C2503"/>
    <w:rsid w:val="001C28D0"/>
    <w:rsid w:val="001D7444"/>
    <w:rsid w:val="001E432E"/>
    <w:rsid w:val="001E59AC"/>
    <w:rsid w:val="001E64DF"/>
    <w:rsid w:val="001F2EA0"/>
    <w:rsid w:val="0020443C"/>
    <w:rsid w:val="002123F8"/>
    <w:rsid w:val="00216196"/>
    <w:rsid w:val="00231033"/>
    <w:rsid w:val="002312AA"/>
    <w:rsid w:val="00235D71"/>
    <w:rsid w:val="002368D1"/>
    <w:rsid w:val="00240A15"/>
    <w:rsid w:val="00243A8E"/>
    <w:rsid w:val="0024528D"/>
    <w:rsid w:val="00250CE2"/>
    <w:rsid w:val="00281732"/>
    <w:rsid w:val="002824EA"/>
    <w:rsid w:val="00297D20"/>
    <w:rsid w:val="002B1B4E"/>
    <w:rsid w:val="002B7D33"/>
    <w:rsid w:val="002D2720"/>
    <w:rsid w:val="002D576E"/>
    <w:rsid w:val="002E3FAC"/>
    <w:rsid w:val="002E4615"/>
    <w:rsid w:val="003050E9"/>
    <w:rsid w:val="00314F09"/>
    <w:rsid w:val="00317112"/>
    <w:rsid w:val="003206F4"/>
    <w:rsid w:val="00325499"/>
    <w:rsid w:val="0032737B"/>
    <w:rsid w:val="00333138"/>
    <w:rsid w:val="00340A5F"/>
    <w:rsid w:val="00344DAB"/>
    <w:rsid w:val="00356C97"/>
    <w:rsid w:val="003602A3"/>
    <w:rsid w:val="00370261"/>
    <w:rsid w:val="00371018"/>
    <w:rsid w:val="00374BF2"/>
    <w:rsid w:val="00376F39"/>
    <w:rsid w:val="003800E4"/>
    <w:rsid w:val="00387778"/>
    <w:rsid w:val="0039002B"/>
    <w:rsid w:val="00394BDD"/>
    <w:rsid w:val="003A4FF1"/>
    <w:rsid w:val="003A709C"/>
    <w:rsid w:val="003B1EDB"/>
    <w:rsid w:val="003B629B"/>
    <w:rsid w:val="003B6D66"/>
    <w:rsid w:val="003D13A2"/>
    <w:rsid w:val="003F0348"/>
    <w:rsid w:val="004130EC"/>
    <w:rsid w:val="0041717D"/>
    <w:rsid w:val="0042273A"/>
    <w:rsid w:val="00425A42"/>
    <w:rsid w:val="004358A0"/>
    <w:rsid w:val="00436799"/>
    <w:rsid w:val="00446CBD"/>
    <w:rsid w:val="00447430"/>
    <w:rsid w:val="00450ED2"/>
    <w:rsid w:val="0045479A"/>
    <w:rsid w:val="0046338D"/>
    <w:rsid w:val="0046718B"/>
    <w:rsid w:val="004922F2"/>
    <w:rsid w:val="00495F0F"/>
    <w:rsid w:val="004A58CB"/>
    <w:rsid w:val="004A776C"/>
    <w:rsid w:val="004B5BAF"/>
    <w:rsid w:val="004B662D"/>
    <w:rsid w:val="004B6AB3"/>
    <w:rsid w:val="004C2172"/>
    <w:rsid w:val="004F4AAB"/>
    <w:rsid w:val="004F5723"/>
    <w:rsid w:val="00510701"/>
    <w:rsid w:val="00517A8F"/>
    <w:rsid w:val="00583D40"/>
    <w:rsid w:val="00593771"/>
    <w:rsid w:val="0059658C"/>
    <w:rsid w:val="005A2722"/>
    <w:rsid w:val="005C0BCB"/>
    <w:rsid w:val="005C0FA1"/>
    <w:rsid w:val="005C62B0"/>
    <w:rsid w:val="005C6C8F"/>
    <w:rsid w:val="005C7A1C"/>
    <w:rsid w:val="005D2682"/>
    <w:rsid w:val="005E1552"/>
    <w:rsid w:val="005E1C25"/>
    <w:rsid w:val="005E47BB"/>
    <w:rsid w:val="005F0F52"/>
    <w:rsid w:val="00603BC4"/>
    <w:rsid w:val="0060656D"/>
    <w:rsid w:val="006106D7"/>
    <w:rsid w:val="006162F8"/>
    <w:rsid w:val="00634CF5"/>
    <w:rsid w:val="00640947"/>
    <w:rsid w:val="00641169"/>
    <w:rsid w:val="006503BF"/>
    <w:rsid w:val="00672E70"/>
    <w:rsid w:val="0067623A"/>
    <w:rsid w:val="006A3480"/>
    <w:rsid w:val="006A4A05"/>
    <w:rsid w:val="006B1803"/>
    <w:rsid w:val="006C74DB"/>
    <w:rsid w:val="006D5CA3"/>
    <w:rsid w:val="006E11E1"/>
    <w:rsid w:val="006E485D"/>
    <w:rsid w:val="006E6B6A"/>
    <w:rsid w:val="006F6F6A"/>
    <w:rsid w:val="00701B35"/>
    <w:rsid w:val="00712EAF"/>
    <w:rsid w:val="00717959"/>
    <w:rsid w:val="00727AD8"/>
    <w:rsid w:val="00732769"/>
    <w:rsid w:val="007404DF"/>
    <w:rsid w:val="0074512A"/>
    <w:rsid w:val="0074555C"/>
    <w:rsid w:val="00746FA2"/>
    <w:rsid w:val="00747C9C"/>
    <w:rsid w:val="00763011"/>
    <w:rsid w:val="00764209"/>
    <w:rsid w:val="007676BC"/>
    <w:rsid w:val="00773F1D"/>
    <w:rsid w:val="007754DB"/>
    <w:rsid w:val="007754FB"/>
    <w:rsid w:val="0078751A"/>
    <w:rsid w:val="00796056"/>
    <w:rsid w:val="007A3BE4"/>
    <w:rsid w:val="007A48BB"/>
    <w:rsid w:val="007A6787"/>
    <w:rsid w:val="007B7EC2"/>
    <w:rsid w:val="007C6508"/>
    <w:rsid w:val="007E0E72"/>
    <w:rsid w:val="007F69F1"/>
    <w:rsid w:val="0080055C"/>
    <w:rsid w:val="00806D22"/>
    <w:rsid w:val="00817220"/>
    <w:rsid w:val="00817260"/>
    <w:rsid w:val="00821591"/>
    <w:rsid w:val="008238CF"/>
    <w:rsid w:val="0083453E"/>
    <w:rsid w:val="00846E5A"/>
    <w:rsid w:val="00864175"/>
    <w:rsid w:val="00881AF1"/>
    <w:rsid w:val="00884530"/>
    <w:rsid w:val="0089330E"/>
    <w:rsid w:val="008B4E71"/>
    <w:rsid w:val="008C31C3"/>
    <w:rsid w:val="008D10AD"/>
    <w:rsid w:val="008D4EA2"/>
    <w:rsid w:val="008E1A7E"/>
    <w:rsid w:val="008F03FE"/>
    <w:rsid w:val="009002FF"/>
    <w:rsid w:val="00905FF7"/>
    <w:rsid w:val="00907B27"/>
    <w:rsid w:val="00926468"/>
    <w:rsid w:val="00936028"/>
    <w:rsid w:val="009427DD"/>
    <w:rsid w:val="009803D8"/>
    <w:rsid w:val="00982FB6"/>
    <w:rsid w:val="00985017"/>
    <w:rsid w:val="00995C66"/>
    <w:rsid w:val="00997CB6"/>
    <w:rsid w:val="009C534B"/>
    <w:rsid w:val="009D2E27"/>
    <w:rsid w:val="009E0B4C"/>
    <w:rsid w:val="009E4FD2"/>
    <w:rsid w:val="009F0376"/>
    <w:rsid w:val="009F502E"/>
    <w:rsid w:val="009F6867"/>
    <w:rsid w:val="00A055FF"/>
    <w:rsid w:val="00A13086"/>
    <w:rsid w:val="00A14B59"/>
    <w:rsid w:val="00A320DD"/>
    <w:rsid w:val="00A479E8"/>
    <w:rsid w:val="00A577A6"/>
    <w:rsid w:val="00A71F7E"/>
    <w:rsid w:val="00A86D74"/>
    <w:rsid w:val="00AA123D"/>
    <w:rsid w:val="00AA350B"/>
    <w:rsid w:val="00AC5928"/>
    <w:rsid w:val="00AC6417"/>
    <w:rsid w:val="00AD1192"/>
    <w:rsid w:val="00AE7622"/>
    <w:rsid w:val="00AF7965"/>
    <w:rsid w:val="00B24A4F"/>
    <w:rsid w:val="00B42825"/>
    <w:rsid w:val="00B463E8"/>
    <w:rsid w:val="00B53D2C"/>
    <w:rsid w:val="00B54121"/>
    <w:rsid w:val="00B54E49"/>
    <w:rsid w:val="00B828E4"/>
    <w:rsid w:val="00B90660"/>
    <w:rsid w:val="00B92170"/>
    <w:rsid w:val="00BB1E19"/>
    <w:rsid w:val="00BC6244"/>
    <w:rsid w:val="00BD1427"/>
    <w:rsid w:val="00BD5ED3"/>
    <w:rsid w:val="00C04157"/>
    <w:rsid w:val="00C07489"/>
    <w:rsid w:val="00C07886"/>
    <w:rsid w:val="00C07BEC"/>
    <w:rsid w:val="00C11C04"/>
    <w:rsid w:val="00C1231C"/>
    <w:rsid w:val="00C339FE"/>
    <w:rsid w:val="00C35EDC"/>
    <w:rsid w:val="00C366B8"/>
    <w:rsid w:val="00C37F87"/>
    <w:rsid w:val="00C516E6"/>
    <w:rsid w:val="00C92D3A"/>
    <w:rsid w:val="00C94C11"/>
    <w:rsid w:val="00CB0411"/>
    <w:rsid w:val="00CB2931"/>
    <w:rsid w:val="00CC0DD0"/>
    <w:rsid w:val="00CD6339"/>
    <w:rsid w:val="00CE2B67"/>
    <w:rsid w:val="00CF1419"/>
    <w:rsid w:val="00CF58FF"/>
    <w:rsid w:val="00D00172"/>
    <w:rsid w:val="00D04923"/>
    <w:rsid w:val="00D14040"/>
    <w:rsid w:val="00D1414A"/>
    <w:rsid w:val="00D14B41"/>
    <w:rsid w:val="00D25AA1"/>
    <w:rsid w:val="00D42305"/>
    <w:rsid w:val="00D47E2D"/>
    <w:rsid w:val="00D57038"/>
    <w:rsid w:val="00D72B46"/>
    <w:rsid w:val="00D86BA3"/>
    <w:rsid w:val="00D959FF"/>
    <w:rsid w:val="00DA43F0"/>
    <w:rsid w:val="00DB0136"/>
    <w:rsid w:val="00DC1093"/>
    <w:rsid w:val="00DD1BB6"/>
    <w:rsid w:val="00DD6F4D"/>
    <w:rsid w:val="00DE19EA"/>
    <w:rsid w:val="00DF74F1"/>
    <w:rsid w:val="00E06695"/>
    <w:rsid w:val="00E268AD"/>
    <w:rsid w:val="00E301C3"/>
    <w:rsid w:val="00E310FC"/>
    <w:rsid w:val="00E41C08"/>
    <w:rsid w:val="00E4736C"/>
    <w:rsid w:val="00E557CE"/>
    <w:rsid w:val="00E724B1"/>
    <w:rsid w:val="00E76B90"/>
    <w:rsid w:val="00E80440"/>
    <w:rsid w:val="00E8077C"/>
    <w:rsid w:val="00E87AE1"/>
    <w:rsid w:val="00E93779"/>
    <w:rsid w:val="00E9379C"/>
    <w:rsid w:val="00EA1E7B"/>
    <w:rsid w:val="00EC011A"/>
    <w:rsid w:val="00EC0F24"/>
    <w:rsid w:val="00ED3FFD"/>
    <w:rsid w:val="00EE25EC"/>
    <w:rsid w:val="00EF0B05"/>
    <w:rsid w:val="00EF49DC"/>
    <w:rsid w:val="00EF4F40"/>
    <w:rsid w:val="00EF68C7"/>
    <w:rsid w:val="00F0004B"/>
    <w:rsid w:val="00F108FE"/>
    <w:rsid w:val="00F17135"/>
    <w:rsid w:val="00F22E2E"/>
    <w:rsid w:val="00F233EF"/>
    <w:rsid w:val="00F25515"/>
    <w:rsid w:val="00F35718"/>
    <w:rsid w:val="00F412BA"/>
    <w:rsid w:val="00F56220"/>
    <w:rsid w:val="00F62924"/>
    <w:rsid w:val="00F777FD"/>
    <w:rsid w:val="00F84503"/>
    <w:rsid w:val="00F86708"/>
    <w:rsid w:val="00F901D7"/>
    <w:rsid w:val="00F92CD7"/>
    <w:rsid w:val="00FA2FAF"/>
    <w:rsid w:val="00FA66E2"/>
    <w:rsid w:val="00FA7671"/>
    <w:rsid w:val="00FC1562"/>
    <w:rsid w:val="00FC58B1"/>
    <w:rsid w:val="00FD5921"/>
    <w:rsid w:val="00FF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5A7E58"/>
  <w15:docId w15:val="{54BE9D94-30EA-41CB-8C3C-0F87D19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22"/>
    <w:rPr>
      <w:rFonts w:ascii="Tahoma" w:hAnsi="Tahoma" w:cs="Tahoma"/>
      <w:sz w:val="16"/>
      <w:szCs w:val="16"/>
    </w:rPr>
  </w:style>
  <w:style w:type="paragraph" w:styleId="Header">
    <w:name w:val="header"/>
    <w:basedOn w:val="Normal"/>
    <w:link w:val="HeaderChar"/>
    <w:uiPriority w:val="99"/>
    <w:unhideWhenUsed/>
    <w:rsid w:val="008F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3FE"/>
  </w:style>
  <w:style w:type="paragraph" w:styleId="Footer">
    <w:name w:val="footer"/>
    <w:basedOn w:val="Normal"/>
    <w:link w:val="FooterChar"/>
    <w:uiPriority w:val="99"/>
    <w:unhideWhenUsed/>
    <w:rsid w:val="008F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3FE"/>
  </w:style>
  <w:style w:type="character" w:styleId="Hyperlink">
    <w:name w:val="Hyperlink"/>
    <w:basedOn w:val="DefaultParagraphFont"/>
    <w:uiPriority w:val="99"/>
    <w:unhideWhenUsed/>
    <w:rsid w:val="008F03FE"/>
    <w:rPr>
      <w:color w:val="0000FF" w:themeColor="hyperlink"/>
      <w:u w:val="single"/>
    </w:rPr>
  </w:style>
  <w:style w:type="character" w:styleId="CommentReference">
    <w:name w:val="annotation reference"/>
    <w:uiPriority w:val="99"/>
    <w:semiHidden/>
    <w:unhideWhenUsed/>
    <w:rsid w:val="00936028"/>
    <w:rPr>
      <w:sz w:val="16"/>
      <w:szCs w:val="16"/>
    </w:rPr>
  </w:style>
  <w:style w:type="paragraph" w:styleId="CommentText">
    <w:name w:val="annotation text"/>
    <w:basedOn w:val="Normal"/>
    <w:link w:val="CommentTextChar"/>
    <w:uiPriority w:val="99"/>
    <w:semiHidden/>
    <w:unhideWhenUsed/>
    <w:rsid w:val="009360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36028"/>
    <w:rPr>
      <w:rFonts w:ascii="Times New Roman" w:eastAsia="Times New Roman" w:hAnsi="Times New Roman" w:cs="Times New Roman"/>
      <w:sz w:val="20"/>
      <w:szCs w:val="20"/>
    </w:rPr>
  </w:style>
  <w:style w:type="paragraph" w:styleId="ListParagraph">
    <w:name w:val="List Paragraph"/>
    <w:basedOn w:val="Normal"/>
    <w:uiPriority w:val="34"/>
    <w:qFormat/>
    <w:rsid w:val="00CC0DD0"/>
    <w:pPr>
      <w:ind w:left="720"/>
      <w:contextualSpacing/>
    </w:pPr>
  </w:style>
  <w:style w:type="paragraph" w:styleId="CommentSubject">
    <w:name w:val="annotation subject"/>
    <w:basedOn w:val="CommentText"/>
    <w:next w:val="CommentText"/>
    <w:link w:val="CommentSubjectChar"/>
    <w:uiPriority w:val="99"/>
    <w:semiHidden/>
    <w:unhideWhenUsed/>
    <w:rsid w:val="002452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28D"/>
    <w:rPr>
      <w:rFonts w:ascii="Times New Roman" w:eastAsia="Times New Roman" w:hAnsi="Times New Roman" w:cs="Times New Roman"/>
      <w:b/>
      <w:bCs/>
      <w:sz w:val="20"/>
      <w:szCs w:val="20"/>
    </w:rPr>
  </w:style>
  <w:style w:type="paragraph" w:styleId="Revision">
    <w:name w:val="Revision"/>
    <w:hidden/>
    <w:uiPriority w:val="99"/>
    <w:semiHidden/>
    <w:rsid w:val="0024528D"/>
    <w:pPr>
      <w:spacing w:after="0" w:line="240" w:lineRule="auto"/>
    </w:pPr>
  </w:style>
  <w:style w:type="paragraph" w:customStyle="1" w:styleId="Default">
    <w:name w:val="Default"/>
    <w:rsid w:val="00174045"/>
    <w:pPr>
      <w:autoSpaceDE w:val="0"/>
      <w:autoSpaceDN w:val="0"/>
      <w:adjustRightInd w:val="0"/>
      <w:spacing w:after="0" w:line="240" w:lineRule="auto"/>
    </w:pPr>
    <w:rPr>
      <w:rFonts w:ascii="Calibri" w:hAnsi="Calibri" w:cs="Calibri"/>
      <w:color w:val="000000"/>
      <w:sz w:val="24"/>
      <w:szCs w:val="24"/>
    </w:rPr>
  </w:style>
  <w:style w:type="paragraph" w:customStyle="1" w:styleId="DecimalAligned">
    <w:name w:val="Decimal Aligned"/>
    <w:basedOn w:val="Normal"/>
    <w:uiPriority w:val="40"/>
    <w:qFormat/>
    <w:rsid w:val="007B7EC2"/>
    <w:pPr>
      <w:tabs>
        <w:tab w:val="decimal" w:pos="360"/>
      </w:tabs>
    </w:pPr>
    <w:rPr>
      <w:lang w:eastAsia="ja-JP"/>
    </w:rPr>
  </w:style>
  <w:style w:type="paragraph" w:styleId="FootnoteText">
    <w:name w:val="footnote text"/>
    <w:basedOn w:val="Normal"/>
    <w:link w:val="FootnoteTextChar"/>
    <w:uiPriority w:val="99"/>
    <w:unhideWhenUsed/>
    <w:rsid w:val="007B7EC2"/>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7B7EC2"/>
    <w:rPr>
      <w:rFonts w:eastAsiaTheme="minorEastAsia"/>
      <w:sz w:val="20"/>
      <w:szCs w:val="20"/>
      <w:lang w:eastAsia="ja-JP"/>
    </w:rPr>
  </w:style>
  <w:style w:type="character" w:styleId="SubtleEmphasis">
    <w:name w:val="Subtle Emphasis"/>
    <w:basedOn w:val="DefaultParagraphFont"/>
    <w:uiPriority w:val="19"/>
    <w:qFormat/>
    <w:rsid w:val="007B7EC2"/>
    <w:rPr>
      <w:i/>
      <w:iCs/>
      <w:color w:val="7F7F7F" w:themeColor="text1" w:themeTint="80"/>
    </w:rPr>
  </w:style>
  <w:style w:type="table" w:styleId="MediumShading2-Accent5">
    <w:name w:val="Medium Shading 2 Accent 5"/>
    <w:basedOn w:val="TableNormal"/>
    <w:uiPriority w:val="64"/>
    <w:rsid w:val="007B7EC2"/>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0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7444"/>
    <w:rPr>
      <w:color w:val="800080" w:themeColor="followedHyperlink"/>
      <w:u w:val="single"/>
    </w:rPr>
  </w:style>
  <w:style w:type="paragraph" w:styleId="BodyText">
    <w:name w:val="Body Text"/>
    <w:basedOn w:val="Normal"/>
    <w:link w:val="BodyTextChar"/>
    <w:uiPriority w:val="1"/>
    <w:qFormat/>
    <w:rsid w:val="000A118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A118E"/>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2824">
      <w:bodyDiv w:val="1"/>
      <w:marLeft w:val="0"/>
      <w:marRight w:val="0"/>
      <w:marTop w:val="0"/>
      <w:marBottom w:val="0"/>
      <w:divBdr>
        <w:top w:val="none" w:sz="0" w:space="0" w:color="auto"/>
        <w:left w:val="none" w:sz="0" w:space="0" w:color="auto"/>
        <w:bottom w:val="none" w:sz="0" w:space="0" w:color="auto"/>
        <w:right w:val="none" w:sz="0" w:space="0" w:color="auto"/>
      </w:divBdr>
    </w:div>
    <w:div w:id="88350479">
      <w:bodyDiv w:val="1"/>
      <w:marLeft w:val="0"/>
      <w:marRight w:val="0"/>
      <w:marTop w:val="0"/>
      <w:marBottom w:val="0"/>
      <w:divBdr>
        <w:top w:val="none" w:sz="0" w:space="0" w:color="auto"/>
        <w:left w:val="none" w:sz="0" w:space="0" w:color="auto"/>
        <w:bottom w:val="none" w:sz="0" w:space="0" w:color="auto"/>
        <w:right w:val="none" w:sz="0" w:space="0" w:color="auto"/>
      </w:divBdr>
      <w:divsChild>
        <w:div w:id="1660814550">
          <w:marLeft w:val="0"/>
          <w:marRight w:val="0"/>
          <w:marTop w:val="0"/>
          <w:marBottom w:val="0"/>
          <w:divBdr>
            <w:top w:val="none" w:sz="0" w:space="0" w:color="auto"/>
            <w:left w:val="none" w:sz="0" w:space="0" w:color="auto"/>
            <w:bottom w:val="none" w:sz="0" w:space="0" w:color="auto"/>
            <w:right w:val="none" w:sz="0" w:space="0" w:color="auto"/>
          </w:divBdr>
        </w:div>
        <w:div w:id="257908785">
          <w:marLeft w:val="0"/>
          <w:marRight w:val="0"/>
          <w:marTop w:val="0"/>
          <w:marBottom w:val="0"/>
          <w:divBdr>
            <w:top w:val="none" w:sz="0" w:space="0" w:color="auto"/>
            <w:left w:val="none" w:sz="0" w:space="0" w:color="auto"/>
            <w:bottom w:val="none" w:sz="0" w:space="0" w:color="auto"/>
            <w:right w:val="none" w:sz="0" w:space="0" w:color="auto"/>
          </w:divBdr>
        </w:div>
        <w:div w:id="1279871975">
          <w:marLeft w:val="0"/>
          <w:marRight w:val="0"/>
          <w:marTop w:val="0"/>
          <w:marBottom w:val="0"/>
          <w:divBdr>
            <w:top w:val="none" w:sz="0" w:space="0" w:color="auto"/>
            <w:left w:val="none" w:sz="0" w:space="0" w:color="auto"/>
            <w:bottom w:val="none" w:sz="0" w:space="0" w:color="auto"/>
            <w:right w:val="none" w:sz="0" w:space="0" w:color="auto"/>
          </w:divBdr>
        </w:div>
        <w:div w:id="107504357">
          <w:marLeft w:val="0"/>
          <w:marRight w:val="0"/>
          <w:marTop w:val="0"/>
          <w:marBottom w:val="0"/>
          <w:divBdr>
            <w:top w:val="none" w:sz="0" w:space="0" w:color="auto"/>
            <w:left w:val="none" w:sz="0" w:space="0" w:color="auto"/>
            <w:bottom w:val="none" w:sz="0" w:space="0" w:color="auto"/>
            <w:right w:val="none" w:sz="0" w:space="0" w:color="auto"/>
          </w:divBdr>
        </w:div>
        <w:div w:id="41289890">
          <w:marLeft w:val="0"/>
          <w:marRight w:val="0"/>
          <w:marTop w:val="0"/>
          <w:marBottom w:val="0"/>
          <w:divBdr>
            <w:top w:val="none" w:sz="0" w:space="0" w:color="auto"/>
            <w:left w:val="none" w:sz="0" w:space="0" w:color="auto"/>
            <w:bottom w:val="none" w:sz="0" w:space="0" w:color="auto"/>
            <w:right w:val="none" w:sz="0" w:space="0" w:color="auto"/>
          </w:divBdr>
        </w:div>
        <w:div w:id="1023749070">
          <w:marLeft w:val="0"/>
          <w:marRight w:val="0"/>
          <w:marTop w:val="0"/>
          <w:marBottom w:val="0"/>
          <w:divBdr>
            <w:top w:val="none" w:sz="0" w:space="0" w:color="auto"/>
            <w:left w:val="none" w:sz="0" w:space="0" w:color="auto"/>
            <w:bottom w:val="none" w:sz="0" w:space="0" w:color="auto"/>
            <w:right w:val="none" w:sz="0" w:space="0" w:color="auto"/>
          </w:divBdr>
        </w:div>
      </w:divsChild>
    </w:div>
    <w:div w:id="129979969">
      <w:bodyDiv w:val="1"/>
      <w:marLeft w:val="0"/>
      <w:marRight w:val="0"/>
      <w:marTop w:val="0"/>
      <w:marBottom w:val="0"/>
      <w:divBdr>
        <w:top w:val="none" w:sz="0" w:space="0" w:color="auto"/>
        <w:left w:val="none" w:sz="0" w:space="0" w:color="auto"/>
        <w:bottom w:val="none" w:sz="0" w:space="0" w:color="auto"/>
        <w:right w:val="none" w:sz="0" w:space="0" w:color="auto"/>
      </w:divBdr>
    </w:div>
    <w:div w:id="172644326">
      <w:bodyDiv w:val="1"/>
      <w:marLeft w:val="0"/>
      <w:marRight w:val="0"/>
      <w:marTop w:val="0"/>
      <w:marBottom w:val="0"/>
      <w:divBdr>
        <w:top w:val="none" w:sz="0" w:space="0" w:color="auto"/>
        <w:left w:val="none" w:sz="0" w:space="0" w:color="auto"/>
        <w:bottom w:val="none" w:sz="0" w:space="0" w:color="auto"/>
        <w:right w:val="none" w:sz="0" w:space="0" w:color="auto"/>
      </w:divBdr>
    </w:div>
    <w:div w:id="206338173">
      <w:bodyDiv w:val="1"/>
      <w:marLeft w:val="0"/>
      <w:marRight w:val="0"/>
      <w:marTop w:val="0"/>
      <w:marBottom w:val="0"/>
      <w:divBdr>
        <w:top w:val="none" w:sz="0" w:space="0" w:color="auto"/>
        <w:left w:val="none" w:sz="0" w:space="0" w:color="auto"/>
        <w:bottom w:val="none" w:sz="0" w:space="0" w:color="auto"/>
        <w:right w:val="none" w:sz="0" w:space="0" w:color="auto"/>
      </w:divBdr>
    </w:div>
    <w:div w:id="446630021">
      <w:bodyDiv w:val="1"/>
      <w:marLeft w:val="0"/>
      <w:marRight w:val="0"/>
      <w:marTop w:val="0"/>
      <w:marBottom w:val="0"/>
      <w:divBdr>
        <w:top w:val="none" w:sz="0" w:space="0" w:color="auto"/>
        <w:left w:val="none" w:sz="0" w:space="0" w:color="auto"/>
        <w:bottom w:val="none" w:sz="0" w:space="0" w:color="auto"/>
        <w:right w:val="none" w:sz="0" w:space="0" w:color="auto"/>
      </w:divBdr>
    </w:div>
    <w:div w:id="554393665">
      <w:bodyDiv w:val="1"/>
      <w:marLeft w:val="0"/>
      <w:marRight w:val="0"/>
      <w:marTop w:val="0"/>
      <w:marBottom w:val="0"/>
      <w:divBdr>
        <w:top w:val="none" w:sz="0" w:space="0" w:color="auto"/>
        <w:left w:val="none" w:sz="0" w:space="0" w:color="auto"/>
        <w:bottom w:val="none" w:sz="0" w:space="0" w:color="auto"/>
        <w:right w:val="none" w:sz="0" w:space="0" w:color="auto"/>
      </w:divBdr>
    </w:div>
    <w:div w:id="642856382">
      <w:bodyDiv w:val="1"/>
      <w:marLeft w:val="0"/>
      <w:marRight w:val="0"/>
      <w:marTop w:val="0"/>
      <w:marBottom w:val="0"/>
      <w:divBdr>
        <w:top w:val="none" w:sz="0" w:space="0" w:color="auto"/>
        <w:left w:val="none" w:sz="0" w:space="0" w:color="auto"/>
        <w:bottom w:val="none" w:sz="0" w:space="0" w:color="auto"/>
        <w:right w:val="none" w:sz="0" w:space="0" w:color="auto"/>
      </w:divBdr>
    </w:div>
    <w:div w:id="706293922">
      <w:bodyDiv w:val="1"/>
      <w:marLeft w:val="0"/>
      <w:marRight w:val="0"/>
      <w:marTop w:val="0"/>
      <w:marBottom w:val="0"/>
      <w:divBdr>
        <w:top w:val="none" w:sz="0" w:space="0" w:color="auto"/>
        <w:left w:val="none" w:sz="0" w:space="0" w:color="auto"/>
        <w:bottom w:val="none" w:sz="0" w:space="0" w:color="auto"/>
        <w:right w:val="none" w:sz="0" w:space="0" w:color="auto"/>
      </w:divBdr>
    </w:div>
    <w:div w:id="816916714">
      <w:bodyDiv w:val="1"/>
      <w:marLeft w:val="0"/>
      <w:marRight w:val="0"/>
      <w:marTop w:val="0"/>
      <w:marBottom w:val="0"/>
      <w:divBdr>
        <w:top w:val="none" w:sz="0" w:space="0" w:color="auto"/>
        <w:left w:val="none" w:sz="0" w:space="0" w:color="auto"/>
        <w:bottom w:val="none" w:sz="0" w:space="0" w:color="auto"/>
        <w:right w:val="none" w:sz="0" w:space="0" w:color="auto"/>
      </w:divBdr>
    </w:div>
    <w:div w:id="820462525">
      <w:bodyDiv w:val="1"/>
      <w:marLeft w:val="0"/>
      <w:marRight w:val="0"/>
      <w:marTop w:val="0"/>
      <w:marBottom w:val="0"/>
      <w:divBdr>
        <w:top w:val="none" w:sz="0" w:space="0" w:color="auto"/>
        <w:left w:val="none" w:sz="0" w:space="0" w:color="auto"/>
        <w:bottom w:val="none" w:sz="0" w:space="0" w:color="auto"/>
        <w:right w:val="none" w:sz="0" w:space="0" w:color="auto"/>
      </w:divBdr>
    </w:div>
    <w:div w:id="832333574">
      <w:bodyDiv w:val="1"/>
      <w:marLeft w:val="0"/>
      <w:marRight w:val="0"/>
      <w:marTop w:val="0"/>
      <w:marBottom w:val="0"/>
      <w:divBdr>
        <w:top w:val="none" w:sz="0" w:space="0" w:color="auto"/>
        <w:left w:val="none" w:sz="0" w:space="0" w:color="auto"/>
        <w:bottom w:val="none" w:sz="0" w:space="0" w:color="auto"/>
        <w:right w:val="none" w:sz="0" w:space="0" w:color="auto"/>
      </w:divBdr>
    </w:div>
    <w:div w:id="936476664">
      <w:bodyDiv w:val="1"/>
      <w:marLeft w:val="0"/>
      <w:marRight w:val="0"/>
      <w:marTop w:val="0"/>
      <w:marBottom w:val="0"/>
      <w:divBdr>
        <w:top w:val="none" w:sz="0" w:space="0" w:color="auto"/>
        <w:left w:val="none" w:sz="0" w:space="0" w:color="auto"/>
        <w:bottom w:val="none" w:sz="0" w:space="0" w:color="auto"/>
        <w:right w:val="none" w:sz="0" w:space="0" w:color="auto"/>
      </w:divBdr>
    </w:div>
    <w:div w:id="946623785">
      <w:bodyDiv w:val="1"/>
      <w:marLeft w:val="0"/>
      <w:marRight w:val="0"/>
      <w:marTop w:val="0"/>
      <w:marBottom w:val="0"/>
      <w:divBdr>
        <w:top w:val="none" w:sz="0" w:space="0" w:color="auto"/>
        <w:left w:val="none" w:sz="0" w:space="0" w:color="auto"/>
        <w:bottom w:val="none" w:sz="0" w:space="0" w:color="auto"/>
        <w:right w:val="none" w:sz="0" w:space="0" w:color="auto"/>
      </w:divBdr>
    </w:div>
    <w:div w:id="991182452">
      <w:bodyDiv w:val="1"/>
      <w:marLeft w:val="0"/>
      <w:marRight w:val="0"/>
      <w:marTop w:val="0"/>
      <w:marBottom w:val="0"/>
      <w:divBdr>
        <w:top w:val="none" w:sz="0" w:space="0" w:color="auto"/>
        <w:left w:val="none" w:sz="0" w:space="0" w:color="auto"/>
        <w:bottom w:val="none" w:sz="0" w:space="0" w:color="auto"/>
        <w:right w:val="none" w:sz="0" w:space="0" w:color="auto"/>
      </w:divBdr>
    </w:div>
    <w:div w:id="1001274089">
      <w:bodyDiv w:val="1"/>
      <w:marLeft w:val="0"/>
      <w:marRight w:val="0"/>
      <w:marTop w:val="0"/>
      <w:marBottom w:val="0"/>
      <w:divBdr>
        <w:top w:val="none" w:sz="0" w:space="0" w:color="auto"/>
        <w:left w:val="none" w:sz="0" w:space="0" w:color="auto"/>
        <w:bottom w:val="none" w:sz="0" w:space="0" w:color="auto"/>
        <w:right w:val="none" w:sz="0" w:space="0" w:color="auto"/>
      </w:divBdr>
    </w:div>
    <w:div w:id="1397166644">
      <w:bodyDiv w:val="1"/>
      <w:marLeft w:val="0"/>
      <w:marRight w:val="0"/>
      <w:marTop w:val="0"/>
      <w:marBottom w:val="0"/>
      <w:divBdr>
        <w:top w:val="none" w:sz="0" w:space="0" w:color="auto"/>
        <w:left w:val="none" w:sz="0" w:space="0" w:color="auto"/>
        <w:bottom w:val="none" w:sz="0" w:space="0" w:color="auto"/>
        <w:right w:val="none" w:sz="0" w:space="0" w:color="auto"/>
      </w:divBdr>
    </w:div>
    <w:div w:id="1617787285">
      <w:bodyDiv w:val="1"/>
      <w:marLeft w:val="0"/>
      <w:marRight w:val="0"/>
      <w:marTop w:val="0"/>
      <w:marBottom w:val="0"/>
      <w:divBdr>
        <w:top w:val="none" w:sz="0" w:space="0" w:color="auto"/>
        <w:left w:val="none" w:sz="0" w:space="0" w:color="auto"/>
        <w:bottom w:val="none" w:sz="0" w:space="0" w:color="auto"/>
        <w:right w:val="none" w:sz="0" w:space="0" w:color="auto"/>
      </w:divBdr>
    </w:div>
    <w:div w:id="1659266367">
      <w:bodyDiv w:val="1"/>
      <w:marLeft w:val="0"/>
      <w:marRight w:val="0"/>
      <w:marTop w:val="0"/>
      <w:marBottom w:val="0"/>
      <w:divBdr>
        <w:top w:val="none" w:sz="0" w:space="0" w:color="auto"/>
        <w:left w:val="none" w:sz="0" w:space="0" w:color="auto"/>
        <w:bottom w:val="none" w:sz="0" w:space="0" w:color="auto"/>
        <w:right w:val="none" w:sz="0" w:space="0" w:color="auto"/>
      </w:divBdr>
    </w:div>
    <w:div w:id="1721786128">
      <w:bodyDiv w:val="1"/>
      <w:marLeft w:val="0"/>
      <w:marRight w:val="0"/>
      <w:marTop w:val="0"/>
      <w:marBottom w:val="0"/>
      <w:divBdr>
        <w:top w:val="none" w:sz="0" w:space="0" w:color="auto"/>
        <w:left w:val="none" w:sz="0" w:space="0" w:color="auto"/>
        <w:bottom w:val="none" w:sz="0" w:space="0" w:color="auto"/>
        <w:right w:val="none" w:sz="0" w:space="0" w:color="auto"/>
      </w:divBdr>
    </w:div>
    <w:div w:id="1744450833">
      <w:bodyDiv w:val="1"/>
      <w:marLeft w:val="0"/>
      <w:marRight w:val="0"/>
      <w:marTop w:val="0"/>
      <w:marBottom w:val="0"/>
      <w:divBdr>
        <w:top w:val="none" w:sz="0" w:space="0" w:color="auto"/>
        <w:left w:val="none" w:sz="0" w:space="0" w:color="auto"/>
        <w:bottom w:val="none" w:sz="0" w:space="0" w:color="auto"/>
        <w:right w:val="none" w:sz="0" w:space="0" w:color="auto"/>
      </w:divBdr>
    </w:div>
    <w:div w:id="1752773866">
      <w:bodyDiv w:val="1"/>
      <w:marLeft w:val="0"/>
      <w:marRight w:val="0"/>
      <w:marTop w:val="0"/>
      <w:marBottom w:val="0"/>
      <w:divBdr>
        <w:top w:val="none" w:sz="0" w:space="0" w:color="auto"/>
        <w:left w:val="none" w:sz="0" w:space="0" w:color="auto"/>
        <w:bottom w:val="none" w:sz="0" w:space="0" w:color="auto"/>
        <w:right w:val="none" w:sz="0" w:space="0" w:color="auto"/>
      </w:divBdr>
    </w:div>
    <w:div w:id="1840391675">
      <w:bodyDiv w:val="1"/>
      <w:marLeft w:val="0"/>
      <w:marRight w:val="0"/>
      <w:marTop w:val="0"/>
      <w:marBottom w:val="0"/>
      <w:divBdr>
        <w:top w:val="none" w:sz="0" w:space="0" w:color="auto"/>
        <w:left w:val="none" w:sz="0" w:space="0" w:color="auto"/>
        <w:bottom w:val="none" w:sz="0" w:space="0" w:color="auto"/>
        <w:right w:val="none" w:sz="0" w:space="0" w:color="auto"/>
      </w:divBdr>
    </w:div>
    <w:div w:id="1947881301">
      <w:bodyDiv w:val="1"/>
      <w:marLeft w:val="0"/>
      <w:marRight w:val="0"/>
      <w:marTop w:val="0"/>
      <w:marBottom w:val="0"/>
      <w:divBdr>
        <w:top w:val="none" w:sz="0" w:space="0" w:color="auto"/>
        <w:left w:val="none" w:sz="0" w:space="0" w:color="auto"/>
        <w:bottom w:val="none" w:sz="0" w:space="0" w:color="auto"/>
        <w:right w:val="none" w:sz="0" w:space="0" w:color="auto"/>
      </w:divBdr>
    </w:div>
    <w:div w:id="2048682290">
      <w:bodyDiv w:val="1"/>
      <w:marLeft w:val="0"/>
      <w:marRight w:val="0"/>
      <w:marTop w:val="0"/>
      <w:marBottom w:val="0"/>
      <w:divBdr>
        <w:top w:val="none" w:sz="0" w:space="0" w:color="auto"/>
        <w:left w:val="none" w:sz="0" w:space="0" w:color="auto"/>
        <w:bottom w:val="none" w:sz="0" w:space="0" w:color="auto"/>
        <w:right w:val="none" w:sz="0" w:space="0" w:color="auto"/>
      </w:divBdr>
    </w:div>
    <w:div w:id="2063558089">
      <w:bodyDiv w:val="1"/>
      <w:marLeft w:val="0"/>
      <w:marRight w:val="0"/>
      <w:marTop w:val="0"/>
      <w:marBottom w:val="0"/>
      <w:divBdr>
        <w:top w:val="none" w:sz="0" w:space="0" w:color="auto"/>
        <w:left w:val="none" w:sz="0" w:space="0" w:color="auto"/>
        <w:bottom w:val="none" w:sz="0" w:space="0" w:color="auto"/>
        <w:right w:val="none" w:sz="0" w:space="0" w:color="auto"/>
      </w:divBdr>
    </w:div>
    <w:div w:id="20676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fund/data/report/contracts/servicecontractinventoryappendix/servicecontractinventor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c31f6d037a9170a50c66e617e8b53b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ee4e32592e0fe6cd470e85c320ec0e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93D3-A6FA-4AE3-8D3E-44A4DE5EEE4A}">
  <ds:schemaRefs>
    <ds:schemaRef ds:uri="02e41e38-1731-4866-b09a-6257d8bc047f"/>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f87c7b8b-c0e7-4b77-a067-2c707fd1239f"/>
    <ds:schemaRef ds:uri="http://www.w3.org/XML/1998/namespace"/>
  </ds:schemaRefs>
</ds:datastoreItem>
</file>

<file path=customXml/itemProps2.xml><?xml version="1.0" encoding="utf-8"?>
<ds:datastoreItem xmlns:ds="http://schemas.openxmlformats.org/officeDocument/2006/customXml" ds:itemID="{0A4FEC84-0CF1-493B-AB1B-BA9BD85507B4}">
  <ds:schemaRefs>
    <ds:schemaRef ds:uri="http://schemas.microsoft.com/sharepoint/v3/contenttype/forms"/>
  </ds:schemaRefs>
</ds:datastoreItem>
</file>

<file path=customXml/itemProps3.xml><?xml version="1.0" encoding="utf-8"?>
<ds:datastoreItem xmlns:ds="http://schemas.openxmlformats.org/officeDocument/2006/customXml" ds:itemID="{A0B5FD8D-2521-4866-8877-129C3BBAB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C392E-B868-4373-B2D3-C14DA570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Mason, Chanel</cp:lastModifiedBy>
  <cp:revision>2</cp:revision>
  <cp:lastPrinted>2020-01-29T21:59:00Z</cp:lastPrinted>
  <dcterms:created xsi:type="dcterms:W3CDTF">2020-02-11T19:40:00Z</dcterms:created>
  <dcterms:modified xsi:type="dcterms:W3CDTF">2020-02-11T19:40:00Z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