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Heading1"/>
        <w:spacing w:line="386" w:lineRule="auto"/>
        <w:ind w:left="3004" w:firstLine="3"/>
      </w:pPr>
      <w:r>
        <w:rPr/>
        <w:t>Department of Education Service Contract Inventory</w:t>
      </w:r>
      <w:r>
        <w:rPr>
          <w:spacing w:val="-22"/>
        </w:rPr>
        <w:t> </w:t>
      </w:r>
      <w:r>
        <w:rPr/>
        <w:t>(SCI)</w:t>
      </w:r>
    </w:p>
    <w:p>
      <w:pPr>
        <w:pStyle w:val="BodyText"/>
        <w:rPr>
          <w:rFonts w:ascii="Calibri"/>
          <w:sz w:val="36"/>
        </w:rPr>
      </w:pPr>
    </w:p>
    <w:p>
      <w:pPr>
        <w:spacing w:line="386" w:lineRule="auto" w:before="260"/>
        <w:ind w:left="3348" w:right="3467" w:firstLine="0"/>
        <w:jc w:val="center"/>
        <w:rPr>
          <w:rFonts w:ascii="Calibri"/>
          <w:sz w:val="36"/>
        </w:rPr>
      </w:pPr>
      <w:r>
        <w:rPr>
          <w:rFonts w:ascii="Calibri"/>
          <w:sz w:val="36"/>
        </w:rPr>
        <w:t>FY2016 SCI Analysis Report FY2017 SCI Analysis Plan</w:t>
      </w:r>
    </w:p>
    <w:p>
      <w:pPr>
        <w:pStyle w:val="BodyText"/>
        <w:rPr>
          <w:rFonts w:ascii="Calibri"/>
          <w:sz w:val="36"/>
        </w:rPr>
      </w:pPr>
    </w:p>
    <w:p>
      <w:pPr>
        <w:spacing w:before="263"/>
        <w:ind w:left="3348" w:right="3463" w:firstLine="0"/>
        <w:jc w:val="center"/>
        <w:rPr>
          <w:rFonts w:ascii="Calibri"/>
          <w:sz w:val="36"/>
        </w:rPr>
      </w:pPr>
      <w:r>
        <w:rPr>
          <w:rFonts w:ascii="Calibri"/>
          <w:sz w:val="36"/>
        </w:rPr>
        <w:t>February 2018</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21"/>
        </w:rPr>
      </w:pPr>
      <w:r>
        <w:rPr/>
        <w:drawing>
          <wp:anchor distT="0" distB="0" distL="0" distR="0" allowOverlap="1" layoutInCell="1" locked="0" behindDoc="0" simplePos="0" relativeHeight="0">
            <wp:simplePos x="0" y="0"/>
            <wp:positionH relativeFrom="page">
              <wp:posOffset>2674620</wp:posOffset>
            </wp:positionH>
            <wp:positionV relativeFrom="paragraph">
              <wp:posOffset>194336</wp:posOffset>
            </wp:positionV>
            <wp:extent cx="2424650" cy="246278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24650" cy="2462784"/>
                    </a:xfrm>
                    <a:prstGeom prst="rect">
                      <a:avLst/>
                    </a:prstGeom>
                  </pic:spPr>
                </pic:pic>
              </a:graphicData>
            </a:graphic>
          </wp:anchor>
        </w:drawing>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15"/>
        </w:rPr>
      </w:pPr>
    </w:p>
    <w:p>
      <w:pPr>
        <w:spacing w:before="120"/>
        <w:ind w:left="3444" w:right="0" w:firstLine="0"/>
        <w:jc w:val="left"/>
        <w:rPr>
          <w:sz w:val="20"/>
        </w:rPr>
      </w:pPr>
      <w:r>
        <w:rPr>
          <w:sz w:val="20"/>
        </w:rPr>
        <w:t>550 12</w:t>
      </w:r>
      <w:r>
        <w:rPr>
          <w:sz w:val="20"/>
          <w:vertAlign w:val="superscript"/>
        </w:rPr>
        <w:t>th</w:t>
      </w:r>
      <w:r>
        <w:rPr>
          <w:sz w:val="20"/>
          <w:vertAlign w:val="baseline"/>
        </w:rPr>
        <w:t> St. S.W., WASHINGTON, DC 20202</w:t>
      </w:r>
    </w:p>
    <w:p>
      <w:pPr>
        <w:spacing w:before="0"/>
        <w:ind w:left="3348" w:right="3465" w:firstLine="0"/>
        <w:jc w:val="center"/>
        <w:rPr>
          <w:sz w:val="20"/>
        </w:rPr>
      </w:pPr>
      <w:hyperlink r:id="rId6">
        <w:r>
          <w:rPr>
            <w:sz w:val="20"/>
          </w:rPr>
          <w:t>www.ed.gov</w:t>
        </w:r>
      </w:hyperlink>
    </w:p>
    <w:p>
      <w:pPr>
        <w:spacing w:before="116"/>
        <w:ind w:left="554" w:right="678" w:firstLine="0"/>
        <w:jc w:val="center"/>
        <w:rPr>
          <w:i/>
          <w:sz w:val="20"/>
        </w:rPr>
      </w:pPr>
      <w:r>
        <w:rPr>
          <w:i/>
          <w:sz w:val="20"/>
        </w:rPr>
        <w:t>The Department of Education’s mission is to promote student achievement and preparation for global competitiveness </w:t>
      </w:r>
      <w:r>
        <w:rPr>
          <w:i/>
          <w:sz w:val="20"/>
        </w:rPr>
        <w:t>by fostering educational excellence and ensuring equal access.</w:t>
      </w:r>
    </w:p>
    <w:p>
      <w:pPr>
        <w:spacing w:after="0"/>
        <w:jc w:val="center"/>
        <w:rPr>
          <w:sz w:val="20"/>
        </w:rPr>
        <w:sectPr>
          <w:type w:val="continuous"/>
          <w:pgSz w:w="12240" w:h="15840"/>
          <w:pgMar w:top="1500" w:bottom="280" w:left="800" w:right="680"/>
        </w:sectPr>
      </w:pPr>
    </w:p>
    <w:p>
      <w:pPr>
        <w:pStyle w:val="BodyText"/>
        <w:spacing w:before="1"/>
        <w:rPr>
          <w:i/>
          <w:sz w:val="23"/>
        </w:rPr>
      </w:pPr>
    </w:p>
    <w:p>
      <w:pPr>
        <w:pStyle w:val="Heading2"/>
        <w:spacing w:before="90"/>
      </w:pPr>
      <w:r>
        <w:rPr/>
        <w:t>Background</w:t>
      </w:r>
    </w:p>
    <w:p>
      <w:pPr>
        <w:pStyle w:val="BodyText"/>
        <w:spacing w:before="7"/>
        <w:rPr>
          <w:b/>
          <w:sz w:val="23"/>
        </w:rPr>
      </w:pPr>
    </w:p>
    <w:p>
      <w:pPr>
        <w:pStyle w:val="BodyText"/>
        <w:ind w:left="280" w:right="437"/>
      </w:pPr>
      <w:r>
        <w:rPr/>
        <w:t>The Consolidated Appropriations Act, 2010, Public Law 111-117, requires civilian agencies to prepare an annual inventory of their service contracts and to analyze the inventory to determine if the mix of Federal employees and contractors is effective or if rebalancing is necessary. As required, we completed our fiscal year (FY) 2016 analysis and posted it on our website at </w:t>
      </w:r>
      <w:hyperlink r:id="rId8">
        <w:r>
          <w:rPr>
            <w:color w:val="0000FF"/>
            <w:u w:val="single" w:color="0000FF"/>
          </w:rPr>
          <w:t>https://www2.ed.gov/fund/data/report/contracts/servicecontractinventoryappendix/servicecontractinvent</w:t>
        </w:r>
      </w:hyperlink>
      <w:r>
        <w:rPr>
          <w:color w:val="0000FF"/>
        </w:rPr>
        <w:t> </w:t>
      </w:r>
      <w:hyperlink r:id="rId8">
        <w:r>
          <w:rPr>
            <w:color w:val="0000FF"/>
            <w:u w:val="single" w:color="0000FF"/>
          </w:rPr>
          <w:t>ory.html</w:t>
        </w:r>
      </w:hyperlink>
    </w:p>
    <w:p>
      <w:pPr>
        <w:pStyle w:val="BodyText"/>
        <w:spacing w:before="7"/>
        <w:rPr>
          <w:sz w:val="16"/>
        </w:rPr>
      </w:pPr>
    </w:p>
    <w:p>
      <w:pPr>
        <w:pStyle w:val="Heading2"/>
        <w:numPr>
          <w:ilvl w:val="0"/>
          <w:numId w:val="1"/>
        </w:numPr>
        <w:tabs>
          <w:tab w:pos="732" w:val="left" w:leader="none"/>
        </w:tabs>
        <w:spacing w:line="240" w:lineRule="auto" w:before="90" w:after="0"/>
        <w:ind w:left="731" w:right="0" w:hanging="360"/>
        <w:jc w:val="left"/>
      </w:pPr>
      <w:r>
        <w:rPr/>
        <w:t>Scope</w:t>
      </w:r>
    </w:p>
    <w:p>
      <w:pPr>
        <w:pStyle w:val="BodyText"/>
        <w:spacing w:before="7"/>
        <w:rPr>
          <w:b/>
          <w:sz w:val="23"/>
        </w:rPr>
      </w:pPr>
    </w:p>
    <w:p>
      <w:pPr>
        <w:pStyle w:val="BodyText"/>
        <w:ind w:left="280" w:right="481"/>
        <w:jc w:val="both"/>
      </w:pPr>
      <w:r>
        <w:rPr/>
        <w:t>The Department of Education (ED) conducted an analysis of its service contract inventory to determine if our agency is using service contracts in an appropriate and effective manner, and if the mix of</w:t>
      </w:r>
      <w:r>
        <w:rPr>
          <w:spacing w:val="-21"/>
        </w:rPr>
        <w:t> </w:t>
      </w:r>
      <w:r>
        <w:rPr/>
        <w:t>Federal employees and contractors in the agency is effectively</w:t>
      </w:r>
      <w:r>
        <w:rPr>
          <w:spacing w:val="-12"/>
        </w:rPr>
        <w:t> </w:t>
      </w:r>
      <w:r>
        <w:rPr/>
        <w:t>balanced.</w:t>
      </w:r>
    </w:p>
    <w:p>
      <w:pPr>
        <w:pStyle w:val="BodyText"/>
      </w:pPr>
    </w:p>
    <w:p>
      <w:pPr>
        <w:pStyle w:val="BodyText"/>
        <w:spacing w:before="1"/>
        <w:ind w:left="280" w:right="563"/>
      </w:pPr>
      <w:r>
        <w:rPr/>
        <w:t>In compliance with the Office of Management and Budget (OMB) guidance and after considering multiple contract functions, we selected the following PSCs for the FY2016 SCI. Table 1 identifies PSCs selected for further review. A brief description of the rationale and the amounts obligated to each function in FY 2016 is further discussed below in Table 2.</w:t>
      </w:r>
    </w:p>
    <w:p>
      <w:pPr>
        <w:pStyle w:val="BodyText"/>
        <w:spacing w:before="4"/>
      </w:pPr>
    </w:p>
    <w:p>
      <w:pPr>
        <w:pStyle w:val="Heading2"/>
        <w:ind w:left="3014"/>
      </w:pPr>
      <w:r>
        <w:rPr/>
        <w:t>Table 1 – PSCs Selected For FY 2016 Review</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6946"/>
        <w:gridCol w:w="1342"/>
        <w:gridCol w:w="1260"/>
      </w:tblGrid>
      <w:tr>
        <w:trPr>
          <w:trHeight w:val="414" w:hRule="atLeast"/>
        </w:trPr>
        <w:tc>
          <w:tcPr>
            <w:tcW w:w="845" w:type="dxa"/>
          </w:tcPr>
          <w:p>
            <w:pPr>
              <w:pStyle w:val="TableParagraph"/>
              <w:spacing w:before="1"/>
              <w:ind w:left="0"/>
              <w:rPr>
                <w:b/>
                <w:sz w:val="18"/>
              </w:rPr>
            </w:pPr>
          </w:p>
          <w:p>
            <w:pPr>
              <w:pStyle w:val="TableParagraph"/>
              <w:spacing w:line="186" w:lineRule="exact"/>
              <w:ind w:left="107"/>
              <w:rPr>
                <w:b/>
                <w:sz w:val="18"/>
              </w:rPr>
            </w:pPr>
            <w:r>
              <w:rPr>
                <w:b/>
                <w:sz w:val="18"/>
              </w:rPr>
              <w:t>PSC</w:t>
            </w:r>
          </w:p>
        </w:tc>
        <w:tc>
          <w:tcPr>
            <w:tcW w:w="6946" w:type="dxa"/>
          </w:tcPr>
          <w:p>
            <w:pPr>
              <w:pStyle w:val="TableParagraph"/>
              <w:spacing w:before="1"/>
              <w:ind w:left="0"/>
              <w:rPr>
                <w:b/>
                <w:sz w:val="18"/>
              </w:rPr>
            </w:pPr>
          </w:p>
          <w:p>
            <w:pPr>
              <w:pStyle w:val="TableParagraph"/>
              <w:spacing w:line="186" w:lineRule="exact"/>
              <w:ind w:left="3009" w:right="2997"/>
              <w:jc w:val="center"/>
              <w:rPr>
                <w:b/>
                <w:sz w:val="18"/>
              </w:rPr>
            </w:pPr>
            <w:r>
              <w:rPr>
                <w:b/>
                <w:sz w:val="18"/>
              </w:rPr>
              <w:t>Description</w:t>
            </w:r>
          </w:p>
        </w:tc>
        <w:tc>
          <w:tcPr>
            <w:tcW w:w="1342" w:type="dxa"/>
          </w:tcPr>
          <w:p>
            <w:pPr>
              <w:pStyle w:val="TableParagraph"/>
              <w:spacing w:line="207" w:lineRule="exact" w:before="2"/>
              <w:ind w:left="204" w:right="193"/>
              <w:jc w:val="center"/>
              <w:rPr>
                <w:b/>
                <w:sz w:val="18"/>
              </w:rPr>
            </w:pPr>
            <w:r>
              <w:rPr>
                <w:b/>
                <w:sz w:val="18"/>
              </w:rPr>
              <w:t>FY 2016</w:t>
            </w:r>
          </w:p>
          <w:p>
            <w:pPr>
              <w:pStyle w:val="TableParagraph"/>
              <w:spacing w:line="186" w:lineRule="exact"/>
              <w:ind w:left="204" w:right="196"/>
              <w:jc w:val="center"/>
              <w:rPr>
                <w:b/>
                <w:sz w:val="18"/>
              </w:rPr>
            </w:pPr>
            <w:r>
              <w:rPr>
                <w:b/>
                <w:sz w:val="18"/>
              </w:rPr>
              <w:t>Obligations</w:t>
            </w:r>
          </w:p>
        </w:tc>
        <w:tc>
          <w:tcPr>
            <w:tcW w:w="1260" w:type="dxa"/>
          </w:tcPr>
          <w:p>
            <w:pPr>
              <w:pStyle w:val="TableParagraph"/>
              <w:spacing w:line="206" w:lineRule="exact" w:before="5"/>
              <w:ind w:left="185" w:right="154" w:firstLine="127"/>
              <w:rPr>
                <w:b/>
                <w:sz w:val="18"/>
              </w:rPr>
            </w:pPr>
            <w:r>
              <w:rPr>
                <w:b/>
                <w:sz w:val="18"/>
              </w:rPr>
              <w:t>% Total Obligations</w:t>
            </w:r>
          </w:p>
        </w:tc>
      </w:tr>
      <w:tr>
        <w:trPr>
          <w:trHeight w:val="477" w:hRule="atLeast"/>
        </w:trPr>
        <w:tc>
          <w:tcPr>
            <w:tcW w:w="845" w:type="dxa"/>
            <w:tcBorders>
              <w:bottom w:val="nil"/>
            </w:tcBorders>
          </w:tcPr>
          <w:p>
            <w:pPr>
              <w:pStyle w:val="TableParagraph"/>
              <w:spacing w:before="129"/>
              <w:ind w:left="107"/>
              <w:rPr>
                <w:sz w:val="18"/>
              </w:rPr>
            </w:pPr>
            <w:r>
              <w:rPr>
                <w:sz w:val="18"/>
              </w:rPr>
              <w:t>R710</w:t>
            </w:r>
          </w:p>
        </w:tc>
        <w:tc>
          <w:tcPr>
            <w:tcW w:w="6946" w:type="dxa"/>
            <w:tcBorders>
              <w:bottom w:val="nil"/>
            </w:tcBorders>
          </w:tcPr>
          <w:p>
            <w:pPr>
              <w:pStyle w:val="TableParagraph"/>
              <w:spacing w:before="129"/>
              <w:rPr>
                <w:sz w:val="18"/>
              </w:rPr>
            </w:pPr>
            <w:r>
              <w:rPr>
                <w:sz w:val="18"/>
              </w:rPr>
              <w:t>SUPPORT- MANAGEMENT: FINANCIAL</w:t>
            </w:r>
          </w:p>
        </w:tc>
        <w:tc>
          <w:tcPr>
            <w:tcW w:w="1342" w:type="dxa"/>
            <w:tcBorders>
              <w:bottom w:val="nil"/>
            </w:tcBorders>
          </w:tcPr>
          <w:p>
            <w:pPr>
              <w:pStyle w:val="TableParagraph"/>
              <w:spacing w:before="129"/>
              <w:rPr>
                <w:sz w:val="18"/>
              </w:rPr>
            </w:pPr>
            <w:r>
              <w:rPr>
                <w:sz w:val="18"/>
              </w:rPr>
              <w:t>$1,009,564,531</w:t>
            </w:r>
          </w:p>
        </w:tc>
        <w:tc>
          <w:tcPr>
            <w:tcW w:w="1260" w:type="dxa"/>
            <w:tcBorders>
              <w:bottom w:val="nil"/>
            </w:tcBorders>
          </w:tcPr>
          <w:p>
            <w:pPr>
              <w:pStyle w:val="TableParagraph"/>
              <w:spacing w:before="129"/>
              <w:rPr>
                <w:sz w:val="18"/>
              </w:rPr>
            </w:pPr>
            <w:r>
              <w:rPr>
                <w:sz w:val="18"/>
              </w:rPr>
              <w:t>41%</w:t>
            </w:r>
          </w:p>
        </w:tc>
      </w:tr>
      <w:tr>
        <w:trPr>
          <w:trHeight w:val="480" w:hRule="atLeast"/>
        </w:trPr>
        <w:tc>
          <w:tcPr>
            <w:tcW w:w="845" w:type="dxa"/>
            <w:tcBorders>
              <w:top w:val="nil"/>
              <w:bottom w:val="nil"/>
            </w:tcBorders>
          </w:tcPr>
          <w:p>
            <w:pPr>
              <w:pStyle w:val="TableParagraph"/>
              <w:spacing w:before="133"/>
              <w:ind w:left="107"/>
              <w:rPr>
                <w:sz w:val="18"/>
              </w:rPr>
            </w:pPr>
            <w:r>
              <w:rPr>
                <w:sz w:val="18"/>
              </w:rPr>
              <w:t>R705</w:t>
            </w:r>
          </w:p>
        </w:tc>
        <w:tc>
          <w:tcPr>
            <w:tcW w:w="6946" w:type="dxa"/>
            <w:tcBorders>
              <w:top w:val="nil"/>
              <w:bottom w:val="nil"/>
            </w:tcBorders>
          </w:tcPr>
          <w:p>
            <w:pPr>
              <w:pStyle w:val="TableParagraph"/>
              <w:spacing w:before="133"/>
              <w:rPr>
                <w:sz w:val="18"/>
              </w:rPr>
            </w:pPr>
            <w:r>
              <w:rPr>
                <w:sz w:val="18"/>
              </w:rPr>
              <w:t>SUPPORT- MANAGEMENT: DEBT COLLECTION</w:t>
            </w:r>
          </w:p>
        </w:tc>
        <w:tc>
          <w:tcPr>
            <w:tcW w:w="1342" w:type="dxa"/>
            <w:tcBorders>
              <w:top w:val="nil"/>
              <w:bottom w:val="nil"/>
            </w:tcBorders>
          </w:tcPr>
          <w:p>
            <w:pPr>
              <w:pStyle w:val="TableParagraph"/>
              <w:spacing w:before="133"/>
              <w:rPr>
                <w:sz w:val="18"/>
              </w:rPr>
            </w:pPr>
            <w:r>
              <w:rPr>
                <w:sz w:val="18"/>
              </w:rPr>
              <w:t>$631,588,298</w:t>
            </w:r>
          </w:p>
        </w:tc>
        <w:tc>
          <w:tcPr>
            <w:tcW w:w="1260" w:type="dxa"/>
            <w:tcBorders>
              <w:top w:val="nil"/>
              <w:bottom w:val="nil"/>
            </w:tcBorders>
          </w:tcPr>
          <w:p>
            <w:pPr>
              <w:pStyle w:val="TableParagraph"/>
              <w:spacing w:before="133"/>
              <w:rPr>
                <w:sz w:val="18"/>
              </w:rPr>
            </w:pPr>
            <w:r>
              <w:rPr>
                <w:sz w:val="18"/>
              </w:rPr>
              <w:t>26%</w:t>
            </w:r>
          </w:p>
        </w:tc>
      </w:tr>
      <w:tr>
        <w:trPr>
          <w:trHeight w:val="480" w:hRule="atLeast"/>
        </w:trPr>
        <w:tc>
          <w:tcPr>
            <w:tcW w:w="845" w:type="dxa"/>
            <w:tcBorders>
              <w:top w:val="nil"/>
              <w:bottom w:val="nil"/>
            </w:tcBorders>
          </w:tcPr>
          <w:p>
            <w:pPr>
              <w:pStyle w:val="TableParagraph"/>
              <w:spacing w:before="132"/>
              <w:ind w:left="107"/>
              <w:rPr>
                <w:sz w:val="18"/>
              </w:rPr>
            </w:pPr>
            <w:r>
              <w:rPr>
                <w:sz w:val="18"/>
              </w:rPr>
              <w:t>D301</w:t>
            </w:r>
          </w:p>
        </w:tc>
        <w:tc>
          <w:tcPr>
            <w:tcW w:w="6946" w:type="dxa"/>
            <w:tcBorders>
              <w:top w:val="nil"/>
              <w:bottom w:val="nil"/>
            </w:tcBorders>
          </w:tcPr>
          <w:p>
            <w:pPr>
              <w:pStyle w:val="TableParagraph"/>
              <w:spacing w:before="132"/>
              <w:rPr>
                <w:sz w:val="18"/>
              </w:rPr>
            </w:pPr>
            <w:r>
              <w:rPr>
                <w:sz w:val="18"/>
              </w:rPr>
              <w:t>IT AND TELECOM- FACILITY OPERATION AND MAINTENANCE</w:t>
            </w:r>
          </w:p>
        </w:tc>
        <w:tc>
          <w:tcPr>
            <w:tcW w:w="1342" w:type="dxa"/>
            <w:tcBorders>
              <w:top w:val="nil"/>
              <w:bottom w:val="nil"/>
            </w:tcBorders>
          </w:tcPr>
          <w:p>
            <w:pPr>
              <w:pStyle w:val="TableParagraph"/>
              <w:spacing w:before="132"/>
              <w:rPr>
                <w:sz w:val="18"/>
              </w:rPr>
            </w:pPr>
            <w:r>
              <w:rPr>
                <w:sz w:val="18"/>
              </w:rPr>
              <w:t>$120,316,963</w:t>
            </w:r>
          </w:p>
        </w:tc>
        <w:tc>
          <w:tcPr>
            <w:tcW w:w="1260" w:type="dxa"/>
            <w:tcBorders>
              <w:top w:val="nil"/>
              <w:bottom w:val="nil"/>
            </w:tcBorders>
          </w:tcPr>
          <w:p>
            <w:pPr>
              <w:pStyle w:val="TableParagraph"/>
              <w:spacing w:before="132"/>
              <w:rPr>
                <w:sz w:val="18"/>
              </w:rPr>
            </w:pPr>
            <w:r>
              <w:rPr>
                <w:sz w:val="18"/>
              </w:rPr>
              <w:t>5%</w:t>
            </w:r>
          </w:p>
        </w:tc>
      </w:tr>
      <w:tr>
        <w:trPr>
          <w:trHeight w:val="480" w:hRule="atLeast"/>
        </w:trPr>
        <w:tc>
          <w:tcPr>
            <w:tcW w:w="845" w:type="dxa"/>
            <w:tcBorders>
              <w:top w:val="nil"/>
              <w:bottom w:val="nil"/>
            </w:tcBorders>
          </w:tcPr>
          <w:p>
            <w:pPr>
              <w:pStyle w:val="TableParagraph"/>
              <w:spacing w:before="132"/>
              <w:ind w:left="107"/>
              <w:rPr>
                <w:sz w:val="18"/>
              </w:rPr>
            </w:pPr>
            <w:r>
              <w:rPr>
                <w:sz w:val="18"/>
              </w:rPr>
              <w:t>B506</w:t>
            </w:r>
          </w:p>
        </w:tc>
        <w:tc>
          <w:tcPr>
            <w:tcW w:w="6946" w:type="dxa"/>
            <w:tcBorders>
              <w:top w:val="nil"/>
              <w:bottom w:val="nil"/>
            </w:tcBorders>
          </w:tcPr>
          <w:p>
            <w:pPr>
              <w:pStyle w:val="TableParagraph"/>
              <w:spacing w:before="132"/>
              <w:rPr>
                <w:sz w:val="18"/>
              </w:rPr>
            </w:pPr>
            <w:r>
              <w:rPr>
                <w:sz w:val="18"/>
              </w:rPr>
              <w:t>SPECIAL STUDIES/ANALYSIS- DATA (OTHER THAN SCIENTIFIC)</w:t>
            </w:r>
          </w:p>
        </w:tc>
        <w:tc>
          <w:tcPr>
            <w:tcW w:w="1342" w:type="dxa"/>
            <w:tcBorders>
              <w:top w:val="nil"/>
              <w:bottom w:val="nil"/>
            </w:tcBorders>
          </w:tcPr>
          <w:p>
            <w:pPr>
              <w:pStyle w:val="TableParagraph"/>
              <w:spacing w:before="132"/>
              <w:rPr>
                <w:sz w:val="18"/>
              </w:rPr>
            </w:pPr>
            <w:r>
              <w:rPr>
                <w:sz w:val="18"/>
              </w:rPr>
              <w:t>$88,606,893</w:t>
            </w:r>
          </w:p>
        </w:tc>
        <w:tc>
          <w:tcPr>
            <w:tcW w:w="1260" w:type="dxa"/>
            <w:tcBorders>
              <w:top w:val="nil"/>
              <w:bottom w:val="nil"/>
            </w:tcBorders>
          </w:tcPr>
          <w:p>
            <w:pPr>
              <w:pStyle w:val="TableParagraph"/>
              <w:spacing w:before="132"/>
              <w:rPr>
                <w:sz w:val="18"/>
              </w:rPr>
            </w:pPr>
            <w:r>
              <w:rPr>
                <w:sz w:val="18"/>
              </w:rPr>
              <w:t>4%</w:t>
            </w:r>
          </w:p>
        </w:tc>
      </w:tr>
      <w:tr>
        <w:trPr>
          <w:trHeight w:val="480" w:hRule="atLeast"/>
        </w:trPr>
        <w:tc>
          <w:tcPr>
            <w:tcW w:w="845" w:type="dxa"/>
            <w:tcBorders>
              <w:top w:val="nil"/>
              <w:bottom w:val="nil"/>
            </w:tcBorders>
          </w:tcPr>
          <w:p>
            <w:pPr>
              <w:pStyle w:val="TableParagraph"/>
              <w:spacing w:before="132"/>
              <w:ind w:left="107"/>
              <w:rPr>
                <w:sz w:val="18"/>
              </w:rPr>
            </w:pPr>
            <w:r>
              <w:rPr>
                <w:sz w:val="18"/>
              </w:rPr>
              <w:t>AF11</w:t>
            </w:r>
          </w:p>
        </w:tc>
        <w:tc>
          <w:tcPr>
            <w:tcW w:w="6946" w:type="dxa"/>
            <w:tcBorders>
              <w:top w:val="nil"/>
              <w:bottom w:val="nil"/>
            </w:tcBorders>
          </w:tcPr>
          <w:p>
            <w:pPr>
              <w:pStyle w:val="TableParagraph"/>
              <w:spacing w:before="132"/>
              <w:rPr>
                <w:sz w:val="18"/>
              </w:rPr>
            </w:pPr>
            <w:r>
              <w:rPr>
                <w:sz w:val="18"/>
              </w:rPr>
              <w:t>R&amp;D- EDUCATION: EDUCATIONAL (BASIC RESEARCH)</w:t>
            </w:r>
          </w:p>
        </w:tc>
        <w:tc>
          <w:tcPr>
            <w:tcW w:w="1342" w:type="dxa"/>
            <w:tcBorders>
              <w:top w:val="nil"/>
              <w:bottom w:val="nil"/>
            </w:tcBorders>
          </w:tcPr>
          <w:p>
            <w:pPr>
              <w:pStyle w:val="TableParagraph"/>
              <w:spacing w:before="132"/>
              <w:rPr>
                <w:sz w:val="18"/>
              </w:rPr>
            </w:pPr>
            <w:r>
              <w:rPr>
                <w:sz w:val="18"/>
              </w:rPr>
              <w:t>$78,585,724</w:t>
            </w:r>
          </w:p>
        </w:tc>
        <w:tc>
          <w:tcPr>
            <w:tcW w:w="1260" w:type="dxa"/>
            <w:tcBorders>
              <w:top w:val="nil"/>
              <w:bottom w:val="nil"/>
            </w:tcBorders>
          </w:tcPr>
          <w:p>
            <w:pPr>
              <w:pStyle w:val="TableParagraph"/>
              <w:spacing w:before="132"/>
              <w:rPr>
                <w:sz w:val="18"/>
              </w:rPr>
            </w:pPr>
            <w:r>
              <w:rPr>
                <w:sz w:val="18"/>
              </w:rPr>
              <w:t>3.22%</w:t>
            </w:r>
          </w:p>
        </w:tc>
      </w:tr>
      <w:tr>
        <w:trPr>
          <w:trHeight w:val="480" w:hRule="atLeast"/>
        </w:trPr>
        <w:tc>
          <w:tcPr>
            <w:tcW w:w="845" w:type="dxa"/>
            <w:tcBorders>
              <w:top w:val="nil"/>
              <w:bottom w:val="nil"/>
            </w:tcBorders>
          </w:tcPr>
          <w:p>
            <w:pPr>
              <w:pStyle w:val="TableParagraph"/>
              <w:spacing w:before="132"/>
              <w:ind w:left="107"/>
              <w:rPr>
                <w:sz w:val="18"/>
              </w:rPr>
            </w:pPr>
            <w:r>
              <w:rPr>
                <w:sz w:val="18"/>
              </w:rPr>
              <w:t>B542</w:t>
            </w:r>
          </w:p>
        </w:tc>
        <w:tc>
          <w:tcPr>
            <w:tcW w:w="6946" w:type="dxa"/>
            <w:tcBorders>
              <w:top w:val="nil"/>
              <w:bottom w:val="nil"/>
            </w:tcBorders>
          </w:tcPr>
          <w:p>
            <w:pPr>
              <w:pStyle w:val="TableParagraph"/>
              <w:spacing w:before="132"/>
              <w:rPr>
                <w:sz w:val="18"/>
              </w:rPr>
            </w:pPr>
            <w:r>
              <w:rPr>
                <w:sz w:val="18"/>
              </w:rPr>
              <w:t>SPECIAL STUDIES/ANALYSIS- EDUCATIONAL</w:t>
            </w:r>
          </w:p>
        </w:tc>
        <w:tc>
          <w:tcPr>
            <w:tcW w:w="1342" w:type="dxa"/>
            <w:tcBorders>
              <w:top w:val="nil"/>
              <w:bottom w:val="nil"/>
            </w:tcBorders>
          </w:tcPr>
          <w:p>
            <w:pPr>
              <w:pStyle w:val="TableParagraph"/>
              <w:spacing w:before="132"/>
              <w:rPr>
                <w:sz w:val="18"/>
              </w:rPr>
            </w:pPr>
            <w:r>
              <w:rPr>
                <w:sz w:val="18"/>
              </w:rPr>
              <w:t>$69,200,800</w:t>
            </w:r>
          </w:p>
        </w:tc>
        <w:tc>
          <w:tcPr>
            <w:tcW w:w="1260" w:type="dxa"/>
            <w:tcBorders>
              <w:top w:val="nil"/>
              <w:bottom w:val="nil"/>
            </w:tcBorders>
          </w:tcPr>
          <w:p>
            <w:pPr>
              <w:pStyle w:val="TableParagraph"/>
              <w:spacing w:before="132"/>
              <w:rPr>
                <w:sz w:val="18"/>
              </w:rPr>
            </w:pPr>
            <w:r>
              <w:rPr>
                <w:sz w:val="18"/>
              </w:rPr>
              <w:t>2.83%</w:t>
            </w:r>
          </w:p>
        </w:tc>
      </w:tr>
      <w:tr>
        <w:trPr>
          <w:trHeight w:val="450" w:hRule="atLeast"/>
        </w:trPr>
        <w:tc>
          <w:tcPr>
            <w:tcW w:w="845" w:type="dxa"/>
            <w:tcBorders>
              <w:top w:val="nil"/>
              <w:bottom w:val="nil"/>
            </w:tcBorders>
          </w:tcPr>
          <w:p>
            <w:pPr>
              <w:pStyle w:val="TableParagraph"/>
              <w:spacing w:before="132"/>
              <w:ind w:left="107"/>
              <w:rPr>
                <w:sz w:val="18"/>
              </w:rPr>
            </w:pPr>
            <w:r>
              <w:rPr>
                <w:sz w:val="18"/>
              </w:rPr>
              <w:t>R499</w:t>
            </w:r>
          </w:p>
        </w:tc>
        <w:tc>
          <w:tcPr>
            <w:tcW w:w="6946" w:type="dxa"/>
            <w:tcBorders>
              <w:top w:val="nil"/>
              <w:bottom w:val="nil"/>
            </w:tcBorders>
          </w:tcPr>
          <w:p>
            <w:pPr>
              <w:pStyle w:val="TableParagraph"/>
              <w:spacing w:before="132"/>
              <w:rPr>
                <w:sz w:val="18"/>
              </w:rPr>
            </w:pPr>
            <w:r>
              <w:rPr>
                <w:sz w:val="18"/>
              </w:rPr>
              <w:t>SUPPORT- PROFESSIONAL: OTHER</w:t>
            </w:r>
          </w:p>
        </w:tc>
        <w:tc>
          <w:tcPr>
            <w:tcW w:w="1342" w:type="dxa"/>
            <w:tcBorders>
              <w:top w:val="nil"/>
              <w:bottom w:val="nil"/>
            </w:tcBorders>
          </w:tcPr>
          <w:p>
            <w:pPr>
              <w:pStyle w:val="TableParagraph"/>
              <w:spacing w:before="132"/>
              <w:rPr>
                <w:sz w:val="18"/>
              </w:rPr>
            </w:pPr>
            <w:r>
              <w:rPr>
                <w:sz w:val="18"/>
              </w:rPr>
              <w:t>$81,585,035</w:t>
            </w:r>
          </w:p>
        </w:tc>
        <w:tc>
          <w:tcPr>
            <w:tcW w:w="1260" w:type="dxa"/>
            <w:tcBorders>
              <w:top w:val="nil"/>
              <w:bottom w:val="nil"/>
            </w:tcBorders>
          </w:tcPr>
          <w:p>
            <w:pPr>
              <w:pStyle w:val="TableParagraph"/>
              <w:spacing w:before="132"/>
              <w:rPr>
                <w:sz w:val="18"/>
              </w:rPr>
            </w:pPr>
            <w:r>
              <w:rPr>
                <w:sz w:val="18"/>
              </w:rPr>
              <w:t>3.34%</w:t>
            </w:r>
          </w:p>
        </w:tc>
      </w:tr>
      <w:tr>
        <w:trPr>
          <w:trHeight w:val="686" w:hRule="atLeast"/>
        </w:trPr>
        <w:tc>
          <w:tcPr>
            <w:tcW w:w="845" w:type="dxa"/>
            <w:tcBorders>
              <w:top w:val="nil"/>
              <w:bottom w:val="nil"/>
            </w:tcBorders>
          </w:tcPr>
          <w:p>
            <w:pPr>
              <w:pStyle w:val="TableParagraph"/>
              <w:spacing w:before="10"/>
              <w:ind w:left="0"/>
              <w:rPr>
                <w:b/>
                <w:sz w:val="17"/>
              </w:rPr>
            </w:pPr>
          </w:p>
          <w:p>
            <w:pPr>
              <w:pStyle w:val="TableParagraph"/>
              <w:ind w:left="107"/>
              <w:rPr>
                <w:sz w:val="18"/>
              </w:rPr>
            </w:pPr>
            <w:r>
              <w:rPr>
                <w:sz w:val="18"/>
              </w:rPr>
              <w:t>D313</w:t>
            </w:r>
          </w:p>
        </w:tc>
        <w:tc>
          <w:tcPr>
            <w:tcW w:w="6946" w:type="dxa"/>
            <w:tcBorders>
              <w:top w:val="nil"/>
              <w:bottom w:val="nil"/>
            </w:tcBorders>
          </w:tcPr>
          <w:p>
            <w:pPr>
              <w:pStyle w:val="TableParagraph"/>
              <w:spacing w:before="102"/>
              <w:rPr>
                <w:sz w:val="18"/>
              </w:rPr>
            </w:pPr>
            <w:r>
              <w:rPr>
                <w:sz w:val="18"/>
              </w:rPr>
              <w:t>IT AND TELECOM- COMPUTER AIDED DESIGN/COMPUTER AIDED MANUFACTURING (CAD/CAM)</w:t>
            </w:r>
          </w:p>
        </w:tc>
        <w:tc>
          <w:tcPr>
            <w:tcW w:w="1342" w:type="dxa"/>
            <w:tcBorders>
              <w:top w:val="nil"/>
              <w:bottom w:val="nil"/>
            </w:tcBorders>
          </w:tcPr>
          <w:p>
            <w:pPr>
              <w:pStyle w:val="TableParagraph"/>
              <w:spacing w:before="10"/>
              <w:ind w:left="0"/>
              <w:rPr>
                <w:b/>
                <w:sz w:val="17"/>
              </w:rPr>
            </w:pPr>
          </w:p>
          <w:p>
            <w:pPr>
              <w:pStyle w:val="TableParagraph"/>
              <w:rPr>
                <w:sz w:val="18"/>
              </w:rPr>
            </w:pPr>
            <w:r>
              <w:rPr>
                <w:sz w:val="18"/>
              </w:rPr>
              <w:t>$20,574,136</w:t>
            </w:r>
          </w:p>
        </w:tc>
        <w:tc>
          <w:tcPr>
            <w:tcW w:w="1260" w:type="dxa"/>
            <w:tcBorders>
              <w:top w:val="nil"/>
              <w:bottom w:val="nil"/>
            </w:tcBorders>
          </w:tcPr>
          <w:p>
            <w:pPr>
              <w:pStyle w:val="TableParagraph"/>
              <w:spacing w:before="10"/>
              <w:ind w:left="0"/>
              <w:rPr>
                <w:b/>
                <w:sz w:val="17"/>
              </w:rPr>
            </w:pPr>
          </w:p>
          <w:p>
            <w:pPr>
              <w:pStyle w:val="TableParagraph"/>
              <w:rPr>
                <w:sz w:val="18"/>
              </w:rPr>
            </w:pPr>
            <w:r>
              <w:rPr>
                <w:sz w:val="18"/>
              </w:rPr>
              <w:t>0.84%</w:t>
            </w:r>
          </w:p>
        </w:tc>
      </w:tr>
      <w:tr>
        <w:trPr>
          <w:trHeight w:val="525" w:hRule="atLeast"/>
        </w:trPr>
        <w:tc>
          <w:tcPr>
            <w:tcW w:w="845" w:type="dxa"/>
            <w:tcBorders>
              <w:top w:val="nil"/>
              <w:bottom w:val="nil"/>
            </w:tcBorders>
          </w:tcPr>
          <w:p>
            <w:pPr>
              <w:pStyle w:val="TableParagraph"/>
              <w:spacing w:before="163"/>
              <w:ind w:left="107"/>
              <w:rPr>
                <w:sz w:val="18"/>
              </w:rPr>
            </w:pPr>
            <w:r>
              <w:rPr>
                <w:sz w:val="18"/>
              </w:rPr>
              <w:t>R408</w:t>
            </w:r>
          </w:p>
        </w:tc>
        <w:tc>
          <w:tcPr>
            <w:tcW w:w="6946" w:type="dxa"/>
            <w:tcBorders>
              <w:top w:val="nil"/>
              <w:bottom w:val="nil"/>
            </w:tcBorders>
          </w:tcPr>
          <w:p>
            <w:pPr>
              <w:pStyle w:val="TableParagraph"/>
              <w:spacing w:before="163"/>
              <w:rPr>
                <w:sz w:val="18"/>
              </w:rPr>
            </w:pPr>
            <w:r>
              <w:rPr>
                <w:sz w:val="18"/>
              </w:rPr>
              <w:t>SUPPORT- PROFESSIONAL: PROGRAM MANAGEMENT/SUPPORT</w:t>
            </w:r>
          </w:p>
        </w:tc>
        <w:tc>
          <w:tcPr>
            <w:tcW w:w="1342" w:type="dxa"/>
            <w:tcBorders>
              <w:top w:val="nil"/>
              <w:bottom w:val="nil"/>
            </w:tcBorders>
          </w:tcPr>
          <w:p>
            <w:pPr>
              <w:pStyle w:val="TableParagraph"/>
              <w:spacing w:before="163"/>
              <w:rPr>
                <w:sz w:val="18"/>
              </w:rPr>
            </w:pPr>
            <w:r>
              <w:rPr>
                <w:sz w:val="18"/>
              </w:rPr>
              <w:t>$2,172,344</w:t>
            </w:r>
          </w:p>
        </w:tc>
        <w:tc>
          <w:tcPr>
            <w:tcW w:w="1260" w:type="dxa"/>
            <w:tcBorders>
              <w:top w:val="nil"/>
              <w:bottom w:val="nil"/>
            </w:tcBorders>
          </w:tcPr>
          <w:p>
            <w:pPr>
              <w:pStyle w:val="TableParagraph"/>
              <w:spacing w:before="163"/>
              <w:rPr>
                <w:sz w:val="18"/>
              </w:rPr>
            </w:pPr>
            <w:r>
              <w:rPr>
                <w:sz w:val="18"/>
              </w:rPr>
              <w:t>0.08%</w:t>
            </w:r>
          </w:p>
        </w:tc>
      </w:tr>
      <w:tr>
        <w:trPr>
          <w:trHeight w:val="407" w:hRule="atLeast"/>
        </w:trPr>
        <w:tc>
          <w:tcPr>
            <w:tcW w:w="845" w:type="dxa"/>
            <w:tcBorders>
              <w:top w:val="nil"/>
            </w:tcBorders>
          </w:tcPr>
          <w:p>
            <w:pPr>
              <w:pStyle w:val="TableParagraph"/>
              <w:spacing w:before="148"/>
              <w:ind w:left="107"/>
              <w:rPr>
                <w:sz w:val="18"/>
              </w:rPr>
            </w:pPr>
            <w:r>
              <w:rPr>
                <w:sz w:val="18"/>
              </w:rPr>
              <w:t>R419</w:t>
            </w:r>
          </w:p>
        </w:tc>
        <w:tc>
          <w:tcPr>
            <w:tcW w:w="6946" w:type="dxa"/>
            <w:tcBorders>
              <w:top w:val="nil"/>
            </w:tcBorders>
          </w:tcPr>
          <w:p>
            <w:pPr>
              <w:pStyle w:val="TableParagraph"/>
              <w:spacing w:before="148"/>
              <w:rPr>
                <w:sz w:val="18"/>
              </w:rPr>
            </w:pPr>
            <w:r>
              <w:rPr>
                <w:sz w:val="18"/>
              </w:rPr>
              <w:t>EDUCATIONAL SERVICES</w:t>
            </w:r>
          </w:p>
        </w:tc>
        <w:tc>
          <w:tcPr>
            <w:tcW w:w="1342" w:type="dxa"/>
            <w:tcBorders>
              <w:top w:val="nil"/>
            </w:tcBorders>
          </w:tcPr>
          <w:p>
            <w:pPr>
              <w:pStyle w:val="TableParagraph"/>
              <w:spacing w:before="148"/>
              <w:rPr>
                <w:sz w:val="18"/>
              </w:rPr>
            </w:pPr>
            <w:r>
              <w:rPr>
                <w:sz w:val="18"/>
              </w:rPr>
              <w:t>$553,531</w:t>
            </w:r>
          </w:p>
        </w:tc>
        <w:tc>
          <w:tcPr>
            <w:tcW w:w="1260" w:type="dxa"/>
            <w:tcBorders>
              <w:top w:val="nil"/>
            </w:tcBorders>
          </w:tcPr>
          <w:p>
            <w:pPr>
              <w:pStyle w:val="TableParagraph"/>
              <w:spacing w:before="148"/>
              <w:rPr>
                <w:sz w:val="18"/>
              </w:rPr>
            </w:pPr>
            <w:r>
              <w:rPr>
                <w:sz w:val="18"/>
              </w:rPr>
              <w:t>0.02%</w:t>
            </w:r>
          </w:p>
        </w:tc>
      </w:tr>
    </w:tbl>
    <w:p>
      <w:pPr>
        <w:spacing w:after="0"/>
        <w:rPr>
          <w:sz w:val="18"/>
        </w:rPr>
        <w:sectPr>
          <w:headerReference w:type="default" r:id="rId7"/>
          <w:pgSz w:w="12240" w:h="15840"/>
          <w:pgMar w:header="722" w:footer="0" w:top="1400" w:bottom="280" w:left="800" w:right="680"/>
        </w:sectPr>
      </w:pPr>
    </w:p>
    <w:p>
      <w:pPr>
        <w:spacing w:before="80" w:after="3"/>
        <w:ind w:left="3506" w:right="0" w:firstLine="0"/>
        <w:jc w:val="left"/>
        <w:rPr>
          <w:b/>
          <w:sz w:val="24"/>
        </w:rPr>
      </w:pPr>
      <w:r>
        <w:rPr>
          <w:b/>
          <w:sz w:val="24"/>
        </w:rPr>
        <w:t>Table 2 – PSC Detail and Rationale</w:t>
      </w: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
        <w:gridCol w:w="2071"/>
        <w:gridCol w:w="7734"/>
      </w:tblGrid>
      <w:tr>
        <w:trPr>
          <w:trHeight w:val="890" w:hRule="atLeast"/>
        </w:trPr>
        <w:tc>
          <w:tcPr>
            <w:tcW w:w="656" w:type="dxa"/>
          </w:tcPr>
          <w:p>
            <w:pPr>
              <w:pStyle w:val="TableParagraph"/>
              <w:spacing w:line="202" w:lineRule="exact"/>
              <w:ind w:left="88" w:right="107"/>
              <w:jc w:val="center"/>
              <w:rPr>
                <w:sz w:val="18"/>
              </w:rPr>
            </w:pPr>
            <w:r>
              <w:rPr>
                <w:sz w:val="18"/>
              </w:rPr>
              <w:t>AF11</w:t>
            </w:r>
          </w:p>
        </w:tc>
        <w:tc>
          <w:tcPr>
            <w:tcW w:w="2071" w:type="dxa"/>
          </w:tcPr>
          <w:p>
            <w:pPr>
              <w:pStyle w:val="TableParagraph"/>
              <w:ind w:left="105" w:right="641"/>
              <w:rPr>
                <w:sz w:val="18"/>
              </w:rPr>
            </w:pPr>
            <w:r>
              <w:rPr>
                <w:sz w:val="18"/>
              </w:rPr>
              <w:t>Research and Development – Education (Basic)</w:t>
            </w:r>
          </w:p>
        </w:tc>
        <w:tc>
          <w:tcPr>
            <w:tcW w:w="7734" w:type="dxa"/>
          </w:tcPr>
          <w:p>
            <w:pPr>
              <w:pStyle w:val="TableParagraph"/>
              <w:numPr>
                <w:ilvl w:val="0"/>
                <w:numId w:val="2"/>
              </w:numPr>
              <w:tabs>
                <w:tab w:pos="385" w:val="left" w:leader="none"/>
              </w:tabs>
              <w:spacing w:line="240" w:lineRule="auto" w:before="0" w:after="0"/>
              <w:ind w:left="384" w:right="177" w:hanging="277"/>
              <w:jc w:val="left"/>
              <w:rPr>
                <w:sz w:val="18"/>
              </w:rPr>
            </w:pPr>
            <w:r>
              <w:rPr>
                <w:sz w:val="18"/>
              </w:rPr>
              <w:t>PSC considered a mission critical function of the Department. Research and Special Studies are services that are identified as being commercial services and appropriately outsourced under prior FAIR Act Inventory reviews. The Department spent $78M (3.22% of its total FY2016 obligations) for these</w:t>
            </w:r>
            <w:r>
              <w:rPr>
                <w:spacing w:val="-2"/>
                <w:sz w:val="18"/>
              </w:rPr>
              <w:t> </w:t>
            </w:r>
            <w:r>
              <w:rPr>
                <w:sz w:val="18"/>
              </w:rPr>
              <w:t>services.</w:t>
            </w:r>
          </w:p>
        </w:tc>
      </w:tr>
      <w:tr>
        <w:trPr>
          <w:trHeight w:val="654" w:hRule="atLeast"/>
        </w:trPr>
        <w:tc>
          <w:tcPr>
            <w:tcW w:w="656" w:type="dxa"/>
          </w:tcPr>
          <w:p>
            <w:pPr>
              <w:pStyle w:val="TableParagraph"/>
              <w:spacing w:line="202" w:lineRule="exact"/>
              <w:ind w:left="71" w:right="107"/>
              <w:jc w:val="center"/>
              <w:rPr>
                <w:sz w:val="18"/>
              </w:rPr>
            </w:pPr>
            <w:r>
              <w:rPr>
                <w:sz w:val="18"/>
              </w:rPr>
              <w:t>B506</w:t>
            </w:r>
          </w:p>
        </w:tc>
        <w:tc>
          <w:tcPr>
            <w:tcW w:w="2071" w:type="dxa"/>
          </w:tcPr>
          <w:p>
            <w:pPr>
              <w:pStyle w:val="TableParagraph"/>
              <w:ind w:left="105" w:right="256"/>
              <w:rPr>
                <w:sz w:val="18"/>
              </w:rPr>
            </w:pPr>
            <w:r>
              <w:rPr>
                <w:sz w:val="18"/>
              </w:rPr>
              <w:t>Study/Data Other Than Scientific</w:t>
            </w:r>
          </w:p>
        </w:tc>
        <w:tc>
          <w:tcPr>
            <w:tcW w:w="7734" w:type="dxa"/>
          </w:tcPr>
          <w:p>
            <w:pPr>
              <w:pStyle w:val="TableParagraph"/>
              <w:numPr>
                <w:ilvl w:val="0"/>
                <w:numId w:val="3"/>
              </w:numPr>
              <w:tabs>
                <w:tab w:pos="361" w:val="left" w:leader="none"/>
              </w:tabs>
              <w:spacing w:line="240" w:lineRule="auto" w:before="0" w:after="0"/>
              <w:ind w:left="360" w:right="139" w:hanging="253"/>
              <w:jc w:val="left"/>
              <w:rPr>
                <w:sz w:val="18"/>
              </w:rPr>
            </w:pPr>
            <w:r>
              <w:rPr>
                <w:sz w:val="18"/>
              </w:rPr>
              <w:t>Many of the services on contracts reviewed in this PSC were non-commercial; there is a higher risk for over-reliance on contractors for these types of contracts. The Department spent $88M (4% of its total FY 2016 obligations) for these</w:t>
            </w:r>
            <w:r>
              <w:rPr>
                <w:spacing w:val="-6"/>
                <w:sz w:val="18"/>
              </w:rPr>
              <w:t> </w:t>
            </w:r>
            <w:r>
              <w:rPr>
                <w:sz w:val="18"/>
              </w:rPr>
              <w:t>services.</w:t>
            </w:r>
          </w:p>
        </w:tc>
      </w:tr>
      <w:tr>
        <w:trPr>
          <w:trHeight w:val="664" w:hRule="atLeast"/>
        </w:trPr>
        <w:tc>
          <w:tcPr>
            <w:tcW w:w="656" w:type="dxa"/>
          </w:tcPr>
          <w:p>
            <w:pPr>
              <w:pStyle w:val="TableParagraph"/>
              <w:spacing w:line="202" w:lineRule="exact"/>
              <w:ind w:left="71" w:right="107"/>
              <w:jc w:val="center"/>
              <w:rPr>
                <w:sz w:val="18"/>
              </w:rPr>
            </w:pPr>
            <w:r>
              <w:rPr>
                <w:sz w:val="18"/>
              </w:rPr>
              <w:t>B542</w:t>
            </w:r>
          </w:p>
        </w:tc>
        <w:tc>
          <w:tcPr>
            <w:tcW w:w="2071" w:type="dxa"/>
          </w:tcPr>
          <w:p>
            <w:pPr>
              <w:pStyle w:val="TableParagraph"/>
              <w:spacing w:line="242" w:lineRule="auto"/>
              <w:ind w:left="105" w:right="196"/>
              <w:rPr>
                <w:sz w:val="18"/>
              </w:rPr>
            </w:pPr>
            <w:r>
              <w:rPr>
                <w:sz w:val="18"/>
              </w:rPr>
              <w:t>Educational Studies and Analyses</w:t>
            </w:r>
          </w:p>
        </w:tc>
        <w:tc>
          <w:tcPr>
            <w:tcW w:w="7734" w:type="dxa"/>
          </w:tcPr>
          <w:p>
            <w:pPr>
              <w:pStyle w:val="TableParagraph"/>
              <w:numPr>
                <w:ilvl w:val="0"/>
                <w:numId w:val="4"/>
              </w:numPr>
              <w:tabs>
                <w:tab w:pos="361" w:val="left" w:leader="none"/>
              </w:tabs>
              <w:spacing w:line="240" w:lineRule="auto" w:before="0" w:after="0"/>
              <w:ind w:left="360" w:right="110" w:hanging="253"/>
              <w:jc w:val="left"/>
              <w:rPr>
                <w:sz w:val="18"/>
              </w:rPr>
            </w:pPr>
            <w:r>
              <w:rPr>
                <w:sz w:val="18"/>
              </w:rPr>
              <w:t>Many of the services on contracts reviewed in this PSC were non-commercial; there is a higher risk for over-reliance on contractors on these types of contracts. The Department spent $69M (2.83 % of its total FY 2016 obligations) for these</w:t>
            </w:r>
            <w:r>
              <w:rPr>
                <w:spacing w:val="-6"/>
                <w:sz w:val="18"/>
              </w:rPr>
              <w:t> </w:t>
            </w:r>
            <w:r>
              <w:rPr>
                <w:sz w:val="18"/>
              </w:rPr>
              <w:t>services.</w:t>
            </w:r>
          </w:p>
        </w:tc>
      </w:tr>
      <w:tr>
        <w:trPr>
          <w:trHeight w:val="666" w:hRule="atLeast"/>
        </w:trPr>
        <w:tc>
          <w:tcPr>
            <w:tcW w:w="656" w:type="dxa"/>
          </w:tcPr>
          <w:p>
            <w:pPr>
              <w:pStyle w:val="TableParagraph"/>
              <w:spacing w:line="204" w:lineRule="exact"/>
              <w:ind w:left="81" w:right="107"/>
              <w:jc w:val="center"/>
              <w:rPr>
                <w:sz w:val="18"/>
              </w:rPr>
            </w:pPr>
            <w:r>
              <w:rPr>
                <w:sz w:val="18"/>
              </w:rPr>
              <w:t>D301</w:t>
            </w:r>
          </w:p>
        </w:tc>
        <w:tc>
          <w:tcPr>
            <w:tcW w:w="2071" w:type="dxa"/>
          </w:tcPr>
          <w:p>
            <w:pPr>
              <w:pStyle w:val="TableParagraph"/>
              <w:ind w:left="105" w:right="196"/>
              <w:rPr>
                <w:sz w:val="18"/>
              </w:rPr>
            </w:pPr>
            <w:r>
              <w:rPr>
                <w:sz w:val="18"/>
              </w:rPr>
              <w:t>IT &amp; Telecom: Facility Operations &amp; Maintenance</w:t>
            </w:r>
          </w:p>
        </w:tc>
        <w:tc>
          <w:tcPr>
            <w:tcW w:w="7734" w:type="dxa"/>
          </w:tcPr>
          <w:p>
            <w:pPr>
              <w:pStyle w:val="TableParagraph"/>
              <w:numPr>
                <w:ilvl w:val="0"/>
                <w:numId w:val="5"/>
              </w:numPr>
              <w:tabs>
                <w:tab w:pos="451" w:val="left" w:leader="none"/>
                <w:tab w:pos="452" w:val="left" w:leader="none"/>
              </w:tabs>
              <w:spacing w:line="217" w:lineRule="exact" w:before="0" w:after="0"/>
              <w:ind w:left="451" w:right="0" w:hanging="344"/>
              <w:jc w:val="left"/>
              <w:rPr>
                <w:sz w:val="18"/>
              </w:rPr>
            </w:pPr>
            <w:r>
              <w:rPr>
                <w:sz w:val="18"/>
              </w:rPr>
              <w:t>The Department spent $120M (5% of its total FY 2016 obligations) for these</w:t>
            </w:r>
            <w:r>
              <w:rPr>
                <w:spacing w:val="-18"/>
                <w:sz w:val="18"/>
              </w:rPr>
              <w:t> </w:t>
            </w:r>
            <w:r>
              <w:rPr>
                <w:sz w:val="18"/>
              </w:rPr>
              <w:t>services.</w:t>
            </w:r>
          </w:p>
        </w:tc>
      </w:tr>
      <w:tr>
        <w:trPr>
          <w:trHeight w:val="621" w:hRule="atLeast"/>
        </w:trPr>
        <w:tc>
          <w:tcPr>
            <w:tcW w:w="656" w:type="dxa"/>
          </w:tcPr>
          <w:p>
            <w:pPr>
              <w:pStyle w:val="TableParagraph"/>
              <w:spacing w:line="202" w:lineRule="exact"/>
              <w:ind w:left="81" w:right="107"/>
              <w:jc w:val="center"/>
              <w:rPr>
                <w:sz w:val="18"/>
              </w:rPr>
            </w:pPr>
            <w:r>
              <w:rPr>
                <w:sz w:val="18"/>
              </w:rPr>
              <w:t>D313</w:t>
            </w:r>
          </w:p>
        </w:tc>
        <w:tc>
          <w:tcPr>
            <w:tcW w:w="2071" w:type="dxa"/>
          </w:tcPr>
          <w:p>
            <w:pPr>
              <w:pStyle w:val="TableParagraph"/>
              <w:ind w:left="105" w:right="256"/>
              <w:rPr>
                <w:sz w:val="18"/>
              </w:rPr>
            </w:pPr>
            <w:r>
              <w:rPr>
                <w:sz w:val="18"/>
              </w:rPr>
              <w:t>Computer Aided </w:t>
            </w:r>
            <w:r>
              <w:rPr>
                <w:w w:val="95"/>
                <w:sz w:val="18"/>
              </w:rPr>
              <w:t>Design/Manufacturing</w:t>
            </w:r>
          </w:p>
          <w:p>
            <w:pPr>
              <w:pStyle w:val="TableParagraph"/>
              <w:spacing w:line="193" w:lineRule="exact"/>
              <w:ind w:left="105"/>
              <w:rPr>
                <w:sz w:val="18"/>
              </w:rPr>
            </w:pPr>
            <w:r>
              <w:rPr>
                <w:sz w:val="18"/>
              </w:rPr>
              <w:t>Services</w:t>
            </w:r>
          </w:p>
        </w:tc>
        <w:tc>
          <w:tcPr>
            <w:tcW w:w="7734" w:type="dxa"/>
          </w:tcPr>
          <w:p>
            <w:pPr>
              <w:pStyle w:val="TableParagraph"/>
              <w:numPr>
                <w:ilvl w:val="0"/>
                <w:numId w:val="6"/>
              </w:numPr>
              <w:tabs>
                <w:tab w:pos="361" w:val="left" w:leader="none"/>
              </w:tabs>
              <w:spacing w:line="237" w:lineRule="auto" w:before="0" w:after="0"/>
              <w:ind w:left="360" w:right="217" w:hanging="253"/>
              <w:jc w:val="left"/>
              <w:rPr>
                <w:sz w:val="18"/>
              </w:rPr>
            </w:pPr>
            <w:r>
              <w:rPr>
                <w:sz w:val="18"/>
              </w:rPr>
              <w:t>PSC</w:t>
            </w:r>
            <w:r>
              <w:rPr>
                <w:spacing w:val="-2"/>
                <w:sz w:val="18"/>
              </w:rPr>
              <w:t> </w:t>
            </w:r>
            <w:r>
              <w:rPr>
                <w:sz w:val="18"/>
              </w:rPr>
              <w:t>includes</w:t>
            </w:r>
            <w:r>
              <w:rPr>
                <w:spacing w:val="-3"/>
                <w:sz w:val="18"/>
              </w:rPr>
              <w:t> </w:t>
            </w:r>
            <w:r>
              <w:rPr>
                <w:sz w:val="18"/>
              </w:rPr>
              <w:t>contracts</w:t>
            </w:r>
            <w:r>
              <w:rPr>
                <w:spacing w:val="-2"/>
                <w:sz w:val="18"/>
              </w:rPr>
              <w:t> </w:t>
            </w:r>
            <w:r>
              <w:rPr>
                <w:sz w:val="18"/>
              </w:rPr>
              <w:t>for</w:t>
            </w:r>
            <w:r>
              <w:rPr>
                <w:spacing w:val="-2"/>
                <w:sz w:val="18"/>
              </w:rPr>
              <w:t> </w:t>
            </w:r>
            <w:r>
              <w:rPr>
                <w:sz w:val="18"/>
              </w:rPr>
              <w:t>IT</w:t>
            </w:r>
            <w:r>
              <w:rPr>
                <w:spacing w:val="-4"/>
                <w:sz w:val="18"/>
              </w:rPr>
              <w:t> </w:t>
            </w:r>
            <w:r>
              <w:rPr>
                <w:sz w:val="18"/>
              </w:rPr>
              <w:t>Acquisition</w:t>
            </w:r>
            <w:r>
              <w:rPr>
                <w:spacing w:val="-3"/>
                <w:sz w:val="18"/>
              </w:rPr>
              <w:t> </w:t>
            </w:r>
            <w:r>
              <w:rPr>
                <w:sz w:val="18"/>
              </w:rPr>
              <w:t>Support</w:t>
            </w:r>
            <w:r>
              <w:rPr>
                <w:spacing w:val="-4"/>
                <w:sz w:val="18"/>
              </w:rPr>
              <w:t> </w:t>
            </w:r>
            <w:r>
              <w:rPr>
                <w:sz w:val="18"/>
              </w:rPr>
              <w:t>Services,</w:t>
            </w:r>
            <w:r>
              <w:rPr>
                <w:spacing w:val="-2"/>
                <w:sz w:val="18"/>
              </w:rPr>
              <w:t> </w:t>
            </w:r>
            <w:r>
              <w:rPr>
                <w:sz w:val="18"/>
              </w:rPr>
              <w:t>which</w:t>
            </w:r>
            <w:r>
              <w:rPr>
                <w:spacing w:val="0"/>
                <w:sz w:val="18"/>
              </w:rPr>
              <w:t> </w:t>
            </w:r>
            <w:r>
              <w:rPr>
                <w:sz w:val="18"/>
              </w:rPr>
              <w:t>are</w:t>
            </w:r>
            <w:r>
              <w:rPr>
                <w:spacing w:val="-3"/>
                <w:sz w:val="18"/>
              </w:rPr>
              <w:t> </w:t>
            </w:r>
            <w:r>
              <w:rPr>
                <w:sz w:val="18"/>
              </w:rPr>
              <w:t>high</w:t>
            </w:r>
            <w:r>
              <w:rPr>
                <w:spacing w:val="-1"/>
                <w:sz w:val="18"/>
              </w:rPr>
              <w:t> </w:t>
            </w:r>
            <w:r>
              <w:rPr>
                <w:sz w:val="18"/>
              </w:rPr>
              <w:t>on</w:t>
            </w:r>
            <w:r>
              <w:rPr>
                <w:spacing w:val="-1"/>
                <w:sz w:val="18"/>
              </w:rPr>
              <w:t> </w:t>
            </w:r>
            <w:r>
              <w:rPr>
                <w:sz w:val="18"/>
              </w:rPr>
              <w:t>OMB’s</w:t>
            </w:r>
            <w:r>
              <w:rPr>
                <w:spacing w:val="-4"/>
                <w:sz w:val="18"/>
              </w:rPr>
              <w:t> </w:t>
            </w:r>
            <w:r>
              <w:rPr>
                <w:sz w:val="18"/>
              </w:rPr>
              <w:t>priority</w:t>
            </w:r>
            <w:r>
              <w:rPr>
                <w:spacing w:val="-6"/>
                <w:sz w:val="18"/>
              </w:rPr>
              <w:t> </w:t>
            </w:r>
            <w:r>
              <w:rPr>
                <w:sz w:val="18"/>
              </w:rPr>
              <w:t>list. The Department spent $20M (1% of its total FY 2016 obligations) for these</w:t>
            </w:r>
            <w:r>
              <w:rPr>
                <w:spacing w:val="-18"/>
                <w:sz w:val="18"/>
              </w:rPr>
              <w:t> </w:t>
            </w:r>
            <w:r>
              <w:rPr>
                <w:sz w:val="18"/>
              </w:rPr>
              <w:t>services.</w:t>
            </w:r>
          </w:p>
        </w:tc>
      </w:tr>
      <w:tr>
        <w:trPr>
          <w:trHeight w:val="654" w:hRule="atLeast"/>
        </w:trPr>
        <w:tc>
          <w:tcPr>
            <w:tcW w:w="656" w:type="dxa"/>
          </w:tcPr>
          <w:p>
            <w:pPr>
              <w:pStyle w:val="TableParagraph"/>
              <w:spacing w:line="202" w:lineRule="exact"/>
              <w:ind w:left="71" w:right="107"/>
              <w:jc w:val="center"/>
              <w:rPr>
                <w:sz w:val="18"/>
              </w:rPr>
            </w:pPr>
            <w:r>
              <w:rPr>
                <w:sz w:val="18"/>
              </w:rPr>
              <w:t>R408</w:t>
            </w:r>
          </w:p>
        </w:tc>
        <w:tc>
          <w:tcPr>
            <w:tcW w:w="2071" w:type="dxa"/>
          </w:tcPr>
          <w:p>
            <w:pPr>
              <w:pStyle w:val="TableParagraph"/>
              <w:ind w:left="105" w:right="313"/>
              <w:jc w:val="both"/>
              <w:rPr>
                <w:sz w:val="18"/>
              </w:rPr>
            </w:pPr>
            <w:r>
              <w:rPr>
                <w:sz w:val="18"/>
              </w:rPr>
              <w:t>Support – Professional Program Management Support</w:t>
            </w:r>
          </w:p>
        </w:tc>
        <w:tc>
          <w:tcPr>
            <w:tcW w:w="7734" w:type="dxa"/>
          </w:tcPr>
          <w:p>
            <w:pPr>
              <w:pStyle w:val="TableParagraph"/>
              <w:numPr>
                <w:ilvl w:val="0"/>
                <w:numId w:val="7"/>
              </w:numPr>
              <w:tabs>
                <w:tab w:pos="361" w:val="left" w:leader="none"/>
              </w:tabs>
              <w:spacing w:line="240" w:lineRule="auto" w:before="0" w:after="0"/>
              <w:ind w:left="360" w:right="138" w:hanging="253"/>
              <w:jc w:val="left"/>
              <w:rPr>
                <w:sz w:val="18"/>
              </w:rPr>
            </w:pPr>
            <w:r>
              <w:rPr>
                <w:sz w:val="18"/>
              </w:rPr>
              <w:t>Identified as a targeted special interest function PSC under the ongoing effort to reduce contract spending for management support services (OMB initiative). The Department spent $2M (0.12% of its total FY 2016 obligations) for these</w:t>
            </w:r>
            <w:r>
              <w:rPr>
                <w:spacing w:val="-6"/>
                <w:sz w:val="18"/>
              </w:rPr>
              <w:t> </w:t>
            </w:r>
            <w:r>
              <w:rPr>
                <w:sz w:val="18"/>
              </w:rPr>
              <w:t>services.</w:t>
            </w:r>
          </w:p>
        </w:tc>
      </w:tr>
      <w:tr>
        <w:trPr>
          <w:trHeight w:val="664" w:hRule="atLeast"/>
        </w:trPr>
        <w:tc>
          <w:tcPr>
            <w:tcW w:w="656" w:type="dxa"/>
          </w:tcPr>
          <w:p>
            <w:pPr>
              <w:pStyle w:val="TableParagraph"/>
              <w:spacing w:line="202" w:lineRule="exact"/>
              <w:ind w:left="71" w:right="107"/>
              <w:jc w:val="center"/>
              <w:rPr>
                <w:sz w:val="18"/>
              </w:rPr>
            </w:pPr>
            <w:r>
              <w:rPr>
                <w:sz w:val="18"/>
              </w:rPr>
              <w:t>R419</w:t>
            </w:r>
          </w:p>
        </w:tc>
        <w:tc>
          <w:tcPr>
            <w:tcW w:w="2071" w:type="dxa"/>
          </w:tcPr>
          <w:p>
            <w:pPr>
              <w:pStyle w:val="TableParagraph"/>
              <w:spacing w:line="202" w:lineRule="exact"/>
              <w:ind w:left="150"/>
              <w:rPr>
                <w:sz w:val="18"/>
              </w:rPr>
            </w:pPr>
            <w:r>
              <w:rPr>
                <w:sz w:val="18"/>
              </w:rPr>
              <w:t>Educational Services</w:t>
            </w:r>
          </w:p>
        </w:tc>
        <w:tc>
          <w:tcPr>
            <w:tcW w:w="7734" w:type="dxa"/>
          </w:tcPr>
          <w:p>
            <w:pPr>
              <w:pStyle w:val="TableParagraph"/>
              <w:numPr>
                <w:ilvl w:val="0"/>
                <w:numId w:val="8"/>
              </w:numPr>
              <w:tabs>
                <w:tab w:pos="361" w:val="left" w:leader="none"/>
              </w:tabs>
              <w:spacing w:line="240" w:lineRule="auto" w:before="0" w:after="0"/>
              <w:ind w:left="360" w:right="458" w:hanging="253"/>
              <w:jc w:val="left"/>
              <w:rPr>
                <w:sz w:val="18"/>
              </w:rPr>
            </w:pPr>
            <w:r>
              <w:rPr>
                <w:sz w:val="18"/>
              </w:rPr>
              <w:t>Identified as a targeted special interest function PSC under the ongoing effort to reduce</w:t>
            </w:r>
            <w:r>
              <w:rPr>
                <w:spacing w:val="-25"/>
                <w:sz w:val="18"/>
              </w:rPr>
              <w:t> </w:t>
            </w:r>
            <w:r>
              <w:rPr>
                <w:sz w:val="18"/>
              </w:rPr>
              <w:t>contract spending for educational support services (OMB initiative). The Department spent $553,531 (0.03% of its total FY 2016 obligations) or these</w:t>
            </w:r>
            <w:r>
              <w:rPr>
                <w:spacing w:val="-11"/>
                <w:sz w:val="18"/>
              </w:rPr>
              <w:t> </w:t>
            </w:r>
            <w:r>
              <w:rPr>
                <w:sz w:val="18"/>
              </w:rPr>
              <w:t>services.</w:t>
            </w:r>
          </w:p>
        </w:tc>
      </w:tr>
      <w:tr>
        <w:trPr>
          <w:trHeight w:val="693" w:hRule="atLeast"/>
        </w:trPr>
        <w:tc>
          <w:tcPr>
            <w:tcW w:w="656" w:type="dxa"/>
          </w:tcPr>
          <w:p>
            <w:pPr>
              <w:pStyle w:val="TableParagraph"/>
              <w:spacing w:line="204" w:lineRule="exact"/>
              <w:ind w:left="71" w:right="107"/>
              <w:jc w:val="center"/>
              <w:rPr>
                <w:sz w:val="18"/>
              </w:rPr>
            </w:pPr>
            <w:r>
              <w:rPr>
                <w:sz w:val="18"/>
              </w:rPr>
              <w:t>R499</w:t>
            </w:r>
          </w:p>
        </w:tc>
        <w:tc>
          <w:tcPr>
            <w:tcW w:w="2071" w:type="dxa"/>
          </w:tcPr>
          <w:p>
            <w:pPr>
              <w:pStyle w:val="TableParagraph"/>
              <w:ind w:left="105" w:right="201"/>
              <w:rPr>
                <w:sz w:val="18"/>
              </w:rPr>
            </w:pPr>
            <w:r>
              <w:rPr>
                <w:sz w:val="18"/>
              </w:rPr>
              <w:t>Support – Professional / Other</w:t>
            </w:r>
          </w:p>
        </w:tc>
        <w:tc>
          <w:tcPr>
            <w:tcW w:w="7734" w:type="dxa"/>
          </w:tcPr>
          <w:p>
            <w:pPr>
              <w:pStyle w:val="TableParagraph"/>
              <w:numPr>
                <w:ilvl w:val="0"/>
                <w:numId w:val="9"/>
              </w:numPr>
              <w:tabs>
                <w:tab w:pos="361" w:val="left" w:leader="none"/>
              </w:tabs>
              <w:spacing w:line="240" w:lineRule="auto" w:before="0" w:after="0"/>
              <w:ind w:left="360" w:right="323" w:hanging="253"/>
              <w:jc w:val="both"/>
              <w:rPr>
                <w:sz w:val="18"/>
              </w:rPr>
            </w:pPr>
            <w:r>
              <w:rPr>
                <w:sz w:val="18"/>
              </w:rPr>
              <w:t>Identified as a targeted PSC under the ongoing effort to reduce contract spending for professional and other services. The Department spent $81M (3.34% of its total FY 2016 obligation) for these services.</w:t>
            </w:r>
          </w:p>
        </w:tc>
      </w:tr>
      <w:tr>
        <w:trPr>
          <w:trHeight w:val="1048" w:hRule="atLeast"/>
        </w:trPr>
        <w:tc>
          <w:tcPr>
            <w:tcW w:w="656" w:type="dxa"/>
          </w:tcPr>
          <w:p>
            <w:pPr>
              <w:pStyle w:val="TableParagraph"/>
              <w:spacing w:line="202" w:lineRule="exact"/>
              <w:ind w:left="71" w:right="107"/>
              <w:jc w:val="center"/>
              <w:rPr>
                <w:sz w:val="18"/>
              </w:rPr>
            </w:pPr>
            <w:r>
              <w:rPr>
                <w:sz w:val="18"/>
              </w:rPr>
              <w:t>R705</w:t>
            </w:r>
          </w:p>
        </w:tc>
        <w:tc>
          <w:tcPr>
            <w:tcW w:w="2071" w:type="dxa"/>
          </w:tcPr>
          <w:p>
            <w:pPr>
              <w:pStyle w:val="TableParagraph"/>
              <w:ind w:left="105" w:right="256"/>
              <w:rPr>
                <w:sz w:val="18"/>
              </w:rPr>
            </w:pPr>
            <w:r>
              <w:rPr>
                <w:sz w:val="18"/>
              </w:rPr>
              <w:t>Support: Management Data Collection</w:t>
            </w:r>
          </w:p>
        </w:tc>
        <w:tc>
          <w:tcPr>
            <w:tcW w:w="7734" w:type="dxa"/>
          </w:tcPr>
          <w:p>
            <w:pPr>
              <w:pStyle w:val="TableParagraph"/>
              <w:numPr>
                <w:ilvl w:val="0"/>
                <w:numId w:val="10"/>
              </w:numPr>
              <w:tabs>
                <w:tab w:pos="361" w:val="left" w:leader="none"/>
              </w:tabs>
              <w:spacing w:line="240" w:lineRule="auto" w:before="0" w:after="0"/>
              <w:ind w:left="360" w:right="220" w:hanging="253"/>
              <w:jc w:val="left"/>
              <w:rPr>
                <w:sz w:val="18"/>
              </w:rPr>
            </w:pPr>
            <w:r>
              <w:rPr>
                <w:sz w:val="18"/>
              </w:rPr>
              <w:t>Identified as a targeted PSC under the ongoing effort to reduce contract spending for management support services (OMB initiative). The Department spent $631M (26% of its total FY 2016 obligations) for these services. This PSC is included to guard against expansion of the</w:t>
            </w:r>
            <w:r>
              <w:rPr>
                <w:spacing w:val="-28"/>
                <w:sz w:val="18"/>
              </w:rPr>
              <w:t> </w:t>
            </w:r>
            <w:r>
              <w:rPr>
                <w:sz w:val="18"/>
              </w:rPr>
              <w:t>contractor’s</w:t>
            </w:r>
          </w:p>
          <w:p>
            <w:pPr>
              <w:pStyle w:val="TableParagraph"/>
              <w:spacing w:line="206" w:lineRule="exact"/>
              <w:ind w:left="360"/>
              <w:rPr>
                <w:sz w:val="18"/>
              </w:rPr>
            </w:pPr>
            <w:r>
              <w:rPr>
                <w:sz w:val="18"/>
              </w:rPr>
              <w:t>duties into inherently governmental functions and to ensure sufficient management and oversight remains in place.</w:t>
            </w:r>
          </w:p>
        </w:tc>
      </w:tr>
      <w:tr>
        <w:trPr>
          <w:trHeight w:val="633" w:hRule="atLeast"/>
        </w:trPr>
        <w:tc>
          <w:tcPr>
            <w:tcW w:w="656" w:type="dxa"/>
          </w:tcPr>
          <w:p>
            <w:pPr>
              <w:pStyle w:val="TableParagraph"/>
              <w:spacing w:line="202" w:lineRule="exact"/>
              <w:ind w:left="71" w:right="107"/>
              <w:jc w:val="center"/>
              <w:rPr>
                <w:sz w:val="18"/>
              </w:rPr>
            </w:pPr>
            <w:r>
              <w:rPr>
                <w:sz w:val="18"/>
              </w:rPr>
              <w:t>R710</w:t>
            </w:r>
          </w:p>
        </w:tc>
        <w:tc>
          <w:tcPr>
            <w:tcW w:w="2071" w:type="dxa"/>
          </w:tcPr>
          <w:p>
            <w:pPr>
              <w:pStyle w:val="TableParagraph"/>
              <w:ind w:left="105" w:right="256"/>
              <w:rPr>
                <w:sz w:val="18"/>
              </w:rPr>
            </w:pPr>
            <w:r>
              <w:rPr>
                <w:sz w:val="18"/>
              </w:rPr>
              <w:t>Support: Management Financial</w:t>
            </w:r>
          </w:p>
        </w:tc>
        <w:tc>
          <w:tcPr>
            <w:tcW w:w="7734" w:type="dxa"/>
          </w:tcPr>
          <w:p>
            <w:pPr>
              <w:pStyle w:val="TableParagraph"/>
              <w:numPr>
                <w:ilvl w:val="0"/>
                <w:numId w:val="11"/>
              </w:numPr>
              <w:tabs>
                <w:tab w:pos="361" w:val="left" w:leader="none"/>
              </w:tabs>
              <w:spacing w:line="240" w:lineRule="auto" w:before="0" w:after="0"/>
              <w:ind w:left="360" w:right="385" w:hanging="253"/>
              <w:jc w:val="left"/>
              <w:rPr>
                <w:sz w:val="18"/>
              </w:rPr>
            </w:pPr>
            <w:r>
              <w:rPr>
                <w:sz w:val="18"/>
              </w:rPr>
              <w:t>The Department spent $1B (41% of its total FY2016 obligations) for these services. This PSC is included to guard against expansion of the contractor’s duties into inherently</w:t>
            </w:r>
            <w:r>
              <w:rPr>
                <w:spacing w:val="-20"/>
                <w:sz w:val="18"/>
              </w:rPr>
              <w:t> </w:t>
            </w:r>
            <w:r>
              <w:rPr>
                <w:sz w:val="18"/>
              </w:rPr>
              <w:t>governmental</w:t>
            </w:r>
          </w:p>
          <w:p>
            <w:pPr>
              <w:pStyle w:val="TableParagraph"/>
              <w:spacing w:line="191" w:lineRule="exact"/>
              <w:ind w:left="360"/>
              <w:rPr>
                <w:sz w:val="18"/>
              </w:rPr>
            </w:pPr>
            <w:r>
              <w:rPr>
                <w:sz w:val="18"/>
              </w:rPr>
              <w:t>functions and to ensure sufficient management and oversight remains in place.</w:t>
            </w:r>
          </w:p>
        </w:tc>
      </w:tr>
    </w:tbl>
    <w:p>
      <w:pPr>
        <w:pStyle w:val="BodyText"/>
        <w:spacing w:before="8"/>
        <w:rPr>
          <w:b/>
          <w:sz w:val="23"/>
        </w:rPr>
      </w:pPr>
    </w:p>
    <w:p>
      <w:pPr>
        <w:pStyle w:val="ListParagraph"/>
        <w:numPr>
          <w:ilvl w:val="0"/>
          <w:numId w:val="1"/>
        </w:numPr>
        <w:tabs>
          <w:tab w:pos="732" w:val="left" w:leader="none"/>
        </w:tabs>
        <w:spacing w:line="240" w:lineRule="auto" w:before="0" w:after="0"/>
        <w:ind w:left="731" w:right="0" w:hanging="360"/>
        <w:jc w:val="left"/>
        <w:rPr>
          <w:b/>
          <w:sz w:val="24"/>
        </w:rPr>
      </w:pPr>
      <w:r>
        <w:rPr>
          <w:b/>
          <w:sz w:val="24"/>
        </w:rPr>
        <w:t>Methodology</w:t>
      </w:r>
    </w:p>
    <w:p>
      <w:pPr>
        <w:pStyle w:val="BodyText"/>
        <w:spacing w:before="7"/>
        <w:rPr>
          <w:b/>
          <w:sz w:val="23"/>
        </w:rPr>
      </w:pPr>
    </w:p>
    <w:p>
      <w:pPr>
        <w:pStyle w:val="BodyText"/>
        <w:ind w:left="280" w:right="416"/>
      </w:pPr>
      <w:r>
        <w:rPr/>
        <w:t>The Department analyzed a total of 10 PSCs with the highest percent of total obligations for FY 2016. PSCs R408 and R419 were substituted for codes D399 and U009 because they are considered to be special interest functions consisting of professional program management support and educational services. Special interest functions require increased management attention due to a heightened risk of workforce imbalance. Additional the rationale for further analysis is also determined by whether or not the contract service is closely associated with inherently governmental functions and which contracts are receiving special management attention for reduction in contract spending. While some of the PSCs were covered by the FY 2015 analysis of service contracts, the Department believes using the top eight codes by obligation and also using additional special interest function codes represents the best</w:t>
      </w:r>
      <w:r>
        <w:rPr>
          <w:spacing w:val="-16"/>
        </w:rPr>
        <w:t> </w:t>
      </w:r>
      <w:r>
        <w:rPr/>
        <w:t>spectrum of services to be analyzed. The Special Interest Functions that were evaluated for analysis in this report play a large role in achieving the Department’s mission objectives. This is evident in the dollar amounts obligated to those specific</w:t>
      </w:r>
      <w:r>
        <w:rPr>
          <w:spacing w:val="-2"/>
        </w:rPr>
        <w:t> </w:t>
      </w:r>
      <w:r>
        <w:rPr/>
        <w:t>PSCs.</w:t>
      </w:r>
    </w:p>
    <w:p>
      <w:pPr>
        <w:spacing w:after="0"/>
        <w:sectPr>
          <w:pgSz w:w="12240" w:h="15840"/>
          <w:pgMar w:header="722" w:footer="0" w:top="1400" w:bottom="280" w:left="800" w:right="680"/>
        </w:sectPr>
      </w:pPr>
    </w:p>
    <w:p>
      <w:pPr>
        <w:pStyle w:val="Heading2"/>
        <w:numPr>
          <w:ilvl w:val="0"/>
          <w:numId w:val="1"/>
        </w:numPr>
        <w:tabs>
          <w:tab w:pos="694" w:val="left" w:leader="none"/>
        </w:tabs>
        <w:spacing w:line="240" w:lineRule="auto" w:before="80" w:after="0"/>
        <w:ind w:left="693" w:right="0" w:hanging="293"/>
        <w:jc w:val="left"/>
      </w:pPr>
      <w:r>
        <w:rPr/>
        <w:t>Findings</w:t>
      </w:r>
    </w:p>
    <w:p>
      <w:pPr>
        <w:pStyle w:val="BodyText"/>
        <w:rPr>
          <w:b/>
        </w:rPr>
      </w:pPr>
    </w:p>
    <w:p>
      <w:pPr>
        <w:spacing w:before="0"/>
        <w:ind w:left="280" w:right="0" w:firstLine="0"/>
        <w:jc w:val="left"/>
        <w:rPr>
          <w:b/>
          <w:sz w:val="24"/>
        </w:rPr>
      </w:pPr>
      <w:r>
        <w:rPr>
          <w:b/>
          <w:sz w:val="24"/>
        </w:rPr>
        <w:t>Inherently Governmental Functions (IGF)</w:t>
      </w:r>
    </w:p>
    <w:p>
      <w:pPr>
        <w:pStyle w:val="BodyText"/>
        <w:spacing w:before="110"/>
        <w:ind w:left="280" w:right="517"/>
      </w:pPr>
      <w:r>
        <w:rPr/>
        <w:t>Based on the careful evaluations the reviewers performed and careful reviews of the established criteria for classifying functions as inherently governmental, the review team determined that none of the contractors are performing IGFs.</w:t>
      </w:r>
    </w:p>
    <w:p>
      <w:pPr>
        <w:pStyle w:val="BodyText"/>
        <w:spacing w:before="5"/>
      </w:pPr>
    </w:p>
    <w:p>
      <w:pPr>
        <w:pStyle w:val="Heading2"/>
      </w:pPr>
      <w:r>
        <w:rPr/>
        <w:t>Functions Closely Associated with IGFs</w:t>
      </w:r>
    </w:p>
    <w:p>
      <w:pPr>
        <w:pStyle w:val="BodyText"/>
        <w:spacing w:before="108"/>
        <w:ind w:left="280" w:right="396"/>
      </w:pPr>
      <w:r>
        <w:rPr/>
        <w:t>During the interviews, the review team used the evaluation checklist questions to detect the expansion of closely associated work that may have become IGF. The checklist included various subjects of responsibilities, including limiting or guiding the contractor’s discretion, assigning Federal employees to give special management attention to the contractor’s activities, and taking steps to avoid or mitigate conflicts of interest. Reviewers identified several contracts where the Department gave special consideration during the planning phase of the procurement to use Federal employees in lieu of contractor employees to perform duties closely associated with IGF. When sufficient Governmental resources were available, these duties were retained in-house. When the level of available resources was not sufficient for performance by a Federal employee, consideration was given to ensure that sufficient resources were available for proper oversight. Reviewers did not identify any contracts as having services closely associated with IGF.</w:t>
      </w:r>
    </w:p>
    <w:p>
      <w:pPr>
        <w:pStyle w:val="BodyText"/>
        <w:spacing w:before="6"/>
      </w:pPr>
    </w:p>
    <w:p>
      <w:pPr>
        <w:pStyle w:val="Heading2"/>
      </w:pPr>
      <w:r>
        <w:rPr/>
        <w:t>Contract Management and Oversight</w:t>
      </w:r>
    </w:p>
    <w:p>
      <w:pPr>
        <w:pStyle w:val="BodyText"/>
        <w:spacing w:before="110"/>
        <w:ind w:left="280" w:right="437"/>
      </w:pPr>
      <w:r>
        <w:rPr/>
        <w:t>Reviewers found that the majority of the contracts reviewed as part of the SCI had sufficiently trained and experienced employees available within the agency to manage and oversee contract administration functions.</w:t>
      </w:r>
    </w:p>
    <w:p>
      <w:pPr>
        <w:pStyle w:val="BodyText"/>
        <w:spacing w:before="5"/>
      </w:pPr>
    </w:p>
    <w:p>
      <w:pPr>
        <w:pStyle w:val="Heading2"/>
        <w:spacing w:before="1"/>
      </w:pPr>
      <w:r>
        <w:rPr/>
        <w:t>Mission Critical Functions</w:t>
      </w:r>
    </w:p>
    <w:p>
      <w:pPr>
        <w:pStyle w:val="BodyText"/>
        <w:spacing w:before="110"/>
        <w:ind w:left="280" w:right="437"/>
      </w:pPr>
      <w:r>
        <w:rPr/>
        <w:t>Reviewers identified contracts where contractors performed services that are considered to be critical functions closely associated with the Department’s mission and operations, there were also sufficient resources in place to manage and oversee these contracts. Examples of activities identified by reviewers as “mission critical” are assessments of educational progress, grant application reviews, technical assistance, and education research. The Department will continue to pay close attention to contracts where contractors perform these kinds of services in order to maintain sufficient internal control capabilities as it relates to inherently governmental activities.</w:t>
      </w:r>
    </w:p>
    <w:p>
      <w:pPr>
        <w:pStyle w:val="BodyText"/>
        <w:spacing w:before="5"/>
      </w:pPr>
    </w:p>
    <w:p>
      <w:pPr>
        <w:pStyle w:val="Heading2"/>
      </w:pPr>
      <w:r>
        <w:rPr/>
        <w:t>Personal Services</w:t>
      </w:r>
    </w:p>
    <w:p>
      <w:pPr>
        <w:pStyle w:val="BodyText"/>
        <w:spacing w:before="111"/>
        <w:ind w:left="280"/>
      </w:pPr>
      <w:r>
        <w:rPr/>
        <w:t>The department does not award any personal services contracts.</w:t>
      </w:r>
    </w:p>
    <w:p>
      <w:pPr>
        <w:pStyle w:val="BodyText"/>
        <w:spacing w:before="5"/>
      </w:pPr>
    </w:p>
    <w:p>
      <w:pPr>
        <w:pStyle w:val="Heading2"/>
      </w:pPr>
      <w:r>
        <w:rPr/>
        <w:t>Summary</w:t>
      </w:r>
    </w:p>
    <w:p>
      <w:pPr>
        <w:pStyle w:val="BodyText"/>
        <w:spacing w:before="110"/>
        <w:ind w:left="280"/>
      </w:pPr>
      <w:r>
        <w:rPr/>
        <w:t>The analysis of the contracts reviewed indicates:</w:t>
      </w:r>
    </w:p>
    <w:p>
      <w:pPr>
        <w:pStyle w:val="ListParagraph"/>
        <w:numPr>
          <w:ilvl w:val="1"/>
          <w:numId w:val="1"/>
        </w:numPr>
        <w:tabs>
          <w:tab w:pos="1000" w:val="left" w:leader="none"/>
          <w:tab w:pos="1001" w:val="left" w:leader="none"/>
        </w:tabs>
        <w:spacing w:line="293" w:lineRule="exact" w:before="118" w:after="0"/>
        <w:ind w:left="1000" w:right="0" w:hanging="360"/>
        <w:jc w:val="left"/>
        <w:rPr>
          <w:sz w:val="24"/>
        </w:rPr>
      </w:pPr>
      <w:r>
        <w:rPr>
          <w:sz w:val="24"/>
        </w:rPr>
        <w:t>No evidence of contractors performing IGF</w:t>
      </w:r>
      <w:r>
        <w:rPr>
          <w:spacing w:val="-4"/>
          <w:sz w:val="24"/>
        </w:rPr>
        <w:t> </w:t>
      </w:r>
      <w:r>
        <w:rPr>
          <w:sz w:val="24"/>
        </w:rPr>
        <w:t>services</w:t>
      </w:r>
    </w:p>
    <w:p>
      <w:pPr>
        <w:pStyle w:val="ListParagraph"/>
        <w:numPr>
          <w:ilvl w:val="1"/>
          <w:numId w:val="1"/>
        </w:numPr>
        <w:tabs>
          <w:tab w:pos="1000" w:val="left" w:leader="none"/>
          <w:tab w:pos="1001" w:val="left" w:leader="none"/>
        </w:tabs>
        <w:spacing w:line="293" w:lineRule="exact" w:before="0" w:after="0"/>
        <w:ind w:left="1000" w:right="0" w:hanging="360"/>
        <w:jc w:val="left"/>
        <w:rPr>
          <w:sz w:val="24"/>
        </w:rPr>
      </w:pPr>
      <w:r>
        <w:rPr>
          <w:sz w:val="24"/>
        </w:rPr>
        <w:t>No evidence of contractors performing personal</w:t>
      </w:r>
      <w:r>
        <w:rPr>
          <w:spacing w:val="-5"/>
          <w:sz w:val="24"/>
        </w:rPr>
        <w:t> </w:t>
      </w:r>
      <w:r>
        <w:rPr>
          <w:sz w:val="24"/>
        </w:rPr>
        <w:t>services</w:t>
      </w:r>
    </w:p>
    <w:p>
      <w:pPr>
        <w:pStyle w:val="ListParagraph"/>
        <w:numPr>
          <w:ilvl w:val="1"/>
          <w:numId w:val="1"/>
        </w:numPr>
        <w:tabs>
          <w:tab w:pos="1000" w:val="left" w:leader="none"/>
          <w:tab w:pos="1001" w:val="left" w:leader="none"/>
        </w:tabs>
        <w:spacing w:line="293" w:lineRule="exact" w:before="0" w:after="0"/>
        <w:ind w:left="1000" w:right="0" w:hanging="360"/>
        <w:jc w:val="left"/>
        <w:rPr>
          <w:sz w:val="24"/>
        </w:rPr>
      </w:pPr>
      <w:r>
        <w:rPr>
          <w:sz w:val="24"/>
        </w:rPr>
        <w:t>No evidence of contractors performing services identified as closely associated with</w:t>
      </w:r>
      <w:r>
        <w:rPr>
          <w:spacing w:val="-11"/>
          <w:sz w:val="24"/>
        </w:rPr>
        <w:t> </w:t>
      </w:r>
      <w:r>
        <w:rPr>
          <w:sz w:val="24"/>
        </w:rPr>
        <w:t>IGF</w:t>
      </w:r>
    </w:p>
    <w:p>
      <w:pPr>
        <w:pStyle w:val="ListParagraph"/>
        <w:numPr>
          <w:ilvl w:val="1"/>
          <w:numId w:val="1"/>
        </w:numPr>
        <w:tabs>
          <w:tab w:pos="1000" w:val="left" w:leader="none"/>
          <w:tab w:pos="1001" w:val="left" w:leader="none"/>
        </w:tabs>
        <w:spacing w:line="293" w:lineRule="exact" w:before="0" w:after="0"/>
        <w:ind w:left="1000" w:right="0" w:hanging="360"/>
        <w:jc w:val="left"/>
        <w:rPr>
          <w:sz w:val="24"/>
        </w:rPr>
      </w:pPr>
      <w:r>
        <w:rPr>
          <w:sz w:val="24"/>
        </w:rPr>
        <w:t>No contracts recommended for further in-sourcing</w:t>
      </w:r>
      <w:r>
        <w:rPr>
          <w:spacing w:val="-3"/>
          <w:sz w:val="24"/>
        </w:rPr>
        <w:t> </w:t>
      </w:r>
      <w:r>
        <w:rPr>
          <w:sz w:val="24"/>
        </w:rPr>
        <w:t>study</w:t>
      </w:r>
    </w:p>
    <w:p>
      <w:pPr>
        <w:spacing w:after="0" w:line="293" w:lineRule="exact"/>
        <w:jc w:val="left"/>
        <w:rPr>
          <w:sz w:val="24"/>
        </w:rPr>
        <w:sectPr>
          <w:pgSz w:w="12240" w:h="15840"/>
          <w:pgMar w:header="722" w:footer="0" w:top="1400" w:bottom="280" w:left="800" w:right="680"/>
        </w:sectPr>
      </w:pPr>
    </w:p>
    <w:p>
      <w:pPr>
        <w:pStyle w:val="Heading2"/>
        <w:numPr>
          <w:ilvl w:val="0"/>
          <w:numId w:val="1"/>
        </w:numPr>
        <w:tabs>
          <w:tab w:pos="754" w:val="left" w:leader="none"/>
        </w:tabs>
        <w:spacing w:line="240" w:lineRule="auto" w:before="80" w:after="0"/>
        <w:ind w:left="753" w:right="0" w:hanging="353"/>
        <w:jc w:val="left"/>
      </w:pPr>
      <w:r>
        <w:rPr/>
        <w:t>Actions Taken or</w:t>
      </w:r>
      <w:r>
        <w:rPr>
          <w:spacing w:val="-2"/>
        </w:rPr>
        <w:t> </w:t>
      </w:r>
      <w:r>
        <w:rPr/>
        <w:t>Planned</w:t>
      </w:r>
    </w:p>
    <w:p>
      <w:pPr>
        <w:pStyle w:val="BodyText"/>
        <w:spacing w:before="6"/>
        <w:rPr>
          <w:b/>
          <w:sz w:val="23"/>
        </w:rPr>
      </w:pPr>
    </w:p>
    <w:p>
      <w:pPr>
        <w:pStyle w:val="BodyText"/>
        <w:spacing w:before="1"/>
        <w:ind w:left="280"/>
      </w:pPr>
      <w:r>
        <w:rPr/>
        <w:t>There are no action items based on the FY 2016 service contract inventory review process.</w:t>
      </w:r>
    </w:p>
    <w:p>
      <w:pPr>
        <w:pStyle w:val="BodyText"/>
        <w:spacing w:before="4"/>
      </w:pPr>
    </w:p>
    <w:p>
      <w:pPr>
        <w:pStyle w:val="Heading2"/>
        <w:numPr>
          <w:ilvl w:val="0"/>
          <w:numId w:val="1"/>
        </w:numPr>
        <w:tabs>
          <w:tab w:pos="682" w:val="left" w:leader="none"/>
        </w:tabs>
        <w:spacing w:line="240" w:lineRule="auto" w:before="0" w:after="0"/>
        <w:ind w:left="681" w:right="0" w:hanging="281"/>
        <w:jc w:val="left"/>
      </w:pPr>
      <w:r>
        <w:rPr/>
        <w:t>Accountable</w:t>
      </w:r>
      <w:r>
        <w:rPr>
          <w:spacing w:val="-2"/>
        </w:rPr>
        <w:t> </w:t>
      </w:r>
      <w:r>
        <w:rPr/>
        <w:t>Officials</w:t>
      </w:r>
    </w:p>
    <w:p>
      <w:pPr>
        <w:pStyle w:val="BodyText"/>
        <w:spacing w:before="7"/>
        <w:rPr>
          <w:b/>
          <w:sz w:val="23"/>
        </w:rPr>
      </w:pPr>
    </w:p>
    <w:p>
      <w:pPr>
        <w:pStyle w:val="BodyText"/>
        <w:ind w:left="280" w:right="529"/>
      </w:pPr>
      <w:r>
        <w:rPr/>
        <w:t>The Department’s senior management official who is accountable for the development of agency policies, procedures, and training associated with Acquisition Management (including Service Contract Inventory Analysis) is the Senior Procurement Executive.</w:t>
      </w:r>
    </w:p>
    <w:p>
      <w:pPr>
        <w:spacing w:after="0"/>
        <w:sectPr>
          <w:pgSz w:w="12240" w:h="15840"/>
          <w:pgMar w:header="722" w:footer="0" w:top="1400" w:bottom="280" w:left="800" w:right="680"/>
        </w:sectPr>
      </w:pPr>
    </w:p>
    <w:p>
      <w:pPr>
        <w:pStyle w:val="BodyText"/>
        <w:rPr>
          <w:sz w:val="21"/>
        </w:rPr>
      </w:pPr>
    </w:p>
    <w:p>
      <w:pPr>
        <w:pStyle w:val="Heading2"/>
        <w:spacing w:before="90"/>
        <w:ind w:left="2550"/>
      </w:pPr>
      <w:r>
        <w:rPr/>
        <w:t>FY 2017 Service Contract Inventory Plan for Analysis</w:t>
      </w:r>
    </w:p>
    <w:p>
      <w:pPr>
        <w:pStyle w:val="BodyText"/>
        <w:spacing w:before="7"/>
        <w:rPr>
          <w:b/>
          <w:sz w:val="23"/>
        </w:rPr>
      </w:pPr>
    </w:p>
    <w:p>
      <w:pPr>
        <w:pStyle w:val="BodyText"/>
        <w:ind w:left="280" w:right="437"/>
      </w:pPr>
      <w:r>
        <w:rPr/>
        <w:t>The Department of Education (ED) approach will be performed in accordance with the criteria set out in Consolidated Appropriations Act, 2010, (Pub. L. No. 111-117, § 743 - 2009. ED will develop the basic inventory in accordance with OMB guidance using FPDS-NG data to address a number of the requirements, a list of special interest functions by PSCs is below.</w:t>
      </w:r>
    </w:p>
    <w:p>
      <w:pPr>
        <w:pStyle w:val="BodyText"/>
        <w:spacing w:before="8"/>
      </w:pPr>
    </w:p>
    <w:tbl>
      <w:tblPr>
        <w:tblW w:w="0" w:type="auto"/>
        <w:jc w:val="left"/>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7192"/>
      </w:tblGrid>
      <w:tr>
        <w:trPr>
          <w:trHeight w:val="205" w:hRule="atLeast"/>
        </w:trPr>
        <w:tc>
          <w:tcPr>
            <w:tcW w:w="710" w:type="dxa"/>
          </w:tcPr>
          <w:p>
            <w:pPr>
              <w:pStyle w:val="TableParagraph"/>
              <w:spacing w:line="186" w:lineRule="exact"/>
              <w:ind w:left="107"/>
              <w:rPr>
                <w:b/>
                <w:sz w:val="18"/>
              </w:rPr>
            </w:pPr>
            <w:r>
              <w:rPr>
                <w:b/>
                <w:sz w:val="18"/>
              </w:rPr>
              <w:t>PSC</w:t>
            </w:r>
          </w:p>
        </w:tc>
        <w:tc>
          <w:tcPr>
            <w:tcW w:w="7192" w:type="dxa"/>
          </w:tcPr>
          <w:p>
            <w:pPr>
              <w:pStyle w:val="TableParagraph"/>
              <w:spacing w:line="186" w:lineRule="exact"/>
              <w:ind w:left="3129" w:right="3123"/>
              <w:jc w:val="center"/>
              <w:rPr>
                <w:b/>
                <w:sz w:val="18"/>
              </w:rPr>
            </w:pPr>
            <w:r>
              <w:rPr>
                <w:b/>
                <w:sz w:val="18"/>
              </w:rPr>
              <w:t>Description</w:t>
            </w:r>
          </w:p>
        </w:tc>
      </w:tr>
      <w:tr>
        <w:trPr>
          <w:trHeight w:val="207" w:hRule="atLeast"/>
        </w:trPr>
        <w:tc>
          <w:tcPr>
            <w:tcW w:w="710" w:type="dxa"/>
            <w:tcBorders>
              <w:bottom w:val="nil"/>
            </w:tcBorders>
          </w:tcPr>
          <w:p>
            <w:pPr>
              <w:pStyle w:val="TableParagraph"/>
              <w:spacing w:line="188" w:lineRule="exact"/>
              <w:ind w:left="107"/>
              <w:rPr>
                <w:sz w:val="18"/>
              </w:rPr>
            </w:pPr>
            <w:r>
              <w:rPr>
                <w:sz w:val="18"/>
              </w:rPr>
              <w:t>R710</w:t>
            </w:r>
          </w:p>
        </w:tc>
        <w:tc>
          <w:tcPr>
            <w:tcW w:w="7192" w:type="dxa"/>
            <w:tcBorders>
              <w:bottom w:val="nil"/>
            </w:tcBorders>
          </w:tcPr>
          <w:p>
            <w:pPr>
              <w:pStyle w:val="TableParagraph"/>
              <w:spacing w:line="188" w:lineRule="exact"/>
              <w:rPr>
                <w:sz w:val="18"/>
              </w:rPr>
            </w:pPr>
            <w:r>
              <w:rPr>
                <w:sz w:val="18"/>
              </w:rPr>
              <w:t>SUPPORT- MANAGEMENT: FINANCIAL</w:t>
            </w:r>
          </w:p>
        </w:tc>
      </w:tr>
      <w:tr>
        <w:trPr>
          <w:trHeight w:val="206" w:hRule="atLeast"/>
        </w:trPr>
        <w:tc>
          <w:tcPr>
            <w:tcW w:w="710" w:type="dxa"/>
            <w:tcBorders>
              <w:top w:val="nil"/>
              <w:bottom w:val="nil"/>
            </w:tcBorders>
          </w:tcPr>
          <w:p>
            <w:pPr>
              <w:pStyle w:val="TableParagraph"/>
              <w:spacing w:line="186" w:lineRule="exact"/>
              <w:ind w:left="107"/>
              <w:rPr>
                <w:sz w:val="18"/>
              </w:rPr>
            </w:pPr>
            <w:r>
              <w:rPr>
                <w:sz w:val="18"/>
              </w:rPr>
              <w:t>R705</w:t>
            </w:r>
          </w:p>
        </w:tc>
        <w:tc>
          <w:tcPr>
            <w:tcW w:w="7192" w:type="dxa"/>
            <w:tcBorders>
              <w:top w:val="nil"/>
              <w:bottom w:val="nil"/>
            </w:tcBorders>
          </w:tcPr>
          <w:p>
            <w:pPr>
              <w:pStyle w:val="TableParagraph"/>
              <w:spacing w:line="186" w:lineRule="exact"/>
              <w:rPr>
                <w:sz w:val="18"/>
              </w:rPr>
            </w:pPr>
            <w:r>
              <w:rPr>
                <w:sz w:val="18"/>
              </w:rPr>
              <w:t>SUPPORT- MANAGEMENT: DEBT COLLECTION</w:t>
            </w:r>
          </w:p>
        </w:tc>
      </w:tr>
      <w:tr>
        <w:trPr>
          <w:trHeight w:val="206" w:hRule="atLeast"/>
        </w:trPr>
        <w:tc>
          <w:tcPr>
            <w:tcW w:w="710" w:type="dxa"/>
            <w:tcBorders>
              <w:top w:val="nil"/>
              <w:bottom w:val="nil"/>
            </w:tcBorders>
          </w:tcPr>
          <w:p>
            <w:pPr>
              <w:pStyle w:val="TableParagraph"/>
              <w:spacing w:line="186" w:lineRule="exact"/>
              <w:ind w:left="107"/>
              <w:rPr>
                <w:sz w:val="18"/>
              </w:rPr>
            </w:pPr>
            <w:r>
              <w:rPr>
                <w:sz w:val="18"/>
              </w:rPr>
              <w:t>D301</w:t>
            </w:r>
          </w:p>
        </w:tc>
        <w:tc>
          <w:tcPr>
            <w:tcW w:w="7192" w:type="dxa"/>
            <w:tcBorders>
              <w:top w:val="nil"/>
              <w:bottom w:val="nil"/>
            </w:tcBorders>
          </w:tcPr>
          <w:p>
            <w:pPr>
              <w:pStyle w:val="TableParagraph"/>
              <w:spacing w:line="186" w:lineRule="exact"/>
              <w:rPr>
                <w:sz w:val="18"/>
              </w:rPr>
            </w:pPr>
            <w:r>
              <w:rPr>
                <w:sz w:val="18"/>
              </w:rPr>
              <w:t>IT AND TELECOM- FACILITY OPERATION AND MAINTENANCE</w:t>
            </w:r>
          </w:p>
        </w:tc>
      </w:tr>
      <w:tr>
        <w:trPr>
          <w:trHeight w:val="207" w:hRule="atLeast"/>
        </w:trPr>
        <w:tc>
          <w:tcPr>
            <w:tcW w:w="710" w:type="dxa"/>
            <w:tcBorders>
              <w:top w:val="nil"/>
              <w:bottom w:val="nil"/>
            </w:tcBorders>
          </w:tcPr>
          <w:p>
            <w:pPr>
              <w:pStyle w:val="TableParagraph"/>
              <w:spacing w:line="188" w:lineRule="exact"/>
              <w:ind w:left="107"/>
              <w:rPr>
                <w:sz w:val="18"/>
              </w:rPr>
            </w:pPr>
            <w:r>
              <w:rPr>
                <w:sz w:val="18"/>
              </w:rPr>
              <w:t>B506</w:t>
            </w:r>
          </w:p>
        </w:tc>
        <w:tc>
          <w:tcPr>
            <w:tcW w:w="7192" w:type="dxa"/>
            <w:tcBorders>
              <w:top w:val="nil"/>
              <w:bottom w:val="nil"/>
            </w:tcBorders>
          </w:tcPr>
          <w:p>
            <w:pPr>
              <w:pStyle w:val="TableParagraph"/>
              <w:spacing w:line="188" w:lineRule="exact"/>
              <w:rPr>
                <w:sz w:val="18"/>
              </w:rPr>
            </w:pPr>
            <w:r>
              <w:rPr>
                <w:sz w:val="18"/>
              </w:rPr>
              <w:t>SPECIAL STUDIES/ANALYSIS- DATA (OTHER THAN SCIENTIFIC)</w:t>
            </w:r>
          </w:p>
        </w:tc>
      </w:tr>
      <w:tr>
        <w:trPr>
          <w:trHeight w:val="207" w:hRule="atLeast"/>
        </w:trPr>
        <w:tc>
          <w:tcPr>
            <w:tcW w:w="710" w:type="dxa"/>
            <w:tcBorders>
              <w:top w:val="nil"/>
              <w:bottom w:val="nil"/>
            </w:tcBorders>
          </w:tcPr>
          <w:p>
            <w:pPr>
              <w:pStyle w:val="TableParagraph"/>
              <w:spacing w:line="188" w:lineRule="exact"/>
              <w:ind w:left="107"/>
              <w:rPr>
                <w:sz w:val="18"/>
              </w:rPr>
            </w:pPr>
            <w:r>
              <w:rPr>
                <w:sz w:val="18"/>
              </w:rPr>
              <w:t>AF11</w:t>
            </w:r>
          </w:p>
        </w:tc>
        <w:tc>
          <w:tcPr>
            <w:tcW w:w="7192" w:type="dxa"/>
            <w:tcBorders>
              <w:top w:val="nil"/>
              <w:bottom w:val="nil"/>
            </w:tcBorders>
          </w:tcPr>
          <w:p>
            <w:pPr>
              <w:pStyle w:val="TableParagraph"/>
              <w:spacing w:line="188" w:lineRule="exact"/>
              <w:rPr>
                <w:sz w:val="18"/>
              </w:rPr>
            </w:pPr>
            <w:r>
              <w:rPr>
                <w:sz w:val="18"/>
              </w:rPr>
              <w:t>R&amp;D- EDUCATION: EDUCATIONAL (BASIC RESEARCH)</w:t>
            </w:r>
          </w:p>
        </w:tc>
      </w:tr>
      <w:tr>
        <w:trPr>
          <w:trHeight w:val="206" w:hRule="atLeast"/>
        </w:trPr>
        <w:tc>
          <w:tcPr>
            <w:tcW w:w="710" w:type="dxa"/>
            <w:tcBorders>
              <w:top w:val="nil"/>
              <w:bottom w:val="nil"/>
            </w:tcBorders>
          </w:tcPr>
          <w:p>
            <w:pPr>
              <w:pStyle w:val="TableParagraph"/>
              <w:spacing w:line="187" w:lineRule="exact"/>
              <w:ind w:left="107"/>
              <w:rPr>
                <w:sz w:val="18"/>
              </w:rPr>
            </w:pPr>
            <w:r>
              <w:rPr>
                <w:sz w:val="18"/>
              </w:rPr>
              <w:t>B542</w:t>
            </w:r>
          </w:p>
        </w:tc>
        <w:tc>
          <w:tcPr>
            <w:tcW w:w="7192" w:type="dxa"/>
            <w:tcBorders>
              <w:top w:val="nil"/>
              <w:bottom w:val="nil"/>
            </w:tcBorders>
          </w:tcPr>
          <w:p>
            <w:pPr>
              <w:pStyle w:val="TableParagraph"/>
              <w:spacing w:line="187" w:lineRule="exact"/>
              <w:rPr>
                <w:sz w:val="18"/>
              </w:rPr>
            </w:pPr>
            <w:r>
              <w:rPr>
                <w:sz w:val="18"/>
              </w:rPr>
              <w:t>SPECIAL STUDIES/ANALYSIS- EDUCATIONAL</w:t>
            </w:r>
          </w:p>
        </w:tc>
      </w:tr>
      <w:tr>
        <w:trPr>
          <w:trHeight w:val="206" w:hRule="atLeast"/>
        </w:trPr>
        <w:tc>
          <w:tcPr>
            <w:tcW w:w="710" w:type="dxa"/>
            <w:tcBorders>
              <w:top w:val="nil"/>
              <w:bottom w:val="nil"/>
            </w:tcBorders>
          </w:tcPr>
          <w:p>
            <w:pPr>
              <w:pStyle w:val="TableParagraph"/>
              <w:spacing w:line="187" w:lineRule="exact"/>
              <w:ind w:left="107"/>
              <w:rPr>
                <w:sz w:val="18"/>
              </w:rPr>
            </w:pPr>
            <w:r>
              <w:rPr>
                <w:sz w:val="18"/>
              </w:rPr>
              <w:t>R499</w:t>
            </w:r>
          </w:p>
        </w:tc>
        <w:tc>
          <w:tcPr>
            <w:tcW w:w="7192" w:type="dxa"/>
            <w:tcBorders>
              <w:top w:val="nil"/>
              <w:bottom w:val="nil"/>
            </w:tcBorders>
          </w:tcPr>
          <w:p>
            <w:pPr>
              <w:pStyle w:val="TableParagraph"/>
              <w:spacing w:line="187" w:lineRule="exact"/>
              <w:rPr>
                <w:sz w:val="18"/>
              </w:rPr>
            </w:pPr>
            <w:r>
              <w:rPr>
                <w:sz w:val="18"/>
              </w:rPr>
              <w:t>SUPPORT- PROFESSIONAL: OTHER</w:t>
            </w:r>
          </w:p>
        </w:tc>
      </w:tr>
      <w:tr>
        <w:trPr>
          <w:trHeight w:val="415" w:hRule="atLeast"/>
        </w:trPr>
        <w:tc>
          <w:tcPr>
            <w:tcW w:w="710" w:type="dxa"/>
            <w:tcBorders>
              <w:top w:val="nil"/>
              <w:bottom w:val="nil"/>
            </w:tcBorders>
          </w:tcPr>
          <w:p>
            <w:pPr>
              <w:pStyle w:val="TableParagraph"/>
              <w:spacing w:line="203" w:lineRule="exact"/>
              <w:ind w:left="107"/>
              <w:rPr>
                <w:sz w:val="18"/>
              </w:rPr>
            </w:pPr>
            <w:r>
              <w:rPr>
                <w:sz w:val="18"/>
              </w:rPr>
              <w:t>D313</w:t>
            </w:r>
          </w:p>
        </w:tc>
        <w:tc>
          <w:tcPr>
            <w:tcW w:w="7192" w:type="dxa"/>
            <w:tcBorders>
              <w:top w:val="nil"/>
              <w:bottom w:val="nil"/>
            </w:tcBorders>
          </w:tcPr>
          <w:p>
            <w:pPr>
              <w:pStyle w:val="TableParagraph"/>
              <w:spacing w:line="203" w:lineRule="exact"/>
              <w:rPr>
                <w:sz w:val="18"/>
              </w:rPr>
            </w:pPr>
            <w:r>
              <w:rPr>
                <w:sz w:val="18"/>
              </w:rPr>
              <w:t>IT AND TELECOM- COMPUTER AIDED DESIGN/COMPUTER AIDED</w:t>
            </w:r>
          </w:p>
          <w:p>
            <w:pPr>
              <w:pStyle w:val="TableParagraph"/>
              <w:spacing w:line="191" w:lineRule="exact" w:before="2"/>
              <w:rPr>
                <w:sz w:val="18"/>
              </w:rPr>
            </w:pPr>
            <w:r>
              <w:rPr>
                <w:sz w:val="18"/>
              </w:rPr>
              <w:t>MANUFACTURING (CAD/CAM)</w:t>
            </w:r>
          </w:p>
        </w:tc>
      </w:tr>
      <w:tr>
        <w:trPr>
          <w:trHeight w:val="206" w:hRule="atLeast"/>
        </w:trPr>
        <w:tc>
          <w:tcPr>
            <w:tcW w:w="710" w:type="dxa"/>
            <w:tcBorders>
              <w:top w:val="nil"/>
              <w:bottom w:val="nil"/>
            </w:tcBorders>
          </w:tcPr>
          <w:p>
            <w:pPr>
              <w:pStyle w:val="TableParagraph"/>
              <w:spacing w:line="186" w:lineRule="exact"/>
              <w:ind w:left="107"/>
              <w:rPr>
                <w:sz w:val="18"/>
              </w:rPr>
            </w:pPr>
            <w:r>
              <w:rPr>
                <w:sz w:val="18"/>
              </w:rPr>
              <w:t>R408</w:t>
            </w:r>
          </w:p>
        </w:tc>
        <w:tc>
          <w:tcPr>
            <w:tcW w:w="7192" w:type="dxa"/>
            <w:tcBorders>
              <w:top w:val="nil"/>
              <w:bottom w:val="nil"/>
            </w:tcBorders>
          </w:tcPr>
          <w:p>
            <w:pPr>
              <w:pStyle w:val="TableParagraph"/>
              <w:spacing w:line="186" w:lineRule="exact"/>
              <w:rPr>
                <w:sz w:val="18"/>
              </w:rPr>
            </w:pPr>
            <w:r>
              <w:rPr>
                <w:sz w:val="18"/>
              </w:rPr>
              <w:t>SUPPORT- PROFESSIONAL: PROGRAM MANAGEMENT/SUPPORT</w:t>
            </w:r>
          </w:p>
        </w:tc>
      </w:tr>
      <w:tr>
        <w:trPr>
          <w:trHeight w:val="206" w:hRule="atLeast"/>
        </w:trPr>
        <w:tc>
          <w:tcPr>
            <w:tcW w:w="710" w:type="dxa"/>
            <w:tcBorders>
              <w:top w:val="nil"/>
            </w:tcBorders>
          </w:tcPr>
          <w:p>
            <w:pPr>
              <w:pStyle w:val="TableParagraph"/>
              <w:spacing w:line="187" w:lineRule="exact"/>
              <w:ind w:left="107"/>
              <w:rPr>
                <w:sz w:val="18"/>
              </w:rPr>
            </w:pPr>
            <w:r>
              <w:rPr>
                <w:sz w:val="18"/>
              </w:rPr>
              <w:t>R419</w:t>
            </w:r>
          </w:p>
        </w:tc>
        <w:tc>
          <w:tcPr>
            <w:tcW w:w="7192" w:type="dxa"/>
            <w:tcBorders>
              <w:top w:val="nil"/>
            </w:tcBorders>
          </w:tcPr>
          <w:p>
            <w:pPr>
              <w:pStyle w:val="TableParagraph"/>
              <w:spacing w:line="187" w:lineRule="exact"/>
              <w:rPr>
                <w:sz w:val="18"/>
              </w:rPr>
            </w:pPr>
            <w:r>
              <w:rPr>
                <w:sz w:val="18"/>
              </w:rPr>
              <w:t>EDUCATIONAL SERVICES</w:t>
            </w:r>
          </w:p>
        </w:tc>
      </w:tr>
    </w:tbl>
    <w:p>
      <w:pPr>
        <w:pStyle w:val="BodyText"/>
        <w:spacing w:before="3"/>
        <w:rPr>
          <w:sz w:val="23"/>
        </w:rPr>
      </w:pPr>
    </w:p>
    <w:p>
      <w:pPr>
        <w:pStyle w:val="BodyText"/>
        <w:ind w:left="280"/>
      </w:pPr>
      <w:r>
        <w:rPr/>
        <w:t>Steps for ED Analysis Plan:</w:t>
      </w:r>
    </w:p>
    <w:p>
      <w:pPr>
        <w:pStyle w:val="BodyText"/>
        <w:ind w:left="280"/>
      </w:pPr>
      <w:r>
        <w:rPr>
          <w:b/>
        </w:rPr>
        <w:t>Step 1: </w:t>
      </w:r>
      <w:r>
        <w:rPr/>
        <w:t>Identify service contracts with special interest functions.</w:t>
      </w:r>
    </w:p>
    <w:p>
      <w:pPr>
        <w:pStyle w:val="BodyText"/>
        <w:spacing w:before="151"/>
        <w:ind w:left="280"/>
      </w:pPr>
      <w:r>
        <w:rPr>
          <w:b/>
        </w:rPr>
        <w:t>Step 2: </w:t>
      </w:r>
      <w:r>
        <w:rPr/>
        <w:t>Notify respective programs offices of their responsibilities related to this analysis.</w:t>
      </w:r>
    </w:p>
    <w:p>
      <w:pPr>
        <w:pStyle w:val="BodyText"/>
        <w:spacing w:before="149"/>
        <w:ind w:left="280"/>
      </w:pPr>
      <w:r>
        <w:rPr>
          <w:b/>
        </w:rPr>
        <w:t>Step 3: </w:t>
      </w:r>
      <w:r>
        <w:rPr/>
        <w:t>Programs identify contracts for in-depth review using established criteria.</w:t>
      </w:r>
    </w:p>
    <w:p>
      <w:pPr>
        <w:pStyle w:val="BodyText"/>
        <w:ind w:left="280"/>
      </w:pPr>
      <w:r>
        <w:rPr>
          <w:b/>
        </w:rPr>
        <w:t>Step 4: </w:t>
      </w:r>
      <w:r>
        <w:rPr/>
        <w:t>Programs evaluate contracts in accordance with policy and guidance.</w:t>
      </w:r>
    </w:p>
    <w:p>
      <w:pPr>
        <w:pStyle w:val="BodyText"/>
        <w:spacing w:before="151"/>
        <w:ind w:left="280"/>
      </w:pPr>
      <w:r>
        <w:rPr>
          <w:b/>
        </w:rPr>
        <w:t>Step 5: </w:t>
      </w:r>
      <w:r>
        <w:rPr/>
        <w:t>Programs report results of evaluation to the Department.</w:t>
      </w:r>
    </w:p>
    <w:p>
      <w:pPr>
        <w:pStyle w:val="BodyText"/>
        <w:spacing w:before="150"/>
        <w:ind w:left="280"/>
      </w:pPr>
      <w:r>
        <w:rPr>
          <w:b/>
        </w:rPr>
        <w:t>Step 6: </w:t>
      </w:r>
      <w:r>
        <w:rPr/>
        <w:t>COs review contractor data and work with contractors to make revisions as necessary.</w:t>
      </w:r>
    </w:p>
    <w:p>
      <w:pPr>
        <w:pStyle w:val="BodyText"/>
        <w:spacing w:before="151"/>
        <w:ind w:left="280"/>
      </w:pPr>
      <w:r>
        <w:rPr>
          <w:b/>
        </w:rPr>
        <w:t>Step 7: </w:t>
      </w:r>
      <w:r>
        <w:rPr/>
        <w:t>Draft report summarizing results of analysis.</w:t>
      </w:r>
    </w:p>
    <w:sectPr>
      <w:pgSz w:w="12240" w:h="15840"/>
      <w:pgMar w:header="722" w:footer="0" w:top="1400" w:bottom="280" w:left="8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9.729996pt;margin-top:35.122108pt;width:309.350pt;height:26.85pt;mso-position-horizontal-relative:page;mso-position-vertical-relative:page;z-index:-12088" type="#_x0000_t202" filled="false" stroked="false">
          <v:textbox inset="0,0,0,0">
            <w:txbxContent>
              <w:p>
                <w:pPr>
                  <w:spacing w:line="252" w:lineRule="exact" w:before="11"/>
                  <w:ind w:left="0" w:right="19" w:firstLine="0"/>
                  <w:jc w:val="right"/>
                  <w:rPr>
                    <w:sz w:val="22"/>
                  </w:rPr>
                </w:pPr>
                <w:r>
                  <w:rPr>
                    <w:sz w:val="22"/>
                  </w:rPr>
                  <w:t>Department of Education Service Contract Inventory Report FY 2016</w:t>
                </w:r>
              </w:p>
              <w:p>
                <w:pPr>
                  <w:spacing w:line="252" w:lineRule="exact" w:before="0"/>
                  <w:ind w:left="0" w:right="18" w:firstLine="0"/>
                  <w:jc w:val="right"/>
                  <w:rPr>
                    <w:sz w:val="22"/>
                  </w:rPr>
                </w:pPr>
                <w:r>
                  <w:rPr>
                    <w:sz w:val="22"/>
                  </w:rPr>
                  <w:t>Page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9">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8">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7">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6">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5">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4">
    <w:multiLevelType w:val="hybridMultilevel"/>
    <w:lvl w:ilvl="0">
      <w:start w:val="0"/>
      <w:numFmt w:val="bullet"/>
      <w:lvlText w:val=""/>
      <w:lvlJc w:val="left"/>
      <w:pPr>
        <w:ind w:left="451" w:hanging="344"/>
      </w:pPr>
      <w:rPr>
        <w:rFonts w:hint="default" w:ascii="Symbol" w:hAnsi="Symbol" w:eastAsia="Symbol" w:cs="Symbol"/>
        <w:w w:val="100"/>
        <w:sz w:val="18"/>
        <w:szCs w:val="18"/>
        <w:lang w:val="en-us" w:eastAsia="en-us" w:bidi="en-us"/>
      </w:rPr>
    </w:lvl>
    <w:lvl w:ilvl="1">
      <w:start w:val="0"/>
      <w:numFmt w:val="bullet"/>
      <w:lvlText w:val="•"/>
      <w:lvlJc w:val="left"/>
      <w:pPr>
        <w:ind w:left="1186" w:hanging="344"/>
      </w:pPr>
      <w:rPr>
        <w:rFonts w:hint="default"/>
        <w:lang w:val="en-us" w:eastAsia="en-us" w:bidi="en-us"/>
      </w:rPr>
    </w:lvl>
    <w:lvl w:ilvl="2">
      <w:start w:val="0"/>
      <w:numFmt w:val="bullet"/>
      <w:lvlText w:val="•"/>
      <w:lvlJc w:val="left"/>
      <w:pPr>
        <w:ind w:left="1912" w:hanging="344"/>
      </w:pPr>
      <w:rPr>
        <w:rFonts w:hint="default"/>
        <w:lang w:val="en-us" w:eastAsia="en-us" w:bidi="en-us"/>
      </w:rPr>
    </w:lvl>
    <w:lvl w:ilvl="3">
      <w:start w:val="0"/>
      <w:numFmt w:val="bullet"/>
      <w:lvlText w:val="•"/>
      <w:lvlJc w:val="left"/>
      <w:pPr>
        <w:ind w:left="2639" w:hanging="344"/>
      </w:pPr>
      <w:rPr>
        <w:rFonts w:hint="default"/>
        <w:lang w:val="en-us" w:eastAsia="en-us" w:bidi="en-us"/>
      </w:rPr>
    </w:lvl>
    <w:lvl w:ilvl="4">
      <w:start w:val="0"/>
      <w:numFmt w:val="bullet"/>
      <w:lvlText w:val="•"/>
      <w:lvlJc w:val="left"/>
      <w:pPr>
        <w:ind w:left="3365" w:hanging="344"/>
      </w:pPr>
      <w:rPr>
        <w:rFonts w:hint="default"/>
        <w:lang w:val="en-us" w:eastAsia="en-us" w:bidi="en-us"/>
      </w:rPr>
    </w:lvl>
    <w:lvl w:ilvl="5">
      <w:start w:val="0"/>
      <w:numFmt w:val="bullet"/>
      <w:lvlText w:val="•"/>
      <w:lvlJc w:val="left"/>
      <w:pPr>
        <w:ind w:left="4092" w:hanging="344"/>
      </w:pPr>
      <w:rPr>
        <w:rFonts w:hint="default"/>
        <w:lang w:val="en-us" w:eastAsia="en-us" w:bidi="en-us"/>
      </w:rPr>
    </w:lvl>
    <w:lvl w:ilvl="6">
      <w:start w:val="0"/>
      <w:numFmt w:val="bullet"/>
      <w:lvlText w:val="•"/>
      <w:lvlJc w:val="left"/>
      <w:pPr>
        <w:ind w:left="4818" w:hanging="344"/>
      </w:pPr>
      <w:rPr>
        <w:rFonts w:hint="default"/>
        <w:lang w:val="en-us" w:eastAsia="en-us" w:bidi="en-us"/>
      </w:rPr>
    </w:lvl>
    <w:lvl w:ilvl="7">
      <w:start w:val="0"/>
      <w:numFmt w:val="bullet"/>
      <w:lvlText w:val="•"/>
      <w:lvlJc w:val="left"/>
      <w:pPr>
        <w:ind w:left="5544" w:hanging="344"/>
      </w:pPr>
      <w:rPr>
        <w:rFonts w:hint="default"/>
        <w:lang w:val="en-us" w:eastAsia="en-us" w:bidi="en-us"/>
      </w:rPr>
    </w:lvl>
    <w:lvl w:ilvl="8">
      <w:start w:val="0"/>
      <w:numFmt w:val="bullet"/>
      <w:lvlText w:val="•"/>
      <w:lvlJc w:val="left"/>
      <w:pPr>
        <w:ind w:left="6271" w:hanging="344"/>
      </w:pPr>
      <w:rPr>
        <w:rFonts w:hint="default"/>
        <w:lang w:val="en-us" w:eastAsia="en-us" w:bidi="en-us"/>
      </w:rPr>
    </w:lvl>
  </w:abstractNum>
  <w:abstractNum w:abstractNumId="3">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2">
    <w:multiLevelType w:val="hybridMultilevel"/>
    <w:lvl w:ilvl="0">
      <w:start w:val="0"/>
      <w:numFmt w:val="bullet"/>
      <w:lvlText w:val=""/>
      <w:lvlJc w:val="left"/>
      <w:pPr>
        <w:ind w:left="360" w:hanging="253"/>
      </w:pPr>
      <w:rPr>
        <w:rFonts w:hint="default" w:ascii="Symbol" w:hAnsi="Symbol" w:eastAsia="Symbol" w:cs="Symbol"/>
        <w:w w:val="100"/>
        <w:sz w:val="18"/>
        <w:szCs w:val="18"/>
        <w:lang w:val="en-us" w:eastAsia="en-us" w:bidi="en-us"/>
      </w:rPr>
    </w:lvl>
    <w:lvl w:ilvl="1">
      <w:start w:val="0"/>
      <w:numFmt w:val="bullet"/>
      <w:lvlText w:val="•"/>
      <w:lvlJc w:val="left"/>
      <w:pPr>
        <w:ind w:left="1096" w:hanging="253"/>
      </w:pPr>
      <w:rPr>
        <w:rFonts w:hint="default"/>
        <w:lang w:val="en-us" w:eastAsia="en-us" w:bidi="en-us"/>
      </w:rPr>
    </w:lvl>
    <w:lvl w:ilvl="2">
      <w:start w:val="0"/>
      <w:numFmt w:val="bullet"/>
      <w:lvlText w:val="•"/>
      <w:lvlJc w:val="left"/>
      <w:pPr>
        <w:ind w:left="1832" w:hanging="253"/>
      </w:pPr>
      <w:rPr>
        <w:rFonts w:hint="default"/>
        <w:lang w:val="en-us" w:eastAsia="en-us" w:bidi="en-us"/>
      </w:rPr>
    </w:lvl>
    <w:lvl w:ilvl="3">
      <w:start w:val="0"/>
      <w:numFmt w:val="bullet"/>
      <w:lvlText w:val="•"/>
      <w:lvlJc w:val="left"/>
      <w:pPr>
        <w:ind w:left="2569" w:hanging="253"/>
      </w:pPr>
      <w:rPr>
        <w:rFonts w:hint="default"/>
        <w:lang w:val="en-us" w:eastAsia="en-us" w:bidi="en-us"/>
      </w:rPr>
    </w:lvl>
    <w:lvl w:ilvl="4">
      <w:start w:val="0"/>
      <w:numFmt w:val="bullet"/>
      <w:lvlText w:val="•"/>
      <w:lvlJc w:val="left"/>
      <w:pPr>
        <w:ind w:left="3305" w:hanging="253"/>
      </w:pPr>
      <w:rPr>
        <w:rFonts w:hint="default"/>
        <w:lang w:val="en-us" w:eastAsia="en-us" w:bidi="en-us"/>
      </w:rPr>
    </w:lvl>
    <w:lvl w:ilvl="5">
      <w:start w:val="0"/>
      <w:numFmt w:val="bullet"/>
      <w:lvlText w:val="•"/>
      <w:lvlJc w:val="left"/>
      <w:pPr>
        <w:ind w:left="4042" w:hanging="253"/>
      </w:pPr>
      <w:rPr>
        <w:rFonts w:hint="default"/>
        <w:lang w:val="en-us" w:eastAsia="en-us" w:bidi="en-us"/>
      </w:rPr>
    </w:lvl>
    <w:lvl w:ilvl="6">
      <w:start w:val="0"/>
      <w:numFmt w:val="bullet"/>
      <w:lvlText w:val="•"/>
      <w:lvlJc w:val="left"/>
      <w:pPr>
        <w:ind w:left="4778" w:hanging="253"/>
      </w:pPr>
      <w:rPr>
        <w:rFonts w:hint="default"/>
        <w:lang w:val="en-us" w:eastAsia="en-us" w:bidi="en-us"/>
      </w:rPr>
    </w:lvl>
    <w:lvl w:ilvl="7">
      <w:start w:val="0"/>
      <w:numFmt w:val="bullet"/>
      <w:lvlText w:val="•"/>
      <w:lvlJc w:val="left"/>
      <w:pPr>
        <w:ind w:left="5514" w:hanging="253"/>
      </w:pPr>
      <w:rPr>
        <w:rFonts w:hint="default"/>
        <w:lang w:val="en-us" w:eastAsia="en-us" w:bidi="en-us"/>
      </w:rPr>
    </w:lvl>
    <w:lvl w:ilvl="8">
      <w:start w:val="0"/>
      <w:numFmt w:val="bullet"/>
      <w:lvlText w:val="•"/>
      <w:lvlJc w:val="left"/>
      <w:pPr>
        <w:ind w:left="6251" w:hanging="253"/>
      </w:pPr>
      <w:rPr>
        <w:rFonts w:hint="default"/>
        <w:lang w:val="en-us" w:eastAsia="en-us" w:bidi="en-us"/>
      </w:rPr>
    </w:lvl>
  </w:abstractNum>
  <w:abstractNum w:abstractNumId="1">
    <w:multiLevelType w:val="hybridMultilevel"/>
    <w:lvl w:ilvl="0">
      <w:start w:val="0"/>
      <w:numFmt w:val="bullet"/>
      <w:lvlText w:val=""/>
      <w:lvlJc w:val="left"/>
      <w:pPr>
        <w:ind w:left="384" w:hanging="277"/>
      </w:pPr>
      <w:rPr>
        <w:rFonts w:hint="default" w:ascii="Symbol" w:hAnsi="Symbol" w:eastAsia="Symbol" w:cs="Symbol"/>
        <w:w w:val="100"/>
        <w:sz w:val="18"/>
        <w:szCs w:val="18"/>
        <w:lang w:val="en-us" w:eastAsia="en-us" w:bidi="en-us"/>
      </w:rPr>
    </w:lvl>
    <w:lvl w:ilvl="1">
      <w:start w:val="0"/>
      <w:numFmt w:val="bullet"/>
      <w:lvlText w:val="•"/>
      <w:lvlJc w:val="left"/>
      <w:pPr>
        <w:ind w:left="1114" w:hanging="277"/>
      </w:pPr>
      <w:rPr>
        <w:rFonts w:hint="default"/>
        <w:lang w:val="en-us" w:eastAsia="en-us" w:bidi="en-us"/>
      </w:rPr>
    </w:lvl>
    <w:lvl w:ilvl="2">
      <w:start w:val="0"/>
      <w:numFmt w:val="bullet"/>
      <w:lvlText w:val="•"/>
      <w:lvlJc w:val="left"/>
      <w:pPr>
        <w:ind w:left="1848" w:hanging="277"/>
      </w:pPr>
      <w:rPr>
        <w:rFonts w:hint="default"/>
        <w:lang w:val="en-us" w:eastAsia="en-us" w:bidi="en-us"/>
      </w:rPr>
    </w:lvl>
    <w:lvl w:ilvl="3">
      <w:start w:val="0"/>
      <w:numFmt w:val="bullet"/>
      <w:lvlText w:val="•"/>
      <w:lvlJc w:val="left"/>
      <w:pPr>
        <w:ind w:left="2583" w:hanging="277"/>
      </w:pPr>
      <w:rPr>
        <w:rFonts w:hint="default"/>
        <w:lang w:val="en-us" w:eastAsia="en-us" w:bidi="en-us"/>
      </w:rPr>
    </w:lvl>
    <w:lvl w:ilvl="4">
      <w:start w:val="0"/>
      <w:numFmt w:val="bullet"/>
      <w:lvlText w:val="•"/>
      <w:lvlJc w:val="left"/>
      <w:pPr>
        <w:ind w:left="3317" w:hanging="277"/>
      </w:pPr>
      <w:rPr>
        <w:rFonts w:hint="default"/>
        <w:lang w:val="en-us" w:eastAsia="en-us" w:bidi="en-us"/>
      </w:rPr>
    </w:lvl>
    <w:lvl w:ilvl="5">
      <w:start w:val="0"/>
      <w:numFmt w:val="bullet"/>
      <w:lvlText w:val="•"/>
      <w:lvlJc w:val="left"/>
      <w:pPr>
        <w:ind w:left="4052" w:hanging="277"/>
      </w:pPr>
      <w:rPr>
        <w:rFonts w:hint="default"/>
        <w:lang w:val="en-us" w:eastAsia="en-us" w:bidi="en-us"/>
      </w:rPr>
    </w:lvl>
    <w:lvl w:ilvl="6">
      <w:start w:val="0"/>
      <w:numFmt w:val="bullet"/>
      <w:lvlText w:val="•"/>
      <w:lvlJc w:val="left"/>
      <w:pPr>
        <w:ind w:left="4786" w:hanging="277"/>
      </w:pPr>
      <w:rPr>
        <w:rFonts w:hint="default"/>
        <w:lang w:val="en-us" w:eastAsia="en-us" w:bidi="en-us"/>
      </w:rPr>
    </w:lvl>
    <w:lvl w:ilvl="7">
      <w:start w:val="0"/>
      <w:numFmt w:val="bullet"/>
      <w:lvlText w:val="•"/>
      <w:lvlJc w:val="left"/>
      <w:pPr>
        <w:ind w:left="5520" w:hanging="277"/>
      </w:pPr>
      <w:rPr>
        <w:rFonts w:hint="default"/>
        <w:lang w:val="en-us" w:eastAsia="en-us" w:bidi="en-us"/>
      </w:rPr>
    </w:lvl>
    <w:lvl w:ilvl="8">
      <w:start w:val="0"/>
      <w:numFmt w:val="bullet"/>
      <w:lvlText w:val="•"/>
      <w:lvlJc w:val="left"/>
      <w:pPr>
        <w:ind w:left="6255" w:hanging="277"/>
      </w:pPr>
      <w:rPr>
        <w:rFonts w:hint="default"/>
        <w:lang w:val="en-us" w:eastAsia="en-us" w:bidi="en-us"/>
      </w:rPr>
    </w:lvl>
  </w:abstractNum>
  <w:abstractNum w:abstractNumId="0">
    <w:multiLevelType w:val="hybridMultilevel"/>
    <w:lvl w:ilvl="0">
      <w:start w:val="1"/>
      <w:numFmt w:val="upperLetter"/>
      <w:lvlText w:val="%1."/>
      <w:lvlJc w:val="left"/>
      <w:pPr>
        <w:ind w:left="731" w:hanging="361"/>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000" w:hanging="360"/>
      </w:pPr>
      <w:rPr>
        <w:rFonts w:hint="default" w:ascii="Symbol" w:hAnsi="Symbol" w:eastAsia="Symbol" w:cs="Symbol"/>
        <w:w w:val="100"/>
        <w:sz w:val="24"/>
        <w:szCs w:val="24"/>
        <w:lang w:val="en-us" w:eastAsia="en-us" w:bidi="en-us"/>
      </w:rPr>
    </w:lvl>
    <w:lvl w:ilvl="2">
      <w:start w:val="0"/>
      <w:numFmt w:val="bullet"/>
      <w:lvlText w:val="•"/>
      <w:lvlJc w:val="left"/>
      <w:pPr>
        <w:ind w:left="2084" w:hanging="360"/>
      </w:pPr>
      <w:rPr>
        <w:rFonts w:hint="default"/>
        <w:lang w:val="en-us" w:eastAsia="en-us" w:bidi="en-us"/>
      </w:rPr>
    </w:lvl>
    <w:lvl w:ilvl="3">
      <w:start w:val="0"/>
      <w:numFmt w:val="bullet"/>
      <w:lvlText w:val="•"/>
      <w:lvlJc w:val="left"/>
      <w:pPr>
        <w:ind w:left="3168"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337" w:hanging="360"/>
      </w:pPr>
      <w:rPr>
        <w:rFonts w:hint="default"/>
        <w:lang w:val="en-us" w:eastAsia="en-us" w:bidi="en-us"/>
      </w:rPr>
    </w:lvl>
    <w:lvl w:ilvl="6">
      <w:start w:val="0"/>
      <w:numFmt w:val="bullet"/>
      <w:lvlText w:val="•"/>
      <w:lvlJc w:val="left"/>
      <w:pPr>
        <w:ind w:left="6422" w:hanging="360"/>
      </w:pPr>
      <w:rPr>
        <w:rFonts w:hint="default"/>
        <w:lang w:val="en-us" w:eastAsia="en-us" w:bidi="en-us"/>
      </w:rPr>
    </w:lvl>
    <w:lvl w:ilvl="7">
      <w:start w:val="0"/>
      <w:numFmt w:val="bullet"/>
      <w:lvlText w:val="•"/>
      <w:lvlJc w:val="left"/>
      <w:pPr>
        <w:ind w:left="7506" w:hanging="360"/>
      </w:pPr>
      <w:rPr>
        <w:rFonts w:hint="default"/>
        <w:lang w:val="en-us" w:eastAsia="en-us" w:bidi="en-us"/>
      </w:rPr>
    </w:lvl>
    <w:lvl w:ilvl="8">
      <w:start w:val="0"/>
      <w:numFmt w:val="bullet"/>
      <w:lvlText w:val="•"/>
      <w:lvlJc w:val="left"/>
      <w:pPr>
        <w:ind w:left="8591" w:hanging="360"/>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27"/>
      <w:ind w:left="3348" w:right="3129"/>
      <w:jc w:val="center"/>
      <w:outlineLvl w:val="1"/>
    </w:pPr>
    <w:rPr>
      <w:rFonts w:ascii="Calibri" w:hAnsi="Calibri" w:eastAsia="Calibri" w:cs="Calibri"/>
      <w:sz w:val="36"/>
      <w:szCs w:val="36"/>
      <w:lang w:val="en-us" w:eastAsia="en-us" w:bidi="en-us"/>
    </w:rPr>
  </w:style>
  <w:style w:styleId="Heading2" w:type="paragraph">
    <w:name w:val="Heading 2"/>
    <w:basedOn w:val="Normal"/>
    <w:uiPriority w:val="1"/>
    <w:qFormat/>
    <w:pPr>
      <w:ind w:left="28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d.gov/" TargetMode="External"/><Relationship Id="rId7" Type="http://schemas.openxmlformats.org/officeDocument/2006/relationships/header" Target="header1.xml"/><Relationship Id="rId8" Type="http://schemas.openxmlformats.org/officeDocument/2006/relationships/hyperlink" Target="https://www2.ed.gov/fund/data/report/contracts/servicecontractinventoryappendix/servicecontractinventory.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dcterms:created xsi:type="dcterms:W3CDTF">2019-01-16T13:04:20Z</dcterms:created>
  <dcterms:modified xsi:type="dcterms:W3CDTF">2019-01-16T13:04:20Z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2019-01-16T00:00:00Z</vt:filetime>
  </property>
</Properties>
</file>