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FBDD" w14:textId="77777777" w:rsidR="00FF2C09" w:rsidRDefault="00FF2C09" w:rsidP="00FF2C09">
      <w:pPr>
        <w:pStyle w:val="Heading2"/>
      </w:pPr>
      <w:bookmarkStart w:id="0" w:name="_GoBack"/>
      <w:bookmarkEnd w:id="0"/>
      <w:r>
        <w:rPr>
          <w:noProof/>
        </w:rPr>
        <w:drawing>
          <wp:anchor distT="0" distB="0" distL="114300" distR="114300" simplePos="0" relativeHeight="251659264" behindDoc="0" locked="0" layoutInCell="1" allowOverlap="1" wp14:anchorId="6B131CB7" wp14:editId="5741941C">
            <wp:simplePos x="0" y="0"/>
            <wp:positionH relativeFrom="column">
              <wp:posOffset>-520065</wp:posOffset>
            </wp:positionH>
            <wp:positionV relativeFrom="paragraph">
              <wp:posOffset>-226060</wp:posOffset>
            </wp:positionV>
            <wp:extent cx="1784985" cy="1572895"/>
            <wp:effectExtent l="0" t="0" r="5715" b="825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1572895"/>
                    </a:xfrm>
                    <a:prstGeom prst="rect">
                      <a:avLst/>
                    </a:prstGeom>
                    <a:noFill/>
                  </pic:spPr>
                </pic:pic>
              </a:graphicData>
            </a:graphic>
            <wp14:sizeRelH relativeFrom="page">
              <wp14:pctWidth>0</wp14:pctWidth>
            </wp14:sizeRelH>
            <wp14:sizeRelV relativeFrom="page">
              <wp14:pctHeight>0</wp14:pctHeight>
            </wp14:sizeRelV>
          </wp:anchor>
        </w:drawing>
      </w:r>
      <w:r>
        <w:t>United States Department Of Education</w:t>
      </w:r>
    </w:p>
    <w:p w14:paraId="45825607" w14:textId="77777777" w:rsidR="00FF2C09" w:rsidRPr="00220FC9" w:rsidRDefault="00FF2C09" w:rsidP="00FF2C09"/>
    <w:p w14:paraId="342B376A" w14:textId="77777777" w:rsidR="00FF2C09" w:rsidRPr="00220FC9" w:rsidRDefault="00FF2C09" w:rsidP="00FF2C09">
      <w:pPr>
        <w:pStyle w:val="Heading1"/>
        <w:rPr>
          <w:sz w:val="20"/>
        </w:rPr>
      </w:pPr>
      <w:r>
        <w:rPr>
          <w:sz w:val="20"/>
        </w:rPr>
        <w:t xml:space="preserve">            </w:t>
      </w:r>
      <w:r w:rsidRPr="00220FC9">
        <w:rPr>
          <w:sz w:val="20"/>
        </w:rPr>
        <w:t>OFFICE OF THE CHIEF FINANCIAL OFFICER</w:t>
      </w:r>
    </w:p>
    <w:p w14:paraId="78F9B46C" w14:textId="77777777" w:rsidR="00FF2C09" w:rsidRPr="00220FC9" w:rsidRDefault="00FF2C09" w:rsidP="00FF2C09">
      <w:pPr>
        <w:ind w:left="-4035"/>
        <w:rPr>
          <w:sz w:val="18"/>
          <w:szCs w:val="18"/>
        </w:rPr>
      </w:pPr>
    </w:p>
    <w:p w14:paraId="1E8B880D" w14:textId="77777777" w:rsidR="00FF2C09" w:rsidRDefault="00FF2C09" w:rsidP="00FF2C09">
      <w:pPr>
        <w:ind w:left="-4035"/>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69EF1517" w14:textId="77777777" w:rsidR="00FF2C09" w:rsidRDefault="00FF2C09" w:rsidP="00FF2C09"/>
    <w:p w14:paraId="1409004E" w14:textId="77777777" w:rsidR="00FF2C09" w:rsidRDefault="00FF2C09" w:rsidP="00FF2C09"/>
    <w:p w14:paraId="385D67DC" w14:textId="77777777" w:rsidR="00FF2C09" w:rsidRDefault="00FF2C09" w:rsidP="00FF2C09">
      <w:pPr>
        <w:rPr>
          <w:sz w:val="24"/>
          <w:szCs w:val="24"/>
        </w:rPr>
      </w:pPr>
    </w:p>
    <w:p w14:paraId="72662D3F" w14:textId="77777777" w:rsidR="00FF2C09" w:rsidRDefault="00291DA3" w:rsidP="00FF2C09">
      <w:pPr>
        <w:rPr>
          <w:sz w:val="24"/>
          <w:szCs w:val="24"/>
        </w:rPr>
      </w:pPr>
      <w:r>
        <w:rPr>
          <w:sz w:val="24"/>
          <w:szCs w:val="24"/>
        </w:rPr>
        <w:t>TO:</w:t>
      </w:r>
      <w:r>
        <w:rPr>
          <w:sz w:val="24"/>
          <w:szCs w:val="24"/>
        </w:rPr>
        <w:tab/>
      </w:r>
      <w:r>
        <w:rPr>
          <w:sz w:val="24"/>
          <w:szCs w:val="24"/>
        </w:rPr>
        <w:tab/>
        <w:t>Mathew C. Bloom</w:t>
      </w:r>
      <w:r w:rsidR="00FF2C09">
        <w:rPr>
          <w:sz w:val="24"/>
          <w:szCs w:val="24"/>
        </w:rPr>
        <w:t xml:space="preserve"> </w:t>
      </w:r>
    </w:p>
    <w:p w14:paraId="54E2D148" w14:textId="77777777" w:rsidR="00FF2C09" w:rsidRDefault="00291DA3" w:rsidP="00FF2C09">
      <w:pPr>
        <w:ind w:left="720" w:firstLine="720"/>
        <w:rPr>
          <w:sz w:val="24"/>
          <w:szCs w:val="24"/>
        </w:rPr>
      </w:pPr>
      <w:r>
        <w:rPr>
          <w:sz w:val="24"/>
          <w:szCs w:val="24"/>
        </w:rPr>
        <w:t xml:space="preserve">Associate </w:t>
      </w:r>
      <w:r w:rsidR="00FF2C09">
        <w:rPr>
          <w:sz w:val="24"/>
          <w:szCs w:val="24"/>
        </w:rPr>
        <w:t xml:space="preserve">Administrator for the Office of Federal Procurement Policy </w:t>
      </w:r>
      <w:r w:rsidR="00FF2C09">
        <w:rPr>
          <w:sz w:val="24"/>
          <w:szCs w:val="24"/>
        </w:rPr>
        <w:br/>
      </w:r>
    </w:p>
    <w:p w14:paraId="1C8399B0" w14:textId="77777777" w:rsidR="00FF2C09" w:rsidRPr="006429F4" w:rsidRDefault="00FF2C09" w:rsidP="00FF2C09">
      <w:pPr>
        <w:rPr>
          <w:color w:val="FF0000"/>
          <w:sz w:val="24"/>
          <w:szCs w:val="24"/>
        </w:rPr>
      </w:pPr>
      <w:r>
        <w:rPr>
          <w:sz w:val="24"/>
          <w:szCs w:val="24"/>
        </w:rPr>
        <w:t>FROM:</w:t>
      </w:r>
      <w:r>
        <w:rPr>
          <w:sz w:val="24"/>
          <w:szCs w:val="24"/>
        </w:rPr>
        <w:tab/>
        <w:t>Dr. Angela Billups</w:t>
      </w:r>
    </w:p>
    <w:p w14:paraId="7FABC94E" w14:textId="77777777" w:rsidR="00FF2C09" w:rsidRDefault="00FF2C09" w:rsidP="00FF2C09">
      <w:pPr>
        <w:ind w:left="720" w:firstLine="720"/>
        <w:rPr>
          <w:sz w:val="24"/>
          <w:szCs w:val="24"/>
        </w:rPr>
      </w:pPr>
      <w:r>
        <w:rPr>
          <w:sz w:val="24"/>
          <w:szCs w:val="24"/>
        </w:rPr>
        <w:t>Senior Procurement Executive</w:t>
      </w:r>
    </w:p>
    <w:p w14:paraId="7C56A367" w14:textId="77777777" w:rsidR="00FF2C09" w:rsidRDefault="00FF2C09" w:rsidP="00FF2C09">
      <w:pPr>
        <w:rPr>
          <w:sz w:val="24"/>
          <w:szCs w:val="24"/>
        </w:rPr>
      </w:pPr>
    </w:p>
    <w:p w14:paraId="22C7A02E" w14:textId="77777777" w:rsidR="00FF2C09" w:rsidRDefault="00FF2C09" w:rsidP="00FF2C09">
      <w:pPr>
        <w:rPr>
          <w:sz w:val="24"/>
          <w:szCs w:val="24"/>
        </w:rPr>
      </w:pPr>
      <w:r>
        <w:rPr>
          <w:sz w:val="24"/>
          <w:szCs w:val="24"/>
        </w:rPr>
        <w:t>DATE:</w:t>
      </w:r>
      <w:r>
        <w:rPr>
          <w:sz w:val="24"/>
          <w:szCs w:val="24"/>
        </w:rPr>
        <w:tab/>
      </w:r>
      <w:r>
        <w:rPr>
          <w:sz w:val="24"/>
          <w:szCs w:val="24"/>
        </w:rPr>
        <w:tab/>
        <w:t xml:space="preserve">February 18, </w:t>
      </w:r>
      <w:r w:rsidRPr="00C962CB">
        <w:rPr>
          <w:sz w:val="24"/>
          <w:szCs w:val="24"/>
        </w:rPr>
        <w:t>2017</w:t>
      </w:r>
      <w:r>
        <w:rPr>
          <w:sz w:val="24"/>
          <w:szCs w:val="24"/>
        </w:rPr>
        <w:br/>
      </w:r>
    </w:p>
    <w:p w14:paraId="5F58BEA1" w14:textId="77777777" w:rsidR="00FF2C09" w:rsidRDefault="00FF2C09" w:rsidP="00FF2C09">
      <w:pPr>
        <w:rPr>
          <w:sz w:val="24"/>
          <w:szCs w:val="24"/>
        </w:rPr>
      </w:pPr>
      <w:r>
        <w:rPr>
          <w:sz w:val="24"/>
          <w:szCs w:val="24"/>
        </w:rPr>
        <w:t xml:space="preserve">SUBJECT:  </w:t>
      </w:r>
      <w:r>
        <w:rPr>
          <w:sz w:val="24"/>
          <w:szCs w:val="24"/>
        </w:rPr>
        <w:tab/>
      </w:r>
      <w:r w:rsidRPr="00C962CB">
        <w:rPr>
          <w:sz w:val="24"/>
          <w:szCs w:val="24"/>
        </w:rPr>
        <w:t>FY 2016</w:t>
      </w:r>
      <w:r>
        <w:rPr>
          <w:sz w:val="24"/>
          <w:szCs w:val="24"/>
        </w:rPr>
        <w:t xml:space="preserve"> Service Contract Inventory Analysis Plan</w:t>
      </w:r>
    </w:p>
    <w:p w14:paraId="6A960FFC" w14:textId="77777777" w:rsidR="00FF2C09" w:rsidRDefault="00FF2C09" w:rsidP="00FF2C09">
      <w:pPr>
        <w:rPr>
          <w:sz w:val="24"/>
          <w:szCs w:val="24"/>
        </w:rPr>
      </w:pPr>
      <w:r>
        <w:rPr>
          <w:sz w:val="24"/>
          <w:szCs w:val="24"/>
        </w:rPr>
        <w:br/>
      </w:r>
    </w:p>
    <w:p w14:paraId="19F02D29" w14:textId="77777777" w:rsidR="00FF2C09" w:rsidRPr="00707F15" w:rsidRDefault="00FF2C09" w:rsidP="00FF2C09">
      <w:pPr>
        <w:rPr>
          <w:rFonts w:eastAsia="Calibri"/>
          <w:sz w:val="24"/>
          <w:szCs w:val="24"/>
        </w:rPr>
      </w:pPr>
      <w:r>
        <w:rPr>
          <w:rFonts w:eastAsia="Calibri"/>
          <w:sz w:val="24"/>
          <w:szCs w:val="24"/>
        </w:rPr>
        <w:t xml:space="preserve">This memorandum identifies the planned analysis for </w:t>
      </w:r>
      <w:r w:rsidRPr="00C962CB">
        <w:rPr>
          <w:rFonts w:eastAsia="Calibri"/>
          <w:sz w:val="24"/>
          <w:szCs w:val="24"/>
        </w:rPr>
        <w:t>the</w:t>
      </w:r>
      <w:r w:rsidR="008F1A52">
        <w:rPr>
          <w:rFonts w:eastAsia="Calibri"/>
          <w:sz w:val="24"/>
          <w:szCs w:val="24"/>
        </w:rPr>
        <w:t xml:space="preserve"> Department of Education’s </w:t>
      </w:r>
      <w:r>
        <w:rPr>
          <w:rFonts w:eastAsia="Calibri"/>
          <w:sz w:val="24"/>
          <w:szCs w:val="24"/>
        </w:rPr>
        <w:t xml:space="preserve">(Department’s) </w:t>
      </w:r>
      <w:r w:rsidRPr="00C962CB">
        <w:rPr>
          <w:rFonts w:eastAsia="Calibri"/>
          <w:sz w:val="24"/>
          <w:szCs w:val="24"/>
        </w:rPr>
        <w:t>FY 2016</w:t>
      </w:r>
      <w:r>
        <w:rPr>
          <w:rFonts w:eastAsia="Calibri"/>
          <w:sz w:val="24"/>
          <w:szCs w:val="24"/>
        </w:rPr>
        <w:t xml:space="preserve"> service contract inventory.  </w:t>
      </w:r>
      <w:r w:rsidRPr="00707F15">
        <w:rPr>
          <w:rFonts w:eastAsia="Calibri"/>
          <w:sz w:val="24"/>
          <w:szCs w:val="24"/>
        </w:rPr>
        <w:t xml:space="preserve">Section 743 of Division C of the </w:t>
      </w:r>
      <w:r>
        <w:rPr>
          <w:rFonts w:eastAsia="Calibri"/>
          <w:sz w:val="24"/>
          <w:szCs w:val="24"/>
        </w:rPr>
        <w:t>(</w:t>
      </w:r>
      <w:r w:rsidRPr="00707F15">
        <w:rPr>
          <w:rFonts w:eastAsia="Calibri"/>
          <w:sz w:val="24"/>
          <w:szCs w:val="24"/>
        </w:rPr>
        <w:t>FY</w:t>
      </w:r>
      <w:r>
        <w:rPr>
          <w:rFonts w:eastAsia="Calibri"/>
          <w:sz w:val="24"/>
          <w:szCs w:val="24"/>
        </w:rPr>
        <w:t>)</w:t>
      </w:r>
      <w:r w:rsidRPr="00707F15">
        <w:rPr>
          <w:rFonts w:eastAsia="Calibri"/>
          <w:sz w:val="24"/>
          <w:szCs w:val="24"/>
        </w:rPr>
        <w:t xml:space="preserve"> 2010 Consolidated Appropriations Act, P.L. 111-117, requires civilian agencies to prepare an annual inventory of </w:t>
      </w:r>
      <w:r>
        <w:rPr>
          <w:rFonts w:eastAsia="Calibri"/>
          <w:sz w:val="24"/>
          <w:szCs w:val="24"/>
        </w:rPr>
        <w:t>its</w:t>
      </w:r>
      <w:r w:rsidRPr="00707F15">
        <w:rPr>
          <w:rFonts w:eastAsia="Calibri"/>
          <w:sz w:val="24"/>
          <w:szCs w:val="24"/>
        </w:rPr>
        <w:t xml:space="preserve"> service contracts.  The inventory is a tool for assisting agencies in better understanding how contract services are being used to support mission and operations and whether the contractors’ skills are being utilized in an appropriate manner.  Information about how contract resources are distributed</w:t>
      </w:r>
      <w:r>
        <w:rPr>
          <w:rFonts w:eastAsia="Calibri"/>
          <w:sz w:val="24"/>
          <w:szCs w:val="24"/>
        </w:rPr>
        <w:t xml:space="preserve"> </w:t>
      </w:r>
      <w:r w:rsidRPr="00707F15">
        <w:rPr>
          <w:rFonts w:eastAsia="Calibri"/>
          <w:sz w:val="24"/>
          <w:szCs w:val="24"/>
        </w:rPr>
        <w:t xml:space="preserve">can help an agency determine if its practices are creating an over-reliance </w:t>
      </w:r>
      <w:r>
        <w:rPr>
          <w:rFonts w:eastAsia="Calibri"/>
          <w:sz w:val="24"/>
          <w:szCs w:val="24"/>
        </w:rPr>
        <w:t xml:space="preserve">on contractors.  An over-reliance on contractors </w:t>
      </w:r>
      <w:r w:rsidRPr="00707F15">
        <w:rPr>
          <w:rFonts w:eastAsia="Calibri"/>
          <w:sz w:val="24"/>
          <w:szCs w:val="24"/>
        </w:rPr>
        <w:t xml:space="preserve">requires increased contract management or rebalancing to ensure the government is effectively managing risks and getting the best results for the taxpayer. </w:t>
      </w:r>
    </w:p>
    <w:p w14:paraId="2E0145FA" w14:textId="77777777" w:rsidR="00FF2C09" w:rsidRPr="00707F15" w:rsidRDefault="00FF2C09" w:rsidP="00FF2C09">
      <w:pPr>
        <w:rPr>
          <w:rFonts w:eastAsia="Calibri"/>
          <w:sz w:val="24"/>
          <w:szCs w:val="24"/>
        </w:rPr>
      </w:pPr>
    </w:p>
    <w:p w14:paraId="01E657A0" w14:textId="77777777" w:rsidR="00FF2C09" w:rsidRDefault="00FF2C09" w:rsidP="00FF2C09">
      <w:pPr>
        <w:rPr>
          <w:rFonts w:eastAsia="Calibri"/>
          <w:sz w:val="24"/>
          <w:szCs w:val="24"/>
        </w:rPr>
      </w:pPr>
      <w:r w:rsidRPr="00832F51">
        <w:rPr>
          <w:rFonts w:eastAsia="Calibri"/>
          <w:sz w:val="24"/>
          <w:szCs w:val="24"/>
        </w:rPr>
        <w:t xml:space="preserve">The Office of Management and Budget (OMB) Memorandum dated November 25, 2014, with the subject line “Service Contract Inventories,” requires agencies to analyze its annual inventory of service contracts “to determine if the mix of Federal employees and contractors is effectively balanced.” This plan provides a listing of the Special Interest Service Contracts with contractual related information. The guidance for the plan comes from the OMB Memorandum regarding Service Contract Inventories (SCI), dated November 5, 2010, OMB’s guidance dated December 19, 2011, and previously stated supplemental requirements contained in the November 25, 2014 memorandum.  </w:t>
      </w:r>
    </w:p>
    <w:p w14:paraId="7CBC3365" w14:textId="77777777" w:rsidR="00FF2C09" w:rsidRDefault="00FF2C09" w:rsidP="00FF2C09">
      <w:pPr>
        <w:rPr>
          <w:rFonts w:eastAsia="Calibri"/>
          <w:sz w:val="24"/>
          <w:szCs w:val="24"/>
        </w:rPr>
      </w:pPr>
    </w:p>
    <w:p w14:paraId="5B0C9238" w14:textId="77777777" w:rsidR="00FF2C09" w:rsidRDefault="00FF2C09" w:rsidP="00FF2C09">
      <w:pPr>
        <w:rPr>
          <w:rFonts w:eastAsia="Calibri"/>
          <w:sz w:val="24"/>
          <w:szCs w:val="24"/>
        </w:rPr>
      </w:pPr>
      <w:r>
        <w:rPr>
          <w:rFonts w:eastAsia="Calibri"/>
          <w:sz w:val="24"/>
          <w:szCs w:val="24"/>
        </w:rPr>
        <w:t xml:space="preserve">The special interest functions </w:t>
      </w:r>
      <w:r w:rsidRPr="00AD236B">
        <w:rPr>
          <w:rFonts w:eastAsia="Calibri"/>
          <w:sz w:val="24"/>
          <w:szCs w:val="24"/>
        </w:rPr>
        <w:t xml:space="preserve">that will be evaluated for analysis and to report on the role contracted services play in achieving the Department’s objectives. </w:t>
      </w:r>
      <w:r>
        <w:rPr>
          <w:rFonts w:eastAsia="Calibri"/>
          <w:sz w:val="24"/>
          <w:szCs w:val="24"/>
        </w:rPr>
        <w:t xml:space="preserve">That includes the dollar amounts obligated to those specific Product Service Codes (PCSs) in FY16 and the rationale focusing on the identified functions as designated by OMB. </w:t>
      </w:r>
    </w:p>
    <w:p w14:paraId="0C5247BD" w14:textId="77777777" w:rsidR="00FF2C09" w:rsidRDefault="00FF2C09" w:rsidP="00FF2C09">
      <w:pPr>
        <w:rPr>
          <w:rFonts w:eastAsia="Calibri"/>
          <w:sz w:val="24"/>
          <w:szCs w:val="24"/>
        </w:rPr>
      </w:pPr>
    </w:p>
    <w:p w14:paraId="4B96C586" w14:textId="77777777" w:rsidR="00FF2C09" w:rsidRPr="00707F15" w:rsidRDefault="00FF2C09" w:rsidP="00FF2C09">
      <w:pPr>
        <w:rPr>
          <w:rFonts w:eastAsia="Calibri"/>
          <w:sz w:val="24"/>
          <w:szCs w:val="24"/>
        </w:rPr>
      </w:pPr>
      <w:r>
        <w:rPr>
          <w:rFonts w:eastAsia="Calibri"/>
          <w:sz w:val="24"/>
          <w:szCs w:val="24"/>
        </w:rPr>
        <w:t xml:space="preserve">In compliance with the requirements of Section 743, the Department included data pulled the Service Contract Inventory (SCI) report for FY16 from data contained in Federal Procurement Data System – Next Generation (FPDS-NG).   The Department analysis will </w:t>
      </w:r>
      <w:r w:rsidRPr="00707F15">
        <w:rPr>
          <w:rFonts w:eastAsia="Calibri"/>
          <w:sz w:val="24"/>
          <w:szCs w:val="24"/>
        </w:rPr>
        <w:t xml:space="preserve">include </w:t>
      </w:r>
      <w:r w:rsidRPr="00707F15">
        <w:rPr>
          <w:rFonts w:eastAsia="Calibri"/>
          <w:sz w:val="24"/>
          <w:szCs w:val="24"/>
        </w:rPr>
        <w:lastRenderedPageBreak/>
        <w:t>identification of any contracts that have been poorly performed because of excessive costs or inferior quality and contracts that should be considered for conversion to either performance by Federal employees (in accordance with insourcing guidelines) or to an alternative acquisition approach that would enable more efficient use of agency assets and mission achievement.</w:t>
      </w:r>
    </w:p>
    <w:p w14:paraId="7224716E" w14:textId="77777777" w:rsidR="00FF2C09" w:rsidRDefault="00FF2C09" w:rsidP="00FF2C09">
      <w:pPr>
        <w:rPr>
          <w:sz w:val="24"/>
          <w:szCs w:val="24"/>
        </w:rPr>
      </w:pPr>
    </w:p>
    <w:p w14:paraId="7B207B4C" w14:textId="77777777" w:rsidR="00FF2C09" w:rsidRPr="00DF4E44" w:rsidRDefault="00FF2C09" w:rsidP="00FF2C09">
      <w:pPr>
        <w:rPr>
          <w:rFonts w:eastAsia="Calibri"/>
          <w:sz w:val="24"/>
          <w:szCs w:val="24"/>
        </w:rPr>
      </w:pPr>
      <w:r w:rsidRPr="00DF4E44">
        <w:rPr>
          <w:rFonts w:eastAsia="Calibri"/>
          <w:sz w:val="24"/>
          <w:szCs w:val="24"/>
        </w:rPr>
        <w:t xml:space="preserve">The Department plans to study </w:t>
      </w:r>
      <w:r>
        <w:rPr>
          <w:rFonts w:eastAsia="Calibri"/>
          <w:sz w:val="24"/>
          <w:szCs w:val="24"/>
        </w:rPr>
        <w:t xml:space="preserve">a total of 10 </w:t>
      </w:r>
      <w:r w:rsidRPr="00DF4E44">
        <w:rPr>
          <w:rFonts w:eastAsia="Calibri"/>
          <w:sz w:val="24"/>
          <w:szCs w:val="24"/>
        </w:rPr>
        <w:t xml:space="preserve">product service codes with the highest </w:t>
      </w:r>
      <w:r>
        <w:rPr>
          <w:rFonts w:eastAsia="Calibri"/>
          <w:sz w:val="24"/>
          <w:szCs w:val="24"/>
        </w:rPr>
        <w:t xml:space="preserve">percent of total obligations for FY </w:t>
      </w:r>
      <w:r w:rsidRPr="00C4781B">
        <w:rPr>
          <w:rFonts w:eastAsia="Calibri"/>
          <w:sz w:val="24"/>
          <w:szCs w:val="24"/>
        </w:rPr>
        <w:t>2016</w:t>
      </w:r>
      <w:r>
        <w:rPr>
          <w:rFonts w:eastAsia="Calibri"/>
          <w:sz w:val="24"/>
          <w:szCs w:val="24"/>
        </w:rPr>
        <w:t xml:space="preserve">. </w:t>
      </w:r>
      <w:r w:rsidRPr="00DF4E44">
        <w:rPr>
          <w:rFonts w:eastAsia="Calibri"/>
          <w:sz w:val="24"/>
          <w:szCs w:val="24"/>
        </w:rPr>
        <w:t xml:space="preserve"> </w:t>
      </w:r>
      <w:r>
        <w:rPr>
          <w:rFonts w:eastAsia="Calibri"/>
          <w:sz w:val="24"/>
          <w:szCs w:val="24"/>
        </w:rPr>
        <w:t xml:space="preserve">Product service codes </w:t>
      </w:r>
      <w:r w:rsidRPr="00C4781B">
        <w:rPr>
          <w:rFonts w:eastAsia="Calibri"/>
          <w:sz w:val="24"/>
          <w:szCs w:val="24"/>
        </w:rPr>
        <w:t>R408 and R419</w:t>
      </w:r>
      <w:r>
        <w:rPr>
          <w:rFonts w:eastAsia="Calibri"/>
          <w:sz w:val="24"/>
          <w:szCs w:val="24"/>
        </w:rPr>
        <w:t xml:space="preserve"> are substituted for codes </w:t>
      </w:r>
      <w:r w:rsidRPr="00C4781B">
        <w:rPr>
          <w:rFonts w:eastAsia="Calibri"/>
          <w:sz w:val="24"/>
          <w:szCs w:val="24"/>
        </w:rPr>
        <w:t>D399 and U009</w:t>
      </w:r>
      <w:r>
        <w:rPr>
          <w:rFonts w:eastAsia="Calibri"/>
          <w:sz w:val="24"/>
          <w:szCs w:val="24"/>
        </w:rPr>
        <w:t xml:space="preserve"> because they are considered to be special interest functions </w:t>
      </w:r>
      <w:r w:rsidRPr="00DF4E44">
        <w:rPr>
          <w:rFonts w:eastAsia="Calibri"/>
          <w:sz w:val="24"/>
          <w:szCs w:val="24"/>
        </w:rPr>
        <w:t xml:space="preserve">consisting of </w:t>
      </w:r>
      <w:r>
        <w:rPr>
          <w:rFonts w:eastAsia="Calibri"/>
          <w:sz w:val="24"/>
          <w:szCs w:val="24"/>
        </w:rPr>
        <w:t xml:space="preserve">professional program </w:t>
      </w:r>
      <w:r w:rsidRPr="00DF4E44">
        <w:rPr>
          <w:rFonts w:eastAsia="Calibri"/>
          <w:sz w:val="24"/>
          <w:szCs w:val="24"/>
        </w:rPr>
        <w:t>management support</w:t>
      </w:r>
      <w:r>
        <w:rPr>
          <w:rFonts w:eastAsia="Calibri"/>
          <w:sz w:val="24"/>
          <w:szCs w:val="24"/>
        </w:rPr>
        <w:t xml:space="preserve"> and educational </w:t>
      </w:r>
      <w:r w:rsidRPr="00DF4E44">
        <w:rPr>
          <w:rFonts w:eastAsia="Calibri"/>
          <w:sz w:val="24"/>
          <w:szCs w:val="24"/>
        </w:rPr>
        <w:t xml:space="preserve">services analysis </w:t>
      </w:r>
      <w:r>
        <w:rPr>
          <w:rFonts w:eastAsia="Calibri"/>
          <w:sz w:val="24"/>
          <w:szCs w:val="24"/>
        </w:rPr>
        <w:t>under</w:t>
      </w:r>
      <w:r w:rsidRPr="00DF4E44">
        <w:rPr>
          <w:rFonts w:eastAsia="Calibri"/>
          <w:sz w:val="24"/>
          <w:szCs w:val="24"/>
        </w:rPr>
        <w:t xml:space="preserve"> the </w:t>
      </w:r>
      <w:r w:rsidRPr="00C4781B">
        <w:rPr>
          <w:rFonts w:eastAsia="Calibri"/>
          <w:sz w:val="24"/>
          <w:szCs w:val="24"/>
        </w:rPr>
        <w:t>FY 2016</w:t>
      </w:r>
      <w:r w:rsidRPr="00DF4E44">
        <w:rPr>
          <w:rFonts w:eastAsia="Calibri"/>
          <w:sz w:val="24"/>
          <w:szCs w:val="24"/>
        </w:rPr>
        <w:t xml:space="preserve"> inventory analysis.  Special interest functions require increased management attention due to a heightened risk of workforce imbalance.  </w:t>
      </w:r>
      <w:r>
        <w:rPr>
          <w:rFonts w:eastAsia="Calibri"/>
          <w:sz w:val="24"/>
          <w:szCs w:val="24"/>
        </w:rPr>
        <w:t>Additional</w:t>
      </w:r>
      <w:r w:rsidRPr="00DF4E44">
        <w:rPr>
          <w:rFonts w:eastAsia="Calibri"/>
          <w:sz w:val="24"/>
          <w:szCs w:val="24"/>
        </w:rPr>
        <w:t xml:space="preserve"> rationale for selecting product service codes for further analysis is also determined by whether or not the contract service is closely associated with inherently governmental functions and which contracts are receiving special management attention for reduction in contract spending.  While some of the product service codes were covered by the analysis of </w:t>
      </w:r>
      <w:r w:rsidRPr="00C4781B">
        <w:rPr>
          <w:rFonts w:eastAsia="Calibri"/>
          <w:sz w:val="24"/>
          <w:szCs w:val="24"/>
        </w:rPr>
        <w:t>FY 2015</w:t>
      </w:r>
      <w:r w:rsidRPr="00DF4E44">
        <w:rPr>
          <w:rFonts w:eastAsia="Calibri"/>
          <w:sz w:val="24"/>
          <w:szCs w:val="24"/>
        </w:rPr>
        <w:t xml:space="preserve"> service contracts, the Department believes using the top </w:t>
      </w:r>
      <w:r>
        <w:rPr>
          <w:rFonts w:eastAsia="Calibri"/>
          <w:sz w:val="24"/>
          <w:szCs w:val="24"/>
        </w:rPr>
        <w:t>eight</w:t>
      </w:r>
      <w:r w:rsidRPr="00DF4E44">
        <w:rPr>
          <w:rFonts w:eastAsia="Calibri"/>
          <w:sz w:val="24"/>
          <w:szCs w:val="24"/>
        </w:rPr>
        <w:t xml:space="preserve"> codes by obligation </w:t>
      </w:r>
      <w:r>
        <w:rPr>
          <w:rFonts w:eastAsia="Calibri"/>
          <w:sz w:val="24"/>
          <w:szCs w:val="24"/>
        </w:rPr>
        <w:t xml:space="preserve">and also using additional special interest function codes </w:t>
      </w:r>
      <w:r w:rsidRPr="00DF4E44">
        <w:rPr>
          <w:rFonts w:eastAsia="Calibri"/>
          <w:sz w:val="24"/>
          <w:szCs w:val="24"/>
        </w:rPr>
        <w:t>represents the best spectrum of services to be analyzed</w:t>
      </w:r>
      <w:r>
        <w:rPr>
          <w:rFonts w:eastAsia="Calibri"/>
          <w:sz w:val="24"/>
          <w:szCs w:val="24"/>
        </w:rPr>
        <w:t xml:space="preserve">.  </w:t>
      </w:r>
      <w:r w:rsidRPr="00DF4E44">
        <w:rPr>
          <w:rFonts w:eastAsia="Calibri"/>
          <w:sz w:val="24"/>
          <w:szCs w:val="24"/>
        </w:rPr>
        <w:t>The Department’s analysis will reflect the insight gained and lessons learned from our previous analysis of the</w:t>
      </w:r>
      <w:r>
        <w:rPr>
          <w:rFonts w:eastAsia="Calibri"/>
          <w:sz w:val="24"/>
          <w:szCs w:val="24"/>
        </w:rPr>
        <w:t xml:space="preserve"> FY 2010 through </w:t>
      </w:r>
      <w:r w:rsidRPr="00C4781B">
        <w:rPr>
          <w:rFonts w:eastAsia="Calibri"/>
          <w:sz w:val="24"/>
          <w:szCs w:val="24"/>
        </w:rPr>
        <w:t>FY 2015</w:t>
      </w:r>
      <w:r w:rsidRPr="00DF4E44">
        <w:rPr>
          <w:rFonts w:eastAsia="Calibri"/>
          <w:sz w:val="24"/>
          <w:szCs w:val="24"/>
        </w:rPr>
        <w:t xml:space="preserve"> service contract inventories.    </w:t>
      </w:r>
    </w:p>
    <w:p w14:paraId="282719DB" w14:textId="77777777" w:rsidR="00FF2C09" w:rsidRPr="00DF4E44" w:rsidRDefault="00FF2C09" w:rsidP="00FF2C09">
      <w:pPr>
        <w:rPr>
          <w:rFonts w:eastAsia="Calibri"/>
          <w:sz w:val="24"/>
          <w:szCs w:val="24"/>
        </w:rPr>
      </w:pPr>
    </w:p>
    <w:p w14:paraId="7F17BB26" w14:textId="77777777" w:rsidR="00FF2C09" w:rsidRDefault="00FF2C09" w:rsidP="00FF2C09">
      <w:pPr>
        <w:rPr>
          <w:rFonts w:eastAsia="Calibri"/>
          <w:sz w:val="24"/>
          <w:szCs w:val="24"/>
        </w:rPr>
      </w:pPr>
      <w:r>
        <w:rPr>
          <w:rFonts w:eastAsia="Calibri"/>
          <w:sz w:val="24"/>
          <w:szCs w:val="24"/>
        </w:rPr>
        <w:t xml:space="preserve">Table 1 identifies </w:t>
      </w:r>
      <w:r w:rsidRPr="00DF4E44">
        <w:rPr>
          <w:rFonts w:eastAsia="Calibri"/>
          <w:sz w:val="24"/>
          <w:szCs w:val="24"/>
        </w:rPr>
        <w:t xml:space="preserve">product services codes </w:t>
      </w:r>
      <w:r>
        <w:rPr>
          <w:rFonts w:eastAsia="Calibri"/>
          <w:sz w:val="24"/>
          <w:szCs w:val="24"/>
        </w:rPr>
        <w:t xml:space="preserve">selected for further </w:t>
      </w:r>
      <w:r w:rsidRPr="00C4781B">
        <w:rPr>
          <w:rFonts w:eastAsia="Calibri"/>
          <w:sz w:val="24"/>
          <w:szCs w:val="24"/>
        </w:rPr>
        <w:t>review.  Eight of the ten product</w:t>
      </w:r>
      <w:r>
        <w:rPr>
          <w:rFonts w:eastAsia="Calibri"/>
          <w:sz w:val="24"/>
          <w:szCs w:val="24"/>
        </w:rPr>
        <w:t xml:space="preserve"> service codes represent the highest percentage of total contract obligations in </w:t>
      </w:r>
      <w:r w:rsidRPr="00C4781B">
        <w:rPr>
          <w:rFonts w:eastAsia="Calibri"/>
          <w:sz w:val="24"/>
          <w:szCs w:val="24"/>
        </w:rPr>
        <w:t>FY 2016</w:t>
      </w:r>
      <w:r>
        <w:rPr>
          <w:rFonts w:eastAsia="Calibri"/>
          <w:sz w:val="24"/>
          <w:szCs w:val="24"/>
        </w:rPr>
        <w:t>.  The remaining two product service codes</w:t>
      </w:r>
      <w:r w:rsidRPr="00C4781B">
        <w:rPr>
          <w:rFonts w:eastAsia="Calibri"/>
          <w:sz w:val="24"/>
          <w:szCs w:val="24"/>
        </w:rPr>
        <w:t>, R408 and R419</w:t>
      </w:r>
      <w:r>
        <w:rPr>
          <w:rFonts w:eastAsia="Calibri"/>
          <w:sz w:val="24"/>
          <w:szCs w:val="24"/>
        </w:rPr>
        <w:t xml:space="preserve"> are classified as special interest functions selected for further review. </w:t>
      </w:r>
      <w:r w:rsidRPr="00DF4E44">
        <w:rPr>
          <w:rFonts w:eastAsia="Calibri"/>
          <w:sz w:val="24"/>
          <w:szCs w:val="24"/>
        </w:rPr>
        <w:t xml:space="preserve"> A brief description of the rationale and the amounts obligated to each function in </w:t>
      </w:r>
      <w:r w:rsidRPr="00C4781B">
        <w:rPr>
          <w:rFonts w:eastAsia="Calibri"/>
          <w:sz w:val="24"/>
          <w:szCs w:val="24"/>
        </w:rPr>
        <w:t>FY 2016</w:t>
      </w:r>
      <w:r w:rsidRPr="00DF4E44">
        <w:rPr>
          <w:rFonts w:eastAsia="Calibri"/>
          <w:sz w:val="24"/>
          <w:szCs w:val="24"/>
        </w:rPr>
        <w:t xml:space="preserve"> is further discussed below</w:t>
      </w:r>
      <w:r>
        <w:rPr>
          <w:rFonts w:eastAsia="Calibri"/>
          <w:sz w:val="24"/>
          <w:szCs w:val="24"/>
        </w:rPr>
        <w:t xml:space="preserve"> in Table 2</w:t>
      </w:r>
      <w:r w:rsidRPr="00DF4E44">
        <w:rPr>
          <w:rFonts w:eastAsia="Calibri"/>
          <w:sz w:val="24"/>
          <w:szCs w:val="24"/>
        </w:rPr>
        <w:t>.</w:t>
      </w:r>
    </w:p>
    <w:p w14:paraId="4C73A3C7" w14:textId="77777777" w:rsidR="00FF2C09" w:rsidRDefault="00FF2C09" w:rsidP="00FF2C09">
      <w:pPr>
        <w:rPr>
          <w:rFonts w:eastAsia="Calibri"/>
          <w:sz w:val="24"/>
          <w:szCs w:val="24"/>
        </w:rPr>
      </w:pPr>
    </w:p>
    <w:p w14:paraId="0B5EF69E" w14:textId="77777777" w:rsidR="00FF2C09" w:rsidRDefault="00FF2C09" w:rsidP="00FF2C09">
      <w:pPr>
        <w:jc w:val="center"/>
        <w:rPr>
          <w:rFonts w:eastAsia="Calibri"/>
          <w:sz w:val="24"/>
          <w:szCs w:val="24"/>
        </w:rPr>
      </w:pPr>
      <w:r>
        <w:rPr>
          <w:rFonts w:eastAsia="Calibri"/>
          <w:sz w:val="24"/>
          <w:szCs w:val="24"/>
        </w:rPr>
        <w:t xml:space="preserve">Table 1 – Product Service Codes Selected </w:t>
      </w:r>
      <w:r w:rsidRPr="00C4781B">
        <w:rPr>
          <w:rFonts w:eastAsia="Calibri"/>
          <w:sz w:val="24"/>
          <w:szCs w:val="24"/>
        </w:rPr>
        <w:t>For FY 2016</w:t>
      </w:r>
      <w:r>
        <w:rPr>
          <w:rFonts w:eastAsia="Calibri"/>
          <w:sz w:val="24"/>
          <w:szCs w:val="24"/>
        </w:rPr>
        <w:t xml:space="preserve"> Review</w:t>
      </w:r>
    </w:p>
    <w:p w14:paraId="5527BF66" w14:textId="77777777" w:rsidR="00FF2C09" w:rsidRDefault="00FF2C09" w:rsidP="00FF2C09">
      <w:pPr>
        <w:rPr>
          <w:rFonts w:eastAsia="Calibri"/>
          <w:sz w:val="24"/>
          <w:szCs w:val="24"/>
        </w:rPr>
      </w:pPr>
    </w:p>
    <w:tbl>
      <w:tblPr>
        <w:tblW w:w="7325" w:type="dxa"/>
        <w:jc w:val="center"/>
        <w:tblInd w:w="93" w:type="dxa"/>
        <w:tblLook w:val="04A0" w:firstRow="1" w:lastRow="0" w:firstColumn="1" w:lastColumn="0" w:noHBand="0" w:noVBand="1"/>
      </w:tblPr>
      <w:tblGrid>
        <w:gridCol w:w="960"/>
        <w:gridCol w:w="3220"/>
        <w:gridCol w:w="1886"/>
        <w:gridCol w:w="1339"/>
      </w:tblGrid>
      <w:tr w:rsidR="00FF2C09" w:rsidRPr="00F56F72" w14:paraId="7A5FFEB9" w14:textId="77777777" w:rsidTr="00CB0DEF">
        <w:trPr>
          <w:trHeight w:val="900"/>
          <w:jc w:val="center"/>
        </w:trPr>
        <w:tc>
          <w:tcPr>
            <w:tcW w:w="960" w:type="dxa"/>
            <w:tcBorders>
              <w:top w:val="single" w:sz="4" w:space="0" w:color="auto"/>
              <w:left w:val="single" w:sz="4" w:space="0" w:color="auto"/>
              <w:bottom w:val="nil"/>
              <w:right w:val="nil"/>
            </w:tcBorders>
            <w:shd w:val="clear" w:color="auto" w:fill="auto"/>
            <w:noWrap/>
            <w:vAlign w:val="bottom"/>
            <w:hideMark/>
          </w:tcPr>
          <w:p w14:paraId="70E68824" w14:textId="77777777" w:rsidR="00FF2C09" w:rsidRPr="00F56F72" w:rsidRDefault="00FF2C09" w:rsidP="00CB0DEF">
            <w:pPr>
              <w:rPr>
                <w:rFonts w:ascii="Calibri" w:hAnsi="Calibri" w:cs="Calibri"/>
                <w:b/>
                <w:bCs/>
                <w:color w:val="000000"/>
                <w:sz w:val="22"/>
                <w:szCs w:val="22"/>
              </w:rPr>
            </w:pPr>
            <w:r w:rsidRPr="00F56F72">
              <w:rPr>
                <w:rFonts w:ascii="Calibri" w:hAnsi="Calibri" w:cs="Calibri"/>
                <w:b/>
                <w:bCs/>
                <w:color w:val="000000"/>
                <w:sz w:val="22"/>
                <w:szCs w:val="22"/>
              </w:rPr>
              <w:t>PSC</w:t>
            </w:r>
          </w:p>
        </w:tc>
        <w:tc>
          <w:tcPr>
            <w:tcW w:w="3220" w:type="dxa"/>
            <w:tcBorders>
              <w:top w:val="single" w:sz="4" w:space="0" w:color="auto"/>
              <w:left w:val="single" w:sz="4" w:space="0" w:color="auto"/>
              <w:bottom w:val="nil"/>
              <w:right w:val="single" w:sz="4" w:space="0" w:color="auto"/>
            </w:tcBorders>
            <w:shd w:val="clear" w:color="auto" w:fill="auto"/>
            <w:noWrap/>
            <w:vAlign w:val="bottom"/>
            <w:hideMark/>
          </w:tcPr>
          <w:p w14:paraId="5701AFFB" w14:textId="77777777" w:rsidR="00FF2C09" w:rsidRPr="00F56F72" w:rsidRDefault="00FF2C09" w:rsidP="00CB0DEF">
            <w:pPr>
              <w:jc w:val="center"/>
              <w:rPr>
                <w:rFonts w:ascii="Calibri" w:hAnsi="Calibri" w:cs="Calibri"/>
                <w:b/>
                <w:bCs/>
                <w:color w:val="000000"/>
                <w:sz w:val="22"/>
                <w:szCs w:val="22"/>
              </w:rPr>
            </w:pPr>
            <w:r w:rsidRPr="00F56F72">
              <w:rPr>
                <w:rFonts w:ascii="Calibri" w:hAnsi="Calibri" w:cs="Calibri"/>
                <w:b/>
                <w:bCs/>
                <w:color w:val="000000"/>
                <w:sz w:val="22"/>
                <w:szCs w:val="22"/>
              </w:rPr>
              <w:t>Description</w:t>
            </w:r>
          </w:p>
        </w:tc>
        <w:tc>
          <w:tcPr>
            <w:tcW w:w="1886" w:type="dxa"/>
            <w:tcBorders>
              <w:top w:val="single" w:sz="4" w:space="0" w:color="auto"/>
              <w:left w:val="nil"/>
              <w:bottom w:val="nil"/>
              <w:right w:val="single" w:sz="4" w:space="0" w:color="auto"/>
            </w:tcBorders>
            <w:shd w:val="clear" w:color="auto" w:fill="auto"/>
            <w:vAlign w:val="bottom"/>
            <w:hideMark/>
          </w:tcPr>
          <w:p w14:paraId="76C92764" w14:textId="77777777" w:rsidR="00FF2C09" w:rsidRPr="00F56F72" w:rsidRDefault="00FF2C09" w:rsidP="00CB0DEF">
            <w:pPr>
              <w:jc w:val="center"/>
              <w:rPr>
                <w:rFonts w:ascii="Calibri" w:hAnsi="Calibri" w:cs="Calibri"/>
                <w:b/>
                <w:bCs/>
                <w:color w:val="000000"/>
                <w:sz w:val="22"/>
                <w:szCs w:val="22"/>
              </w:rPr>
            </w:pPr>
            <w:r w:rsidRPr="00C4781B">
              <w:rPr>
                <w:rFonts w:ascii="Calibri" w:hAnsi="Calibri" w:cs="Calibri"/>
                <w:b/>
                <w:bCs/>
                <w:sz w:val="22"/>
                <w:szCs w:val="22"/>
              </w:rPr>
              <w:t>FY 2016</w:t>
            </w:r>
            <w:r w:rsidRPr="00F56F72">
              <w:rPr>
                <w:rFonts w:ascii="Calibri" w:hAnsi="Calibri" w:cs="Calibri"/>
                <w:b/>
                <w:bCs/>
                <w:color w:val="000000"/>
                <w:sz w:val="22"/>
                <w:szCs w:val="22"/>
              </w:rPr>
              <w:t xml:space="preserve"> Obligations</w:t>
            </w:r>
          </w:p>
        </w:tc>
        <w:tc>
          <w:tcPr>
            <w:tcW w:w="1259" w:type="dxa"/>
            <w:tcBorders>
              <w:top w:val="single" w:sz="4" w:space="0" w:color="auto"/>
              <w:left w:val="nil"/>
              <w:bottom w:val="nil"/>
              <w:right w:val="single" w:sz="4" w:space="0" w:color="auto"/>
            </w:tcBorders>
            <w:shd w:val="clear" w:color="auto" w:fill="auto"/>
            <w:vAlign w:val="bottom"/>
            <w:hideMark/>
          </w:tcPr>
          <w:p w14:paraId="1DF92728" w14:textId="77777777" w:rsidR="00FF2C09" w:rsidRPr="00F56F72" w:rsidRDefault="00FF2C09" w:rsidP="00CB0DEF">
            <w:pPr>
              <w:jc w:val="center"/>
              <w:rPr>
                <w:rFonts w:ascii="Calibri" w:hAnsi="Calibri" w:cs="Calibri"/>
                <w:b/>
                <w:bCs/>
                <w:color w:val="000000"/>
                <w:sz w:val="22"/>
                <w:szCs w:val="22"/>
              </w:rPr>
            </w:pPr>
            <w:r w:rsidRPr="00F56F72">
              <w:rPr>
                <w:rFonts w:ascii="Calibri" w:hAnsi="Calibri" w:cs="Calibri"/>
                <w:b/>
                <w:bCs/>
                <w:color w:val="000000"/>
                <w:sz w:val="22"/>
                <w:szCs w:val="22"/>
              </w:rPr>
              <w:t>% Total Obligations</w:t>
            </w:r>
            <w:r w:rsidR="0039607C" w:rsidRPr="0039607C">
              <w:rPr>
                <w:b/>
                <w:bCs/>
                <w:color w:val="000000"/>
                <w:sz w:val="24"/>
                <w:szCs w:val="22"/>
                <w:vertAlign w:val="superscript"/>
              </w:rPr>
              <w:t>*</w:t>
            </w:r>
          </w:p>
        </w:tc>
      </w:tr>
      <w:tr w:rsidR="00FF2C09" w:rsidRPr="00F56F72" w14:paraId="0B86A3C2" w14:textId="77777777" w:rsidTr="00CB0DEF">
        <w:trPr>
          <w:trHeight w:val="480"/>
          <w:jc w:val="center"/>
        </w:trPr>
        <w:tc>
          <w:tcPr>
            <w:tcW w:w="960" w:type="dxa"/>
            <w:tcBorders>
              <w:top w:val="single" w:sz="4" w:space="0" w:color="auto"/>
              <w:left w:val="single" w:sz="4" w:space="0" w:color="auto"/>
              <w:bottom w:val="nil"/>
              <w:right w:val="single" w:sz="4" w:space="0" w:color="auto"/>
            </w:tcBorders>
            <w:shd w:val="clear" w:color="auto" w:fill="auto"/>
            <w:noWrap/>
            <w:hideMark/>
          </w:tcPr>
          <w:p w14:paraId="4FBBED33"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R710</w:t>
            </w:r>
          </w:p>
        </w:tc>
        <w:tc>
          <w:tcPr>
            <w:tcW w:w="3220" w:type="dxa"/>
            <w:tcBorders>
              <w:top w:val="single" w:sz="4" w:space="0" w:color="auto"/>
              <w:left w:val="nil"/>
              <w:bottom w:val="nil"/>
              <w:right w:val="single" w:sz="4" w:space="0" w:color="auto"/>
            </w:tcBorders>
            <w:shd w:val="clear" w:color="auto" w:fill="auto"/>
            <w:hideMark/>
          </w:tcPr>
          <w:p w14:paraId="7787B03D"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SUPPORT- MANAGEMENT: FINANCIAL</w:t>
            </w:r>
          </w:p>
        </w:tc>
        <w:tc>
          <w:tcPr>
            <w:tcW w:w="1886" w:type="dxa"/>
            <w:tcBorders>
              <w:top w:val="single" w:sz="4" w:space="0" w:color="auto"/>
              <w:left w:val="nil"/>
              <w:bottom w:val="nil"/>
              <w:right w:val="single" w:sz="4" w:space="0" w:color="auto"/>
            </w:tcBorders>
            <w:shd w:val="clear" w:color="auto" w:fill="auto"/>
            <w:noWrap/>
            <w:vAlign w:val="bottom"/>
            <w:hideMark/>
          </w:tcPr>
          <w:p w14:paraId="2B8117E3"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$1,074,131,594.48</w:t>
            </w:r>
          </w:p>
        </w:tc>
        <w:tc>
          <w:tcPr>
            <w:tcW w:w="1259" w:type="dxa"/>
            <w:tcBorders>
              <w:top w:val="single" w:sz="4" w:space="0" w:color="auto"/>
              <w:left w:val="nil"/>
              <w:bottom w:val="nil"/>
              <w:right w:val="single" w:sz="4" w:space="0" w:color="auto"/>
            </w:tcBorders>
            <w:shd w:val="clear" w:color="auto" w:fill="auto"/>
            <w:noWrap/>
            <w:vAlign w:val="bottom"/>
            <w:hideMark/>
          </w:tcPr>
          <w:p w14:paraId="127E1F62"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44.42</w:t>
            </w:r>
            <w:r w:rsidRPr="00EA2B5E">
              <w:rPr>
                <w:rFonts w:ascii="Calibri" w:hAnsi="Calibri" w:cs="Calibri"/>
                <w:color w:val="000000"/>
                <w:sz w:val="22"/>
                <w:szCs w:val="22"/>
              </w:rPr>
              <w:t>%</w:t>
            </w:r>
          </w:p>
        </w:tc>
      </w:tr>
      <w:tr w:rsidR="00FF2C09" w:rsidRPr="00F56F72" w14:paraId="1C304B6C" w14:textId="77777777" w:rsidTr="00CB0DEF">
        <w:trPr>
          <w:trHeight w:val="480"/>
          <w:jc w:val="center"/>
        </w:trPr>
        <w:tc>
          <w:tcPr>
            <w:tcW w:w="960" w:type="dxa"/>
            <w:tcBorders>
              <w:top w:val="nil"/>
              <w:left w:val="single" w:sz="4" w:space="0" w:color="auto"/>
              <w:bottom w:val="nil"/>
              <w:right w:val="single" w:sz="4" w:space="0" w:color="auto"/>
            </w:tcBorders>
            <w:shd w:val="clear" w:color="auto" w:fill="auto"/>
            <w:noWrap/>
            <w:hideMark/>
          </w:tcPr>
          <w:p w14:paraId="474502F2"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R705</w:t>
            </w:r>
          </w:p>
        </w:tc>
        <w:tc>
          <w:tcPr>
            <w:tcW w:w="3220" w:type="dxa"/>
            <w:tcBorders>
              <w:top w:val="nil"/>
              <w:left w:val="nil"/>
              <w:bottom w:val="nil"/>
              <w:right w:val="single" w:sz="4" w:space="0" w:color="auto"/>
            </w:tcBorders>
            <w:shd w:val="clear" w:color="auto" w:fill="auto"/>
            <w:hideMark/>
          </w:tcPr>
          <w:p w14:paraId="3D8EE3F8"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SUPPORT- MANAGEMENT: DEBT COLLECTION</w:t>
            </w:r>
          </w:p>
        </w:tc>
        <w:tc>
          <w:tcPr>
            <w:tcW w:w="1886" w:type="dxa"/>
            <w:tcBorders>
              <w:top w:val="nil"/>
              <w:left w:val="nil"/>
              <w:bottom w:val="nil"/>
              <w:right w:val="single" w:sz="4" w:space="0" w:color="auto"/>
            </w:tcBorders>
            <w:shd w:val="clear" w:color="auto" w:fill="auto"/>
            <w:noWrap/>
            <w:vAlign w:val="bottom"/>
            <w:hideMark/>
          </w:tcPr>
          <w:p w14:paraId="2DCC63B5" w14:textId="77777777" w:rsidR="00FF2C09" w:rsidRPr="00EA2B5E" w:rsidRDefault="00FF2C09" w:rsidP="00CB0DEF">
            <w:pPr>
              <w:jc w:val="right"/>
              <w:rPr>
                <w:rFonts w:ascii="Calibri" w:hAnsi="Calibri" w:cs="Calibri"/>
                <w:color w:val="000000"/>
                <w:sz w:val="22"/>
                <w:szCs w:val="22"/>
              </w:rPr>
            </w:pPr>
            <w:r w:rsidRPr="00EA2B5E">
              <w:rPr>
                <w:rFonts w:ascii="Calibri" w:hAnsi="Calibri" w:cs="Calibri"/>
                <w:color w:val="000000"/>
                <w:sz w:val="22"/>
                <w:szCs w:val="22"/>
              </w:rPr>
              <w:t>$809,681,467</w:t>
            </w:r>
            <w:r>
              <w:rPr>
                <w:rFonts w:ascii="Calibri" w:hAnsi="Calibri" w:cs="Calibri"/>
                <w:color w:val="000000"/>
                <w:sz w:val="22"/>
                <w:szCs w:val="22"/>
              </w:rPr>
              <w:t>.00</w:t>
            </w:r>
          </w:p>
        </w:tc>
        <w:tc>
          <w:tcPr>
            <w:tcW w:w="1259" w:type="dxa"/>
            <w:tcBorders>
              <w:top w:val="nil"/>
              <w:left w:val="nil"/>
              <w:bottom w:val="nil"/>
              <w:right w:val="single" w:sz="4" w:space="0" w:color="auto"/>
            </w:tcBorders>
            <w:shd w:val="clear" w:color="auto" w:fill="auto"/>
            <w:noWrap/>
            <w:vAlign w:val="bottom"/>
            <w:hideMark/>
          </w:tcPr>
          <w:p w14:paraId="1519DC97"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33.48</w:t>
            </w:r>
            <w:r w:rsidRPr="00EA2B5E">
              <w:rPr>
                <w:rFonts w:ascii="Calibri" w:hAnsi="Calibri" w:cs="Calibri"/>
                <w:color w:val="000000"/>
                <w:sz w:val="22"/>
                <w:szCs w:val="22"/>
              </w:rPr>
              <w:t>%</w:t>
            </w:r>
          </w:p>
        </w:tc>
      </w:tr>
      <w:tr w:rsidR="00FF2C09" w:rsidRPr="00F56F72" w14:paraId="0F2AAC2A" w14:textId="77777777" w:rsidTr="00CB0DEF">
        <w:trPr>
          <w:trHeight w:val="480"/>
          <w:jc w:val="center"/>
        </w:trPr>
        <w:tc>
          <w:tcPr>
            <w:tcW w:w="960" w:type="dxa"/>
            <w:tcBorders>
              <w:top w:val="nil"/>
              <w:left w:val="single" w:sz="4" w:space="0" w:color="auto"/>
              <w:bottom w:val="nil"/>
              <w:right w:val="single" w:sz="4" w:space="0" w:color="auto"/>
            </w:tcBorders>
            <w:shd w:val="clear" w:color="auto" w:fill="auto"/>
            <w:noWrap/>
            <w:hideMark/>
          </w:tcPr>
          <w:p w14:paraId="03CA3B6A"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D301</w:t>
            </w:r>
          </w:p>
        </w:tc>
        <w:tc>
          <w:tcPr>
            <w:tcW w:w="3220" w:type="dxa"/>
            <w:tcBorders>
              <w:top w:val="nil"/>
              <w:left w:val="nil"/>
              <w:bottom w:val="nil"/>
              <w:right w:val="single" w:sz="4" w:space="0" w:color="auto"/>
            </w:tcBorders>
            <w:shd w:val="clear" w:color="auto" w:fill="auto"/>
            <w:hideMark/>
          </w:tcPr>
          <w:p w14:paraId="0056086F"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IT AND TELECOM- FACILITY OPERATION AND MAINTENANCE</w:t>
            </w:r>
          </w:p>
        </w:tc>
        <w:tc>
          <w:tcPr>
            <w:tcW w:w="1886" w:type="dxa"/>
            <w:tcBorders>
              <w:top w:val="nil"/>
              <w:left w:val="nil"/>
              <w:bottom w:val="nil"/>
              <w:right w:val="single" w:sz="4" w:space="0" w:color="auto"/>
            </w:tcBorders>
            <w:shd w:val="clear" w:color="auto" w:fill="auto"/>
            <w:noWrap/>
            <w:vAlign w:val="bottom"/>
            <w:hideMark/>
          </w:tcPr>
          <w:p w14:paraId="7F8E4344"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$123,132,728.30</w:t>
            </w:r>
          </w:p>
        </w:tc>
        <w:tc>
          <w:tcPr>
            <w:tcW w:w="1259" w:type="dxa"/>
            <w:tcBorders>
              <w:top w:val="nil"/>
              <w:left w:val="nil"/>
              <w:bottom w:val="nil"/>
              <w:right w:val="single" w:sz="4" w:space="0" w:color="auto"/>
            </w:tcBorders>
            <w:shd w:val="clear" w:color="auto" w:fill="auto"/>
            <w:noWrap/>
            <w:vAlign w:val="bottom"/>
            <w:hideMark/>
          </w:tcPr>
          <w:p w14:paraId="0FB789B5"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5.09</w:t>
            </w:r>
            <w:r w:rsidRPr="00EA2B5E">
              <w:rPr>
                <w:rFonts w:ascii="Calibri" w:hAnsi="Calibri" w:cs="Calibri"/>
                <w:color w:val="000000"/>
                <w:sz w:val="22"/>
                <w:szCs w:val="22"/>
              </w:rPr>
              <w:t>%</w:t>
            </w:r>
          </w:p>
        </w:tc>
      </w:tr>
      <w:tr w:rsidR="00FF2C09" w:rsidRPr="00F56F72" w14:paraId="4B383221" w14:textId="77777777" w:rsidTr="00CB0DEF">
        <w:trPr>
          <w:trHeight w:val="480"/>
          <w:jc w:val="center"/>
        </w:trPr>
        <w:tc>
          <w:tcPr>
            <w:tcW w:w="960" w:type="dxa"/>
            <w:tcBorders>
              <w:top w:val="nil"/>
              <w:left w:val="single" w:sz="4" w:space="0" w:color="auto"/>
              <w:bottom w:val="nil"/>
              <w:right w:val="single" w:sz="4" w:space="0" w:color="auto"/>
            </w:tcBorders>
            <w:shd w:val="clear" w:color="auto" w:fill="auto"/>
            <w:noWrap/>
            <w:hideMark/>
          </w:tcPr>
          <w:p w14:paraId="731B7EB4"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B506</w:t>
            </w:r>
          </w:p>
        </w:tc>
        <w:tc>
          <w:tcPr>
            <w:tcW w:w="3220" w:type="dxa"/>
            <w:tcBorders>
              <w:top w:val="nil"/>
              <w:left w:val="nil"/>
              <w:bottom w:val="nil"/>
              <w:right w:val="single" w:sz="4" w:space="0" w:color="auto"/>
            </w:tcBorders>
            <w:shd w:val="clear" w:color="auto" w:fill="auto"/>
            <w:hideMark/>
          </w:tcPr>
          <w:p w14:paraId="00D8A91E"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SPECIAL STUDIES/ANALYSIS- DATA (OTHER THAN SCIENTIFIC)</w:t>
            </w:r>
          </w:p>
        </w:tc>
        <w:tc>
          <w:tcPr>
            <w:tcW w:w="1886" w:type="dxa"/>
            <w:tcBorders>
              <w:top w:val="nil"/>
              <w:left w:val="nil"/>
              <w:bottom w:val="nil"/>
              <w:right w:val="single" w:sz="4" w:space="0" w:color="auto"/>
            </w:tcBorders>
            <w:shd w:val="clear" w:color="auto" w:fill="auto"/>
            <w:noWrap/>
            <w:vAlign w:val="bottom"/>
            <w:hideMark/>
          </w:tcPr>
          <w:p w14:paraId="12DCA2C4"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$88,606,893.33</w:t>
            </w:r>
          </w:p>
        </w:tc>
        <w:tc>
          <w:tcPr>
            <w:tcW w:w="1259" w:type="dxa"/>
            <w:tcBorders>
              <w:top w:val="nil"/>
              <w:left w:val="nil"/>
              <w:bottom w:val="nil"/>
              <w:right w:val="single" w:sz="4" w:space="0" w:color="auto"/>
            </w:tcBorders>
            <w:shd w:val="clear" w:color="auto" w:fill="auto"/>
            <w:noWrap/>
            <w:vAlign w:val="bottom"/>
            <w:hideMark/>
          </w:tcPr>
          <w:p w14:paraId="355CFBE4"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3.66</w:t>
            </w:r>
            <w:r w:rsidRPr="00EA2B5E">
              <w:rPr>
                <w:rFonts w:ascii="Calibri" w:hAnsi="Calibri" w:cs="Calibri"/>
                <w:color w:val="000000"/>
                <w:sz w:val="22"/>
                <w:szCs w:val="22"/>
              </w:rPr>
              <w:t>%</w:t>
            </w:r>
          </w:p>
        </w:tc>
      </w:tr>
      <w:tr w:rsidR="00FF2C09" w:rsidRPr="00F56F72" w14:paraId="45052AD5" w14:textId="77777777" w:rsidTr="00CB0DEF">
        <w:trPr>
          <w:trHeight w:val="480"/>
          <w:jc w:val="center"/>
        </w:trPr>
        <w:tc>
          <w:tcPr>
            <w:tcW w:w="960" w:type="dxa"/>
            <w:tcBorders>
              <w:top w:val="nil"/>
              <w:left w:val="single" w:sz="4" w:space="0" w:color="auto"/>
              <w:bottom w:val="nil"/>
              <w:right w:val="single" w:sz="4" w:space="0" w:color="auto"/>
            </w:tcBorders>
            <w:shd w:val="clear" w:color="auto" w:fill="auto"/>
            <w:noWrap/>
            <w:hideMark/>
          </w:tcPr>
          <w:p w14:paraId="45E80B72"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AF11</w:t>
            </w:r>
          </w:p>
        </w:tc>
        <w:tc>
          <w:tcPr>
            <w:tcW w:w="3220" w:type="dxa"/>
            <w:tcBorders>
              <w:top w:val="nil"/>
              <w:left w:val="nil"/>
              <w:bottom w:val="nil"/>
              <w:right w:val="single" w:sz="4" w:space="0" w:color="auto"/>
            </w:tcBorders>
            <w:shd w:val="clear" w:color="auto" w:fill="auto"/>
            <w:hideMark/>
          </w:tcPr>
          <w:p w14:paraId="720BE269"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R&amp;D- EDUCATION: EDUCATIONAL (BASIC RESEARCH)</w:t>
            </w:r>
          </w:p>
        </w:tc>
        <w:tc>
          <w:tcPr>
            <w:tcW w:w="1886" w:type="dxa"/>
            <w:tcBorders>
              <w:top w:val="nil"/>
              <w:left w:val="nil"/>
              <w:bottom w:val="nil"/>
              <w:right w:val="single" w:sz="4" w:space="0" w:color="auto"/>
            </w:tcBorders>
            <w:shd w:val="clear" w:color="auto" w:fill="auto"/>
            <w:noWrap/>
            <w:vAlign w:val="bottom"/>
            <w:hideMark/>
          </w:tcPr>
          <w:p w14:paraId="4CF9D9B8"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$79,242,374.33</w:t>
            </w:r>
          </w:p>
        </w:tc>
        <w:tc>
          <w:tcPr>
            <w:tcW w:w="1259" w:type="dxa"/>
            <w:tcBorders>
              <w:top w:val="nil"/>
              <w:left w:val="nil"/>
              <w:bottom w:val="nil"/>
              <w:right w:val="single" w:sz="4" w:space="0" w:color="auto"/>
            </w:tcBorders>
            <w:shd w:val="clear" w:color="auto" w:fill="auto"/>
            <w:noWrap/>
            <w:vAlign w:val="bottom"/>
            <w:hideMark/>
          </w:tcPr>
          <w:p w14:paraId="28224030"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3.28</w:t>
            </w:r>
            <w:r w:rsidRPr="00EA2B5E">
              <w:rPr>
                <w:rFonts w:ascii="Calibri" w:hAnsi="Calibri" w:cs="Calibri"/>
                <w:color w:val="000000"/>
                <w:sz w:val="22"/>
                <w:szCs w:val="22"/>
              </w:rPr>
              <w:t>%</w:t>
            </w:r>
          </w:p>
        </w:tc>
      </w:tr>
      <w:tr w:rsidR="00FF2C09" w:rsidRPr="00F56F72" w14:paraId="62D87F1D" w14:textId="77777777" w:rsidTr="00CB0DEF">
        <w:trPr>
          <w:trHeight w:val="480"/>
          <w:jc w:val="center"/>
        </w:trPr>
        <w:tc>
          <w:tcPr>
            <w:tcW w:w="960" w:type="dxa"/>
            <w:tcBorders>
              <w:top w:val="nil"/>
              <w:left w:val="single" w:sz="4" w:space="0" w:color="auto"/>
              <w:bottom w:val="nil"/>
              <w:right w:val="single" w:sz="4" w:space="0" w:color="auto"/>
            </w:tcBorders>
            <w:shd w:val="clear" w:color="auto" w:fill="auto"/>
            <w:noWrap/>
            <w:hideMark/>
          </w:tcPr>
          <w:p w14:paraId="72490C76"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B542</w:t>
            </w:r>
          </w:p>
        </w:tc>
        <w:tc>
          <w:tcPr>
            <w:tcW w:w="3220" w:type="dxa"/>
            <w:tcBorders>
              <w:top w:val="nil"/>
              <w:left w:val="nil"/>
              <w:bottom w:val="nil"/>
              <w:right w:val="single" w:sz="4" w:space="0" w:color="auto"/>
            </w:tcBorders>
            <w:shd w:val="clear" w:color="auto" w:fill="auto"/>
            <w:hideMark/>
          </w:tcPr>
          <w:p w14:paraId="776FF7F6"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SPECIAL STUDIES/ANALYSIS- EDUCATIONAL</w:t>
            </w:r>
          </w:p>
        </w:tc>
        <w:tc>
          <w:tcPr>
            <w:tcW w:w="1886" w:type="dxa"/>
            <w:tcBorders>
              <w:top w:val="nil"/>
              <w:left w:val="nil"/>
              <w:bottom w:val="nil"/>
              <w:right w:val="single" w:sz="4" w:space="0" w:color="auto"/>
            </w:tcBorders>
            <w:shd w:val="clear" w:color="auto" w:fill="auto"/>
            <w:noWrap/>
            <w:vAlign w:val="bottom"/>
            <w:hideMark/>
          </w:tcPr>
          <w:p w14:paraId="1D888431"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$70,007,793.75</w:t>
            </w:r>
          </w:p>
        </w:tc>
        <w:tc>
          <w:tcPr>
            <w:tcW w:w="1259" w:type="dxa"/>
            <w:tcBorders>
              <w:top w:val="nil"/>
              <w:left w:val="nil"/>
              <w:bottom w:val="nil"/>
              <w:right w:val="single" w:sz="4" w:space="0" w:color="auto"/>
            </w:tcBorders>
            <w:shd w:val="clear" w:color="auto" w:fill="auto"/>
            <w:noWrap/>
            <w:vAlign w:val="bottom"/>
            <w:hideMark/>
          </w:tcPr>
          <w:p w14:paraId="19440DF7"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2.89</w:t>
            </w:r>
            <w:r w:rsidRPr="00EA2B5E">
              <w:rPr>
                <w:rFonts w:ascii="Calibri" w:hAnsi="Calibri" w:cs="Calibri"/>
                <w:color w:val="000000"/>
                <w:sz w:val="22"/>
                <w:szCs w:val="22"/>
              </w:rPr>
              <w:t>%</w:t>
            </w:r>
          </w:p>
        </w:tc>
      </w:tr>
      <w:tr w:rsidR="00FF2C09" w:rsidRPr="00F56F72" w14:paraId="52A6C474" w14:textId="77777777" w:rsidTr="00CB0DEF">
        <w:trPr>
          <w:trHeight w:val="480"/>
          <w:jc w:val="center"/>
        </w:trPr>
        <w:tc>
          <w:tcPr>
            <w:tcW w:w="960" w:type="dxa"/>
            <w:tcBorders>
              <w:top w:val="nil"/>
              <w:left w:val="single" w:sz="4" w:space="0" w:color="auto"/>
              <w:bottom w:val="nil"/>
              <w:right w:val="single" w:sz="4" w:space="0" w:color="auto"/>
            </w:tcBorders>
            <w:shd w:val="clear" w:color="auto" w:fill="auto"/>
            <w:noWrap/>
            <w:hideMark/>
          </w:tcPr>
          <w:p w14:paraId="26917931"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R499</w:t>
            </w:r>
          </w:p>
        </w:tc>
        <w:tc>
          <w:tcPr>
            <w:tcW w:w="3220" w:type="dxa"/>
            <w:tcBorders>
              <w:top w:val="nil"/>
              <w:left w:val="nil"/>
              <w:bottom w:val="nil"/>
              <w:right w:val="single" w:sz="4" w:space="0" w:color="auto"/>
            </w:tcBorders>
            <w:shd w:val="clear" w:color="auto" w:fill="auto"/>
            <w:hideMark/>
          </w:tcPr>
          <w:p w14:paraId="35E317BB"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SUPPORT- PROFESSIONAL: OTHER</w:t>
            </w:r>
          </w:p>
        </w:tc>
        <w:tc>
          <w:tcPr>
            <w:tcW w:w="1886" w:type="dxa"/>
            <w:tcBorders>
              <w:top w:val="nil"/>
              <w:left w:val="nil"/>
              <w:bottom w:val="nil"/>
              <w:right w:val="single" w:sz="4" w:space="0" w:color="auto"/>
            </w:tcBorders>
            <w:shd w:val="clear" w:color="auto" w:fill="auto"/>
            <w:noWrap/>
            <w:vAlign w:val="bottom"/>
            <w:hideMark/>
          </w:tcPr>
          <w:p w14:paraId="64122CFC"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$39,927,681.31</w:t>
            </w:r>
          </w:p>
        </w:tc>
        <w:tc>
          <w:tcPr>
            <w:tcW w:w="1259" w:type="dxa"/>
            <w:tcBorders>
              <w:top w:val="nil"/>
              <w:left w:val="nil"/>
              <w:bottom w:val="nil"/>
              <w:right w:val="single" w:sz="4" w:space="0" w:color="auto"/>
            </w:tcBorders>
            <w:shd w:val="clear" w:color="auto" w:fill="auto"/>
            <w:noWrap/>
            <w:vAlign w:val="bottom"/>
            <w:hideMark/>
          </w:tcPr>
          <w:p w14:paraId="2854A766"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1.65</w:t>
            </w:r>
            <w:r w:rsidRPr="00EA2B5E">
              <w:rPr>
                <w:rFonts w:ascii="Calibri" w:hAnsi="Calibri" w:cs="Calibri"/>
                <w:color w:val="000000"/>
                <w:sz w:val="22"/>
                <w:szCs w:val="22"/>
              </w:rPr>
              <w:t>%</w:t>
            </w:r>
          </w:p>
        </w:tc>
      </w:tr>
      <w:tr w:rsidR="00FF2C09" w:rsidRPr="00F56F72" w14:paraId="554DCFCC" w14:textId="77777777" w:rsidTr="00CB0DEF">
        <w:trPr>
          <w:trHeight w:val="720"/>
          <w:jc w:val="center"/>
        </w:trPr>
        <w:tc>
          <w:tcPr>
            <w:tcW w:w="960" w:type="dxa"/>
            <w:tcBorders>
              <w:top w:val="nil"/>
              <w:left w:val="single" w:sz="4" w:space="0" w:color="auto"/>
              <w:bottom w:val="nil"/>
              <w:right w:val="single" w:sz="4" w:space="0" w:color="auto"/>
            </w:tcBorders>
            <w:shd w:val="clear" w:color="auto" w:fill="auto"/>
            <w:noWrap/>
            <w:hideMark/>
          </w:tcPr>
          <w:p w14:paraId="62CB6C28"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D313</w:t>
            </w:r>
          </w:p>
        </w:tc>
        <w:tc>
          <w:tcPr>
            <w:tcW w:w="3220" w:type="dxa"/>
            <w:tcBorders>
              <w:top w:val="nil"/>
              <w:left w:val="nil"/>
              <w:bottom w:val="nil"/>
              <w:right w:val="single" w:sz="4" w:space="0" w:color="auto"/>
            </w:tcBorders>
            <w:shd w:val="clear" w:color="auto" w:fill="auto"/>
            <w:hideMark/>
          </w:tcPr>
          <w:p w14:paraId="31012874"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IT AND TELECOM- COMPUTER AIDED DESIGN/COMPUTER AIDED MANUFACTURING (CAD/CAM)</w:t>
            </w:r>
          </w:p>
        </w:tc>
        <w:tc>
          <w:tcPr>
            <w:tcW w:w="1886" w:type="dxa"/>
            <w:tcBorders>
              <w:top w:val="nil"/>
              <w:left w:val="nil"/>
              <w:bottom w:val="nil"/>
              <w:right w:val="single" w:sz="4" w:space="0" w:color="auto"/>
            </w:tcBorders>
            <w:shd w:val="clear" w:color="auto" w:fill="auto"/>
            <w:noWrap/>
            <w:vAlign w:val="bottom"/>
            <w:hideMark/>
          </w:tcPr>
          <w:p w14:paraId="1479AF87"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$21,139,492.34</w:t>
            </w:r>
          </w:p>
        </w:tc>
        <w:tc>
          <w:tcPr>
            <w:tcW w:w="1259" w:type="dxa"/>
            <w:tcBorders>
              <w:top w:val="nil"/>
              <w:left w:val="nil"/>
              <w:bottom w:val="nil"/>
              <w:right w:val="single" w:sz="4" w:space="0" w:color="auto"/>
            </w:tcBorders>
            <w:shd w:val="clear" w:color="auto" w:fill="auto"/>
            <w:noWrap/>
            <w:vAlign w:val="bottom"/>
            <w:hideMark/>
          </w:tcPr>
          <w:p w14:paraId="1B4F892A"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0.87</w:t>
            </w:r>
            <w:r w:rsidRPr="00EA2B5E">
              <w:rPr>
                <w:rFonts w:ascii="Calibri" w:hAnsi="Calibri" w:cs="Calibri"/>
                <w:color w:val="000000"/>
                <w:sz w:val="22"/>
                <w:szCs w:val="22"/>
              </w:rPr>
              <w:t>%</w:t>
            </w:r>
          </w:p>
        </w:tc>
      </w:tr>
      <w:tr w:rsidR="00FF2C09" w:rsidRPr="00F56F72" w14:paraId="40304DFD" w14:textId="77777777" w:rsidTr="00CB0DEF">
        <w:trPr>
          <w:trHeight w:val="720"/>
          <w:jc w:val="center"/>
        </w:trPr>
        <w:tc>
          <w:tcPr>
            <w:tcW w:w="960" w:type="dxa"/>
            <w:tcBorders>
              <w:top w:val="nil"/>
              <w:left w:val="single" w:sz="4" w:space="0" w:color="auto"/>
              <w:bottom w:val="nil"/>
              <w:right w:val="single" w:sz="4" w:space="0" w:color="auto"/>
            </w:tcBorders>
            <w:shd w:val="clear" w:color="auto" w:fill="auto"/>
            <w:noWrap/>
            <w:hideMark/>
          </w:tcPr>
          <w:p w14:paraId="2529A026"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lastRenderedPageBreak/>
              <w:t>R408</w:t>
            </w:r>
          </w:p>
        </w:tc>
        <w:tc>
          <w:tcPr>
            <w:tcW w:w="3220" w:type="dxa"/>
            <w:tcBorders>
              <w:top w:val="nil"/>
              <w:left w:val="nil"/>
              <w:bottom w:val="nil"/>
              <w:right w:val="single" w:sz="4" w:space="0" w:color="auto"/>
            </w:tcBorders>
            <w:shd w:val="clear" w:color="auto" w:fill="auto"/>
            <w:hideMark/>
          </w:tcPr>
          <w:p w14:paraId="48F19FE1"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SUPPORT- PROFESSIONAL: PROGRAM MANAGEMENT/SUPPORT</w:t>
            </w:r>
          </w:p>
        </w:tc>
        <w:tc>
          <w:tcPr>
            <w:tcW w:w="1886" w:type="dxa"/>
            <w:tcBorders>
              <w:top w:val="nil"/>
              <w:left w:val="nil"/>
              <w:bottom w:val="nil"/>
              <w:right w:val="single" w:sz="4" w:space="0" w:color="auto"/>
            </w:tcBorders>
            <w:shd w:val="clear" w:color="auto" w:fill="auto"/>
            <w:noWrap/>
            <w:vAlign w:val="bottom"/>
            <w:hideMark/>
          </w:tcPr>
          <w:p w14:paraId="788F5EEA"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$2,923,819.98</w:t>
            </w:r>
          </w:p>
        </w:tc>
        <w:tc>
          <w:tcPr>
            <w:tcW w:w="1259" w:type="dxa"/>
            <w:tcBorders>
              <w:top w:val="nil"/>
              <w:left w:val="nil"/>
              <w:bottom w:val="nil"/>
              <w:right w:val="single" w:sz="4" w:space="0" w:color="auto"/>
            </w:tcBorders>
            <w:shd w:val="clear" w:color="auto" w:fill="auto"/>
            <w:noWrap/>
            <w:vAlign w:val="bottom"/>
            <w:hideMark/>
          </w:tcPr>
          <w:p w14:paraId="2F393198"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0.12</w:t>
            </w:r>
            <w:r w:rsidRPr="00EA2B5E">
              <w:rPr>
                <w:rFonts w:ascii="Calibri" w:hAnsi="Calibri" w:cs="Calibri"/>
                <w:color w:val="000000"/>
                <w:sz w:val="22"/>
                <w:szCs w:val="22"/>
              </w:rPr>
              <w:t>%</w:t>
            </w:r>
          </w:p>
        </w:tc>
      </w:tr>
      <w:tr w:rsidR="00FF2C09" w:rsidRPr="00F56F72" w14:paraId="6D3F00EF" w14:textId="77777777" w:rsidTr="00CB0DE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82CBE7A" w14:textId="77777777" w:rsidR="00FF2C09" w:rsidRPr="00EA2B5E" w:rsidRDefault="00FF2C09" w:rsidP="00CB0DEF">
            <w:pPr>
              <w:rPr>
                <w:rFonts w:ascii="Calibri" w:hAnsi="Calibri" w:cs="Calibri"/>
                <w:color w:val="000000"/>
                <w:sz w:val="22"/>
                <w:szCs w:val="22"/>
              </w:rPr>
            </w:pPr>
            <w:r w:rsidRPr="00EA2B5E">
              <w:rPr>
                <w:rFonts w:ascii="Calibri" w:hAnsi="Calibri" w:cs="Calibri"/>
                <w:color w:val="000000"/>
                <w:sz w:val="22"/>
                <w:szCs w:val="22"/>
              </w:rPr>
              <w:t>R419</w:t>
            </w:r>
          </w:p>
        </w:tc>
        <w:tc>
          <w:tcPr>
            <w:tcW w:w="3220" w:type="dxa"/>
            <w:tcBorders>
              <w:top w:val="nil"/>
              <w:left w:val="nil"/>
              <w:bottom w:val="single" w:sz="4" w:space="0" w:color="auto"/>
              <w:right w:val="single" w:sz="4" w:space="0" w:color="auto"/>
            </w:tcBorders>
            <w:shd w:val="clear" w:color="auto" w:fill="auto"/>
            <w:hideMark/>
          </w:tcPr>
          <w:p w14:paraId="07940073" w14:textId="77777777" w:rsidR="00FF2C09" w:rsidRPr="00EA2B5E" w:rsidRDefault="00FF2C09" w:rsidP="00CB0DEF">
            <w:pPr>
              <w:rPr>
                <w:rFonts w:ascii="Arial" w:hAnsi="Arial" w:cs="Arial"/>
                <w:color w:val="000000"/>
                <w:sz w:val="18"/>
                <w:szCs w:val="18"/>
              </w:rPr>
            </w:pPr>
            <w:r w:rsidRPr="00EA2B5E">
              <w:rPr>
                <w:rFonts w:ascii="Arial" w:hAnsi="Arial" w:cs="Arial"/>
                <w:color w:val="000000"/>
                <w:sz w:val="18"/>
                <w:szCs w:val="18"/>
              </w:rPr>
              <w:t>EDUCATIONAL SERVICES</w:t>
            </w:r>
          </w:p>
        </w:tc>
        <w:tc>
          <w:tcPr>
            <w:tcW w:w="1886" w:type="dxa"/>
            <w:tcBorders>
              <w:top w:val="nil"/>
              <w:left w:val="nil"/>
              <w:bottom w:val="single" w:sz="4" w:space="0" w:color="auto"/>
              <w:right w:val="single" w:sz="4" w:space="0" w:color="auto"/>
            </w:tcBorders>
            <w:shd w:val="clear" w:color="auto" w:fill="auto"/>
            <w:noWrap/>
            <w:vAlign w:val="bottom"/>
            <w:hideMark/>
          </w:tcPr>
          <w:p w14:paraId="53E2031C" w14:textId="77777777" w:rsidR="00FF2C09" w:rsidRPr="00EA2B5E" w:rsidRDefault="00FF2C09" w:rsidP="00CB0DEF">
            <w:pPr>
              <w:jc w:val="right"/>
              <w:rPr>
                <w:rFonts w:ascii="Calibri" w:hAnsi="Calibri" w:cs="Calibri"/>
                <w:color w:val="000000"/>
                <w:sz w:val="22"/>
                <w:szCs w:val="22"/>
              </w:rPr>
            </w:pPr>
            <w:r>
              <w:rPr>
                <w:rFonts w:ascii="Calibri" w:hAnsi="Calibri" w:cs="Calibri"/>
                <w:color w:val="000000"/>
                <w:sz w:val="22"/>
                <w:szCs w:val="22"/>
              </w:rPr>
              <w:t>$844,824</w:t>
            </w:r>
          </w:p>
        </w:tc>
        <w:tc>
          <w:tcPr>
            <w:tcW w:w="1259" w:type="dxa"/>
            <w:tcBorders>
              <w:top w:val="nil"/>
              <w:left w:val="nil"/>
              <w:bottom w:val="single" w:sz="4" w:space="0" w:color="auto"/>
              <w:right w:val="single" w:sz="4" w:space="0" w:color="auto"/>
            </w:tcBorders>
            <w:shd w:val="clear" w:color="auto" w:fill="auto"/>
            <w:noWrap/>
            <w:vAlign w:val="bottom"/>
            <w:hideMark/>
          </w:tcPr>
          <w:p w14:paraId="209E2004" w14:textId="77777777" w:rsidR="00FF2C09" w:rsidRPr="00EA2B5E" w:rsidRDefault="00FF2C09" w:rsidP="00CB0DEF">
            <w:pPr>
              <w:jc w:val="right"/>
              <w:rPr>
                <w:rFonts w:ascii="Calibri" w:hAnsi="Calibri" w:cs="Calibri"/>
                <w:color w:val="000000"/>
                <w:sz w:val="22"/>
                <w:szCs w:val="22"/>
              </w:rPr>
            </w:pPr>
            <w:r w:rsidRPr="00EA2B5E">
              <w:rPr>
                <w:rFonts w:ascii="Calibri" w:hAnsi="Calibri" w:cs="Calibri"/>
                <w:color w:val="000000"/>
                <w:sz w:val="22"/>
                <w:szCs w:val="22"/>
              </w:rPr>
              <w:t>0.</w:t>
            </w:r>
            <w:r>
              <w:rPr>
                <w:rFonts w:ascii="Calibri" w:hAnsi="Calibri" w:cs="Calibri"/>
                <w:color w:val="000000"/>
                <w:sz w:val="22"/>
                <w:szCs w:val="22"/>
              </w:rPr>
              <w:t>03</w:t>
            </w:r>
            <w:r w:rsidRPr="00EA2B5E">
              <w:rPr>
                <w:rFonts w:ascii="Calibri" w:hAnsi="Calibri" w:cs="Calibri"/>
                <w:color w:val="000000"/>
                <w:sz w:val="22"/>
                <w:szCs w:val="22"/>
              </w:rPr>
              <w:t>%</w:t>
            </w:r>
          </w:p>
        </w:tc>
      </w:tr>
    </w:tbl>
    <w:p w14:paraId="2513B59B" w14:textId="77777777" w:rsidR="00FF2C09" w:rsidRDefault="008F1A52" w:rsidP="00FF2C09">
      <w:pPr>
        <w:jc w:val="center"/>
        <w:rPr>
          <w:rFonts w:eastAsia="Calibri"/>
          <w:sz w:val="24"/>
          <w:szCs w:val="24"/>
        </w:rPr>
      </w:pPr>
      <w:r>
        <w:rPr>
          <w:rFonts w:eastAsia="Calibri"/>
          <w:i/>
          <w:sz w:val="24"/>
          <w:szCs w:val="24"/>
          <w:vertAlign w:val="superscript"/>
        </w:rPr>
        <w:t>*In FY 2016 t</w:t>
      </w:r>
      <w:r w:rsidR="00FF2C09" w:rsidRPr="00FF2C09">
        <w:rPr>
          <w:rFonts w:eastAsia="Calibri"/>
          <w:i/>
          <w:sz w:val="24"/>
          <w:szCs w:val="24"/>
          <w:vertAlign w:val="superscript"/>
        </w:rPr>
        <w:t xml:space="preserve">he Department of Education </w:t>
      </w:r>
      <w:r w:rsidR="00FF2C09">
        <w:rPr>
          <w:rFonts w:eastAsia="Calibri"/>
          <w:i/>
          <w:sz w:val="24"/>
          <w:szCs w:val="24"/>
          <w:vertAlign w:val="superscript"/>
        </w:rPr>
        <w:t xml:space="preserve">obligated a total </w:t>
      </w:r>
      <w:r>
        <w:rPr>
          <w:rFonts w:eastAsia="Calibri"/>
          <w:i/>
          <w:sz w:val="24"/>
          <w:szCs w:val="24"/>
          <w:vertAlign w:val="superscript"/>
        </w:rPr>
        <w:t xml:space="preserve">of </w:t>
      </w:r>
      <w:r w:rsidRPr="00FF2C09">
        <w:rPr>
          <w:rFonts w:eastAsia="Calibri"/>
          <w:i/>
          <w:sz w:val="24"/>
          <w:szCs w:val="24"/>
          <w:vertAlign w:val="superscript"/>
        </w:rPr>
        <w:t>$</w:t>
      </w:r>
      <w:r w:rsidR="00FF2C09" w:rsidRPr="00FF2C09">
        <w:rPr>
          <w:rFonts w:eastAsia="Calibri"/>
          <w:i/>
          <w:sz w:val="24"/>
          <w:szCs w:val="24"/>
          <w:vertAlign w:val="superscript"/>
        </w:rPr>
        <w:t>2,660,857,619.7</w:t>
      </w:r>
      <w:r w:rsidR="00FF2C09">
        <w:rPr>
          <w:rFonts w:eastAsia="Calibri"/>
          <w:i/>
          <w:sz w:val="24"/>
          <w:szCs w:val="24"/>
          <w:vertAlign w:val="superscript"/>
        </w:rPr>
        <w:t>9</w:t>
      </w:r>
      <w:r w:rsidR="00FF2C09">
        <w:rPr>
          <w:rFonts w:eastAsia="Calibri"/>
          <w:i/>
          <w:sz w:val="24"/>
          <w:szCs w:val="24"/>
          <w:vertAlign w:val="superscript"/>
        </w:rPr>
        <w:br/>
      </w:r>
    </w:p>
    <w:p w14:paraId="002ABAA1" w14:textId="77777777" w:rsidR="00FF2C09" w:rsidRDefault="00FF2C09" w:rsidP="00FF2C09">
      <w:pPr>
        <w:jc w:val="center"/>
        <w:rPr>
          <w:rFonts w:eastAsia="Calibri"/>
          <w:sz w:val="24"/>
          <w:szCs w:val="24"/>
        </w:rPr>
      </w:pPr>
      <w:r>
        <w:rPr>
          <w:rFonts w:eastAsia="Calibri"/>
          <w:sz w:val="24"/>
          <w:szCs w:val="24"/>
        </w:rPr>
        <w:t>Table 2 – Product Service Code (PSC) Detail</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073"/>
        <w:gridCol w:w="6867"/>
      </w:tblGrid>
      <w:tr w:rsidR="00FF2C09" w:rsidRPr="00730524" w14:paraId="1E8C4041" w14:textId="77777777" w:rsidTr="00CB0DEF">
        <w:trPr>
          <w:trHeight w:val="633"/>
        </w:trPr>
        <w:tc>
          <w:tcPr>
            <w:tcW w:w="654" w:type="dxa"/>
            <w:shd w:val="clear" w:color="auto" w:fill="auto"/>
          </w:tcPr>
          <w:p w14:paraId="02465243" w14:textId="77777777" w:rsidR="00FF2C09" w:rsidRPr="0007659C" w:rsidRDefault="00FF2C09" w:rsidP="00CB0DEF">
            <w:pPr>
              <w:rPr>
                <w:rFonts w:ascii="Calibri" w:hAnsi="Calibri"/>
                <w:sz w:val="16"/>
                <w:szCs w:val="16"/>
              </w:rPr>
            </w:pPr>
            <w:r w:rsidRPr="0007659C">
              <w:rPr>
                <w:rFonts w:ascii="Calibri" w:hAnsi="Calibri"/>
                <w:sz w:val="16"/>
                <w:szCs w:val="16"/>
              </w:rPr>
              <w:t>AF11</w:t>
            </w:r>
          </w:p>
        </w:tc>
        <w:tc>
          <w:tcPr>
            <w:tcW w:w="2073" w:type="dxa"/>
            <w:shd w:val="clear" w:color="auto" w:fill="auto"/>
          </w:tcPr>
          <w:p w14:paraId="5ECE886A" w14:textId="77777777" w:rsidR="00FF2C09" w:rsidRPr="0007659C" w:rsidRDefault="00FF2C09" w:rsidP="00CB0DEF">
            <w:pPr>
              <w:rPr>
                <w:rFonts w:ascii="Calibri" w:hAnsi="Calibri"/>
                <w:sz w:val="16"/>
                <w:szCs w:val="16"/>
              </w:rPr>
            </w:pPr>
            <w:r w:rsidRPr="0007659C">
              <w:rPr>
                <w:rFonts w:ascii="Calibri" w:hAnsi="Calibri"/>
                <w:sz w:val="16"/>
                <w:szCs w:val="16"/>
              </w:rPr>
              <w:t>Research and Development – Education (Basic)</w:t>
            </w:r>
          </w:p>
        </w:tc>
        <w:tc>
          <w:tcPr>
            <w:tcW w:w="6867" w:type="dxa"/>
            <w:shd w:val="clear" w:color="auto" w:fill="auto"/>
          </w:tcPr>
          <w:p w14:paraId="34543BF0" w14:textId="77777777" w:rsidR="00FF2C09" w:rsidRPr="0007659C" w:rsidRDefault="00FF2C09" w:rsidP="00FF2C09">
            <w:pPr>
              <w:numPr>
                <w:ilvl w:val="0"/>
                <w:numId w:val="1"/>
              </w:numPr>
              <w:spacing w:after="200" w:line="276" w:lineRule="auto"/>
              <w:ind w:left="276" w:hanging="276"/>
              <w:contextualSpacing/>
              <w:rPr>
                <w:rFonts w:ascii="Calibri" w:hAnsi="Calibri"/>
                <w:sz w:val="16"/>
                <w:szCs w:val="16"/>
              </w:rPr>
            </w:pPr>
            <w:r w:rsidRPr="0007659C">
              <w:rPr>
                <w:rFonts w:ascii="Calibri" w:hAnsi="Calibri"/>
                <w:sz w:val="16"/>
                <w:szCs w:val="16"/>
              </w:rPr>
              <w:t>PSC considered a mission critical function of the Department. Research and Special Studies are services that are identified as being commercial services and appropriately outsourced under prior FAIR Act Inventory reviews.  The Department spent $</w:t>
            </w:r>
            <w:r>
              <w:rPr>
                <w:rFonts w:ascii="Calibri" w:hAnsi="Calibri"/>
                <w:sz w:val="16"/>
                <w:szCs w:val="16"/>
              </w:rPr>
              <w:t>79</w:t>
            </w:r>
            <w:r w:rsidRPr="0007659C">
              <w:rPr>
                <w:rFonts w:ascii="Calibri" w:hAnsi="Calibri"/>
                <w:sz w:val="16"/>
                <w:szCs w:val="16"/>
              </w:rPr>
              <w:t>M (3.2</w:t>
            </w:r>
            <w:r>
              <w:rPr>
                <w:rFonts w:ascii="Calibri" w:hAnsi="Calibri"/>
                <w:sz w:val="16"/>
                <w:szCs w:val="16"/>
              </w:rPr>
              <w:t>8</w:t>
            </w:r>
            <w:r w:rsidRPr="0007659C">
              <w:rPr>
                <w:rFonts w:ascii="Calibri" w:hAnsi="Calibri"/>
                <w:sz w:val="16"/>
                <w:szCs w:val="16"/>
              </w:rPr>
              <w:t>% of its total FY201</w:t>
            </w:r>
            <w:r>
              <w:rPr>
                <w:rFonts w:ascii="Calibri" w:hAnsi="Calibri"/>
                <w:sz w:val="16"/>
                <w:szCs w:val="16"/>
              </w:rPr>
              <w:t>6</w:t>
            </w:r>
            <w:r w:rsidRPr="0007659C">
              <w:rPr>
                <w:rFonts w:ascii="Calibri" w:hAnsi="Calibri"/>
                <w:sz w:val="16"/>
                <w:szCs w:val="16"/>
              </w:rPr>
              <w:t xml:space="preserve"> obligations) for these services.  </w:t>
            </w:r>
          </w:p>
        </w:tc>
      </w:tr>
      <w:tr w:rsidR="00FF2C09" w:rsidRPr="00730524" w14:paraId="3ED9EB85" w14:textId="77777777" w:rsidTr="00CB0DEF">
        <w:trPr>
          <w:trHeight w:val="656"/>
        </w:trPr>
        <w:tc>
          <w:tcPr>
            <w:tcW w:w="654" w:type="dxa"/>
            <w:shd w:val="clear" w:color="auto" w:fill="auto"/>
          </w:tcPr>
          <w:p w14:paraId="0589BDD5" w14:textId="77777777" w:rsidR="00FF2C09" w:rsidRPr="0007659C" w:rsidRDefault="00FF2C09" w:rsidP="00CB0DEF">
            <w:pPr>
              <w:rPr>
                <w:rFonts w:ascii="Calibri" w:hAnsi="Calibri"/>
                <w:sz w:val="16"/>
                <w:szCs w:val="16"/>
              </w:rPr>
            </w:pPr>
            <w:r w:rsidRPr="0007659C">
              <w:rPr>
                <w:rFonts w:ascii="Calibri" w:hAnsi="Calibri"/>
                <w:sz w:val="16"/>
                <w:szCs w:val="16"/>
              </w:rPr>
              <w:t>B506</w:t>
            </w:r>
          </w:p>
        </w:tc>
        <w:tc>
          <w:tcPr>
            <w:tcW w:w="2073" w:type="dxa"/>
            <w:shd w:val="clear" w:color="auto" w:fill="auto"/>
          </w:tcPr>
          <w:p w14:paraId="10443B0C" w14:textId="77777777" w:rsidR="00FF2C09" w:rsidRPr="0007659C" w:rsidRDefault="00FF2C09" w:rsidP="00CB0DEF">
            <w:pPr>
              <w:rPr>
                <w:rFonts w:ascii="Calibri" w:hAnsi="Calibri"/>
                <w:sz w:val="16"/>
                <w:szCs w:val="16"/>
              </w:rPr>
            </w:pPr>
            <w:r w:rsidRPr="0007659C">
              <w:rPr>
                <w:rFonts w:ascii="Calibri" w:hAnsi="Calibri"/>
                <w:sz w:val="16"/>
                <w:szCs w:val="16"/>
              </w:rPr>
              <w:t>Study/Data Other Than Scientific</w:t>
            </w:r>
          </w:p>
        </w:tc>
        <w:tc>
          <w:tcPr>
            <w:tcW w:w="6867" w:type="dxa"/>
            <w:shd w:val="clear" w:color="auto" w:fill="auto"/>
          </w:tcPr>
          <w:p w14:paraId="2499E459" w14:textId="77777777" w:rsidR="00FF2C09" w:rsidRPr="0007659C" w:rsidRDefault="00FF2C09" w:rsidP="00FF2C09">
            <w:pPr>
              <w:numPr>
                <w:ilvl w:val="0"/>
                <w:numId w:val="1"/>
              </w:numPr>
              <w:spacing w:after="200" w:line="276" w:lineRule="auto"/>
              <w:ind w:left="252" w:hanging="252"/>
              <w:contextualSpacing/>
              <w:rPr>
                <w:rFonts w:ascii="Calibri" w:hAnsi="Calibri"/>
                <w:sz w:val="16"/>
                <w:szCs w:val="16"/>
              </w:rPr>
            </w:pPr>
            <w:r w:rsidRPr="0007659C">
              <w:rPr>
                <w:rFonts w:ascii="Calibri" w:hAnsi="Calibri"/>
                <w:sz w:val="16"/>
                <w:szCs w:val="16"/>
              </w:rPr>
              <w:t>Many of the services on contracts reviewed in this PSC were non-commercial; there is a higher risk for over-reliance on contractors for these types of con</w:t>
            </w:r>
            <w:r>
              <w:rPr>
                <w:rFonts w:ascii="Calibri" w:hAnsi="Calibri"/>
                <w:sz w:val="16"/>
                <w:szCs w:val="16"/>
              </w:rPr>
              <w:t>tracts.  The Department spent $88</w:t>
            </w:r>
            <w:r w:rsidRPr="0007659C">
              <w:rPr>
                <w:rFonts w:ascii="Calibri" w:hAnsi="Calibri"/>
                <w:sz w:val="16"/>
                <w:szCs w:val="16"/>
              </w:rPr>
              <w:t>M (</w:t>
            </w:r>
            <w:r>
              <w:rPr>
                <w:rFonts w:ascii="Calibri" w:hAnsi="Calibri"/>
                <w:sz w:val="16"/>
                <w:szCs w:val="16"/>
              </w:rPr>
              <w:t>3.66</w:t>
            </w:r>
            <w:r w:rsidRPr="0007659C">
              <w:rPr>
                <w:rFonts w:ascii="Calibri" w:hAnsi="Calibri"/>
                <w:sz w:val="16"/>
                <w:szCs w:val="16"/>
              </w:rPr>
              <w:t>% of its total FY 201</w:t>
            </w:r>
            <w:r>
              <w:rPr>
                <w:rFonts w:ascii="Calibri" w:hAnsi="Calibri"/>
                <w:sz w:val="16"/>
                <w:szCs w:val="16"/>
              </w:rPr>
              <w:t>6</w:t>
            </w:r>
            <w:r w:rsidRPr="0007659C">
              <w:rPr>
                <w:rFonts w:ascii="Calibri" w:hAnsi="Calibri"/>
                <w:sz w:val="16"/>
                <w:szCs w:val="16"/>
              </w:rPr>
              <w:t xml:space="preserve"> obligations) for these services.</w:t>
            </w:r>
          </w:p>
        </w:tc>
      </w:tr>
      <w:tr w:rsidR="00FF2C09" w:rsidRPr="00730524" w14:paraId="5ECAA238" w14:textId="77777777" w:rsidTr="00CB0DEF">
        <w:trPr>
          <w:trHeight w:val="665"/>
        </w:trPr>
        <w:tc>
          <w:tcPr>
            <w:tcW w:w="654" w:type="dxa"/>
            <w:shd w:val="clear" w:color="auto" w:fill="auto"/>
          </w:tcPr>
          <w:p w14:paraId="492D2834" w14:textId="77777777" w:rsidR="00FF2C09" w:rsidRPr="0007659C" w:rsidRDefault="00FF2C09" w:rsidP="00CB0DEF">
            <w:pPr>
              <w:rPr>
                <w:rFonts w:ascii="Calibri" w:hAnsi="Calibri"/>
                <w:sz w:val="16"/>
                <w:szCs w:val="16"/>
              </w:rPr>
            </w:pPr>
            <w:r w:rsidRPr="0007659C">
              <w:rPr>
                <w:rFonts w:ascii="Calibri" w:hAnsi="Calibri"/>
                <w:sz w:val="16"/>
                <w:szCs w:val="16"/>
              </w:rPr>
              <w:t>B542</w:t>
            </w:r>
          </w:p>
        </w:tc>
        <w:tc>
          <w:tcPr>
            <w:tcW w:w="2073" w:type="dxa"/>
            <w:shd w:val="clear" w:color="auto" w:fill="auto"/>
          </w:tcPr>
          <w:p w14:paraId="646C3964" w14:textId="77777777" w:rsidR="00FF2C09" w:rsidRPr="0007659C" w:rsidRDefault="00FF2C09" w:rsidP="00CB0DEF">
            <w:pPr>
              <w:rPr>
                <w:rFonts w:ascii="Calibri" w:hAnsi="Calibri"/>
                <w:sz w:val="16"/>
                <w:szCs w:val="16"/>
              </w:rPr>
            </w:pPr>
            <w:r w:rsidRPr="0007659C">
              <w:rPr>
                <w:rFonts w:ascii="Calibri" w:hAnsi="Calibri"/>
                <w:sz w:val="16"/>
                <w:szCs w:val="16"/>
              </w:rPr>
              <w:t>Educational Studies and Analyses</w:t>
            </w:r>
          </w:p>
        </w:tc>
        <w:tc>
          <w:tcPr>
            <w:tcW w:w="6867" w:type="dxa"/>
            <w:shd w:val="clear" w:color="auto" w:fill="auto"/>
          </w:tcPr>
          <w:p w14:paraId="26E29DC0" w14:textId="77777777" w:rsidR="00FF2C09" w:rsidRPr="0007659C" w:rsidRDefault="00FF2C09" w:rsidP="00FF2C09">
            <w:pPr>
              <w:numPr>
                <w:ilvl w:val="0"/>
                <w:numId w:val="1"/>
              </w:numPr>
              <w:spacing w:after="200" w:line="276" w:lineRule="auto"/>
              <w:ind w:left="252" w:hanging="252"/>
              <w:contextualSpacing/>
              <w:rPr>
                <w:rFonts w:ascii="Calibri" w:hAnsi="Calibri"/>
                <w:sz w:val="16"/>
                <w:szCs w:val="16"/>
              </w:rPr>
            </w:pPr>
            <w:r w:rsidRPr="0007659C">
              <w:rPr>
                <w:rFonts w:ascii="Calibri" w:hAnsi="Calibri"/>
                <w:sz w:val="16"/>
                <w:szCs w:val="16"/>
              </w:rPr>
              <w:t>Many of the services on contracts reviewed in this PSC were non-commercial; there is a higher risk for over-reliance on contractors on these types of contracts.  The Department spent $</w:t>
            </w:r>
            <w:r>
              <w:rPr>
                <w:rFonts w:ascii="Calibri" w:hAnsi="Calibri"/>
                <w:sz w:val="16"/>
                <w:szCs w:val="16"/>
              </w:rPr>
              <w:t>70M (2.89</w:t>
            </w:r>
            <w:r w:rsidRPr="0007659C">
              <w:rPr>
                <w:rFonts w:ascii="Calibri" w:hAnsi="Calibri"/>
                <w:sz w:val="16"/>
                <w:szCs w:val="16"/>
              </w:rPr>
              <w:t xml:space="preserve"> % of its total FY 201</w:t>
            </w:r>
            <w:r>
              <w:rPr>
                <w:rFonts w:ascii="Calibri" w:hAnsi="Calibri"/>
                <w:sz w:val="16"/>
                <w:szCs w:val="16"/>
              </w:rPr>
              <w:t>6</w:t>
            </w:r>
            <w:r w:rsidRPr="0007659C">
              <w:rPr>
                <w:rFonts w:ascii="Calibri" w:hAnsi="Calibri"/>
                <w:sz w:val="16"/>
                <w:szCs w:val="16"/>
              </w:rPr>
              <w:t xml:space="preserve"> obligations) for these services.</w:t>
            </w:r>
          </w:p>
        </w:tc>
      </w:tr>
      <w:tr w:rsidR="00FF2C09" w:rsidRPr="00730524" w14:paraId="609530AF" w14:textId="77777777" w:rsidTr="00CB0DEF">
        <w:trPr>
          <w:trHeight w:val="773"/>
        </w:trPr>
        <w:tc>
          <w:tcPr>
            <w:tcW w:w="654" w:type="dxa"/>
            <w:shd w:val="clear" w:color="auto" w:fill="auto"/>
          </w:tcPr>
          <w:p w14:paraId="1EBE2586" w14:textId="77777777" w:rsidR="00FF2C09" w:rsidRPr="0007659C" w:rsidRDefault="00FF2C09" w:rsidP="00CB0DEF">
            <w:pPr>
              <w:rPr>
                <w:rFonts w:ascii="Calibri" w:hAnsi="Calibri"/>
                <w:sz w:val="16"/>
                <w:szCs w:val="16"/>
              </w:rPr>
            </w:pPr>
            <w:r w:rsidRPr="0007659C">
              <w:rPr>
                <w:rFonts w:ascii="Calibri" w:hAnsi="Calibri"/>
                <w:sz w:val="16"/>
                <w:szCs w:val="16"/>
              </w:rPr>
              <w:t>D301</w:t>
            </w:r>
          </w:p>
        </w:tc>
        <w:tc>
          <w:tcPr>
            <w:tcW w:w="2073" w:type="dxa"/>
            <w:shd w:val="clear" w:color="auto" w:fill="auto"/>
          </w:tcPr>
          <w:p w14:paraId="7FB23DB9" w14:textId="77777777" w:rsidR="00FF2C09" w:rsidRPr="0007659C" w:rsidRDefault="00FF2C09" w:rsidP="00CB0DEF">
            <w:pPr>
              <w:rPr>
                <w:rFonts w:ascii="Calibri" w:hAnsi="Calibri"/>
                <w:sz w:val="16"/>
                <w:szCs w:val="16"/>
              </w:rPr>
            </w:pPr>
            <w:r w:rsidRPr="0007659C">
              <w:rPr>
                <w:rFonts w:ascii="Calibri" w:hAnsi="Calibri"/>
                <w:sz w:val="16"/>
                <w:szCs w:val="16"/>
              </w:rPr>
              <w:t>IT &amp; Telecom:  Facility Operations &amp; Maintenance</w:t>
            </w:r>
          </w:p>
        </w:tc>
        <w:tc>
          <w:tcPr>
            <w:tcW w:w="6867" w:type="dxa"/>
            <w:shd w:val="clear" w:color="auto" w:fill="auto"/>
          </w:tcPr>
          <w:p w14:paraId="73F6DD50" w14:textId="77777777" w:rsidR="00FF2C09" w:rsidRPr="0007659C" w:rsidRDefault="00FF2C09" w:rsidP="00FF2C09">
            <w:pPr>
              <w:numPr>
                <w:ilvl w:val="0"/>
                <w:numId w:val="1"/>
              </w:numPr>
              <w:spacing w:after="200" w:line="276" w:lineRule="auto"/>
              <w:ind w:left="252" w:hanging="252"/>
              <w:contextualSpacing/>
              <w:rPr>
                <w:rFonts w:ascii="Calibri" w:hAnsi="Calibri"/>
                <w:sz w:val="16"/>
                <w:szCs w:val="16"/>
              </w:rPr>
            </w:pPr>
            <w:r w:rsidRPr="0007659C">
              <w:rPr>
                <w:rFonts w:ascii="Calibri" w:hAnsi="Calibri"/>
                <w:sz w:val="16"/>
                <w:szCs w:val="16"/>
              </w:rPr>
              <w:t xml:space="preserve">  The Department spent $1</w:t>
            </w:r>
            <w:r>
              <w:rPr>
                <w:rFonts w:ascii="Calibri" w:hAnsi="Calibri"/>
                <w:sz w:val="16"/>
                <w:szCs w:val="16"/>
              </w:rPr>
              <w:t>23M (5.09% of its total FY 2016</w:t>
            </w:r>
            <w:r w:rsidRPr="0007659C">
              <w:rPr>
                <w:rFonts w:ascii="Calibri" w:hAnsi="Calibri"/>
                <w:sz w:val="16"/>
                <w:szCs w:val="16"/>
              </w:rPr>
              <w:t xml:space="preserve"> obligations) for these services.    </w:t>
            </w:r>
          </w:p>
        </w:tc>
      </w:tr>
      <w:tr w:rsidR="00FF2C09" w:rsidRPr="00730524" w14:paraId="00F58447" w14:textId="77777777" w:rsidTr="00CB0DEF">
        <w:trPr>
          <w:trHeight w:val="494"/>
        </w:trPr>
        <w:tc>
          <w:tcPr>
            <w:tcW w:w="654" w:type="dxa"/>
            <w:shd w:val="clear" w:color="auto" w:fill="auto"/>
          </w:tcPr>
          <w:p w14:paraId="567995B2" w14:textId="77777777" w:rsidR="00FF2C09" w:rsidRPr="0007659C" w:rsidRDefault="00FF2C09" w:rsidP="00CB0DEF">
            <w:pPr>
              <w:rPr>
                <w:rFonts w:ascii="Calibri" w:hAnsi="Calibri"/>
                <w:sz w:val="16"/>
                <w:szCs w:val="16"/>
              </w:rPr>
            </w:pPr>
            <w:r w:rsidRPr="0007659C">
              <w:rPr>
                <w:rFonts w:ascii="Calibri" w:hAnsi="Calibri"/>
                <w:sz w:val="16"/>
                <w:szCs w:val="16"/>
              </w:rPr>
              <w:t>D313</w:t>
            </w:r>
          </w:p>
        </w:tc>
        <w:tc>
          <w:tcPr>
            <w:tcW w:w="2073" w:type="dxa"/>
            <w:shd w:val="clear" w:color="auto" w:fill="auto"/>
          </w:tcPr>
          <w:p w14:paraId="1170ABA1" w14:textId="77777777" w:rsidR="00FF2C09" w:rsidRPr="0007659C" w:rsidRDefault="00FF2C09" w:rsidP="00CB0DEF">
            <w:pPr>
              <w:rPr>
                <w:rFonts w:ascii="Calibri" w:hAnsi="Calibri"/>
                <w:sz w:val="16"/>
                <w:szCs w:val="16"/>
              </w:rPr>
            </w:pPr>
            <w:r w:rsidRPr="0007659C">
              <w:rPr>
                <w:rFonts w:ascii="Calibri" w:hAnsi="Calibri"/>
                <w:sz w:val="16"/>
                <w:szCs w:val="16"/>
              </w:rPr>
              <w:t>Computer Aided Design/Manufacturing</w:t>
            </w:r>
          </w:p>
          <w:p w14:paraId="2A74EA6D" w14:textId="77777777" w:rsidR="00FF2C09" w:rsidRPr="0007659C" w:rsidRDefault="00FF2C09" w:rsidP="00CB0DEF">
            <w:pPr>
              <w:rPr>
                <w:rFonts w:ascii="Calibri" w:hAnsi="Calibri"/>
                <w:sz w:val="16"/>
                <w:szCs w:val="16"/>
              </w:rPr>
            </w:pPr>
            <w:r w:rsidRPr="0007659C">
              <w:rPr>
                <w:rFonts w:ascii="Calibri" w:hAnsi="Calibri"/>
                <w:sz w:val="16"/>
                <w:szCs w:val="16"/>
              </w:rPr>
              <w:t xml:space="preserve">Services </w:t>
            </w:r>
          </w:p>
        </w:tc>
        <w:tc>
          <w:tcPr>
            <w:tcW w:w="6867" w:type="dxa"/>
            <w:shd w:val="clear" w:color="auto" w:fill="auto"/>
          </w:tcPr>
          <w:p w14:paraId="62520E25" w14:textId="77777777" w:rsidR="00FF2C09" w:rsidRPr="0007659C" w:rsidRDefault="00FF2C09" w:rsidP="00FF2C09">
            <w:pPr>
              <w:numPr>
                <w:ilvl w:val="0"/>
                <w:numId w:val="1"/>
              </w:numPr>
              <w:spacing w:after="200" w:line="276" w:lineRule="auto"/>
              <w:ind w:left="252" w:hanging="252"/>
              <w:contextualSpacing/>
              <w:rPr>
                <w:rFonts w:ascii="Calibri" w:hAnsi="Calibri"/>
                <w:sz w:val="16"/>
                <w:szCs w:val="16"/>
              </w:rPr>
            </w:pPr>
            <w:r w:rsidRPr="0007659C">
              <w:rPr>
                <w:rFonts w:ascii="Calibri" w:hAnsi="Calibri"/>
                <w:sz w:val="16"/>
                <w:szCs w:val="16"/>
              </w:rPr>
              <w:t>PSC includes contracts for IT Acquisition Support Services, which are high on OMB’s priority list.  The Department spent $</w:t>
            </w:r>
            <w:r>
              <w:rPr>
                <w:rFonts w:ascii="Calibri" w:hAnsi="Calibri"/>
                <w:sz w:val="16"/>
                <w:szCs w:val="16"/>
              </w:rPr>
              <w:t>21</w:t>
            </w:r>
            <w:r w:rsidRPr="0007659C">
              <w:rPr>
                <w:rFonts w:ascii="Calibri" w:hAnsi="Calibri"/>
                <w:sz w:val="16"/>
                <w:szCs w:val="16"/>
              </w:rPr>
              <w:t>M (</w:t>
            </w:r>
            <w:r>
              <w:rPr>
                <w:rFonts w:ascii="Calibri" w:hAnsi="Calibri"/>
                <w:sz w:val="16"/>
                <w:szCs w:val="16"/>
              </w:rPr>
              <w:t>0.87</w:t>
            </w:r>
            <w:r w:rsidRPr="0007659C">
              <w:rPr>
                <w:rFonts w:ascii="Calibri" w:hAnsi="Calibri"/>
                <w:sz w:val="16"/>
                <w:szCs w:val="16"/>
              </w:rPr>
              <w:t>% of its total FY 201</w:t>
            </w:r>
            <w:r>
              <w:rPr>
                <w:rFonts w:ascii="Calibri" w:hAnsi="Calibri"/>
                <w:sz w:val="16"/>
                <w:szCs w:val="16"/>
              </w:rPr>
              <w:t>6</w:t>
            </w:r>
            <w:r w:rsidRPr="0007659C">
              <w:rPr>
                <w:rFonts w:ascii="Calibri" w:hAnsi="Calibri"/>
                <w:sz w:val="16"/>
                <w:szCs w:val="16"/>
              </w:rPr>
              <w:t xml:space="preserve"> obligations) for these services.</w:t>
            </w:r>
          </w:p>
        </w:tc>
      </w:tr>
      <w:tr w:rsidR="00FF2C09" w:rsidRPr="00730524" w14:paraId="1774ACF9" w14:textId="77777777" w:rsidTr="00CB0DEF">
        <w:trPr>
          <w:trHeight w:val="656"/>
        </w:trPr>
        <w:tc>
          <w:tcPr>
            <w:tcW w:w="654" w:type="dxa"/>
            <w:shd w:val="clear" w:color="auto" w:fill="auto"/>
          </w:tcPr>
          <w:p w14:paraId="65E03B4F" w14:textId="77777777" w:rsidR="00FF2C09" w:rsidRPr="0007659C" w:rsidRDefault="00FF2C09" w:rsidP="00CB0DEF">
            <w:pPr>
              <w:rPr>
                <w:rFonts w:ascii="Calibri" w:hAnsi="Calibri"/>
                <w:sz w:val="16"/>
                <w:szCs w:val="16"/>
              </w:rPr>
            </w:pPr>
            <w:r w:rsidRPr="0007659C">
              <w:rPr>
                <w:rFonts w:ascii="Calibri" w:hAnsi="Calibri"/>
                <w:sz w:val="16"/>
                <w:szCs w:val="16"/>
              </w:rPr>
              <w:t>R408</w:t>
            </w:r>
          </w:p>
        </w:tc>
        <w:tc>
          <w:tcPr>
            <w:tcW w:w="2073" w:type="dxa"/>
            <w:shd w:val="clear" w:color="auto" w:fill="auto"/>
          </w:tcPr>
          <w:p w14:paraId="66502349" w14:textId="77777777" w:rsidR="00FF2C09" w:rsidRPr="0007659C" w:rsidRDefault="00FF2C09" w:rsidP="00CB0DEF">
            <w:pPr>
              <w:rPr>
                <w:rFonts w:ascii="Calibri" w:hAnsi="Calibri"/>
                <w:sz w:val="16"/>
                <w:szCs w:val="16"/>
              </w:rPr>
            </w:pPr>
            <w:r w:rsidRPr="0007659C">
              <w:rPr>
                <w:rFonts w:ascii="Calibri" w:hAnsi="Calibri"/>
                <w:sz w:val="16"/>
                <w:szCs w:val="16"/>
              </w:rPr>
              <w:t>Support – Professional Program Management Support</w:t>
            </w:r>
          </w:p>
        </w:tc>
        <w:tc>
          <w:tcPr>
            <w:tcW w:w="6867" w:type="dxa"/>
            <w:shd w:val="clear" w:color="auto" w:fill="auto"/>
          </w:tcPr>
          <w:p w14:paraId="2B6687CE" w14:textId="77777777" w:rsidR="00FF2C09" w:rsidRPr="0007659C" w:rsidRDefault="00FF2C09" w:rsidP="00FF2C09">
            <w:pPr>
              <w:numPr>
                <w:ilvl w:val="0"/>
                <w:numId w:val="2"/>
              </w:numPr>
              <w:ind w:left="252" w:hanging="252"/>
              <w:contextualSpacing/>
              <w:rPr>
                <w:rFonts w:ascii="Calibri" w:hAnsi="Calibri"/>
                <w:sz w:val="16"/>
                <w:szCs w:val="16"/>
              </w:rPr>
            </w:pPr>
            <w:r w:rsidRPr="0007659C">
              <w:rPr>
                <w:rFonts w:ascii="Calibri" w:hAnsi="Calibri"/>
                <w:sz w:val="16"/>
                <w:szCs w:val="16"/>
              </w:rPr>
              <w:t>Identified as a targeted special interest function PSC under the ongoing effort to reduce contract spending for management support services (OMB initiative).  The Department spent $</w:t>
            </w:r>
            <w:r>
              <w:rPr>
                <w:rFonts w:ascii="Calibri" w:hAnsi="Calibri"/>
                <w:sz w:val="16"/>
                <w:szCs w:val="16"/>
              </w:rPr>
              <w:t>2</w:t>
            </w:r>
            <w:r w:rsidRPr="0007659C">
              <w:rPr>
                <w:rFonts w:ascii="Calibri" w:hAnsi="Calibri"/>
                <w:sz w:val="16"/>
                <w:szCs w:val="16"/>
              </w:rPr>
              <w:t>M (0.</w:t>
            </w:r>
            <w:r>
              <w:rPr>
                <w:rFonts w:ascii="Calibri" w:hAnsi="Calibri"/>
                <w:sz w:val="16"/>
                <w:szCs w:val="16"/>
              </w:rPr>
              <w:t>12</w:t>
            </w:r>
            <w:r w:rsidRPr="0007659C">
              <w:rPr>
                <w:rFonts w:ascii="Calibri" w:hAnsi="Calibri"/>
                <w:sz w:val="16"/>
                <w:szCs w:val="16"/>
              </w:rPr>
              <w:t>% of its total FY 201</w:t>
            </w:r>
            <w:r>
              <w:rPr>
                <w:rFonts w:ascii="Calibri" w:hAnsi="Calibri"/>
                <w:sz w:val="16"/>
                <w:szCs w:val="16"/>
              </w:rPr>
              <w:t>6</w:t>
            </w:r>
            <w:r w:rsidRPr="0007659C">
              <w:rPr>
                <w:rFonts w:ascii="Calibri" w:hAnsi="Calibri"/>
                <w:sz w:val="16"/>
                <w:szCs w:val="16"/>
              </w:rPr>
              <w:t xml:space="preserve"> obligations) for these services.</w:t>
            </w:r>
          </w:p>
        </w:tc>
      </w:tr>
      <w:tr w:rsidR="00FF2C09" w:rsidRPr="00730524" w14:paraId="6D23C121" w14:textId="77777777" w:rsidTr="00CB0DEF">
        <w:trPr>
          <w:trHeight w:val="665"/>
        </w:trPr>
        <w:tc>
          <w:tcPr>
            <w:tcW w:w="654" w:type="dxa"/>
            <w:shd w:val="clear" w:color="auto" w:fill="auto"/>
          </w:tcPr>
          <w:p w14:paraId="721C9CB4" w14:textId="77777777" w:rsidR="00FF2C09" w:rsidRPr="0007659C" w:rsidRDefault="00FF2C09" w:rsidP="00CB0DEF">
            <w:pPr>
              <w:rPr>
                <w:rFonts w:ascii="Calibri" w:hAnsi="Calibri"/>
                <w:sz w:val="16"/>
                <w:szCs w:val="16"/>
              </w:rPr>
            </w:pPr>
            <w:r w:rsidRPr="0007659C">
              <w:rPr>
                <w:rFonts w:ascii="Calibri" w:hAnsi="Calibri"/>
                <w:sz w:val="16"/>
                <w:szCs w:val="16"/>
              </w:rPr>
              <w:t>R419</w:t>
            </w:r>
          </w:p>
        </w:tc>
        <w:tc>
          <w:tcPr>
            <w:tcW w:w="2073" w:type="dxa"/>
            <w:shd w:val="clear" w:color="auto" w:fill="auto"/>
          </w:tcPr>
          <w:p w14:paraId="4EB493D6" w14:textId="77777777" w:rsidR="00FF2C09" w:rsidRPr="0007659C" w:rsidRDefault="00FF2C09" w:rsidP="00CB0DEF">
            <w:pPr>
              <w:rPr>
                <w:rFonts w:ascii="Calibri" w:hAnsi="Calibri"/>
                <w:sz w:val="16"/>
                <w:szCs w:val="16"/>
              </w:rPr>
            </w:pPr>
            <w:r w:rsidRPr="0007659C">
              <w:rPr>
                <w:rFonts w:ascii="Calibri" w:hAnsi="Calibri"/>
                <w:sz w:val="16"/>
                <w:szCs w:val="16"/>
              </w:rPr>
              <w:t xml:space="preserve"> Educational Services</w:t>
            </w:r>
          </w:p>
        </w:tc>
        <w:tc>
          <w:tcPr>
            <w:tcW w:w="6867" w:type="dxa"/>
            <w:shd w:val="clear" w:color="auto" w:fill="auto"/>
          </w:tcPr>
          <w:p w14:paraId="0098488C" w14:textId="77777777" w:rsidR="00FF2C09" w:rsidRPr="0007659C" w:rsidRDefault="00FF2C09" w:rsidP="00FF2C09">
            <w:pPr>
              <w:numPr>
                <w:ilvl w:val="0"/>
                <w:numId w:val="2"/>
              </w:numPr>
              <w:ind w:left="252" w:hanging="252"/>
              <w:contextualSpacing/>
              <w:rPr>
                <w:rFonts w:ascii="Calibri" w:hAnsi="Calibri"/>
                <w:sz w:val="16"/>
                <w:szCs w:val="16"/>
              </w:rPr>
            </w:pPr>
            <w:r w:rsidRPr="0007659C">
              <w:rPr>
                <w:rFonts w:ascii="Calibri" w:hAnsi="Calibri"/>
                <w:sz w:val="16"/>
                <w:szCs w:val="16"/>
              </w:rPr>
              <w:t>Identified as a targeted special interest function PSC under the ongoing effort to reduce contract spending for educational support services (OMB initi</w:t>
            </w:r>
            <w:r>
              <w:rPr>
                <w:rFonts w:ascii="Calibri" w:hAnsi="Calibri"/>
                <w:sz w:val="16"/>
                <w:szCs w:val="16"/>
              </w:rPr>
              <w:t>ative).  The Department spent $844,000 (0.03% of its total FY 2016</w:t>
            </w:r>
            <w:r w:rsidRPr="0007659C">
              <w:rPr>
                <w:rFonts w:ascii="Calibri" w:hAnsi="Calibri"/>
                <w:sz w:val="16"/>
                <w:szCs w:val="16"/>
              </w:rPr>
              <w:t xml:space="preserve"> obligations) or these services.</w:t>
            </w:r>
          </w:p>
        </w:tc>
      </w:tr>
      <w:tr w:rsidR="00FF2C09" w:rsidRPr="00730524" w14:paraId="3FDA18C1" w14:textId="77777777" w:rsidTr="00CB0DEF">
        <w:trPr>
          <w:trHeight w:val="988"/>
        </w:trPr>
        <w:tc>
          <w:tcPr>
            <w:tcW w:w="654" w:type="dxa"/>
            <w:shd w:val="clear" w:color="auto" w:fill="auto"/>
          </w:tcPr>
          <w:p w14:paraId="0FB4F785" w14:textId="77777777" w:rsidR="00FF2C09" w:rsidRPr="0007659C" w:rsidRDefault="00FF2C09" w:rsidP="00CB0DEF">
            <w:pPr>
              <w:rPr>
                <w:rFonts w:ascii="Calibri" w:hAnsi="Calibri"/>
                <w:sz w:val="16"/>
                <w:szCs w:val="16"/>
              </w:rPr>
            </w:pPr>
            <w:r w:rsidRPr="0007659C">
              <w:rPr>
                <w:rFonts w:ascii="Calibri" w:hAnsi="Calibri"/>
                <w:sz w:val="16"/>
                <w:szCs w:val="16"/>
              </w:rPr>
              <w:t>R499</w:t>
            </w:r>
          </w:p>
        </w:tc>
        <w:tc>
          <w:tcPr>
            <w:tcW w:w="2073" w:type="dxa"/>
            <w:shd w:val="clear" w:color="auto" w:fill="auto"/>
          </w:tcPr>
          <w:p w14:paraId="2C8850CE" w14:textId="77777777" w:rsidR="00FF2C09" w:rsidRPr="0007659C" w:rsidRDefault="00FF2C09" w:rsidP="00CB0DEF">
            <w:pPr>
              <w:rPr>
                <w:rFonts w:ascii="Calibri" w:hAnsi="Calibri"/>
                <w:sz w:val="16"/>
                <w:szCs w:val="16"/>
              </w:rPr>
            </w:pPr>
            <w:r w:rsidRPr="0007659C">
              <w:rPr>
                <w:rFonts w:ascii="Calibri" w:hAnsi="Calibri"/>
                <w:sz w:val="16"/>
                <w:szCs w:val="16"/>
              </w:rPr>
              <w:t>Support – Professional / Other</w:t>
            </w:r>
          </w:p>
        </w:tc>
        <w:tc>
          <w:tcPr>
            <w:tcW w:w="6867" w:type="dxa"/>
            <w:shd w:val="clear" w:color="auto" w:fill="auto"/>
          </w:tcPr>
          <w:p w14:paraId="0490BE1D" w14:textId="77777777" w:rsidR="00FF2C09" w:rsidRPr="0007659C" w:rsidRDefault="00FF2C09" w:rsidP="00FF2C09">
            <w:pPr>
              <w:numPr>
                <w:ilvl w:val="0"/>
                <w:numId w:val="1"/>
              </w:numPr>
              <w:spacing w:after="200" w:line="276" w:lineRule="auto"/>
              <w:ind w:left="252" w:hanging="252"/>
              <w:contextualSpacing/>
              <w:rPr>
                <w:rFonts w:ascii="Calibri" w:hAnsi="Calibri"/>
                <w:sz w:val="16"/>
                <w:szCs w:val="16"/>
              </w:rPr>
            </w:pPr>
            <w:r w:rsidRPr="0007659C">
              <w:rPr>
                <w:rFonts w:ascii="Calibri" w:hAnsi="Calibri"/>
                <w:sz w:val="16"/>
                <w:szCs w:val="16"/>
              </w:rPr>
              <w:t>Identified as a targeted PSC under the ongoing effort to reduce contract spending for professional and other ser</w:t>
            </w:r>
            <w:r>
              <w:rPr>
                <w:rFonts w:ascii="Calibri" w:hAnsi="Calibri"/>
                <w:sz w:val="16"/>
                <w:szCs w:val="16"/>
              </w:rPr>
              <w:t>vices.  The Department spent $39M (1.65% of its total FY 2016</w:t>
            </w:r>
            <w:r w:rsidRPr="0007659C">
              <w:rPr>
                <w:rFonts w:ascii="Calibri" w:hAnsi="Calibri"/>
                <w:sz w:val="16"/>
                <w:szCs w:val="16"/>
              </w:rPr>
              <w:t xml:space="preserve"> obligation) for these services.</w:t>
            </w:r>
          </w:p>
        </w:tc>
      </w:tr>
      <w:tr w:rsidR="00FF2C09" w:rsidRPr="00730524" w14:paraId="5D07EF5B" w14:textId="77777777" w:rsidTr="00CB0DEF">
        <w:trPr>
          <w:trHeight w:val="350"/>
        </w:trPr>
        <w:tc>
          <w:tcPr>
            <w:tcW w:w="654" w:type="dxa"/>
            <w:shd w:val="clear" w:color="auto" w:fill="auto"/>
          </w:tcPr>
          <w:p w14:paraId="2CF48320" w14:textId="77777777" w:rsidR="00FF2C09" w:rsidRPr="0007659C" w:rsidRDefault="00FF2C09" w:rsidP="00CB0DEF">
            <w:pPr>
              <w:rPr>
                <w:rFonts w:ascii="Calibri" w:hAnsi="Calibri"/>
                <w:sz w:val="16"/>
                <w:szCs w:val="16"/>
              </w:rPr>
            </w:pPr>
            <w:r w:rsidRPr="0007659C">
              <w:rPr>
                <w:rFonts w:ascii="Calibri" w:hAnsi="Calibri"/>
                <w:sz w:val="16"/>
                <w:szCs w:val="16"/>
              </w:rPr>
              <w:t>R705</w:t>
            </w:r>
          </w:p>
        </w:tc>
        <w:tc>
          <w:tcPr>
            <w:tcW w:w="2073" w:type="dxa"/>
            <w:shd w:val="clear" w:color="auto" w:fill="auto"/>
          </w:tcPr>
          <w:p w14:paraId="3B572264" w14:textId="77777777" w:rsidR="00FF2C09" w:rsidRPr="0007659C" w:rsidRDefault="00FF2C09" w:rsidP="00CB0DEF">
            <w:pPr>
              <w:rPr>
                <w:rFonts w:ascii="Calibri" w:hAnsi="Calibri"/>
                <w:sz w:val="16"/>
                <w:szCs w:val="16"/>
              </w:rPr>
            </w:pPr>
            <w:r w:rsidRPr="0007659C">
              <w:rPr>
                <w:rFonts w:ascii="Calibri" w:hAnsi="Calibri"/>
                <w:sz w:val="16"/>
                <w:szCs w:val="16"/>
              </w:rPr>
              <w:t>Support:  Management Data Collection</w:t>
            </w:r>
          </w:p>
        </w:tc>
        <w:tc>
          <w:tcPr>
            <w:tcW w:w="6867" w:type="dxa"/>
            <w:shd w:val="clear" w:color="auto" w:fill="auto"/>
          </w:tcPr>
          <w:p w14:paraId="18CF1FE9" w14:textId="77777777" w:rsidR="00FF2C09" w:rsidRPr="0007659C" w:rsidRDefault="00FF2C09" w:rsidP="00FF2C09">
            <w:pPr>
              <w:numPr>
                <w:ilvl w:val="0"/>
                <w:numId w:val="1"/>
              </w:numPr>
              <w:spacing w:after="200" w:line="276" w:lineRule="auto"/>
              <w:ind w:left="252" w:hanging="252"/>
              <w:contextualSpacing/>
              <w:rPr>
                <w:rFonts w:ascii="Calibri" w:hAnsi="Calibri"/>
                <w:sz w:val="16"/>
                <w:szCs w:val="16"/>
              </w:rPr>
            </w:pPr>
            <w:r w:rsidRPr="0007659C">
              <w:rPr>
                <w:rFonts w:ascii="Calibri" w:hAnsi="Calibri"/>
                <w:sz w:val="16"/>
                <w:szCs w:val="16"/>
              </w:rPr>
              <w:t>Identified as a targeted PSC under the ongoing effort to reduce contract spending for management support services (OMB initiative).  The Department spent $</w:t>
            </w:r>
            <w:r>
              <w:rPr>
                <w:rFonts w:ascii="Calibri" w:hAnsi="Calibri"/>
                <w:sz w:val="16"/>
                <w:szCs w:val="16"/>
              </w:rPr>
              <w:t>809M</w:t>
            </w:r>
            <w:r w:rsidRPr="0007659C">
              <w:rPr>
                <w:rFonts w:ascii="Calibri" w:hAnsi="Calibri"/>
                <w:sz w:val="16"/>
                <w:szCs w:val="16"/>
              </w:rPr>
              <w:t xml:space="preserve"> (</w:t>
            </w:r>
            <w:r>
              <w:rPr>
                <w:rFonts w:ascii="Calibri" w:hAnsi="Calibri"/>
                <w:sz w:val="16"/>
                <w:szCs w:val="16"/>
              </w:rPr>
              <w:t>33.48% of its total FY 2016</w:t>
            </w:r>
            <w:r w:rsidRPr="0007659C">
              <w:rPr>
                <w:rFonts w:ascii="Calibri" w:hAnsi="Calibri"/>
                <w:sz w:val="16"/>
                <w:szCs w:val="16"/>
              </w:rPr>
              <w:t xml:space="preserve"> obligations) for these services.  This PSC is included to guard against expansion of the contractor’s duties into inherently governmental functions and to ensure sufficient management and oversight remains in place. </w:t>
            </w:r>
          </w:p>
        </w:tc>
      </w:tr>
      <w:tr w:rsidR="00FF2C09" w:rsidRPr="00730524" w14:paraId="46166A1E" w14:textId="77777777" w:rsidTr="00CB0DEF">
        <w:trPr>
          <w:trHeight w:val="108"/>
        </w:trPr>
        <w:tc>
          <w:tcPr>
            <w:tcW w:w="654" w:type="dxa"/>
            <w:shd w:val="clear" w:color="auto" w:fill="auto"/>
          </w:tcPr>
          <w:p w14:paraId="14765B5D" w14:textId="77777777" w:rsidR="00FF2C09" w:rsidRPr="0007659C" w:rsidRDefault="00FF2C09" w:rsidP="00CB0DEF">
            <w:pPr>
              <w:rPr>
                <w:rFonts w:ascii="Calibri" w:hAnsi="Calibri"/>
                <w:sz w:val="16"/>
                <w:szCs w:val="16"/>
              </w:rPr>
            </w:pPr>
            <w:r w:rsidRPr="0007659C">
              <w:rPr>
                <w:rFonts w:ascii="Calibri" w:hAnsi="Calibri"/>
                <w:sz w:val="16"/>
                <w:szCs w:val="16"/>
              </w:rPr>
              <w:t>R710</w:t>
            </w:r>
          </w:p>
        </w:tc>
        <w:tc>
          <w:tcPr>
            <w:tcW w:w="2073" w:type="dxa"/>
            <w:shd w:val="clear" w:color="auto" w:fill="auto"/>
          </w:tcPr>
          <w:p w14:paraId="1B9BC871" w14:textId="77777777" w:rsidR="00FF2C09" w:rsidRPr="0007659C" w:rsidRDefault="00FF2C09" w:rsidP="00CB0DEF">
            <w:pPr>
              <w:rPr>
                <w:rFonts w:ascii="Calibri" w:hAnsi="Calibri"/>
                <w:sz w:val="16"/>
                <w:szCs w:val="16"/>
              </w:rPr>
            </w:pPr>
            <w:r w:rsidRPr="0007659C">
              <w:rPr>
                <w:rFonts w:ascii="Calibri" w:hAnsi="Calibri"/>
                <w:sz w:val="16"/>
                <w:szCs w:val="16"/>
              </w:rPr>
              <w:t>Support:  Management Financial</w:t>
            </w:r>
          </w:p>
        </w:tc>
        <w:tc>
          <w:tcPr>
            <w:tcW w:w="6867" w:type="dxa"/>
            <w:shd w:val="clear" w:color="auto" w:fill="auto"/>
          </w:tcPr>
          <w:p w14:paraId="42655FBB" w14:textId="77777777" w:rsidR="00FF2C09" w:rsidRPr="0007659C" w:rsidRDefault="00FF2C09" w:rsidP="00FF2C09">
            <w:pPr>
              <w:numPr>
                <w:ilvl w:val="0"/>
                <w:numId w:val="1"/>
              </w:numPr>
              <w:spacing w:after="200" w:line="276" w:lineRule="auto"/>
              <w:ind w:left="252" w:hanging="252"/>
              <w:contextualSpacing/>
              <w:rPr>
                <w:rFonts w:ascii="Calibri" w:hAnsi="Calibri"/>
                <w:sz w:val="16"/>
                <w:szCs w:val="16"/>
              </w:rPr>
            </w:pPr>
            <w:r>
              <w:rPr>
                <w:rFonts w:ascii="Calibri" w:hAnsi="Calibri"/>
                <w:sz w:val="16"/>
                <w:szCs w:val="16"/>
              </w:rPr>
              <w:t>The Department spent $1B</w:t>
            </w:r>
            <w:r w:rsidRPr="0007659C">
              <w:rPr>
                <w:rFonts w:ascii="Calibri" w:hAnsi="Calibri"/>
                <w:sz w:val="16"/>
                <w:szCs w:val="16"/>
              </w:rPr>
              <w:t xml:space="preserve"> (</w:t>
            </w:r>
            <w:r>
              <w:rPr>
                <w:rFonts w:ascii="Calibri" w:hAnsi="Calibri"/>
                <w:sz w:val="16"/>
                <w:szCs w:val="16"/>
              </w:rPr>
              <w:t>44.42</w:t>
            </w:r>
            <w:r w:rsidRPr="0007659C">
              <w:rPr>
                <w:rFonts w:ascii="Calibri" w:hAnsi="Calibri"/>
                <w:sz w:val="16"/>
                <w:szCs w:val="16"/>
              </w:rPr>
              <w:t>% of its total FY20</w:t>
            </w:r>
            <w:r>
              <w:rPr>
                <w:rFonts w:ascii="Calibri" w:hAnsi="Calibri"/>
                <w:sz w:val="16"/>
                <w:szCs w:val="16"/>
              </w:rPr>
              <w:t>16</w:t>
            </w:r>
            <w:r w:rsidRPr="0007659C">
              <w:rPr>
                <w:rFonts w:ascii="Calibri" w:hAnsi="Calibri"/>
                <w:sz w:val="16"/>
                <w:szCs w:val="16"/>
              </w:rPr>
              <w:t xml:space="preserve"> obligations) for these services.  This</w:t>
            </w:r>
            <w:r>
              <w:rPr>
                <w:rFonts w:ascii="Calibri" w:hAnsi="Calibri"/>
                <w:sz w:val="16"/>
                <w:szCs w:val="16"/>
              </w:rPr>
              <w:t xml:space="preserve"> PSC </w:t>
            </w:r>
            <w:r w:rsidRPr="0007659C">
              <w:rPr>
                <w:rFonts w:ascii="Calibri" w:hAnsi="Calibri"/>
                <w:sz w:val="16"/>
                <w:szCs w:val="16"/>
              </w:rPr>
              <w:t>is included to guard against expansion of the contractor’s duties into inherently governmental functions and to ensure sufficient management and oversight remains in place.</w:t>
            </w:r>
          </w:p>
        </w:tc>
      </w:tr>
    </w:tbl>
    <w:p w14:paraId="64F1CAED" w14:textId="77777777" w:rsidR="00FF2C09" w:rsidRDefault="00FF2C09" w:rsidP="00FF2C09">
      <w:pPr>
        <w:rPr>
          <w:b/>
          <w:sz w:val="24"/>
          <w:szCs w:val="24"/>
        </w:rPr>
      </w:pPr>
    </w:p>
    <w:p w14:paraId="2B02D19F" w14:textId="77777777" w:rsidR="00FF2C09" w:rsidRDefault="00FF2C09" w:rsidP="00FF2C09">
      <w:pPr>
        <w:rPr>
          <w:sz w:val="24"/>
          <w:szCs w:val="24"/>
        </w:rPr>
      </w:pPr>
      <w:r>
        <w:rPr>
          <w:sz w:val="24"/>
          <w:szCs w:val="24"/>
        </w:rPr>
        <w:t xml:space="preserve">The Department’s senior management official who is accountable for the development of agency policies, procedures, and training associated with the Office of Federal Procurement Policy (OFPP) Letter 11-01 addressing the performance of inherently governmental and critical functions, </w:t>
      </w:r>
      <w:r w:rsidRPr="00E9256D">
        <w:rPr>
          <w:sz w:val="24"/>
          <w:szCs w:val="24"/>
        </w:rPr>
        <w:t>is Angela Billups</w:t>
      </w:r>
      <w:r>
        <w:rPr>
          <w:sz w:val="24"/>
          <w:szCs w:val="24"/>
        </w:rPr>
        <w:t xml:space="preserve">, Senior Procurement Executive (SPE).  Dr. Billups </w:t>
      </w:r>
      <w:r w:rsidRPr="00CB0DEF">
        <w:rPr>
          <w:sz w:val="24"/>
          <w:szCs w:val="24"/>
        </w:rPr>
        <w:t>serves as the senior management official accountable for generating the service contract inventory from the Federal Procurement Data System – Next Generation (FPDS-NG).</w:t>
      </w:r>
      <w:r w:rsidRPr="00BB3EA9">
        <w:rPr>
          <w:sz w:val="24"/>
          <w:szCs w:val="24"/>
        </w:rPr>
        <w:t xml:space="preserve">  </w:t>
      </w:r>
      <w:r>
        <w:rPr>
          <w:sz w:val="24"/>
          <w:szCs w:val="24"/>
        </w:rPr>
        <w:t>Dr. Billups</w:t>
      </w:r>
      <w:r w:rsidRPr="00CB0DEF">
        <w:rPr>
          <w:sz w:val="24"/>
          <w:szCs w:val="24"/>
        </w:rPr>
        <w:t xml:space="preserve"> is also responsible for providing procurement related support to development and execution of the inventory analysis plan; for providing oversight of the service contract codes into FPDS and ensuring appropriate internal management attention is given to the development and analysis of service contract inventories.</w:t>
      </w:r>
      <w:r>
        <w:rPr>
          <w:sz w:val="24"/>
          <w:szCs w:val="24"/>
        </w:rPr>
        <w:t xml:space="preserve">  </w:t>
      </w:r>
    </w:p>
    <w:p w14:paraId="26308D57" w14:textId="77777777" w:rsidR="00FF2C09" w:rsidRDefault="00FF2C09" w:rsidP="00FF2C09">
      <w:pPr>
        <w:rPr>
          <w:sz w:val="24"/>
          <w:szCs w:val="24"/>
        </w:rPr>
      </w:pPr>
    </w:p>
    <w:p w14:paraId="2FAB0E82" w14:textId="77777777" w:rsidR="00FF2C09" w:rsidRDefault="00FF2C09" w:rsidP="00FF2C09">
      <w:pPr>
        <w:rPr>
          <w:sz w:val="24"/>
          <w:szCs w:val="24"/>
        </w:rPr>
      </w:pPr>
      <w:r>
        <w:rPr>
          <w:sz w:val="24"/>
          <w:szCs w:val="24"/>
        </w:rPr>
        <w:t xml:space="preserve">OFPP intends to re-establish a working group to share best practices and lessons learned in the use of inventories as a management tool.  The individuals who will serve on OFPP’s working group are identified as Marcela Almeida and </w:t>
      </w:r>
      <w:r w:rsidR="002441E0">
        <w:rPr>
          <w:sz w:val="24"/>
          <w:szCs w:val="24"/>
        </w:rPr>
        <w:t>Camille Manuel</w:t>
      </w:r>
      <w:r w:rsidRPr="00E9256D">
        <w:rPr>
          <w:sz w:val="24"/>
          <w:szCs w:val="24"/>
        </w:rPr>
        <w:t>.</w:t>
      </w:r>
      <w:r>
        <w:rPr>
          <w:sz w:val="24"/>
          <w:szCs w:val="24"/>
        </w:rPr>
        <w:t xml:space="preserve">  </w:t>
      </w:r>
    </w:p>
    <w:p w14:paraId="50586B24" w14:textId="77777777" w:rsidR="003D44DC" w:rsidRDefault="003D44DC"/>
    <w:sectPr w:rsidR="003D44DC" w:rsidSect="00D47114">
      <w:footerReference w:type="default" r:id="rId9"/>
      <w:footerReference w:type="first" r:id="rId10"/>
      <w:pgSz w:w="12240" w:h="15840"/>
      <w:pgMar w:top="1440" w:right="1440" w:bottom="1440" w:left="1440" w:header="720" w:footer="11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E1B9" w14:textId="77777777" w:rsidR="00FE5419" w:rsidRDefault="00FE5419">
      <w:r>
        <w:separator/>
      </w:r>
    </w:p>
  </w:endnote>
  <w:endnote w:type="continuationSeparator" w:id="0">
    <w:p w14:paraId="3C339775" w14:textId="77777777" w:rsidR="00FE5419" w:rsidRDefault="00FE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0D8E" w14:textId="77777777" w:rsidR="00FC1C8A" w:rsidRDefault="0039607C">
    <w:pPr>
      <w:pStyle w:val="Footer"/>
      <w:jc w:val="center"/>
    </w:pPr>
    <w:r>
      <w:fldChar w:fldCharType="begin"/>
    </w:r>
    <w:r>
      <w:instrText xml:space="preserve"> PAGE   \* MERGEFORMAT </w:instrText>
    </w:r>
    <w:r>
      <w:fldChar w:fldCharType="separate"/>
    </w:r>
    <w:r w:rsidR="00451C33">
      <w:rPr>
        <w:noProof/>
      </w:rPr>
      <w:t>2</w:t>
    </w:r>
    <w:r>
      <w:fldChar w:fldCharType="end"/>
    </w:r>
  </w:p>
  <w:p w14:paraId="48A9007D" w14:textId="77777777" w:rsidR="00FC1C8A" w:rsidRDefault="00451C33" w:rsidP="00C26943">
    <w:pPr>
      <w:pStyle w:val="Footer"/>
      <w:jc w:val="center"/>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85C8" w14:textId="77777777" w:rsidR="00220FC9" w:rsidRDefault="0039607C" w:rsidP="00B95B4B">
    <w:pPr>
      <w:pStyle w:val="Footer"/>
      <w:jc w:val="center"/>
      <w:rPr>
        <w:sz w:val="20"/>
      </w:rPr>
    </w:pPr>
    <w:r>
      <w:rPr>
        <w:sz w:val="20"/>
      </w:rPr>
      <w:t>550 12th St. S.W., Washington, D.C.  20202</w:t>
    </w:r>
  </w:p>
  <w:p w14:paraId="49AB38A0" w14:textId="77777777" w:rsidR="00220FC9" w:rsidRDefault="0039607C" w:rsidP="00B95B4B">
    <w:pPr>
      <w:pStyle w:val="Footer"/>
      <w:jc w:val="center"/>
      <w:rPr>
        <w:sz w:val="20"/>
      </w:rPr>
    </w:pPr>
    <w:r>
      <w:rPr>
        <w:sz w:val="20"/>
      </w:rPr>
      <w:t>www.ed.gov</w:t>
    </w:r>
  </w:p>
  <w:p w14:paraId="48A82C6A" w14:textId="77777777" w:rsidR="00FC1C8A" w:rsidRPr="00220FC9" w:rsidRDefault="0039607C" w:rsidP="00B95B4B">
    <w:pPr>
      <w:pStyle w:val="Footer"/>
      <w:jc w:val="center"/>
      <w:rPr>
        <w:i/>
        <w:sz w:val="18"/>
        <w:szCs w:val="18"/>
      </w:rPr>
    </w:pPr>
    <w:r w:rsidRPr="00220FC9">
      <w:rPr>
        <w:i/>
        <w:sz w:val="18"/>
        <w:szCs w:val="18"/>
      </w:rPr>
      <w:t>The Department of Education’s mission is to promote student achievement and preparation for global competitiveness by fostering educational excellence and ensuring equal access.</w:t>
    </w:r>
  </w:p>
  <w:p w14:paraId="76BCB3A0" w14:textId="77777777" w:rsidR="00FC1C8A" w:rsidRPr="00220FC9" w:rsidRDefault="00451C3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BEB23" w14:textId="77777777" w:rsidR="00FE5419" w:rsidRDefault="00FE5419">
      <w:r>
        <w:separator/>
      </w:r>
    </w:p>
  </w:footnote>
  <w:footnote w:type="continuationSeparator" w:id="0">
    <w:p w14:paraId="0CCBD2A7" w14:textId="77777777" w:rsidR="00FE5419" w:rsidRDefault="00FE5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02A8"/>
    <w:multiLevelType w:val="hybridMultilevel"/>
    <w:tmpl w:val="1A6C1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09"/>
    <w:rsid w:val="002441E0"/>
    <w:rsid w:val="00291DA3"/>
    <w:rsid w:val="0039607C"/>
    <w:rsid w:val="003D44DC"/>
    <w:rsid w:val="00451C33"/>
    <w:rsid w:val="0060168C"/>
    <w:rsid w:val="008F1A52"/>
    <w:rsid w:val="00FE5419"/>
    <w:rsid w:val="00FF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2C09"/>
    <w:pPr>
      <w:keepNext/>
      <w:outlineLvl w:val="0"/>
    </w:pPr>
    <w:rPr>
      <w:sz w:val="24"/>
    </w:rPr>
  </w:style>
  <w:style w:type="paragraph" w:styleId="Heading2">
    <w:name w:val="heading 2"/>
    <w:basedOn w:val="Normal"/>
    <w:next w:val="Normal"/>
    <w:link w:val="Heading2Char"/>
    <w:qFormat/>
    <w:rsid w:val="00FF2C09"/>
    <w:pPr>
      <w:keepNext/>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C0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F2C09"/>
    <w:rPr>
      <w:rFonts w:ascii="Times New Roman" w:eastAsia="Times New Roman" w:hAnsi="Times New Roman" w:cs="Times New Roman"/>
      <w:b/>
      <w:smallCaps/>
      <w:sz w:val="28"/>
      <w:szCs w:val="20"/>
    </w:rPr>
  </w:style>
  <w:style w:type="paragraph" w:styleId="Footer">
    <w:name w:val="footer"/>
    <w:basedOn w:val="Normal"/>
    <w:link w:val="FooterChar"/>
    <w:uiPriority w:val="99"/>
    <w:rsid w:val="00FF2C09"/>
    <w:pPr>
      <w:tabs>
        <w:tab w:val="center" w:pos="4320"/>
        <w:tab w:val="right" w:pos="8640"/>
      </w:tabs>
    </w:pPr>
    <w:rPr>
      <w:sz w:val="24"/>
    </w:rPr>
  </w:style>
  <w:style w:type="character" w:customStyle="1" w:styleId="FooterChar">
    <w:name w:val="Footer Char"/>
    <w:basedOn w:val="DefaultParagraphFont"/>
    <w:link w:val="Footer"/>
    <w:uiPriority w:val="99"/>
    <w:rsid w:val="00FF2C09"/>
    <w:rPr>
      <w:rFonts w:ascii="Times New Roman" w:eastAsia="Times New Roman" w:hAnsi="Times New Roman" w:cs="Times New Roman"/>
      <w:sz w:val="24"/>
      <w:szCs w:val="20"/>
    </w:rPr>
  </w:style>
  <w:style w:type="character" w:styleId="CommentReference">
    <w:name w:val="annotation reference"/>
    <w:uiPriority w:val="99"/>
    <w:semiHidden/>
    <w:unhideWhenUsed/>
    <w:rsid w:val="00FF2C09"/>
    <w:rPr>
      <w:sz w:val="16"/>
      <w:szCs w:val="16"/>
    </w:rPr>
  </w:style>
  <w:style w:type="paragraph" w:styleId="CommentText">
    <w:name w:val="annotation text"/>
    <w:basedOn w:val="Normal"/>
    <w:link w:val="CommentTextChar"/>
    <w:uiPriority w:val="99"/>
    <w:semiHidden/>
    <w:unhideWhenUsed/>
    <w:rsid w:val="00FF2C09"/>
  </w:style>
  <w:style w:type="character" w:customStyle="1" w:styleId="CommentTextChar">
    <w:name w:val="Comment Text Char"/>
    <w:basedOn w:val="DefaultParagraphFont"/>
    <w:link w:val="CommentText"/>
    <w:uiPriority w:val="99"/>
    <w:semiHidden/>
    <w:rsid w:val="00FF2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2C09"/>
    <w:rPr>
      <w:rFonts w:ascii="Tahoma" w:hAnsi="Tahoma" w:cs="Tahoma"/>
      <w:sz w:val="16"/>
      <w:szCs w:val="16"/>
    </w:rPr>
  </w:style>
  <w:style w:type="character" w:customStyle="1" w:styleId="BalloonTextChar">
    <w:name w:val="Balloon Text Char"/>
    <w:basedOn w:val="DefaultParagraphFont"/>
    <w:link w:val="BalloonText"/>
    <w:uiPriority w:val="99"/>
    <w:semiHidden/>
    <w:rsid w:val="00FF2C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2C09"/>
    <w:pPr>
      <w:keepNext/>
      <w:outlineLvl w:val="0"/>
    </w:pPr>
    <w:rPr>
      <w:sz w:val="24"/>
    </w:rPr>
  </w:style>
  <w:style w:type="paragraph" w:styleId="Heading2">
    <w:name w:val="heading 2"/>
    <w:basedOn w:val="Normal"/>
    <w:next w:val="Normal"/>
    <w:link w:val="Heading2Char"/>
    <w:qFormat/>
    <w:rsid w:val="00FF2C09"/>
    <w:pPr>
      <w:keepNext/>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C0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F2C09"/>
    <w:rPr>
      <w:rFonts w:ascii="Times New Roman" w:eastAsia="Times New Roman" w:hAnsi="Times New Roman" w:cs="Times New Roman"/>
      <w:b/>
      <w:smallCaps/>
      <w:sz w:val="28"/>
      <w:szCs w:val="20"/>
    </w:rPr>
  </w:style>
  <w:style w:type="paragraph" w:styleId="Footer">
    <w:name w:val="footer"/>
    <w:basedOn w:val="Normal"/>
    <w:link w:val="FooterChar"/>
    <w:uiPriority w:val="99"/>
    <w:rsid w:val="00FF2C09"/>
    <w:pPr>
      <w:tabs>
        <w:tab w:val="center" w:pos="4320"/>
        <w:tab w:val="right" w:pos="8640"/>
      </w:tabs>
    </w:pPr>
    <w:rPr>
      <w:sz w:val="24"/>
    </w:rPr>
  </w:style>
  <w:style w:type="character" w:customStyle="1" w:styleId="FooterChar">
    <w:name w:val="Footer Char"/>
    <w:basedOn w:val="DefaultParagraphFont"/>
    <w:link w:val="Footer"/>
    <w:uiPriority w:val="99"/>
    <w:rsid w:val="00FF2C09"/>
    <w:rPr>
      <w:rFonts w:ascii="Times New Roman" w:eastAsia="Times New Roman" w:hAnsi="Times New Roman" w:cs="Times New Roman"/>
      <w:sz w:val="24"/>
      <w:szCs w:val="20"/>
    </w:rPr>
  </w:style>
  <w:style w:type="character" w:styleId="CommentReference">
    <w:name w:val="annotation reference"/>
    <w:uiPriority w:val="99"/>
    <w:semiHidden/>
    <w:unhideWhenUsed/>
    <w:rsid w:val="00FF2C09"/>
    <w:rPr>
      <w:sz w:val="16"/>
      <w:szCs w:val="16"/>
    </w:rPr>
  </w:style>
  <w:style w:type="paragraph" w:styleId="CommentText">
    <w:name w:val="annotation text"/>
    <w:basedOn w:val="Normal"/>
    <w:link w:val="CommentTextChar"/>
    <w:uiPriority w:val="99"/>
    <w:semiHidden/>
    <w:unhideWhenUsed/>
    <w:rsid w:val="00FF2C09"/>
  </w:style>
  <w:style w:type="character" w:customStyle="1" w:styleId="CommentTextChar">
    <w:name w:val="Comment Text Char"/>
    <w:basedOn w:val="DefaultParagraphFont"/>
    <w:link w:val="CommentText"/>
    <w:uiPriority w:val="99"/>
    <w:semiHidden/>
    <w:rsid w:val="00FF2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2C09"/>
    <w:rPr>
      <w:rFonts w:ascii="Tahoma" w:hAnsi="Tahoma" w:cs="Tahoma"/>
      <w:sz w:val="16"/>
      <w:szCs w:val="16"/>
    </w:rPr>
  </w:style>
  <w:style w:type="character" w:customStyle="1" w:styleId="BalloonTextChar">
    <w:name w:val="Balloon Text Char"/>
    <w:basedOn w:val="DefaultParagraphFont"/>
    <w:link w:val="BalloonText"/>
    <w:uiPriority w:val="99"/>
    <w:semiHidden/>
    <w:rsid w:val="00FF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 Teddy</dc:creator>
  <cp:lastModifiedBy>Hicks, Chanel</cp:lastModifiedBy>
  <cp:revision>2</cp:revision>
  <dcterms:created xsi:type="dcterms:W3CDTF">2017-12-14T16:42:00Z</dcterms:created>
  <dcterms:modified xsi:type="dcterms:W3CDTF">2017-12-14T16:42:00Z</dcterms:modified>
</cp:coreProperties>
</file>