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39697" w14:textId="77777777" w:rsidR="00D60B7A" w:rsidRDefault="00D60B7A" w:rsidP="00D60B7A">
      <w:pPr>
        <w:ind w:left="720"/>
        <w:jc w:val="center"/>
        <w:rPr>
          <w:color w:val="000080"/>
        </w:rPr>
      </w:pPr>
      <w:bookmarkStart w:id="0" w:name="_GoBack"/>
      <w:bookmarkEnd w:id="0"/>
      <w:r>
        <w:rPr>
          <w:noProof/>
          <w:color w:val="000080"/>
        </w:rPr>
        <w:drawing>
          <wp:anchor distT="0" distB="0" distL="114300" distR="114300" simplePos="0" relativeHeight="251659264" behindDoc="1" locked="1" layoutInCell="1" allowOverlap="1" wp14:anchorId="13600B02" wp14:editId="6692F95B">
            <wp:simplePos x="0" y="0"/>
            <wp:positionH relativeFrom="column">
              <wp:posOffset>-457200</wp:posOffset>
            </wp:positionH>
            <wp:positionV relativeFrom="paragraph">
              <wp:posOffset>-279400</wp:posOffset>
            </wp:positionV>
            <wp:extent cx="1012825" cy="968375"/>
            <wp:effectExtent l="0" t="0" r="0" b="3175"/>
            <wp:wrapThrough wrapText="bothSides">
              <wp:wrapPolygon edited="0">
                <wp:start x="0" y="0"/>
                <wp:lineTo x="0" y="21246"/>
                <wp:lineTo x="21126" y="21246"/>
                <wp:lineTo x="21126" y="0"/>
                <wp:lineTo x="0" y="0"/>
              </wp:wrapPolygon>
            </wp:wrapThrough>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color w:val="000080"/>
          <w:sz w:val="24"/>
        </w:rPr>
        <w:t>UNITED STATES DEPARTMENT OF EDUCATION</w:t>
      </w:r>
    </w:p>
    <w:p w14:paraId="4A54F360" w14:textId="77777777" w:rsidR="00D60B7A" w:rsidRDefault="00D60B7A" w:rsidP="00D60B7A">
      <w:pPr>
        <w:jc w:val="center"/>
        <w:rPr>
          <w:color w:val="000080"/>
        </w:rPr>
      </w:pPr>
      <w:r>
        <w:rPr>
          <w:color w:val="000080"/>
        </w:rPr>
        <w:t>OFFICE OF THE CHIEF FINANCIAL OFFICER</w:t>
      </w:r>
    </w:p>
    <w:p w14:paraId="38097F85" w14:textId="77777777" w:rsidR="00D60B7A" w:rsidRDefault="00D60B7A" w:rsidP="00D60B7A">
      <w:pPr>
        <w:jc w:val="center"/>
        <w:rPr>
          <w:color w:val="000080"/>
        </w:rPr>
      </w:pPr>
    </w:p>
    <w:p w14:paraId="5F6DDC65" w14:textId="77777777" w:rsidR="00D60B7A" w:rsidRDefault="00D60B7A" w:rsidP="00D60B7A"/>
    <w:p w14:paraId="14ACE8AF" w14:textId="77777777" w:rsidR="00D60B7A" w:rsidRDefault="00D60B7A" w:rsidP="00D60B7A">
      <w:pPr>
        <w:rPr>
          <w:sz w:val="24"/>
          <w:szCs w:val="24"/>
        </w:rPr>
      </w:pPr>
      <w:r>
        <w:tab/>
      </w:r>
      <w:r>
        <w:tab/>
      </w:r>
      <w:r>
        <w:tab/>
      </w:r>
      <w:r>
        <w:tab/>
      </w:r>
      <w:r>
        <w:tab/>
      </w:r>
      <w:r>
        <w:tab/>
      </w:r>
      <w:r>
        <w:tab/>
      </w:r>
    </w:p>
    <w:p w14:paraId="48673AD2" w14:textId="77777777" w:rsidR="00D60B7A" w:rsidRPr="0032559D" w:rsidRDefault="00D60B7A" w:rsidP="00D60B7A">
      <w:pPr>
        <w:jc w:val="center"/>
        <w:rPr>
          <w:b/>
          <w:sz w:val="24"/>
          <w:szCs w:val="24"/>
        </w:rPr>
      </w:pPr>
      <w:r w:rsidRPr="0032559D">
        <w:rPr>
          <w:b/>
          <w:sz w:val="24"/>
          <w:szCs w:val="24"/>
        </w:rPr>
        <w:t>Fiscal Year</w:t>
      </w:r>
      <w:r>
        <w:rPr>
          <w:b/>
          <w:sz w:val="24"/>
          <w:szCs w:val="24"/>
        </w:rPr>
        <w:t xml:space="preserve"> </w:t>
      </w:r>
      <w:r w:rsidRPr="0032559D">
        <w:rPr>
          <w:b/>
          <w:sz w:val="24"/>
          <w:szCs w:val="24"/>
        </w:rPr>
        <w:t>201</w:t>
      </w:r>
      <w:r>
        <w:rPr>
          <w:b/>
          <w:sz w:val="24"/>
          <w:szCs w:val="24"/>
        </w:rPr>
        <w:t>5</w:t>
      </w:r>
      <w:r w:rsidRPr="0032559D">
        <w:rPr>
          <w:b/>
          <w:sz w:val="24"/>
          <w:szCs w:val="24"/>
        </w:rPr>
        <w:t xml:space="preserve"> Service Contract Inventory Analysis</w:t>
      </w:r>
    </w:p>
    <w:p w14:paraId="3B485B70" w14:textId="77777777" w:rsidR="00D60B7A" w:rsidRPr="0032559D" w:rsidRDefault="00D60B7A" w:rsidP="00D60B7A">
      <w:pPr>
        <w:jc w:val="center"/>
        <w:rPr>
          <w:b/>
          <w:sz w:val="24"/>
          <w:szCs w:val="24"/>
        </w:rPr>
      </w:pPr>
    </w:p>
    <w:p w14:paraId="61E8A6A9" w14:textId="77777777" w:rsidR="00D60B7A" w:rsidRDefault="00D60B7A" w:rsidP="00D60B7A">
      <w:pPr>
        <w:jc w:val="center"/>
        <w:rPr>
          <w:b/>
          <w:sz w:val="24"/>
          <w:szCs w:val="24"/>
        </w:rPr>
      </w:pPr>
      <w:r>
        <w:rPr>
          <w:b/>
          <w:sz w:val="24"/>
          <w:szCs w:val="24"/>
        </w:rPr>
        <w:t xml:space="preserve">(February </w:t>
      </w:r>
      <w:r w:rsidRPr="0032559D">
        <w:rPr>
          <w:b/>
          <w:sz w:val="24"/>
          <w:szCs w:val="24"/>
        </w:rPr>
        <w:t>201</w:t>
      </w:r>
      <w:r>
        <w:rPr>
          <w:b/>
          <w:sz w:val="24"/>
          <w:szCs w:val="24"/>
        </w:rPr>
        <w:t>7)</w:t>
      </w:r>
    </w:p>
    <w:p w14:paraId="354E8C78" w14:textId="77777777" w:rsidR="00D60B7A" w:rsidRDefault="00D60B7A" w:rsidP="00D60B7A">
      <w:pPr>
        <w:rPr>
          <w:sz w:val="24"/>
          <w:szCs w:val="24"/>
        </w:rPr>
      </w:pPr>
      <w:r>
        <w:rPr>
          <w:rFonts w:ascii="Bookman Old Style" w:hAnsi="Bookman Old Style"/>
          <w:b/>
          <w:sz w:val="24"/>
          <w:szCs w:val="24"/>
        </w:rPr>
        <w:br/>
      </w:r>
      <w:r>
        <w:rPr>
          <w:sz w:val="24"/>
          <w:szCs w:val="24"/>
        </w:rPr>
        <w:t xml:space="preserve">This report contains a detailed analysis of the Department of Education’s (Department) Fiscal Year (FY) 2015 service contract inventory (SCI) in response to Section 743 of Division C of the FY 2010 Consolidated Appropriations Act, P.L. 111-117. The Department prepared the annual FY 2015 SCI in accordance with the Office of Federal Procurement Policy’s (OFPP) memoranda (dated November 5, 2010 and December 19, 2011) and instructions. </w:t>
      </w:r>
    </w:p>
    <w:p w14:paraId="216FA0BA" w14:textId="77777777" w:rsidR="00D60B7A" w:rsidRDefault="00D60B7A" w:rsidP="00D60B7A">
      <w:pPr>
        <w:rPr>
          <w:sz w:val="24"/>
          <w:szCs w:val="24"/>
        </w:rPr>
      </w:pPr>
    </w:p>
    <w:p w14:paraId="5275BDD6" w14:textId="77777777" w:rsidR="00D60B7A" w:rsidRDefault="00D60B7A" w:rsidP="00D60B7A">
      <w:pPr>
        <w:rPr>
          <w:sz w:val="24"/>
          <w:szCs w:val="24"/>
        </w:rPr>
      </w:pPr>
      <w:r>
        <w:rPr>
          <w:sz w:val="24"/>
          <w:szCs w:val="24"/>
        </w:rPr>
        <w:t xml:space="preserve"> The purpose of the evaluation is to identify and determine the following:</w:t>
      </w:r>
    </w:p>
    <w:p w14:paraId="0A009269" w14:textId="77777777" w:rsidR="00D60B7A" w:rsidRPr="00F276EA" w:rsidRDefault="00D60B7A" w:rsidP="00D60B7A">
      <w:pPr>
        <w:rPr>
          <w:sz w:val="10"/>
          <w:szCs w:val="10"/>
        </w:rPr>
      </w:pPr>
    </w:p>
    <w:p w14:paraId="52FD8D8D" w14:textId="77777777" w:rsidR="00D60B7A" w:rsidRDefault="00D60B7A" w:rsidP="00D60B7A">
      <w:pPr>
        <w:pStyle w:val="ListParagraph"/>
        <w:numPr>
          <w:ilvl w:val="0"/>
          <w:numId w:val="1"/>
        </w:numPr>
        <w:contextualSpacing/>
        <w:rPr>
          <w:sz w:val="24"/>
          <w:szCs w:val="24"/>
        </w:rPr>
      </w:pPr>
      <w:r>
        <w:rPr>
          <w:sz w:val="24"/>
          <w:szCs w:val="24"/>
        </w:rPr>
        <w:t xml:space="preserve">Whether </w:t>
      </w:r>
      <w:r w:rsidRPr="007969C5">
        <w:rPr>
          <w:sz w:val="24"/>
          <w:szCs w:val="24"/>
        </w:rPr>
        <w:t>contractor</w:t>
      </w:r>
      <w:r>
        <w:rPr>
          <w:sz w:val="24"/>
          <w:szCs w:val="24"/>
        </w:rPr>
        <w:t xml:space="preserve">s </w:t>
      </w:r>
      <w:r w:rsidRPr="007969C5">
        <w:rPr>
          <w:sz w:val="24"/>
          <w:szCs w:val="24"/>
        </w:rPr>
        <w:t>perform</w:t>
      </w:r>
      <w:r>
        <w:rPr>
          <w:sz w:val="24"/>
          <w:szCs w:val="24"/>
        </w:rPr>
        <w:t xml:space="preserve"> any of the</w:t>
      </w:r>
      <w:r w:rsidRPr="007969C5">
        <w:rPr>
          <w:sz w:val="24"/>
          <w:szCs w:val="24"/>
        </w:rPr>
        <w:t xml:space="preserve"> functions</w:t>
      </w:r>
      <w:r>
        <w:rPr>
          <w:sz w:val="24"/>
          <w:szCs w:val="24"/>
        </w:rPr>
        <w:t xml:space="preserve"> outlined below</w:t>
      </w:r>
      <w:r w:rsidRPr="007969C5">
        <w:rPr>
          <w:sz w:val="24"/>
          <w:szCs w:val="24"/>
        </w:rPr>
        <w:t>:</w:t>
      </w:r>
    </w:p>
    <w:p w14:paraId="642C3808" w14:textId="77777777" w:rsidR="00D60B7A" w:rsidRPr="007969C5" w:rsidRDefault="00D60B7A" w:rsidP="00D60B7A">
      <w:pPr>
        <w:pStyle w:val="ListParagraph"/>
        <w:numPr>
          <w:ilvl w:val="1"/>
          <w:numId w:val="1"/>
        </w:numPr>
        <w:contextualSpacing/>
        <w:rPr>
          <w:sz w:val="24"/>
          <w:szCs w:val="24"/>
        </w:rPr>
      </w:pPr>
      <w:r w:rsidRPr="007969C5">
        <w:rPr>
          <w:sz w:val="24"/>
          <w:szCs w:val="24"/>
        </w:rPr>
        <w:t>Inherently Governmental Functions (IGF)</w:t>
      </w:r>
    </w:p>
    <w:p w14:paraId="0F6E74A2" w14:textId="77777777" w:rsidR="00D60B7A" w:rsidRPr="007969C5" w:rsidRDefault="00D60B7A" w:rsidP="00D60B7A">
      <w:pPr>
        <w:pStyle w:val="ListParagraph"/>
        <w:numPr>
          <w:ilvl w:val="1"/>
          <w:numId w:val="1"/>
        </w:numPr>
        <w:contextualSpacing/>
        <w:rPr>
          <w:sz w:val="24"/>
          <w:szCs w:val="24"/>
        </w:rPr>
      </w:pPr>
      <w:r w:rsidRPr="007969C5">
        <w:rPr>
          <w:sz w:val="24"/>
          <w:szCs w:val="24"/>
        </w:rPr>
        <w:t>Personal Services</w:t>
      </w:r>
    </w:p>
    <w:p w14:paraId="1B7D29A5" w14:textId="77777777" w:rsidR="00D60B7A" w:rsidRPr="007969C5" w:rsidRDefault="00D60B7A" w:rsidP="00D60B7A">
      <w:pPr>
        <w:pStyle w:val="ListParagraph"/>
        <w:numPr>
          <w:ilvl w:val="1"/>
          <w:numId w:val="1"/>
        </w:numPr>
        <w:contextualSpacing/>
        <w:rPr>
          <w:sz w:val="24"/>
          <w:szCs w:val="24"/>
        </w:rPr>
      </w:pPr>
      <w:r w:rsidRPr="007969C5">
        <w:rPr>
          <w:sz w:val="24"/>
          <w:szCs w:val="24"/>
        </w:rPr>
        <w:t>Contract Services Closely Associated with IGF</w:t>
      </w:r>
    </w:p>
    <w:p w14:paraId="2BB35AA9" w14:textId="77777777" w:rsidR="00D60B7A" w:rsidRDefault="00D60B7A" w:rsidP="00D60B7A">
      <w:pPr>
        <w:pStyle w:val="ListParagraph"/>
        <w:numPr>
          <w:ilvl w:val="1"/>
          <w:numId w:val="1"/>
        </w:numPr>
        <w:contextualSpacing/>
        <w:rPr>
          <w:sz w:val="24"/>
          <w:szCs w:val="24"/>
        </w:rPr>
      </w:pPr>
      <w:r w:rsidRPr="007969C5">
        <w:rPr>
          <w:sz w:val="24"/>
          <w:szCs w:val="24"/>
        </w:rPr>
        <w:t>Contract Services that include the Performance of Mission Critical Functions</w:t>
      </w:r>
    </w:p>
    <w:p w14:paraId="1AA9D652" w14:textId="77777777" w:rsidR="00D60B7A" w:rsidRDefault="00D60B7A" w:rsidP="00D60B7A">
      <w:pPr>
        <w:pStyle w:val="ListParagraph"/>
        <w:numPr>
          <w:ilvl w:val="0"/>
          <w:numId w:val="1"/>
        </w:numPr>
        <w:contextualSpacing/>
        <w:rPr>
          <w:sz w:val="24"/>
          <w:szCs w:val="24"/>
        </w:rPr>
      </w:pPr>
      <w:r>
        <w:rPr>
          <w:sz w:val="24"/>
          <w:szCs w:val="24"/>
        </w:rPr>
        <w:t>W</w:t>
      </w:r>
      <w:r w:rsidRPr="007969C5">
        <w:rPr>
          <w:sz w:val="24"/>
          <w:szCs w:val="24"/>
        </w:rPr>
        <w:t xml:space="preserve">hether the mix of </w:t>
      </w:r>
      <w:r>
        <w:rPr>
          <w:sz w:val="24"/>
          <w:szCs w:val="24"/>
        </w:rPr>
        <w:t>Federal</w:t>
      </w:r>
      <w:r w:rsidRPr="007969C5">
        <w:rPr>
          <w:sz w:val="24"/>
          <w:szCs w:val="24"/>
        </w:rPr>
        <w:t xml:space="preserve"> and contractor employees </w:t>
      </w:r>
      <w:r>
        <w:rPr>
          <w:sz w:val="24"/>
          <w:szCs w:val="24"/>
        </w:rPr>
        <w:t>is appropriately balanced under the reviewed contracts.</w:t>
      </w:r>
    </w:p>
    <w:p w14:paraId="008FC1DD" w14:textId="77777777" w:rsidR="00D60B7A" w:rsidRDefault="00D60B7A" w:rsidP="00D60B7A">
      <w:pPr>
        <w:pStyle w:val="ListParagraph"/>
        <w:numPr>
          <w:ilvl w:val="0"/>
          <w:numId w:val="1"/>
        </w:numPr>
        <w:contextualSpacing/>
        <w:rPr>
          <w:sz w:val="24"/>
          <w:szCs w:val="24"/>
        </w:rPr>
      </w:pPr>
      <w:r>
        <w:rPr>
          <w:sz w:val="24"/>
          <w:szCs w:val="24"/>
        </w:rPr>
        <w:t xml:space="preserve">Whether the </w:t>
      </w:r>
      <w:r w:rsidRPr="007969C5">
        <w:rPr>
          <w:sz w:val="24"/>
          <w:szCs w:val="24"/>
        </w:rPr>
        <w:t xml:space="preserve">Department has sufficiently trained and experienced employees available within the </w:t>
      </w:r>
      <w:r>
        <w:rPr>
          <w:sz w:val="24"/>
          <w:szCs w:val="24"/>
        </w:rPr>
        <w:t>Department</w:t>
      </w:r>
      <w:r w:rsidRPr="007969C5">
        <w:rPr>
          <w:sz w:val="24"/>
          <w:szCs w:val="24"/>
        </w:rPr>
        <w:t xml:space="preserve"> to manage and oversee contract administrative functions, with particular </w:t>
      </w:r>
      <w:r>
        <w:rPr>
          <w:sz w:val="24"/>
          <w:szCs w:val="24"/>
        </w:rPr>
        <w:t>emphasis on service contract</w:t>
      </w:r>
      <w:r w:rsidRPr="007969C5">
        <w:rPr>
          <w:sz w:val="24"/>
          <w:szCs w:val="24"/>
        </w:rPr>
        <w:t xml:space="preserve"> functions </w:t>
      </w:r>
      <w:r>
        <w:rPr>
          <w:sz w:val="24"/>
          <w:szCs w:val="24"/>
        </w:rPr>
        <w:t>that are IGF and contract services closely associated with IGF.</w:t>
      </w:r>
    </w:p>
    <w:p w14:paraId="260CE5FF" w14:textId="77777777" w:rsidR="00D60B7A" w:rsidRPr="007969C5" w:rsidRDefault="00D60B7A" w:rsidP="00D60B7A">
      <w:pPr>
        <w:pStyle w:val="ListParagraph"/>
        <w:numPr>
          <w:ilvl w:val="0"/>
          <w:numId w:val="1"/>
        </w:numPr>
        <w:contextualSpacing/>
        <w:rPr>
          <w:sz w:val="24"/>
          <w:szCs w:val="24"/>
        </w:rPr>
      </w:pPr>
      <w:r>
        <w:rPr>
          <w:sz w:val="24"/>
          <w:szCs w:val="24"/>
        </w:rPr>
        <w:t xml:space="preserve">If there is an over-reliance on contractors and there is sufficient contract management and oversight to ensure contractor functions don’t transition into IGF tasks. </w:t>
      </w:r>
    </w:p>
    <w:p w14:paraId="57E02FA5" w14:textId="77777777" w:rsidR="00D60B7A" w:rsidRPr="00F276EA" w:rsidRDefault="00D60B7A" w:rsidP="00D60B7A">
      <w:pPr>
        <w:pStyle w:val="ListParagraph"/>
        <w:rPr>
          <w:sz w:val="10"/>
          <w:szCs w:val="10"/>
        </w:rPr>
      </w:pPr>
    </w:p>
    <w:p w14:paraId="4E90A146" w14:textId="77777777" w:rsidR="00D60B7A" w:rsidRDefault="00D60B7A" w:rsidP="00D60B7A">
      <w:pPr>
        <w:rPr>
          <w:sz w:val="24"/>
          <w:szCs w:val="24"/>
        </w:rPr>
      </w:pPr>
      <w:r>
        <w:rPr>
          <w:sz w:val="24"/>
          <w:szCs w:val="24"/>
        </w:rPr>
        <w:t xml:space="preserve">The Department’s contracting function is carried out by two contracting activities, Federal Student Aid (FSA) Acquisitions and Contracts and Acquisitions Management (CAM).  </w:t>
      </w:r>
    </w:p>
    <w:p w14:paraId="1D87D1E0" w14:textId="77777777" w:rsidR="00D60B7A" w:rsidRDefault="00D60B7A" w:rsidP="00D60B7A">
      <w:pPr>
        <w:rPr>
          <w:sz w:val="24"/>
          <w:szCs w:val="24"/>
        </w:rPr>
      </w:pPr>
      <w:r w:rsidRPr="00EA7678">
        <w:rPr>
          <w:sz w:val="24"/>
          <w:szCs w:val="24"/>
        </w:rPr>
        <w:t xml:space="preserve">The Department has conducted </w:t>
      </w:r>
      <w:r>
        <w:rPr>
          <w:sz w:val="24"/>
          <w:szCs w:val="24"/>
        </w:rPr>
        <w:t>a SCI</w:t>
      </w:r>
      <w:r w:rsidRPr="00EA7678">
        <w:rPr>
          <w:sz w:val="24"/>
          <w:szCs w:val="24"/>
        </w:rPr>
        <w:t xml:space="preserve"> analysis over the past </w:t>
      </w:r>
      <w:r>
        <w:rPr>
          <w:sz w:val="24"/>
          <w:szCs w:val="24"/>
        </w:rPr>
        <w:t>five</w:t>
      </w:r>
      <w:r w:rsidRPr="00EA7678">
        <w:rPr>
          <w:sz w:val="24"/>
          <w:szCs w:val="24"/>
        </w:rPr>
        <w:t xml:space="preserve"> years in accordance with OFPP guidance and instructions for the review.  </w:t>
      </w:r>
    </w:p>
    <w:p w14:paraId="7E8B30E0" w14:textId="77777777" w:rsidR="00D60B7A" w:rsidRDefault="00D60B7A" w:rsidP="00D60B7A">
      <w:pPr>
        <w:rPr>
          <w:b/>
          <w:sz w:val="24"/>
          <w:szCs w:val="24"/>
        </w:rPr>
      </w:pPr>
      <w:r>
        <w:rPr>
          <w:b/>
          <w:sz w:val="24"/>
          <w:szCs w:val="24"/>
        </w:rPr>
        <w:t xml:space="preserve"> </w:t>
      </w:r>
    </w:p>
    <w:p w14:paraId="3CDEEB8D" w14:textId="77777777" w:rsidR="00D60B7A" w:rsidRPr="004F03D2" w:rsidRDefault="00D60B7A" w:rsidP="00D60B7A">
      <w:pPr>
        <w:rPr>
          <w:b/>
          <w:sz w:val="24"/>
          <w:szCs w:val="24"/>
        </w:rPr>
      </w:pPr>
      <w:r w:rsidRPr="004F03D2">
        <w:rPr>
          <w:b/>
          <w:sz w:val="24"/>
          <w:szCs w:val="24"/>
        </w:rPr>
        <w:t>SCOPE</w:t>
      </w:r>
      <w:r>
        <w:rPr>
          <w:b/>
          <w:sz w:val="24"/>
          <w:szCs w:val="24"/>
        </w:rPr>
        <w:t xml:space="preserve"> OF REVIEW</w:t>
      </w:r>
    </w:p>
    <w:p w14:paraId="4EFF4289" w14:textId="77777777" w:rsidR="00D60B7A" w:rsidRDefault="00D60B7A" w:rsidP="00D60B7A">
      <w:pPr>
        <w:rPr>
          <w:b/>
          <w:sz w:val="24"/>
          <w:szCs w:val="24"/>
        </w:rPr>
      </w:pPr>
    </w:p>
    <w:p w14:paraId="31A85218" w14:textId="77777777" w:rsidR="00D60B7A" w:rsidRPr="00956EC9" w:rsidRDefault="00D60B7A" w:rsidP="00D60B7A">
      <w:pPr>
        <w:rPr>
          <w:b/>
          <w:sz w:val="24"/>
          <w:szCs w:val="24"/>
          <w:highlight w:val="yellow"/>
        </w:rPr>
      </w:pPr>
      <w:r w:rsidRPr="00956EC9">
        <w:rPr>
          <w:b/>
          <w:sz w:val="24"/>
          <w:szCs w:val="24"/>
        </w:rPr>
        <w:t>Special Interest Functions Studied</w:t>
      </w:r>
      <w:r w:rsidRPr="00956EC9">
        <w:rPr>
          <w:b/>
          <w:sz w:val="24"/>
          <w:szCs w:val="24"/>
          <w:highlight w:val="yellow"/>
        </w:rPr>
        <w:t xml:space="preserve"> </w:t>
      </w:r>
    </w:p>
    <w:p w14:paraId="216231C5" w14:textId="77777777" w:rsidR="00D60B7A" w:rsidRPr="00F276EA" w:rsidRDefault="00D60B7A" w:rsidP="00D60B7A">
      <w:pPr>
        <w:rPr>
          <w:sz w:val="10"/>
          <w:szCs w:val="10"/>
          <w:highlight w:val="yellow"/>
        </w:rPr>
      </w:pPr>
    </w:p>
    <w:p w14:paraId="4F1C1E3E" w14:textId="77777777" w:rsidR="00D60B7A" w:rsidRDefault="00D60B7A" w:rsidP="00D60B7A">
      <w:pPr>
        <w:rPr>
          <w:sz w:val="24"/>
          <w:szCs w:val="24"/>
        </w:rPr>
      </w:pPr>
      <w:r w:rsidRPr="004438CE">
        <w:rPr>
          <w:sz w:val="24"/>
          <w:szCs w:val="24"/>
        </w:rPr>
        <w:t xml:space="preserve">The </w:t>
      </w:r>
      <w:r>
        <w:rPr>
          <w:sz w:val="24"/>
          <w:szCs w:val="24"/>
        </w:rPr>
        <w:t xml:space="preserve">Department </w:t>
      </w:r>
      <w:r w:rsidRPr="004438CE">
        <w:rPr>
          <w:sz w:val="24"/>
          <w:szCs w:val="24"/>
        </w:rPr>
        <w:t xml:space="preserve">reviewed </w:t>
      </w:r>
      <w:r>
        <w:rPr>
          <w:sz w:val="24"/>
          <w:szCs w:val="24"/>
        </w:rPr>
        <w:t xml:space="preserve">the </w:t>
      </w:r>
      <w:r w:rsidRPr="004438CE">
        <w:rPr>
          <w:sz w:val="24"/>
          <w:szCs w:val="24"/>
        </w:rPr>
        <w:t>FY 201</w:t>
      </w:r>
      <w:r>
        <w:rPr>
          <w:sz w:val="24"/>
          <w:szCs w:val="24"/>
        </w:rPr>
        <w:t>5</w:t>
      </w:r>
      <w:r w:rsidRPr="004438CE">
        <w:rPr>
          <w:sz w:val="24"/>
          <w:szCs w:val="24"/>
        </w:rPr>
        <w:t xml:space="preserve"> contract inventory for special interest functions that require increased management attention due to heightened risk of workforce imbalance.</w:t>
      </w:r>
      <w:r>
        <w:rPr>
          <w:sz w:val="24"/>
          <w:szCs w:val="24"/>
        </w:rPr>
        <w:t xml:space="preserve"> </w:t>
      </w:r>
      <w:r w:rsidRPr="004438CE">
        <w:rPr>
          <w:sz w:val="24"/>
          <w:szCs w:val="24"/>
        </w:rPr>
        <w:t xml:space="preserve">The special interest functions selected for review are primarily </w:t>
      </w:r>
      <w:r>
        <w:rPr>
          <w:sz w:val="24"/>
          <w:szCs w:val="24"/>
        </w:rPr>
        <w:t xml:space="preserve">in </w:t>
      </w:r>
      <w:r w:rsidRPr="004438CE">
        <w:rPr>
          <w:sz w:val="24"/>
          <w:szCs w:val="24"/>
        </w:rPr>
        <w:t>the “D” and “R”</w:t>
      </w:r>
      <w:r>
        <w:rPr>
          <w:sz w:val="24"/>
          <w:szCs w:val="24"/>
        </w:rPr>
        <w:t xml:space="preserve"> </w:t>
      </w:r>
      <w:r w:rsidRPr="008D297A">
        <w:rPr>
          <w:sz w:val="24"/>
          <w:szCs w:val="24"/>
        </w:rPr>
        <w:t>Product and Service Codes</w:t>
      </w:r>
      <w:r>
        <w:rPr>
          <w:sz w:val="24"/>
          <w:szCs w:val="24"/>
        </w:rPr>
        <w:t xml:space="preserve"> (PSC)</w:t>
      </w:r>
      <w:r w:rsidRPr="004438CE">
        <w:rPr>
          <w:sz w:val="24"/>
          <w:szCs w:val="24"/>
        </w:rPr>
        <w:t>.</w:t>
      </w:r>
      <w:r>
        <w:rPr>
          <w:sz w:val="24"/>
          <w:szCs w:val="24"/>
        </w:rPr>
        <w:t xml:space="preserve"> Contracts within these codes include those that provide professional administrative and management services, which may lead to an agency’s over-reliance of contractor services. </w:t>
      </w:r>
      <w:r w:rsidRPr="004438CE">
        <w:rPr>
          <w:sz w:val="24"/>
          <w:szCs w:val="24"/>
        </w:rPr>
        <w:t xml:space="preserve">The selections of these codes are consistent with </w:t>
      </w:r>
      <w:r w:rsidR="00D45F65">
        <w:rPr>
          <w:sz w:val="24"/>
          <w:szCs w:val="24"/>
        </w:rPr>
        <w:t xml:space="preserve">PSC selections for the </w:t>
      </w:r>
      <w:r>
        <w:rPr>
          <w:sz w:val="24"/>
          <w:szCs w:val="24"/>
        </w:rPr>
        <w:t xml:space="preserve">Department’s FY 2010 through FY 2014 </w:t>
      </w:r>
      <w:r w:rsidRPr="004438CE">
        <w:rPr>
          <w:sz w:val="24"/>
          <w:szCs w:val="24"/>
        </w:rPr>
        <w:t>service contract inventory review</w:t>
      </w:r>
      <w:r>
        <w:rPr>
          <w:sz w:val="24"/>
          <w:szCs w:val="24"/>
        </w:rPr>
        <w:t>s</w:t>
      </w:r>
      <w:r w:rsidRPr="004438CE">
        <w:rPr>
          <w:sz w:val="24"/>
          <w:szCs w:val="24"/>
        </w:rPr>
        <w:t>.</w:t>
      </w:r>
      <w:r>
        <w:rPr>
          <w:sz w:val="24"/>
          <w:szCs w:val="24"/>
        </w:rPr>
        <w:t xml:space="preserve"> </w:t>
      </w:r>
    </w:p>
    <w:p w14:paraId="04C11BE6" w14:textId="77777777" w:rsidR="00D60B7A" w:rsidRDefault="00D60B7A" w:rsidP="00D60B7A">
      <w:pPr>
        <w:rPr>
          <w:sz w:val="24"/>
          <w:szCs w:val="24"/>
        </w:rPr>
      </w:pPr>
    </w:p>
    <w:p w14:paraId="7F580531" w14:textId="77777777" w:rsidR="00D60B7A" w:rsidRDefault="00D60B7A" w:rsidP="00D60B7A">
      <w:pPr>
        <w:rPr>
          <w:sz w:val="24"/>
          <w:szCs w:val="24"/>
        </w:rPr>
      </w:pPr>
      <w:r w:rsidRPr="00FA3423">
        <w:rPr>
          <w:sz w:val="24"/>
          <w:szCs w:val="24"/>
        </w:rPr>
        <w:lastRenderedPageBreak/>
        <w:t xml:space="preserve">The Department </w:t>
      </w:r>
      <w:r>
        <w:rPr>
          <w:sz w:val="24"/>
          <w:szCs w:val="24"/>
        </w:rPr>
        <w:t xml:space="preserve">selected </w:t>
      </w:r>
      <w:r w:rsidRPr="00FA3423">
        <w:rPr>
          <w:sz w:val="24"/>
          <w:szCs w:val="24"/>
        </w:rPr>
        <w:t xml:space="preserve">a total of 10 </w:t>
      </w:r>
      <w:r>
        <w:rPr>
          <w:sz w:val="24"/>
          <w:szCs w:val="24"/>
        </w:rPr>
        <w:t>PSCs</w:t>
      </w:r>
      <w:r w:rsidRPr="00FA3423">
        <w:rPr>
          <w:sz w:val="24"/>
          <w:szCs w:val="24"/>
        </w:rPr>
        <w:t xml:space="preserve"> for </w:t>
      </w:r>
      <w:r>
        <w:rPr>
          <w:sz w:val="24"/>
          <w:szCs w:val="24"/>
        </w:rPr>
        <w:t xml:space="preserve">the </w:t>
      </w:r>
      <w:r w:rsidRPr="00FA3423">
        <w:rPr>
          <w:sz w:val="24"/>
          <w:szCs w:val="24"/>
        </w:rPr>
        <w:t>FY 201</w:t>
      </w:r>
      <w:r>
        <w:rPr>
          <w:sz w:val="24"/>
          <w:szCs w:val="24"/>
        </w:rPr>
        <w:t>5</w:t>
      </w:r>
      <w:r w:rsidRPr="00FA3423">
        <w:rPr>
          <w:sz w:val="24"/>
          <w:szCs w:val="24"/>
        </w:rPr>
        <w:t xml:space="preserve"> </w:t>
      </w:r>
      <w:r>
        <w:rPr>
          <w:sz w:val="24"/>
          <w:szCs w:val="24"/>
        </w:rPr>
        <w:t>SCI</w:t>
      </w:r>
      <w:r w:rsidRPr="00FA3423">
        <w:rPr>
          <w:sz w:val="24"/>
          <w:szCs w:val="24"/>
        </w:rPr>
        <w:t xml:space="preserve"> analysis</w:t>
      </w:r>
      <w:r>
        <w:rPr>
          <w:sz w:val="24"/>
          <w:szCs w:val="24"/>
        </w:rPr>
        <w:t xml:space="preserve">. </w:t>
      </w:r>
      <w:r w:rsidRPr="00B26F87">
        <w:rPr>
          <w:sz w:val="24"/>
          <w:szCs w:val="24"/>
        </w:rPr>
        <w:t xml:space="preserve">The Department determined the percentage of dollars obligated </w:t>
      </w:r>
      <w:r>
        <w:rPr>
          <w:sz w:val="24"/>
          <w:szCs w:val="24"/>
        </w:rPr>
        <w:t>under</w:t>
      </w:r>
      <w:r w:rsidRPr="00B26F87">
        <w:rPr>
          <w:sz w:val="24"/>
          <w:szCs w:val="24"/>
        </w:rPr>
        <w:t xml:space="preserve"> each PSC</w:t>
      </w:r>
      <w:r>
        <w:rPr>
          <w:sz w:val="24"/>
          <w:szCs w:val="24"/>
        </w:rPr>
        <w:t xml:space="preserve"> by </w:t>
      </w:r>
      <w:r w:rsidRPr="00B26F87">
        <w:rPr>
          <w:sz w:val="24"/>
          <w:szCs w:val="24"/>
        </w:rPr>
        <w:t xml:space="preserve">dividing the </w:t>
      </w:r>
      <w:r>
        <w:rPr>
          <w:sz w:val="24"/>
          <w:szCs w:val="24"/>
        </w:rPr>
        <w:t xml:space="preserve">amount obligated under each PSC by the </w:t>
      </w:r>
      <w:r w:rsidRPr="00B26F87">
        <w:rPr>
          <w:sz w:val="24"/>
          <w:szCs w:val="24"/>
        </w:rPr>
        <w:t xml:space="preserve">total </w:t>
      </w:r>
      <w:r>
        <w:rPr>
          <w:sz w:val="24"/>
          <w:szCs w:val="24"/>
        </w:rPr>
        <w:t xml:space="preserve">contract obligations during FY 2015. Additional detailed rationale for selecting each PSC for review is illustrated below. </w:t>
      </w:r>
    </w:p>
    <w:p w14:paraId="6ECC234E" w14:textId="77777777" w:rsidR="00D60B7A" w:rsidRDefault="00D60B7A" w:rsidP="00D60B7A">
      <w:pPr>
        <w:rPr>
          <w:sz w:val="24"/>
          <w:szCs w:val="24"/>
        </w:rPr>
      </w:pPr>
    </w:p>
    <w:p w14:paraId="287366F1" w14:textId="77777777" w:rsidR="00D60B7A" w:rsidRPr="00B26F87" w:rsidRDefault="00D60B7A" w:rsidP="00D60B7A">
      <w:pPr>
        <w:jc w:val="center"/>
        <w:rPr>
          <w:b/>
          <w:sz w:val="24"/>
          <w:szCs w:val="24"/>
        </w:rPr>
      </w:pPr>
      <w:r w:rsidRPr="00B26F87">
        <w:rPr>
          <w:b/>
          <w:sz w:val="24"/>
          <w:szCs w:val="24"/>
        </w:rPr>
        <w:t>Product and Service Codes (PSC) Selected for Evaluation</w:t>
      </w:r>
    </w:p>
    <w:p w14:paraId="6E40EBE9" w14:textId="77777777" w:rsidR="00D60B7A" w:rsidRPr="00F276EA" w:rsidRDefault="00D60B7A" w:rsidP="00D60B7A">
      <w:pPr>
        <w:rPr>
          <w:sz w:val="10"/>
          <w:szCs w:val="10"/>
        </w:rPr>
      </w:pPr>
    </w:p>
    <w:p w14:paraId="4BA74AF8" w14:textId="77777777" w:rsidR="00D60B7A" w:rsidRPr="007D6FA6" w:rsidRDefault="00D60B7A" w:rsidP="00D60B7A">
      <w:pPr>
        <w:jc w:val="center"/>
        <w:rPr>
          <w:i/>
          <w:sz w:val="22"/>
          <w:szCs w:val="22"/>
        </w:rPr>
      </w:pPr>
      <w:r w:rsidRPr="007D6FA6">
        <w:rPr>
          <w:i/>
          <w:sz w:val="22"/>
          <w:szCs w:val="22"/>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142"/>
        <w:gridCol w:w="1838"/>
        <w:gridCol w:w="1600"/>
      </w:tblGrid>
      <w:tr w:rsidR="00D60B7A" w:rsidRPr="00CE6B4B" w14:paraId="7B1DD0C0" w14:textId="77777777" w:rsidTr="00CB0DEF">
        <w:trPr>
          <w:trHeight w:val="284"/>
          <w:jc w:val="center"/>
        </w:trPr>
        <w:tc>
          <w:tcPr>
            <w:tcW w:w="763" w:type="dxa"/>
            <w:shd w:val="clear" w:color="auto" w:fill="auto"/>
          </w:tcPr>
          <w:p w14:paraId="6BF3F990" w14:textId="77777777" w:rsidR="00D60B7A" w:rsidRPr="00CE6B4B" w:rsidRDefault="00D60B7A" w:rsidP="00CB0DEF">
            <w:pPr>
              <w:jc w:val="center"/>
              <w:rPr>
                <w:b/>
                <w:sz w:val="24"/>
                <w:szCs w:val="24"/>
              </w:rPr>
            </w:pPr>
            <w:r w:rsidRPr="00CE6B4B">
              <w:rPr>
                <w:b/>
                <w:sz w:val="24"/>
                <w:szCs w:val="24"/>
              </w:rPr>
              <w:t>PSC</w:t>
            </w:r>
          </w:p>
        </w:tc>
        <w:tc>
          <w:tcPr>
            <w:tcW w:w="5142" w:type="dxa"/>
            <w:shd w:val="clear" w:color="auto" w:fill="auto"/>
          </w:tcPr>
          <w:p w14:paraId="09B9F19E" w14:textId="77777777" w:rsidR="00D60B7A" w:rsidRPr="00CE6B4B" w:rsidRDefault="00D60B7A" w:rsidP="00CB0DEF">
            <w:pPr>
              <w:jc w:val="center"/>
              <w:rPr>
                <w:b/>
                <w:sz w:val="24"/>
                <w:szCs w:val="24"/>
              </w:rPr>
            </w:pPr>
            <w:r w:rsidRPr="00CE6B4B">
              <w:rPr>
                <w:b/>
                <w:sz w:val="24"/>
                <w:szCs w:val="24"/>
              </w:rPr>
              <w:t>Description</w:t>
            </w:r>
          </w:p>
        </w:tc>
        <w:tc>
          <w:tcPr>
            <w:tcW w:w="1838" w:type="dxa"/>
            <w:shd w:val="clear" w:color="auto" w:fill="auto"/>
          </w:tcPr>
          <w:p w14:paraId="3D76E7E1" w14:textId="77777777" w:rsidR="00D60B7A" w:rsidRPr="00CE6B4B" w:rsidRDefault="00D60B7A" w:rsidP="00CB0DEF">
            <w:pPr>
              <w:jc w:val="center"/>
              <w:rPr>
                <w:b/>
                <w:sz w:val="24"/>
                <w:szCs w:val="24"/>
              </w:rPr>
            </w:pPr>
            <w:r w:rsidRPr="00CE6B4B">
              <w:rPr>
                <w:b/>
                <w:sz w:val="24"/>
                <w:szCs w:val="24"/>
              </w:rPr>
              <w:t>Amount</w:t>
            </w:r>
          </w:p>
          <w:p w14:paraId="15AA8665" w14:textId="77777777" w:rsidR="00D60B7A" w:rsidRPr="00CE6B4B" w:rsidRDefault="00D60B7A" w:rsidP="00CB0DEF">
            <w:pPr>
              <w:jc w:val="center"/>
              <w:rPr>
                <w:b/>
                <w:sz w:val="24"/>
                <w:szCs w:val="24"/>
              </w:rPr>
            </w:pPr>
            <w:r w:rsidRPr="00CE6B4B">
              <w:rPr>
                <w:b/>
                <w:sz w:val="24"/>
                <w:szCs w:val="24"/>
              </w:rPr>
              <w:t>Obligated</w:t>
            </w:r>
          </w:p>
        </w:tc>
        <w:tc>
          <w:tcPr>
            <w:tcW w:w="1600" w:type="dxa"/>
          </w:tcPr>
          <w:p w14:paraId="49F29A7F" w14:textId="77777777" w:rsidR="00D60B7A" w:rsidRPr="00D60B7A" w:rsidRDefault="00D60B7A" w:rsidP="00CB0DEF">
            <w:pPr>
              <w:jc w:val="center"/>
              <w:rPr>
                <w:b/>
                <w:sz w:val="24"/>
                <w:szCs w:val="24"/>
                <w:vertAlign w:val="superscript"/>
              </w:rPr>
            </w:pPr>
            <w:r w:rsidRPr="00CE6B4B">
              <w:rPr>
                <w:b/>
                <w:sz w:val="24"/>
                <w:szCs w:val="24"/>
              </w:rPr>
              <w:t>% of Total Obligations</w:t>
            </w:r>
            <w:r>
              <w:rPr>
                <w:b/>
                <w:sz w:val="24"/>
                <w:szCs w:val="24"/>
                <w:vertAlign w:val="superscript"/>
              </w:rPr>
              <w:t>*</w:t>
            </w:r>
          </w:p>
        </w:tc>
      </w:tr>
      <w:tr w:rsidR="00D60B7A" w:rsidRPr="00CE6B4B" w14:paraId="27AFDEC1" w14:textId="77777777" w:rsidTr="00CB0DEF">
        <w:trPr>
          <w:trHeight w:val="284"/>
          <w:jc w:val="center"/>
        </w:trPr>
        <w:tc>
          <w:tcPr>
            <w:tcW w:w="763" w:type="dxa"/>
            <w:shd w:val="clear" w:color="auto" w:fill="auto"/>
          </w:tcPr>
          <w:p w14:paraId="41DE550E" w14:textId="77777777" w:rsidR="00D60B7A" w:rsidRPr="00CE6B4B" w:rsidRDefault="00D60B7A" w:rsidP="00CB0DEF">
            <w:pPr>
              <w:rPr>
                <w:sz w:val="24"/>
                <w:szCs w:val="24"/>
              </w:rPr>
            </w:pPr>
            <w:r w:rsidRPr="00CE6B4B">
              <w:rPr>
                <w:sz w:val="24"/>
                <w:szCs w:val="24"/>
              </w:rPr>
              <w:t>AF11</w:t>
            </w:r>
          </w:p>
        </w:tc>
        <w:tc>
          <w:tcPr>
            <w:tcW w:w="5142" w:type="dxa"/>
            <w:shd w:val="clear" w:color="auto" w:fill="auto"/>
          </w:tcPr>
          <w:p w14:paraId="0971C4F1" w14:textId="77777777" w:rsidR="00D60B7A" w:rsidRPr="00CE6B4B" w:rsidRDefault="00D60B7A" w:rsidP="00CB0DEF">
            <w:pPr>
              <w:rPr>
                <w:sz w:val="24"/>
                <w:szCs w:val="24"/>
              </w:rPr>
            </w:pPr>
            <w:r w:rsidRPr="00CE6B4B">
              <w:rPr>
                <w:sz w:val="24"/>
                <w:szCs w:val="24"/>
              </w:rPr>
              <w:t>Research and Development-Education (Basic)</w:t>
            </w:r>
          </w:p>
        </w:tc>
        <w:tc>
          <w:tcPr>
            <w:tcW w:w="1838" w:type="dxa"/>
            <w:shd w:val="clear" w:color="auto" w:fill="auto"/>
          </w:tcPr>
          <w:p w14:paraId="6C9D16A2" w14:textId="77777777" w:rsidR="00D60B7A" w:rsidRPr="00CE6B4B" w:rsidRDefault="00D60B7A" w:rsidP="00CB0DEF">
            <w:pPr>
              <w:rPr>
                <w:sz w:val="24"/>
                <w:szCs w:val="24"/>
              </w:rPr>
            </w:pPr>
            <w:r w:rsidRPr="00CE6B4B">
              <w:rPr>
                <w:sz w:val="24"/>
                <w:szCs w:val="24"/>
              </w:rPr>
              <w:t>$     82,</w:t>
            </w:r>
            <w:r>
              <w:rPr>
                <w:sz w:val="24"/>
                <w:szCs w:val="24"/>
              </w:rPr>
              <w:t>459,718</w:t>
            </w:r>
          </w:p>
        </w:tc>
        <w:tc>
          <w:tcPr>
            <w:tcW w:w="1600" w:type="dxa"/>
          </w:tcPr>
          <w:p w14:paraId="617A30D2" w14:textId="77777777" w:rsidR="00D60B7A" w:rsidRPr="00CE6B4B" w:rsidRDefault="00D60B7A" w:rsidP="00CB0DEF">
            <w:pPr>
              <w:jc w:val="center"/>
              <w:rPr>
                <w:sz w:val="24"/>
                <w:szCs w:val="24"/>
              </w:rPr>
            </w:pPr>
            <w:r w:rsidRPr="00CE6B4B">
              <w:rPr>
                <w:sz w:val="24"/>
                <w:szCs w:val="24"/>
              </w:rPr>
              <w:t>3.2%</w:t>
            </w:r>
          </w:p>
        </w:tc>
      </w:tr>
      <w:tr w:rsidR="00D60B7A" w:rsidRPr="00CE6B4B" w14:paraId="09A8BFD2" w14:textId="77777777" w:rsidTr="00CB0DEF">
        <w:trPr>
          <w:trHeight w:val="284"/>
          <w:jc w:val="center"/>
        </w:trPr>
        <w:tc>
          <w:tcPr>
            <w:tcW w:w="763" w:type="dxa"/>
            <w:shd w:val="clear" w:color="auto" w:fill="auto"/>
          </w:tcPr>
          <w:p w14:paraId="21014C43" w14:textId="77777777" w:rsidR="00D60B7A" w:rsidRPr="00CE6B4B" w:rsidRDefault="00D60B7A" w:rsidP="00CB0DEF">
            <w:pPr>
              <w:rPr>
                <w:sz w:val="24"/>
                <w:szCs w:val="24"/>
              </w:rPr>
            </w:pPr>
            <w:r w:rsidRPr="00CE6B4B">
              <w:rPr>
                <w:sz w:val="24"/>
                <w:szCs w:val="24"/>
              </w:rPr>
              <w:t>B506</w:t>
            </w:r>
          </w:p>
        </w:tc>
        <w:tc>
          <w:tcPr>
            <w:tcW w:w="5142" w:type="dxa"/>
            <w:shd w:val="clear" w:color="auto" w:fill="auto"/>
          </w:tcPr>
          <w:p w14:paraId="49D75804" w14:textId="77777777" w:rsidR="00D60B7A" w:rsidRPr="00CE6B4B" w:rsidRDefault="00D60B7A" w:rsidP="00CB0DEF">
            <w:pPr>
              <w:rPr>
                <w:sz w:val="24"/>
                <w:szCs w:val="24"/>
              </w:rPr>
            </w:pPr>
            <w:r w:rsidRPr="00CE6B4B">
              <w:rPr>
                <w:sz w:val="24"/>
                <w:szCs w:val="24"/>
              </w:rPr>
              <w:t>Study/Data Other Than Scientific</w:t>
            </w:r>
          </w:p>
        </w:tc>
        <w:tc>
          <w:tcPr>
            <w:tcW w:w="1838" w:type="dxa"/>
            <w:shd w:val="clear" w:color="auto" w:fill="auto"/>
          </w:tcPr>
          <w:p w14:paraId="65587BB3" w14:textId="77777777" w:rsidR="00D60B7A" w:rsidRPr="00CE6B4B" w:rsidRDefault="00D60B7A" w:rsidP="00CB0DEF">
            <w:pPr>
              <w:rPr>
                <w:sz w:val="24"/>
                <w:szCs w:val="24"/>
              </w:rPr>
            </w:pPr>
            <w:r w:rsidRPr="00CE6B4B">
              <w:rPr>
                <w:sz w:val="24"/>
                <w:szCs w:val="24"/>
              </w:rPr>
              <w:t>$     73,959,283</w:t>
            </w:r>
          </w:p>
        </w:tc>
        <w:tc>
          <w:tcPr>
            <w:tcW w:w="1600" w:type="dxa"/>
          </w:tcPr>
          <w:p w14:paraId="0E8E7199" w14:textId="77777777" w:rsidR="00D60B7A" w:rsidRPr="00CE6B4B" w:rsidRDefault="00D60B7A" w:rsidP="00CB0DEF">
            <w:pPr>
              <w:jc w:val="center"/>
              <w:rPr>
                <w:sz w:val="24"/>
                <w:szCs w:val="24"/>
              </w:rPr>
            </w:pPr>
            <w:r w:rsidRPr="00CE6B4B">
              <w:rPr>
                <w:sz w:val="24"/>
                <w:szCs w:val="24"/>
              </w:rPr>
              <w:t>2.8%</w:t>
            </w:r>
          </w:p>
        </w:tc>
      </w:tr>
      <w:tr w:rsidR="00D60B7A" w:rsidRPr="00CE6B4B" w14:paraId="52360DB8" w14:textId="77777777" w:rsidTr="00CB0DEF">
        <w:trPr>
          <w:trHeight w:val="284"/>
          <w:jc w:val="center"/>
        </w:trPr>
        <w:tc>
          <w:tcPr>
            <w:tcW w:w="763" w:type="dxa"/>
            <w:shd w:val="clear" w:color="auto" w:fill="auto"/>
          </w:tcPr>
          <w:p w14:paraId="29D38879" w14:textId="77777777" w:rsidR="00D60B7A" w:rsidRPr="00CE6B4B" w:rsidRDefault="00D60B7A" w:rsidP="00CB0DEF">
            <w:pPr>
              <w:rPr>
                <w:sz w:val="24"/>
                <w:szCs w:val="24"/>
              </w:rPr>
            </w:pPr>
            <w:r w:rsidRPr="00CE6B4B">
              <w:rPr>
                <w:sz w:val="24"/>
                <w:szCs w:val="24"/>
              </w:rPr>
              <w:t>B542</w:t>
            </w:r>
          </w:p>
        </w:tc>
        <w:tc>
          <w:tcPr>
            <w:tcW w:w="5142" w:type="dxa"/>
            <w:shd w:val="clear" w:color="auto" w:fill="auto"/>
          </w:tcPr>
          <w:p w14:paraId="332751BD" w14:textId="77777777" w:rsidR="00D60B7A" w:rsidRPr="00CE6B4B" w:rsidRDefault="00D60B7A" w:rsidP="00CB0DEF">
            <w:pPr>
              <w:rPr>
                <w:sz w:val="24"/>
                <w:szCs w:val="24"/>
              </w:rPr>
            </w:pPr>
            <w:r w:rsidRPr="00CE6B4B">
              <w:rPr>
                <w:sz w:val="24"/>
                <w:szCs w:val="24"/>
              </w:rPr>
              <w:t>Special Studies/Analysis - Education</w:t>
            </w:r>
          </w:p>
        </w:tc>
        <w:tc>
          <w:tcPr>
            <w:tcW w:w="1838" w:type="dxa"/>
            <w:shd w:val="clear" w:color="auto" w:fill="auto"/>
          </w:tcPr>
          <w:p w14:paraId="067799F4" w14:textId="77777777" w:rsidR="00D60B7A" w:rsidRPr="00CE6B4B" w:rsidRDefault="00D60B7A" w:rsidP="00CB0DEF">
            <w:pPr>
              <w:rPr>
                <w:sz w:val="24"/>
                <w:szCs w:val="24"/>
              </w:rPr>
            </w:pPr>
            <w:r w:rsidRPr="00CE6B4B">
              <w:rPr>
                <w:sz w:val="24"/>
                <w:szCs w:val="24"/>
              </w:rPr>
              <w:t>$     90,772,112</w:t>
            </w:r>
          </w:p>
        </w:tc>
        <w:tc>
          <w:tcPr>
            <w:tcW w:w="1600" w:type="dxa"/>
          </w:tcPr>
          <w:p w14:paraId="3559D466" w14:textId="77777777" w:rsidR="00D60B7A" w:rsidRPr="00CE6B4B" w:rsidRDefault="00D60B7A" w:rsidP="00CB0DEF">
            <w:pPr>
              <w:jc w:val="center"/>
              <w:rPr>
                <w:sz w:val="24"/>
                <w:szCs w:val="24"/>
              </w:rPr>
            </w:pPr>
            <w:r w:rsidRPr="00CE6B4B">
              <w:rPr>
                <w:sz w:val="24"/>
                <w:szCs w:val="24"/>
              </w:rPr>
              <w:t>3.5%</w:t>
            </w:r>
          </w:p>
        </w:tc>
      </w:tr>
      <w:tr w:rsidR="00D60B7A" w:rsidRPr="00CE6B4B" w14:paraId="3AC2BC56" w14:textId="77777777" w:rsidTr="00CB0DEF">
        <w:trPr>
          <w:trHeight w:val="284"/>
          <w:jc w:val="center"/>
        </w:trPr>
        <w:tc>
          <w:tcPr>
            <w:tcW w:w="763" w:type="dxa"/>
            <w:shd w:val="clear" w:color="auto" w:fill="auto"/>
          </w:tcPr>
          <w:p w14:paraId="7EB91C50" w14:textId="77777777" w:rsidR="00D60B7A" w:rsidRPr="00CE6B4B" w:rsidRDefault="00D60B7A" w:rsidP="00CB0DEF">
            <w:pPr>
              <w:rPr>
                <w:sz w:val="24"/>
                <w:szCs w:val="24"/>
              </w:rPr>
            </w:pPr>
            <w:r w:rsidRPr="00CE6B4B">
              <w:rPr>
                <w:sz w:val="24"/>
                <w:szCs w:val="24"/>
              </w:rPr>
              <w:t>D301</w:t>
            </w:r>
          </w:p>
        </w:tc>
        <w:tc>
          <w:tcPr>
            <w:tcW w:w="5142" w:type="dxa"/>
            <w:shd w:val="clear" w:color="auto" w:fill="auto"/>
          </w:tcPr>
          <w:p w14:paraId="1E802C6A" w14:textId="77777777" w:rsidR="00D60B7A" w:rsidRPr="00CE6B4B" w:rsidRDefault="00D60B7A" w:rsidP="00CB0DEF">
            <w:pPr>
              <w:rPr>
                <w:sz w:val="24"/>
                <w:szCs w:val="24"/>
              </w:rPr>
            </w:pPr>
            <w:r w:rsidRPr="00CE6B4B">
              <w:rPr>
                <w:sz w:val="24"/>
                <w:szCs w:val="24"/>
              </w:rPr>
              <w:t>IT &amp; Telecom-Facility Operation &amp; Maintenance</w:t>
            </w:r>
          </w:p>
        </w:tc>
        <w:tc>
          <w:tcPr>
            <w:tcW w:w="1838" w:type="dxa"/>
            <w:shd w:val="clear" w:color="auto" w:fill="auto"/>
          </w:tcPr>
          <w:p w14:paraId="3634A205" w14:textId="77777777" w:rsidR="00D60B7A" w:rsidRPr="00CE6B4B" w:rsidRDefault="00D60B7A" w:rsidP="00CB0DEF">
            <w:pPr>
              <w:rPr>
                <w:sz w:val="24"/>
                <w:szCs w:val="24"/>
              </w:rPr>
            </w:pPr>
            <w:r w:rsidRPr="00CE6B4B">
              <w:rPr>
                <w:sz w:val="24"/>
                <w:szCs w:val="24"/>
              </w:rPr>
              <w:t>$   125,102,076</w:t>
            </w:r>
          </w:p>
        </w:tc>
        <w:tc>
          <w:tcPr>
            <w:tcW w:w="1600" w:type="dxa"/>
          </w:tcPr>
          <w:p w14:paraId="1C38668C" w14:textId="77777777" w:rsidR="00D60B7A" w:rsidRPr="00CE6B4B" w:rsidRDefault="00D60B7A" w:rsidP="00CB0DEF">
            <w:pPr>
              <w:jc w:val="center"/>
              <w:rPr>
                <w:sz w:val="24"/>
                <w:szCs w:val="24"/>
              </w:rPr>
            </w:pPr>
            <w:r w:rsidRPr="00CE6B4B">
              <w:rPr>
                <w:sz w:val="24"/>
                <w:szCs w:val="24"/>
              </w:rPr>
              <w:t>4.8%</w:t>
            </w:r>
          </w:p>
        </w:tc>
      </w:tr>
      <w:tr w:rsidR="00D60B7A" w:rsidRPr="00CE6B4B" w14:paraId="1E6778A0" w14:textId="77777777" w:rsidTr="00CB0DEF">
        <w:trPr>
          <w:trHeight w:val="284"/>
          <w:jc w:val="center"/>
        </w:trPr>
        <w:tc>
          <w:tcPr>
            <w:tcW w:w="763" w:type="dxa"/>
            <w:shd w:val="clear" w:color="auto" w:fill="auto"/>
          </w:tcPr>
          <w:p w14:paraId="5BC000EA" w14:textId="77777777" w:rsidR="00D60B7A" w:rsidRPr="00CE6B4B" w:rsidRDefault="00D60B7A" w:rsidP="00CB0DEF">
            <w:pPr>
              <w:rPr>
                <w:sz w:val="24"/>
                <w:szCs w:val="24"/>
              </w:rPr>
            </w:pPr>
            <w:r w:rsidRPr="00CE6B4B">
              <w:rPr>
                <w:sz w:val="24"/>
                <w:szCs w:val="24"/>
              </w:rPr>
              <w:t>D313</w:t>
            </w:r>
          </w:p>
        </w:tc>
        <w:tc>
          <w:tcPr>
            <w:tcW w:w="5142" w:type="dxa"/>
            <w:shd w:val="clear" w:color="auto" w:fill="auto"/>
          </w:tcPr>
          <w:p w14:paraId="6FEFEA65" w14:textId="77777777" w:rsidR="00D60B7A" w:rsidRPr="00CE6B4B" w:rsidRDefault="00D60B7A" w:rsidP="00CB0DEF">
            <w:pPr>
              <w:rPr>
                <w:sz w:val="24"/>
                <w:szCs w:val="24"/>
              </w:rPr>
            </w:pPr>
            <w:r w:rsidRPr="00CE6B4B">
              <w:rPr>
                <w:sz w:val="24"/>
                <w:szCs w:val="24"/>
              </w:rPr>
              <w:t>IT &amp; Telecom-Computer Aided Design</w:t>
            </w:r>
          </w:p>
        </w:tc>
        <w:tc>
          <w:tcPr>
            <w:tcW w:w="1838" w:type="dxa"/>
            <w:shd w:val="clear" w:color="auto" w:fill="auto"/>
          </w:tcPr>
          <w:p w14:paraId="62001947" w14:textId="77777777" w:rsidR="00D60B7A" w:rsidRPr="00CE6B4B" w:rsidRDefault="00D60B7A" w:rsidP="00CB0DEF">
            <w:pPr>
              <w:rPr>
                <w:sz w:val="24"/>
                <w:szCs w:val="24"/>
              </w:rPr>
            </w:pPr>
            <w:r w:rsidRPr="00CE6B4B">
              <w:rPr>
                <w:sz w:val="24"/>
                <w:szCs w:val="24"/>
              </w:rPr>
              <w:t>$     59,571,455</w:t>
            </w:r>
          </w:p>
        </w:tc>
        <w:tc>
          <w:tcPr>
            <w:tcW w:w="1600" w:type="dxa"/>
          </w:tcPr>
          <w:p w14:paraId="38D6AAE9" w14:textId="77777777" w:rsidR="00D60B7A" w:rsidRPr="00CE6B4B" w:rsidRDefault="00D60B7A" w:rsidP="00CB0DEF">
            <w:pPr>
              <w:jc w:val="center"/>
              <w:rPr>
                <w:sz w:val="24"/>
                <w:szCs w:val="24"/>
              </w:rPr>
            </w:pPr>
            <w:r w:rsidRPr="00CE6B4B">
              <w:rPr>
                <w:sz w:val="24"/>
                <w:szCs w:val="24"/>
              </w:rPr>
              <w:t>2.3%</w:t>
            </w:r>
          </w:p>
        </w:tc>
      </w:tr>
      <w:tr w:rsidR="00D60B7A" w:rsidRPr="00CE6B4B" w14:paraId="1FCAA469" w14:textId="77777777" w:rsidTr="00CB0DEF">
        <w:trPr>
          <w:trHeight w:val="284"/>
          <w:jc w:val="center"/>
        </w:trPr>
        <w:tc>
          <w:tcPr>
            <w:tcW w:w="763" w:type="dxa"/>
            <w:shd w:val="clear" w:color="auto" w:fill="auto"/>
          </w:tcPr>
          <w:p w14:paraId="028B4CA6" w14:textId="77777777" w:rsidR="00D60B7A" w:rsidRPr="00CE6B4B" w:rsidRDefault="00D60B7A" w:rsidP="00CB0DEF">
            <w:pPr>
              <w:rPr>
                <w:sz w:val="24"/>
                <w:szCs w:val="24"/>
              </w:rPr>
            </w:pPr>
            <w:r w:rsidRPr="00CE6B4B">
              <w:rPr>
                <w:sz w:val="24"/>
                <w:szCs w:val="24"/>
              </w:rPr>
              <w:t>D399</w:t>
            </w:r>
          </w:p>
        </w:tc>
        <w:tc>
          <w:tcPr>
            <w:tcW w:w="5142" w:type="dxa"/>
            <w:shd w:val="clear" w:color="auto" w:fill="auto"/>
          </w:tcPr>
          <w:p w14:paraId="35082A76" w14:textId="77777777" w:rsidR="00D60B7A" w:rsidRPr="00CE6B4B" w:rsidRDefault="00D60B7A" w:rsidP="00CB0DEF">
            <w:pPr>
              <w:rPr>
                <w:sz w:val="24"/>
                <w:szCs w:val="24"/>
              </w:rPr>
            </w:pPr>
            <w:r w:rsidRPr="00CE6B4B">
              <w:rPr>
                <w:sz w:val="24"/>
                <w:szCs w:val="24"/>
              </w:rPr>
              <w:t>IT &amp; Telecom-Other IT &amp; Telecommunications</w:t>
            </w:r>
          </w:p>
        </w:tc>
        <w:tc>
          <w:tcPr>
            <w:tcW w:w="1838" w:type="dxa"/>
            <w:shd w:val="clear" w:color="auto" w:fill="auto"/>
          </w:tcPr>
          <w:p w14:paraId="1551C684" w14:textId="77777777" w:rsidR="00D60B7A" w:rsidRPr="00CE6B4B" w:rsidRDefault="00D60B7A" w:rsidP="00CB0DEF">
            <w:pPr>
              <w:rPr>
                <w:sz w:val="24"/>
                <w:szCs w:val="24"/>
              </w:rPr>
            </w:pPr>
            <w:r w:rsidRPr="00CE6B4B">
              <w:rPr>
                <w:sz w:val="24"/>
                <w:szCs w:val="24"/>
              </w:rPr>
              <w:t>$     38,221,799</w:t>
            </w:r>
          </w:p>
        </w:tc>
        <w:tc>
          <w:tcPr>
            <w:tcW w:w="1600" w:type="dxa"/>
          </w:tcPr>
          <w:p w14:paraId="7D3971AB" w14:textId="77777777" w:rsidR="00D60B7A" w:rsidRPr="00CE6B4B" w:rsidRDefault="00D60B7A" w:rsidP="00CB0DEF">
            <w:pPr>
              <w:jc w:val="center"/>
              <w:rPr>
                <w:sz w:val="24"/>
                <w:szCs w:val="24"/>
              </w:rPr>
            </w:pPr>
            <w:r w:rsidRPr="00CE6B4B">
              <w:rPr>
                <w:sz w:val="24"/>
                <w:szCs w:val="24"/>
              </w:rPr>
              <w:t>1.5%</w:t>
            </w:r>
          </w:p>
        </w:tc>
      </w:tr>
      <w:tr w:rsidR="00D60B7A" w:rsidRPr="00CE6B4B" w14:paraId="5D2844FA" w14:textId="77777777" w:rsidTr="00CB0DEF">
        <w:trPr>
          <w:trHeight w:val="284"/>
          <w:jc w:val="center"/>
        </w:trPr>
        <w:tc>
          <w:tcPr>
            <w:tcW w:w="763" w:type="dxa"/>
            <w:shd w:val="clear" w:color="auto" w:fill="auto"/>
          </w:tcPr>
          <w:p w14:paraId="3C120A37" w14:textId="77777777" w:rsidR="00D60B7A" w:rsidRPr="00CE6B4B" w:rsidRDefault="00D60B7A" w:rsidP="00CB0DEF">
            <w:pPr>
              <w:rPr>
                <w:sz w:val="24"/>
                <w:szCs w:val="24"/>
              </w:rPr>
            </w:pPr>
            <w:r w:rsidRPr="00CE6B4B">
              <w:rPr>
                <w:sz w:val="24"/>
                <w:szCs w:val="24"/>
              </w:rPr>
              <w:t>R499</w:t>
            </w:r>
          </w:p>
        </w:tc>
        <w:tc>
          <w:tcPr>
            <w:tcW w:w="5142" w:type="dxa"/>
            <w:shd w:val="clear" w:color="auto" w:fill="auto"/>
          </w:tcPr>
          <w:p w14:paraId="1B1EB10E" w14:textId="77777777" w:rsidR="00D60B7A" w:rsidRPr="00CE6B4B" w:rsidRDefault="00D60B7A" w:rsidP="00CB0DEF">
            <w:pPr>
              <w:rPr>
                <w:sz w:val="24"/>
                <w:szCs w:val="24"/>
              </w:rPr>
            </w:pPr>
            <w:r w:rsidRPr="00CE6B4B">
              <w:rPr>
                <w:sz w:val="24"/>
                <w:szCs w:val="24"/>
              </w:rPr>
              <w:t>Support – Professional Other</w:t>
            </w:r>
          </w:p>
        </w:tc>
        <w:tc>
          <w:tcPr>
            <w:tcW w:w="1838" w:type="dxa"/>
            <w:shd w:val="clear" w:color="auto" w:fill="auto"/>
          </w:tcPr>
          <w:p w14:paraId="037B2E19" w14:textId="77777777" w:rsidR="00D60B7A" w:rsidRPr="00CE6B4B" w:rsidRDefault="00D60B7A" w:rsidP="00CB0DEF">
            <w:pPr>
              <w:rPr>
                <w:sz w:val="24"/>
                <w:szCs w:val="24"/>
              </w:rPr>
            </w:pPr>
            <w:r w:rsidRPr="00CE6B4B">
              <w:rPr>
                <w:sz w:val="24"/>
                <w:szCs w:val="24"/>
              </w:rPr>
              <w:t>$     61,314,472</w:t>
            </w:r>
          </w:p>
        </w:tc>
        <w:tc>
          <w:tcPr>
            <w:tcW w:w="1600" w:type="dxa"/>
          </w:tcPr>
          <w:p w14:paraId="27A4178D" w14:textId="77777777" w:rsidR="00D60B7A" w:rsidRPr="00CE6B4B" w:rsidRDefault="00D60B7A" w:rsidP="00CB0DEF">
            <w:pPr>
              <w:jc w:val="center"/>
              <w:rPr>
                <w:sz w:val="24"/>
                <w:szCs w:val="24"/>
              </w:rPr>
            </w:pPr>
            <w:r w:rsidRPr="00CE6B4B">
              <w:rPr>
                <w:sz w:val="24"/>
                <w:szCs w:val="24"/>
              </w:rPr>
              <w:t>2.3%</w:t>
            </w:r>
          </w:p>
        </w:tc>
      </w:tr>
      <w:tr w:rsidR="00D60B7A" w:rsidRPr="00CE6B4B" w14:paraId="3CFA350A" w14:textId="77777777" w:rsidTr="00CB0DEF">
        <w:trPr>
          <w:trHeight w:val="300"/>
          <w:jc w:val="center"/>
        </w:trPr>
        <w:tc>
          <w:tcPr>
            <w:tcW w:w="763" w:type="dxa"/>
            <w:shd w:val="clear" w:color="auto" w:fill="auto"/>
          </w:tcPr>
          <w:p w14:paraId="6CEB12F8" w14:textId="77777777" w:rsidR="00D60B7A" w:rsidRPr="00CE6B4B" w:rsidRDefault="00D60B7A" w:rsidP="00CB0DEF">
            <w:pPr>
              <w:rPr>
                <w:sz w:val="24"/>
                <w:szCs w:val="24"/>
              </w:rPr>
            </w:pPr>
            <w:r w:rsidRPr="00CE6B4B">
              <w:rPr>
                <w:sz w:val="24"/>
                <w:szCs w:val="24"/>
              </w:rPr>
              <w:t>R705</w:t>
            </w:r>
          </w:p>
        </w:tc>
        <w:tc>
          <w:tcPr>
            <w:tcW w:w="5142" w:type="dxa"/>
            <w:shd w:val="clear" w:color="auto" w:fill="auto"/>
          </w:tcPr>
          <w:p w14:paraId="1143A05E" w14:textId="77777777" w:rsidR="00D60B7A" w:rsidRPr="00CE6B4B" w:rsidRDefault="00D60B7A" w:rsidP="00CB0DEF">
            <w:pPr>
              <w:tabs>
                <w:tab w:val="center" w:pos="2502"/>
              </w:tabs>
              <w:rPr>
                <w:sz w:val="24"/>
                <w:szCs w:val="24"/>
              </w:rPr>
            </w:pPr>
            <w:r w:rsidRPr="00CE6B4B">
              <w:rPr>
                <w:sz w:val="24"/>
                <w:szCs w:val="24"/>
              </w:rPr>
              <w:t>Support – Management Debt Collection</w:t>
            </w:r>
          </w:p>
        </w:tc>
        <w:tc>
          <w:tcPr>
            <w:tcW w:w="1838" w:type="dxa"/>
            <w:shd w:val="clear" w:color="auto" w:fill="auto"/>
          </w:tcPr>
          <w:p w14:paraId="6A6BFBC1" w14:textId="77777777" w:rsidR="00D60B7A" w:rsidRPr="00CE6B4B" w:rsidRDefault="00D60B7A" w:rsidP="00CB0DEF">
            <w:pPr>
              <w:rPr>
                <w:sz w:val="24"/>
                <w:szCs w:val="24"/>
              </w:rPr>
            </w:pPr>
            <w:r w:rsidRPr="00CE6B4B">
              <w:rPr>
                <w:sz w:val="24"/>
                <w:szCs w:val="24"/>
              </w:rPr>
              <w:t>$1,170,561,129</w:t>
            </w:r>
          </w:p>
        </w:tc>
        <w:tc>
          <w:tcPr>
            <w:tcW w:w="1600" w:type="dxa"/>
          </w:tcPr>
          <w:p w14:paraId="4BA61180" w14:textId="77777777" w:rsidR="00D60B7A" w:rsidRPr="00CE6B4B" w:rsidRDefault="00D60B7A" w:rsidP="00CB0DEF">
            <w:pPr>
              <w:jc w:val="center"/>
              <w:rPr>
                <w:sz w:val="24"/>
                <w:szCs w:val="24"/>
              </w:rPr>
            </w:pPr>
            <w:r w:rsidRPr="00CE6B4B">
              <w:rPr>
                <w:sz w:val="24"/>
                <w:szCs w:val="24"/>
              </w:rPr>
              <w:t>44.7%</w:t>
            </w:r>
          </w:p>
        </w:tc>
      </w:tr>
      <w:tr w:rsidR="00D60B7A" w:rsidRPr="00CE6B4B" w14:paraId="46B42EFF" w14:textId="77777777" w:rsidTr="00CB0DEF">
        <w:trPr>
          <w:trHeight w:val="300"/>
          <w:jc w:val="center"/>
        </w:trPr>
        <w:tc>
          <w:tcPr>
            <w:tcW w:w="763" w:type="dxa"/>
            <w:shd w:val="clear" w:color="auto" w:fill="auto"/>
          </w:tcPr>
          <w:p w14:paraId="65D19CCB" w14:textId="77777777" w:rsidR="00D60B7A" w:rsidRPr="00CE6B4B" w:rsidRDefault="00D60B7A" w:rsidP="00CB0DEF">
            <w:pPr>
              <w:rPr>
                <w:sz w:val="24"/>
                <w:szCs w:val="24"/>
              </w:rPr>
            </w:pPr>
            <w:r w:rsidRPr="00CE6B4B">
              <w:rPr>
                <w:sz w:val="24"/>
                <w:szCs w:val="24"/>
              </w:rPr>
              <w:t>R710</w:t>
            </w:r>
          </w:p>
        </w:tc>
        <w:tc>
          <w:tcPr>
            <w:tcW w:w="5142" w:type="dxa"/>
            <w:shd w:val="clear" w:color="auto" w:fill="auto"/>
          </w:tcPr>
          <w:p w14:paraId="3579019F" w14:textId="77777777" w:rsidR="00D60B7A" w:rsidRPr="00CE6B4B" w:rsidRDefault="00D60B7A" w:rsidP="00CB0DEF">
            <w:pPr>
              <w:rPr>
                <w:sz w:val="24"/>
                <w:szCs w:val="24"/>
              </w:rPr>
            </w:pPr>
            <w:r w:rsidRPr="00CE6B4B">
              <w:rPr>
                <w:sz w:val="24"/>
                <w:szCs w:val="24"/>
              </w:rPr>
              <w:t>Support – Management Financial</w:t>
            </w:r>
          </w:p>
        </w:tc>
        <w:tc>
          <w:tcPr>
            <w:tcW w:w="1838" w:type="dxa"/>
            <w:shd w:val="clear" w:color="auto" w:fill="auto"/>
          </w:tcPr>
          <w:p w14:paraId="7E3FFD7C" w14:textId="77777777" w:rsidR="00D60B7A" w:rsidRPr="00CE6B4B" w:rsidRDefault="00D60B7A" w:rsidP="00CB0DEF">
            <w:pPr>
              <w:rPr>
                <w:sz w:val="24"/>
                <w:szCs w:val="24"/>
              </w:rPr>
            </w:pPr>
            <w:r w:rsidRPr="00CE6B4B">
              <w:rPr>
                <w:sz w:val="24"/>
                <w:szCs w:val="24"/>
              </w:rPr>
              <w:t>$   941,080,277</w:t>
            </w:r>
          </w:p>
        </w:tc>
        <w:tc>
          <w:tcPr>
            <w:tcW w:w="1600" w:type="dxa"/>
          </w:tcPr>
          <w:p w14:paraId="77EC7E3F" w14:textId="77777777" w:rsidR="00D60B7A" w:rsidRPr="00CE6B4B" w:rsidRDefault="00D60B7A" w:rsidP="00CB0DEF">
            <w:pPr>
              <w:jc w:val="center"/>
              <w:rPr>
                <w:sz w:val="24"/>
                <w:szCs w:val="24"/>
              </w:rPr>
            </w:pPr>
            <w:r w:rsidRPr="00CE6B4B">
              <w:rPr>
                <w:sz w:val="24"/>
                <w:szCs w:val="24"/>
              </w:rPr>
              <w:t>35.9%</w:t>
            </w:r>
          </w:p>
        </w:tc>
      </w:tr>
      <w:tr w:rsidR="00D60B7A" w:rsidRPr="008B1F7E" w14:paraId="6EC956A4" w14:textId="77777777" w:rsidTr="00CB0DEF">
        <w:trPr>
          <w:trHeight w:val="300"/>
          <w:jc w:val="center"/>
        </w:trPr>
        <w:tc>
          <w:tcPr>
            <w:tcW w:w="763" w:type="dxa"/>
            <w:shd w:val="clear" w:color="auto" w:fill="auto"/>
          </w:tcPr>
          <w:p w14:paraId="097BCD13" w14:textId="77777777" w:rsidR="00D60B7A" w:rsidRPr="00CE6B4B" w:rsidRDefault="00D60B7A" w:rsidP="00CB0DEF">
            <w:pPr>
              <w:rPr>
                <w:sz w:val="24"/>
                <w:szCs w:val="24"/>
              </w:rPr>
            </w:pPr>
            <w:r w:rsidRPr="00CE6B4B">
              <w:rPr>
                <w:sz w:val="24"/>
                <w:szCs w:val="24"/>
              </w:rPr>
              <w:t>U009</w:t>
            </w:r>
          </w:p>
        </w:tc>
        <w:tc>
          <w:tcPr>
            <w:tcW w:w="5142" w:type="dxa"/>
            <w:shd w:val="clear" w:color="auto" w:fill="auto"/>
          </w:tcPr>
          <w:p w14:paraId="6D76FC9C" w14:textId="77777777" w:rsidR="00D60B7A" w:rsidRPr="00CE6B4B" w:rsidRDefault="00D60B7A" w:rsidP="00CB0DEF">
            <w:pPr>
              <w:rPr>
                <w:sz w:val="24"/>
                <w:szCs w:val="24"/>
              </w:rPr>
            </w:pPr>
            <w:r w:rsidRPr="00CE6B4B">
              <w:rPr>
                <w:sz w:val="24"/>
                <w:szCs w:val="24"/>
              </w:rPr>
              <w:t>Education/Training General</w:t>
            </w:r>
          </w:p>
        </w:tc>
        <w:tc>
          <w:tcPr>
            <w:tcW w:w="1838" w:type="dxa"/>
            <w:shd w:val="clear" w:color="auto" w:fill="auto"/>
          </w:tcPr>
          <w:p w14:paraId="08C5DB0C" w14:textId="77777777" w:rsidR="00D60B7A" w:rsidRPr="00CE6B4B" w:rsidRDefault="00D60B7A" w:rsidP="00CB0DEF">
            <w:pPr>
              <w:rPr>
                <w:sz w:val="24"/>
                <w:szCs w:val="24"/>
              </w:rPr>
            </w:pPr>
            <w:r w:rsidRPr="00CE6B4B">
              <w:rPr>
                <w:sz w:val="24"/>
                <w:szCs w:val="24"/>
              </w:rPr>
              <w:t>$     55,932,316</w:t>
            </w:r>
          </w:p>
        </w:tc>
        <w:tc>
          <w:tcPr>
            <w:tcW w:w="1600" w:type="dxa"/>
          </w:tcPr>
          <w:p w14:paraId="2970FDE7" w14:textId="77777777" w:rsidR="00D60B7A" w:rsidRDefault="00D60B7A" w:rsidP="00CB0DEF">
            <w:pPr>
              <w:jc w:val="center"/>
              <w:rPr>
                <w:sz w:val="24"/>
                <w:szCs w:val="24"/>
              </w:rPr>
            </w:pPr>
            <w:r w:rsidRPr="00CE6B4B">
              <w:rPr>
                <w:sz w:val="24"/>
                <w:szCs w:val="24"/>
              </w:rPr>
              <w:t>2.1%</w:t>
            </w:r>
          </w:p>
        </w:tc>
      </w:tr>
    </w:tbl>
    <w:p w14:paraId="3D0DB59C" w14:textId="77777777" w:rsidR="00D60B7A" w:rsidRPr="00D60B7A" w:rsidRDefault="00D60B7A" w:rsidP="00D60B7A">
      <w:pPr>
        <w:jc w:val="center"/>
        <w:rPr>
          <w:i/>
          <w:sz w:val="24"/>
          <w:szCs w:val="24"/>
          <w:vertAlign w:val="superscript"/>
        </w:rPr>
      </w:pPr>
      <w:r>
        <w:rPr>
          <w:rFonts w:eastAsia="Calibri"/>
          <w:i/>
          <w:sz w:val="24"/>
          <w:szCs w:val="24"/>
          <w:vertAlign w:val="superscript"/>
        </w:rPr>
        <w:t>*In FY 2015</w:t>
      </w:r>
      <w:r w:rsidRPr="00FF2C09">
        <w:rPr>
          <w:rFonts w:eastAsia="Calibri"/>
          <w:i/>
          <w:sz w:val="24"/>
          <w:szCs w:val="24"/>
          <w:vertAlign w:val="superscript"/>
        </w:rPr>
        <w:t xml:space="preserve"> </w:t>
      </w:r>
      <w:r w:rsidR="00725486" w:rsidRPr="00FF2C09">
        <w:rPr>
          <w:rFonts w:eastAsia="Calibri"/>
          <w:i/>
          <w:sz w:val="24"/>
          <w:szCs w:val="24"/>
          <w:vertAlign w:val="superscript"/>
        </w:rPr>
        <w:t>the</w:t>
      </w:r>
      <w:r w:rsidRPr="00FF2C09">
        <w:rPr>
          <w:rFonts w:eastAsia="Calibri"/>
          <w:i/>
          <w:sz w:val="24"/>
          <w:szCs w:val="24"/>
          <w:vertAlign w:val="superscript"/>
        </w:rPr>
        <w:t xml:space="preserve"> Department of Education </w:t>
      </w:r>
      <w:r>
        <w:rPr>
          <w:rFonts w:eastAsia="Calibri"/>
          <w:i/>
          <w:sz w:val="24"/>
          <w:szCs w:val="24"/>
          <w:vertAlign w:val="superscript"/>
        </w:rPr>
        <w:t xml:space="preserve">obligated a total of </w:t>
      </w:r>
      <w:r>
        <w:rPr>
          <w:i/>
          <w:sz w:val="24"/>
          <w:szCs w:val="24"/>
          <w:vertAlign w:val="superscript"/>
        </w:rPr>
        <w:t>$2,932,834,701.26</w:t>
      </w:r>
    </w:p>
    <w:p w14:paraId="51FCE807" w14:textId="77777777" w:rsidR="00D60B7A" w:rsidRDefault="00D60B7A" w:rsidP="00D60B7A">
      <w:pPr>
        <w:jc w:val="center"/>
        <w:rPr>
          <w:b/>
          <w:sz w:val="24"/>
          <w:szCs w:val="24"/>
        </w:rPr>
      </w:pPr>
      <w:r>
        <w:rPr>
          <w:rStyle w:val="st1"/>
          <w:rFonts w:ascii="Arial" w:hAnsi="Arial" w:cs="Arial"/>
          <w:color w:val="444444"/>
        </w:rPr>
        <w:t xml:space="preserve"> </w:t>
      </w:r>
    </w:p>
    <w:p w14:paraId="6E5E43E2" w14:textId="77777777" w:rsidR="00D60B7A" w:rsidRPr="002F6996" w:rsidRDefault="00D60B7A" w:rsidP="00D60B7A">
      <w:pPr>
        <w:rPr>
          <w:b/>
          <w:sz w:val="24"/>
          <w:szCs w:val="24"/>
        </w:rPr>
      </w:pPr>
      <w:r w:rsidRPr="002F6996">
        <w:rPr>
          <w:b/>
          <w:sz w:val="24"/>
          <w:szCs w:val="24"/>
        </w:rPr>
        <w:t>Rationale for FY 2015 PSC Selection</w:t>
      </w:r>
    </w:p>
    <w:p w14:paraId="315F3228" w14:textId="77777777" w:rsidR="00D60B7A" w:rsidRPr="002F6996" w:rsidRDefault="00D60B7A" w:rsidP="00D60B7A">
      <w:pPr>
        <w:rPr>
          <w:sz w:val="10"/>
          <w:szCs w:val="10"/>
        </w:rPr>
      </w:pPr>
    </w:p>
    <w:p w14:paraId="2C140884" w14:textId="77777777" w:rsidR="00D60B7A" w:rsidRPr="002F6996" w:rsidRDefault="00D60B7A" w:rsidP="00D60B7A">
      <w:pPr>
        <w:rPr>
          <w:sz w:val="24"/>
          <w:szCs w:val="24"/>
        </w:rPr>
      </w:pPr>
      <w:r w:rsidRPr="002F6996">
        <w:rPr>
          <w:b/>
          <w:sz w:val="24"/>
          <w:szCs w:val="24"/>
        </w:rPr>
        <w:t>AF11</w:t>
      </w:r>
      <w:r w:rsidRPr="002F6996">
        <w:rPr>
          <w:sz w:val="24"/>
          <w:szCs w:val="24"/>
        </w:rPr>
        <w:t xml:space="preserve"> - </w:t>
      </w:r>
      <w:r w:rsidRPr="0048780D">
        <w:rPr>
          <w:sz w:val="24"/>
          <w:szCs w:val="24"/>
        </w:rPr>
        <w:t xml:space="preserve">Research and Special Studies are services that are identified as commercial services and appropriately outsourced under prior Federal Activities Inventory Reform (FAIR) Act Inventory reviews. </w:t>
      </w:r>
      <w:r w:rsidRPr="002F6996">
        <w:rPr>
          <w:sz w:val="24"/>
          <w:szCs w:val="24"/>
        </w:rPr>
        <w:t xml:space="preserve">The Department spent $83M (3.2% of its total FY 2015 obligations) for these services. </w:t>
      </w:r>
    </w:p>
    <w:p w14:paraId="17977D95" w14:textId="77777777" w:rsidR="00D60B7A" w:rsidRPr="002F6996" w:rsidRDefault="00D60B7A" w:rsidP="00D60B7A"/>
    <w:p w14:paraId="29B97780" w14:textId="77777777" w:rsidR="00D60B7A" w:rsidRPr="002F6996" w:rsidRDefault="00D60B7A" w:rsidP="00D60B7A">
      <w:pPr>
        <w:rPr>
          <w:sz w:val="24"/>
          <w:szCs w:val="24"/>
        </w:rPr>
      </w:pPr>
      <w:r w:rsidRPr="002F6996">
        <w:rPr>
          <w:b/>
          <w:sz w:val="24"/>
          <w:szCs w:val="24"/>
        </w:rPr>
        <w:t>B506</w:t>
      </w:r>
      <w:r w:rsidRPr="002F6996">
        <w:rPr>
          <w:sz w:val="24"/>
          <w:szCs w:val="24"/>
        </w:rPr>
        <w:t xml:space="preserve"> - Many of the contracts reviewed in this PSC are for non-commercial services; there is a higher risk for over-reliance on contractors for these types of contracts. The Department spent $74M (2.8% of its total FY 2015 obligations) for these services.</w:t>
      </w:r>
    </w:p>
    <w:p w14:paraId="4B2A3015" w14:textId="77777777" w:rsidR="00D60B7A" w:rsidRPr="002F6996" w:rsidRDefault="00D60B7A" w:rsidP="00D60B7A">
      <w:pPr>
        <w:rPr>
          <w:b/>
        </w:rPr>
      </w:pPr>
    </w:p>
    <w:p w14:paraId="2C837384" w14:textId="77777777" w:rsidR="00D60B7A" w:rsidRPr="002F6996" w:rsidRDefault="00D60B7A" w:rsidP="00D60B7A">
      <w:pPr>
        <w:rPr>
          <w:sz w:val="24"/>
          <w:szCs w:val="24"/>
        </w:rPr>
      </w:pPr>
      <w:r w:rsidRPr="002F6996">
        <w:rPr>
          <w:b/>
          <w:sz w:val="24"/>
          <w:szCs w:val="24"/>
        </w:rPr>
        <w:t>B542</w:t>
      </w:r>
      <w:r w:rsidRPr="002F6996">
        <w:rPr>
          <w:sz w:val="24"/>
          <w:szCs w:val="24"/>
        </w:rPr>
        <w:t xml:space="preserve"> - Many of the contracts reviewed in this PSC were for non-commercial services; there is a higher risk for over-reliance on contractors for these types of contracts. The Department spent $91M (3.5% of its total FY 2015 obligations) for these services.</w:t>
      </w:r>
    </w:p>
    <w:p w14:paraId="49F35948" w14:textId="77777777" w:rsidR="00D60B7A" w:rsidRPr="002F6996" w:rsidRDefault="00D60B7A" w:rsidP="00D60B7A">
      <w:pPr>
        <w:rPr>
          <w:b/>
          <w:sz w:val="24"/>
          <w:szCs w:val="24"/>
        </w:rPr>
      </w:pPr>
    </w:p>
    <w:p w14:paraId="17B50031" w14:textId="77777777" w:rsidR="00D60B7A" w:rsidRPr="002F6996" w:rsidRDefault="00D60B7A" w:rsidP="00D60B7A">
      <w:pPr>
        <w:rPr>
          <w:sz w:val="24"/>
          <w:szCs w:val="24"/>
        </w:rPr>
      </w:pPr>
      <w:r w:rsidRPr="002F6996">
        <w:rPr>
          <w:b/>
          <w:sz w:val="24"/>
          <w:szCs w:val="24"/>
        </w:rPr>
        <w:t>D301</w:t>
      </w:r>
      <w:r w:rsidRPr="002F6996">
        <w:rPr>
          <w:sz w:val="24"/>
          <w:szCs w:val="24"/>
        </w:rPr>
        <w:t xml:space="preserve"> –The Department spent $125M (4.8% of its total FY 2015 obligations) for these Information Technology (IT) Support Services.</w:t>
      </w:r>
    </w:p>
    <w:p w14:paraId="15D513E5" w14:textId="77777777" w:rsidR="00D60B7A" w:rsidRPr="002F6996" w:rsidRDefault="00D60B7A" w:rsidP="00D60B7A">
      <w:pPr>
        <w:rPr>
          <w:sz w:val="24"/>
          <w:szCs w:val="24"/>
        </w:rPr>
      </w:pPr>
    </w:p>
    <w:p w14:paraId="2A690598" w14:textId="77777777" w:rsidR="00D60B7A" w:rsidRPr="002F6996" w:rsidRDefault="00D60B7A" w:rsidP="00D60B7A">
      <w:pPr>
        <w:rPr>
          <w:sz w:val="24"/>
          <w:szCs w:val="24"/>
        </w:rPr>
      </w:pPr>
      <w:r w:rsidRPr="002F6996">
        <w:rPr>
          <w:b/>
          <w:sz w:val="24"/>
          <w:szCs w:val="24"/>
        </w:rPr>
        <w:t>D313</w:t>
      </w:r>
      <w:r w:rsidRPr="002F6996">
        <w:rPr>
          <w:sz w:val="24"/>
          <w:szCs w:val="24"/>
        </w:rPr>
        <w:t xml:space="preserve"> – This PSC includes contracts for IT Support Services, which are high on the Office of Management and Budget’s (OMB) priority list. The Department spent $60M (2.3% of its total FY 2015 obligations) for these services.</w:t>
      </w:r>
    </w:p>
    <w:p w14:paraId="1A08640C" w14:textId="77777777" w:rsidR="00D60B7A" w:rsidRPr="002F6996" w:rsidRDefault="00D60B7A" w:rsidP="00D60B7A"/>
    <w:p w14:paraId="4EF2F34E" w14:textId="77777777" w:rsidR="00D60B7A" w:rsidRPr="002F6996" w:rsidRDefault="00D60B7A" w:rsidP="00D60B7A">
      <w:pPr>
        <w:rPr>
          <w:sz w:val="24"/>
          <w:szCs w:val="24"/>
        </w:rPr>
      </w:pPr>
      <w:r w:rsidRPr="002F6996">
        <w:rPr>
          <w:b/>
          <w:sz w:val="24"/>
          <w:szCs w:val="24"/>
        </w:rPr>
        <w:t>D399</w:t>
      </w:r>
      <w:r w:rsidRPr="002F6996">
        <w:rPr>
          <w:sz w:val="24"/>
          <w:szCs w:val="24"/>
        </w:rPr>
        <w:t xml:space="preserve"> – Identified as a targeted PSC under the ongoing effort to reduce contract spending for management support services (OMB initiative). The Department spent $38M (1.5% of its total FY 2015 obligations) for these services. This PSC is considered to be a function closely associated with IGF.</w:t>
      </w:r>
    </w:p>
    <w:p w14:paraId="596CD419" w14:textId="77777777" w:rsidR="00D60B7A" w:rsidRPr="002F6996" w:rsidRDefault="00D60B7A" w:rsidP="00D60B7A">
      <w:pPr>
        <w:rPr>
          <w:sz w:val="24"/>
          <w:szCs w:val="24"/>
        </w:rPr>
      </w:pPr>
    </w:p>
    <w:p w14:paraId="3F1197FA" w14:textId="77777777" w:rsidR="00D60B7A" w:rsidRPr="002F6996" w:rsidRDefault="00D60B7A" w:rsidP="00D60B7A">
      <w:pPr>
        <w:rPr>
          <w:sz w:val="24"/>
          <w:szCs w:val="24"/>
        </w:rPr>
      </w:pPr>
      <w:r w:rsidRPr="002F6996">
        <w:rPr>
          <w:b/>
          <w:sz w:val="24"/>
          <w:szCs w:val="24"/>
        </w:rPr>
        <w:lastRenderedPageBreak/>
        <w:t>R499</w:t>
      </w:r>
      <w:r w:rsidRPr="002F6996">
        <w:rPr>
          <w:sz w:val="24"/>
          <w:szCs w:val="24"/>
        </w:rPr>
        <w:t xml:space="preserve"> - Identified as a targeted PSC under the ongoing effort to reduce contract spending for management support services (OMB initiative). The Department spent $61M (2.3% of its total</w:t>
      </w:r>
      <w:r w:rsidRPr="00313E59">
        <w:rPr>
          <w:sz w:val="24"/>
          <w:szCs w:val="24"/>
        </w:rPr>
        <w:t xml:space="preserve"> </w:t>
      </w:r>
      <w:r w:rsidRPr="002F6996">
        <w:rPr>
          <w:sz w:val="24"/>
          <w:szCs w:val="24"/>
        </w:rPr>
        <w:t>FY 2015 obligations) for these services. PSC is considered to be a function closely associated with IGF.</w:t>
      </w:r>
    </w:p>
    <w:p w14:paraId="210023F2" w14:textId="77777777" w:rsidR="00D60B7A" w:rsidRPr="002F6996" w:rsidRDefault="00D60B7A" w:rsidP="00D60B7A"/>
    <w:p w14:paraId="1D6FB164" w14:textId="77777777" w:rsidR="00D60B7A" w:rsidRPr="002F6996" w:rsidRDefault="00D60B7A" w:rsidP="00D60B7A">
      <w:pPr>
        <w:rPr>
          <w:sz w:val="24"/>
          <w:szCs w:val="24"/>
        </w:rPr>
      </w:pPr>
      <w:r w:rsidRPr="002F6996">
        <w:rPr>
          <w:b/>
          <w:sz w:val="24"/>
          <w:szCs w:val="24"/>
        </w:rPr>
        <w:t>R705</w:t>
      </w:r>
      <w:r w:rsidRPr="002F6996">
        <w:rPr>
          <w:sz w:val="24"/>
          <w:szCs w:val="24"/>
        </w:rPr>
        <w:t xml:space="preserve"> - The Department spent $1.2B (44.7% of its total FY 2015 obligations) for these services. This PSC is included to guard against expansion of the contractor’s duties converting into IGF and to ensure sufficient management and oversight remains in place.</w:t>
      </w:r>
    </w:p>
    <w:p w14:paraId="60F4FED3" w14:textId="77777777" w:rsidR="00D60B7A" w:rsidRPr="002F6996" w:rsidRDefault="00D60B7A" w:rsidP="00D60B7A">
      <w:pPr>
        <w:rPr>
          <w:sz w:val="24"/>
          <w:szCs w:val="24"/>
        </w:rPr>
      </w:pPr>
    </w:p>
    <w:p w14:paraId="31E0D904" w14:textId="77777777" w:rsidR="00D60B7A" w:rsidRPr="002F6996" w:rsidRDefault="00D60B7A" w:rsidP="00D60B7A">
      <w:pPr>
        <w:rPr>
          <w:sz w:val="24"/>
          <w:szCs w:val="24"/>
        </w:rPr>
      </w:pPr>
      <w:r w:rsidRPr="002F6996">
        <w:rPr>
          <w:b/>
          <w:sz w:val="24"/>
          <w:szCs w:val="24"/>
        </w:rPr>
        <w:t>R710</w:t>
      </w:r>
      <w:r w:rsidRPr="002F6996">
        <w:rPr>
          <w:sz w:val="24"/>
          <w:szCs w:val="24"/>
        </w:rPr>
        <w:t xml:space="preserve"> - The Department spent $941M (35.9% of its total FY 2015 obligations) for these services. This PSC is included to guard against expansion of the contractor’s duties transforming into IGF and to ensure sufficient management and oversight remains in place.</w:t>
      </w:r>
    </w:p>
    <w:p w14:paraId="19F24BAB" w14:textId="77777777" w:rsidR="00D60B7A" w:rsidRPr="002F6996" w:rsidRDefault="00D60B7A" w:rsidP="00D60B7A">
      <w:pPr>
        <w:rPr>
          <w:sz w:val="24"/>
          <w:szCs w:val="24"/>
        </w:rPr>
      </w:pPr>
    </w:p>
    <w:p w14:paraId="7F4D9118" w14:textId="77777777" w:rsidR="00D60B7A" w:rsidRPr="00AA5644" w:rsidRDefault="00D60B7A" w:rsidP="00D60B7A">
      <w:pPr>
        <w:rPr>
          <w:sz w:val="24"/>
          <w:szCs w:val="24"/>
        </w:rPr>
      </w:pPr>
      <w:r w:rsidRPr="002F6996">
        <w:rPr>
          <w:b/>
          <w:sz w:val="24"/>
          <w:szCs w:val="24"/>
        </w:rPr>
        <w:t>U009</w:t>
      </w:r>
      <w:r w:rsidRPr="002F6996">
        <w:rPr>
          <w:sz w:val="24"/>
          <w:szCs w:val="24"/>
        </w:rPr>
        <w:t xml:space="preserve"> - The Department spent $56M (2.1% of its total FY2015 obligations) for these services. The PSC is included to guard against expansion of the contractor’s duties transforming into IGF and to ensure sufficient management and oversight remains in place.</w:t>
      </w:r>
    </w:p>
    <w:p w14:paraId="5DC44BD7" w14:textId="77777777" w:rsidR="00D60B7A" w:rsidRDefault="00D60B7A" w:rsidP="00D60B7A">
      <w:pPr>
        <w:rPr>
          <w:b/>
          <w:sz w:val="24"/>
          <w:szCs w:val="24"/>
        </w:rPr>
      </w:pPr>
    </w:p>
    <w:p w14:paraId="4E9E5630" w14:textId="77777777" w:rsidR="00D60B7A" w:rsidRDefault="00D60B7A" w:rsidP="00D60B7A">
      <w:pPr>
        <w:rPr>
          <w:b/>
          <w:sz w:val="24"/>
          <w:szCs w:val="24"/>
        </w:rPr>
      </w:pPr>
      <w:r>
        <w:rPr>
          <w:b/>
          <w:sz w:val="24"/>
          <w:szCs w:val="24"/>
        </w:rPr>
        <w:t>METHODOLOGY</w:t>
      </w:r>
    </w:p>
    <w:p w14:paraId="2B5D5C89" w14:textId="77777777" w:rsidR="00D60B7A" w:rsidRPr="003944FF" w:rsidRDefault="00D60B7A" w:rsidP="00D60B7A">
      <w:pPr>
        <w:rPr>
          <w:b/>
          <w:sz w:val="10"/>
          <w:szCs w:val="10"/>
        </w:rPr>
      </w:pPr>
    </w:p>
    <w:p w14:paraId="37B3B93B" w14:textId="77777777" w:rsidR="00D60B7A" w:rsidRPr="003944FF" w:rsidRDefault="00D60B7A" w:rsidP="00D60B7A">
      <w:pPr>
        <w:rPr>
          <w:sz w:val="24"/>
          <w:szCs w:val="24"/>
        </w:rPr>
      </w:pPr>
      <w:r w:rsidRPr="003944FF">
        <w:rPr>
          <w:sz w:val="24"/>
          <w:szCs w:val="24"/>
        </w:rPr>
        <w:t xml:space="preserve">The Department selected the largest dollar spent top ten PSC code for further analysis.  </w:t>
      </w:r>
      <w:r>
        <w:rPr>
          <w:sz w:val="24"/>
          <w:szCs w:val="24"/>
        </w:rPr>
        <w:t xml:space="preserve">The Department </w:t>
      </w:r>
      <w:r w:rsidRPr="003944FF">
        <w:rPr>
          <w:sz w:val="24"/>
          <w:szCs w:val="24"/>
        </w:rPr>
        <w:t xml:space="preserve">identified and selected a total of 50 contracts for additional analysis in accordance with the Office of Federal Procurement Policy’s (OFPP) memoranda (dated November 5, 2010 and December 19, 2011) guidance and instructions. </w:t>
      </w:r>
      <w:r>
        <w:rPr>
          <w:sz w:val="24"/>
          <w:szCs w:val="24"/>
        </w:rPr>
        <w:t xml:space="preserve">The contract inventory analysis focused on pertinent IGF contract functions; functions closely associated with IGF, mission critical functions, potential personal services contracts; and other contract administrative functions.  </w:t>
      </w:r>
      <w:r w:rsidR="00527E54">
        <w:rPr>
          <w:sz w:val="24"/>
          <w:szCs w:val="24"/>
        </w:rPr>
        <w:t>The Department’s SCI review team</w:t>
      </w:r>
      <w:r w:rsidR="004D5E54">
        <w:rPr>
          <w:sz w:val="24"/>
          <w:szCs w:val="24"/>
        </w:rPr>
        <w:t xml:space="preserve"> analyzed selected contracts through structured interviews with Contracting Officer’s Representatives (CORs) </w:t>
      </w:r>
      <w:r w:rsidR="00527E54">
        <w:rPr>
          <w:sz w:val="24"/>
          <w:szCs w:val="24"/>
        </w:rPr>
        <w:t xml:space="preserve">using a Department approved </w:t>
      </w:r>
      <w:r>
        <w:rPr>
          <w:sz w:val="24"/>
          <w:szCs w:val="24"/>
        </w:rPr>
        <w:t>SCI checklist</w:t>
      </w:r>
      <w:r w:rsidR="00527E54">
        <w:rPr>
          <w:sz w:val="24"/>
          <w:szCs w:val="24"/>
        </w:rPr>
        <w:t xml:space="preserve"> and questionnaire</w:t>
      </w:r>
      <w:r>
        <w:rPr>
          <w:sz w:val="24"/>
          <w:szCs w:val="24"/>
        </w:rPr>
        <w:t>.</w:t>
      </w:r>
    </w:p>
    <w:p w14:paraId="04D5CE86" w14:textId="77777777" w:rsidR="00D60B7A" w:rsidRPr="003944FF" w:rsidRDefault="00D60B7A" w:rsidP="00D60B7A">
      <w:pPr>
        <w:rPr>
          <w:sz w:val="24"/>
          <w:szCs w:val="24"/>
        </w:rPr>
      </w:pPr>
    </w:p>
    <w:p w14:paraId="1960A61A" w14:textId="77777777" w:rsidR="00D60B7A" w:rsidRPr="002D7646" w:rsidRDefault="00D60B7A" w:rsidP="00D60B7A">
      <w:pPr>
        <w:rPr>
          <w:b/>
          <w:sz w:val="24"/>
          <w:szCs w:val="24"/>
        </w:rPr>
      </w:pPr>
      <w:r>
        <w:rPr>
          <w:b/>
          <w:sz w:val="24"/>
          <w:szCs w:val="24"/>
        </w:rPr>
        <w:t>FINDINGS</w:t>
      </w:r>
    </w:p>
    <w:p w14:paraId="2BD0E87F" w14:textId="77777777" w:rsidR="00D60B7A" w:rsidRPr="00F276EA" w:rsidRDefault="00D60B7A" w:rsidP="00D60B7A">
      <w:pPr>
        <w:rPr>
          <w:b/>
          <w:sz w:val="24"/>
          <w:szCs w:val="24"/>
        </w:rPr>
      </w:pPr>
    </w:p>
    <w:p w14:paraId="08741AB2" w14:textId="77777777" w:rsidR="00D60B7A" w:rsidRPr="003A4E29" w:rsidRDefault="00D60B7A" w:rsidP="00D60B7A">
      <w:pPr>
        <w:rPr>
          <w:b/>
          <w:sz w:val="24"/>
          <w:szCs w:val="24"/>
        </w:rPr>
      </w:pPr>
      <w:r w:rsidRPr="003A4E29">
        <w:rPr>
          <w:b/>
          <w:sz w:val="24"/>
          <w:szCs w:val="24"/>
        </w:rPr>
        <w:t>Inherently Governmental Functions (IGF)</w:t>
      </w:r>
    </w:p>
    <w:p w14:paraId="6930C7DF" w14:textId="77777777" w:rsidR="00D60B7A" w:rsidRPr="00F276EA" w:rsidRDefault="00D60B7A" w:rsidP="00D60B7A">
      <w:pPr>
        <w:rPr>
          <w:i/>
          <w:sz w:val="10"/>
          <w:szCs w:val="10"/>
        </w:rPr>
      </w:pPr>
    </w:p>
    <w:p w14:paraId="0F70B279" w14:textId="77777777" w:rsidR="00D60B7A" w:rsidRPr="006633E2" w:rsidRDefault="00D60B7A" w:rsidP="00D60B7A">
      <w:pPr>
        <w:rPr>
          <w:sz w:val="24"/>
          <w:szCs w:val="24"/>
        </w:rPr>
      </w:pPr>
      <w:r>
        <w:rPr>
          <w:sz w:val="24"/>
          <w:szCs w:val="24"/>
        </w:rPr>
        <w:t>Based on the careful evaluations the reviewers performed and careful reviews of the established criteria for classifying functions as inherently governmental, the review team determined that none of the contractors are performing IGFs.</w:t>
      </w:r>
    </w:p>
    <w:p w14:paraId="717B741E" w14:textId="77777777" w:rsidR="00D60B7A" w:rsidRDefault="00D60B7A" w:rsidP="00D60B7A">
      <w:pPr>
        <w:rPr>
          <w:b/>
          <w:sz w:val="24"/>
          <w:szCs w:val="24"/>
        </w:rPr>
      </w:pPr>
    </w:p>
    <w:p w14:paraId="28228A87" w14:textId="77777777" w:rsidR="00D60B7A" w:rsidRPr="003A4E29" w:rsidRDefault="00D60B7A" w:rsidP="00D60B7A">
      <w:pPr>
        <w:rPr>
          <w:b/>
          <w:sz w:val="24"/>
          <w:szCs w:val="24"/>
        </w:rPr>
      </w:pPr>
      <w:r w:rsidRPr="003A4E29">
        <w:rPr>
          <w:b/>
          <w:sz w:val="24"/>
          <w:szCs w:val="24"/>
        </w:rPr>
        <w:t>Functions Closely Associated with IGFs</w:t>
      </w:r>
    </w:p>
    <w:p w14:paraId="5029189C" w14:textId="77777777" w:rsidR="00D60B7A" w:rsidRPr="00F276EA" w:rsidRDefault="00D60B7A" w:rsidP="00D60B7A">
      <w:pPr>
        <w:rPr>
          <w:i/>
          <w:sz w:val="10"/>
          <w:szCs w:val="10"/>
        </w:rPr>
      </w:pPr>
    </w:p>
    <w:p w14:paraId="53A20205" w14:textId="77777777" w:rsidR="00D60B7A" w:rsidRDefault="00D60B7A" w:rsidP="00D60B7A">
      <w:pPr>
        <w:rPr>
          <w:sz w:val="24"/>
          <w:szCs w:val="24"/>
        </w:rPr>
      </w:pPr>
      <w:r>
        <w:rPr>
          <w:sz w:val="24"/>
          <w:szCs w:val="24"/>
        </w:rPr>
        <w:t xml:space="preserve">During the interviews, the review team used the evaluation checklist questions to detect the expansion of </w:t>
      </w:r>
      <w:r w:rsidRPr="0076549F">
        <w:rPr>
          <w:sz w:val="24"/>
          <w:szCs w:val="24"/>
        </w:rPr>
        <w:t xml:space="preserve">closely associated work that may have become IGF. The checklist included various subjects of responsibilities, including limiting or guiding the contractor’s discretion, assigning </w:t>
      </w:r>
      <w:r>
        <w:rPr>
          <w:sz w:val="24"/>
          <w:szCs w:val="24"/>
        </w:rPr>
        <w:t>Federal</w:t>
      </w:r>
      <w:r w:rsidRPr="0076549F">
        <w:rPr>
          <w:sz w:val="24"/>
          <w:szCs w:val="24"/>
        </w:rPr>
        <w:t xml:space="preserve"> employees to give special management attention to the contractor’s activities</w:t>
      </w:r>
      <w:r>
        <w:rPr>
          <w:sz w:val="24"/>
          <w:szCs w:val="24"/>
        </w:rPr>
        <w:t>,</w:t>
      </w:r>
      <w:r w:rsidRPr="0076549F">
        <w:rPr>
          <w:sz w:val="24"/>
          <w:szCs w:val="24"/>
        </w:rPr>
        <w:t xml:space="preserve"> and taking steps to avoid or mitigate conflicts of interest. Reviewers </w:t>
      </w:r>
      <w:r w:rsidRPr="004864CB">
        <w:rPr>
          <w:sz w:val="24"/>
          <w:szCs w:val="24"/>
        </w:rPr>
        <w:t>identified s</w:t>
      </w:r>
      <w:r>
        <w:rPr>
          <w:sz w:val="24"/>
          <w:szCs w:val="24"/>
        </w:rPr>
        <w:t>everal</w:t>
      </w:r>
      <w:r w:rsidRPr="0076549F">
        <w:rPr>
          <w:sz w:val="24"/>
          <w:szCs w:val="24"/>
        </w:rPr>
        <w:t xml:space="preserve"> contracts where the Department gave</w:t>
      </w:r>
      <w:r w:rsidRPr="00A96F43">
        <w:rPr>
          <w:sz w:val="24"/>
          <w:szCs w:val="24"/>
        </w:rPr>
        <w:t xml:space="preserve"> special consideration during the planning phase of the procurement to use </w:t>
      </w:r>
      <w:r>
        <w:rPr>
          <w:sz w:val="24"/>
          <w:szCs w:val="24"/>
        </w:rPr>
        <w:t>Federal</w:t>
      </w:r>
      <w:r w:rsidRPr="00A96F43">
        <w:rPr>
          <w:sz w:val="24"/>
          <w:szCs w:val="24"/>
        </w:rPr>
        <w:t xml:space="preserve"> employees in lieu of contractor employees to perform duties closely associated with IGF.</w:t>
      </w:r>
      <w:r>
        <w:rPr>
          <w:sz w:val="24"/>
          <w:szCs w:val="24"/>
        </w:rPr>
        <w:t xml:space="preserve"> </w:t>
      </w:r>
      <w:r w:rsidRPr="00A96F43">
        <w:rPr>
          <w:sz w:val="24"/>
          <w:szCs w:val="24"/>
        </w:rPr>
        <w:t>When sufficient Governmental resources were available, these duties were retained in-house.</w:t>
      </w:r>
      <w:r>
        <w:rPr>
          <w:sz w:val="24"/>
          <w:szCs w:val="24"/>
        </w:rPr>
        <w:t xml:space="preserve"> </w:t>
      </w:r>
      <w:r w:rsidRPr="00A96F43">
        <w:rPr>
          <w:sz w:val="24"/>
          <w:szCs w:val="24"/>
        </w:rPr>
        <w:t>When the level of available resources</w:t>
      </w:r>
      <w:r>
        <w:rPr>
          <w:sz w:val="24"/>
          <w:szCs w:val="24"/>
        </w:rPr>
        <w:t xml:space="preserve"> was not sufficient for performance by a Federal employee, consideration was given to ensure that sufficient resources were available for proper oversight. Reviewers did not identify any contracts as having services closely associated with IGF. </w:t>
      </w:r>
    </w:p>
    <w:p w14:paraId="0934627F" w14:textId="77777777" w:rsidR="00D60B7A" w:rsidRDefault="00D60B7A" w:rsidP="00D60B7A">
      <w:pPr>
        <w:rPr>
          <w:color w:val="FF0000"/>
          <w:sz w:val="24"/>
          <w:szCs w:val="24"/>
        </w:rPr>
      </w:pPr>
    </w:p>
    <w:p w14:paraId="39B34C19" w14:textId="77777777" w:rsidR="00D60B7A" w:rsidRDefault="00D60B7A" w:rsidP="00D60B7A">
      <w:pPr>
        <w:rPr>
          <w:b/>
          <w:sz w:val="24"/>
          <w:szCs w:val="24"/>
        </w:rPr>
      </w:pPr>
    </w:p>
    <w:p w14:paraId="2E7B2A22" w14:textId="77777777" w:rsidR="00D60B7A" w:rsidRDefault="00D60B7A" w:rsidP="00D60B7A">
      <w:pPr>
        <w:rPr>
          <w:b/>
          <w:sz w:val="24"/>
          <w:szCs w:val="24"/>
        </w:rPr>
      </w:pPr>
    </w:p>
    <w:p w14:paraId="460C2607" w14:textId="77777777" w:rsidR="00D60B7A" w:rsidRPr="003A4E29" w:rsidRDefault="00D60B7A" w:rsidP="00D60B7A">
      <w:pPr>
        <w:rPr>
          <w:b/>
          <w:sz w:val="24"/>
          <w:szCs w:val="24"/>
        </w:rPr>
      </w:pPr>
      <w:r w:rsidRPr="003A4E29">
        <w:rPr>
          <w:b/>
          <w:sz w:val="24"/>
          <w:szCs w:val="24"/>
        </w:rPr>
        <w:t xml:space="preserve">Contract Management and Oversight </w:t>
      </w:r>
    </w:p>
    <w:p w14:paraId="5B1BC5EA" w14:textId="77777777" w:rsidR="00D60B7A" w:rsidRPr="00F276EA" w:rsidRDefault="00D60B7A" w:rsidP="00D60B7A">
      <w:pPr>
        <w:rPr>
          <w:sz w:val="10"/>
          <w:szCs w:val="10"/>
        </w:rPr>
      </w:pPr>
    </w:p>
    <w:p w14:paraId="53848703" w14:textId="77777777" w:rsidR="00D60B7A" w:rsidRDefault="00D60B7A" w:rsidP="00D60B7A">
      <w:pPr>
        <w:rPr>
          <w:b/>
          <w:sz w:val="24"/>
          <w:szCs w:val="24"/>
        </w:rPr>
      </w:pPr>
      <w:r>
        <w:rPr>
          <w:sz w:val="24"/>
          <w:szCs w:val="24"/>
        </w:rPr>
        <w:t>Reviewers found that 100% of the contracts revie</w:t>
      </w:r>
      <w:r w:rsidR="004961CE">
        <w:rPr>
          <w:sz w:val="24"/>
          <w:szCs w:val="24"/>
        </w:rPr>
        <w:t>wed as part of the SCI had</w:t>
      </w:r>
      <w:r>
        <w:rPr>
          <w:sz w:val="24"/>
          <w:szCs w:val="24"/>
        </w:rPr>
        <w:t xml:space="preserve"> sufficiently trained and experienced employees available within the agency to manage and oversee contract administration functions. </w:t>
      </w:r>
    </w:p>
    <w:p w14:paraId="1E3C523D" w14:textId="77777777" w:rsidR="00D60B7A" w:rsidRDefault="00D60B7A" w:rsidP="00D60B7A">
      <w:pPr>
        <w:rPr>
          <w:b/>
          <w:sz w:val="24"/>
          <w:szCs w:val="24"/>
        </w:rPr>
      </w:pPr>
    </w:p>
    <w:p w14:paraId="0B2BA0F7" w14:textId="77777777" w:rsidR="00D60B7A" w:rsidRPr="003A4E29" w:rsidRDefault="00D60B7A" w:rsidP="00D60B7A">
      <w:pPr>
        <w:rPr>
          <w:b/>
          <w:sz w:val="24"/>
          <w:szCs w:val="24"/>
        </w:rPr>
      </w:pPr>
      <w:r w:rsidRPr="003A4E29">
        <w:rPr>
          <w:b/>
          <w:sz w:val="24"/>
          <w:szCs w:val="24"/>
        </w:rPr>
        <w:t xml:space="preserve">Mission Critical Functions </w:t>
      </w:r>
    </w:p>
    <w:p w14:paraId="23CADD0D" w14:textId="77777777" w:rsidR="00D60B7A" w:rsidRPr="00F276EA" w:rsidRDefault="00D60B7A" w:rsidP="00D60B7A">
      <w:pPr>
        <w:rPr>
          <w:i/>
          <w:sz w:val="10"/>
          <w:szCs w:val="10"/>
        </w:rPr>
      </w:pPr>
    </w:p>
    <w:p w14:paraId="388F13D7" w14:textId="77777777" w:rsidR="00D60B7A" w:rsidRPr="003A4E29" w:rsidRDefault="00D60B7A" w:rsidP="00D60B7A">
      <w:pPr>
        <w:rPr>
          <w:sz w:val="24"/>
          <w:szCs w:val="24"/>
        </w:rPr>
      </w:pPr>
      <w:r w:rsidRPr="003A4E29">
        <w:rPr>
          <w:sz w:val="24"/>
          <w:szCs w:val="24"/>
        </w:rPr>
        <w:t xml:space="preserve">Reviewers identified </w:t>
      </w:r>
      <w:r>
        <w:rPr>
          <w:sz w:val="24"/>
          <w:szCs w:val="24"/>
        </w:rPr>
        <w:t>approximately 40</w:t>
      </w:r>
      <w:r w:rsidRPr="003A4E29">
        <w:rPr>
          <w:sz w:val="24"/>
          <w:szCs w:val="24"/>
        </w:rPr>
        <w:t xml:space="preserve"> contracts where contractors perform</w:t>
      </w:r>
      <w:r>
        <w:rPr>
          <w:sz w:val="24"/>
          <w:szCs w:val="24"/>
        </w:rPr>
        <w:t>ed</w:t>
      </w:r>
      <w:r w:rsidRPr="003A4E29">
        <w:rPr>
          <w:sz w:val="24"/>
          <w:szCs w:val="24"/>
        </w:rPr>
        <w:t xml:space="preserve"> services that are considered to be critical functions close</w:t>
      </w:r>
      <w:r>
        <w:rPr>
          <w:sz w:val="24"/>
          <w:szCs w:val="24"/>
        </w:rPr>
        <w:t>ly associated with</w:t>
      </w:r>
      <w:r w:rsidRPr="003A4E29">
        <w:rPr>
          <w:sz w:val="24"/>
          <w:szCs w:val="24"/>
        </w:rPr>
        <w:t xml:space="preserve"> the Department’s mission and operations.</w:t>
      </w:r>
      <w:r>
        <w:rPr>
          <w:sz w:val="24"/>
          <w:szCs w:val="24"/>
        </w:rPr>
        <w:t xml:space="preserve"> </w:t>
      </w:r>
      <w:r w:rsidRPr="003A4E29">
        <w:rPr>
          <w:sz w:val="24"/>
          <w:szCs w:val="24"/>
        </w:rPr>
        <w:t>Examples of activities identified by reviewers as “mission critical” are assessments of educational progress, grant application reviews, technical assistance, and education research.</w:t>
      </w:r>
      <w:r>
        <w:rPr>
          <w:sz w:val="24"/>
          <w:szCs w:val="24"/>
        </w:rPr>
        <w:t xml:space="preserve"> </w:t>
      </w:r>
      <w:r w:rsidRPr="003A4E29">
        <w:rPr>
          <w:sz w:val="24"/>
          <w:szCs w:val="24"/>
        </w:rPr>
        <w:t>Reviewers examined the specific work activities performed under the</w:t>
      </w:r>
      <w:r>
        <w:rPr>
          <w:sz w:val="24"/>
          <w:szCs w:val="24"/>
        </w:rPr>
        <w:t>se</w:t>
      </w:r>
      <w:r w:rsidRPr="003A4E29">
        <w:rPr>
          <w:sz w:val="24"/>
          <w:szCs w:val="24"/>
        </w:rPr>
        <w:t xml:space="preserve"> contract</w:t>
      </w:r>
      <w:r>
        <w:rPr>
          <w:sz w:val="24"/>
          <w:szCs w:val="24"/>
        </w:rPr>
        <w:t>s</w:t>
      </w:r>
      <w:r w:rsidRPr="003A4E29">
        <w:rPr>
          <w:sz w:val="24"/>
          <w:szCs w:val="24"/>
        </w:rPr>
        <w:t xml:space="preserve"> and found none of them to be problematic because the Department ha</w:t>
      </w:r>
      <w:r>
        <w:rPr>
          <w:sz w:val="24"/>
          <w:szCs w:val="24"/>
        </w:rPr>
        <w:t>d</w:t>
      </w:r>
      <w:r w:rsidRPr="003A4E29">
        <w:rPr>
          <w:sz w:val="24"/>
          <w:szCs w:val="24"/>
        </w:rPr>
        <w:t xml:space="preserve"> sufficient resources in place to manage and oversee the contracts.</w:t>
      </w:r>
      <w:r>
        <w:rPr>
          <w:sz w:val="24"/>
          <w:szCs w:val="24"/>
        </w:rPr>
        <w:t xml:space="preserve"> The Department will continue to pay close attention </w:t>
      </w:r>
      <w:r w:rsidRPr="003A4E29">
        <w:rPr>
          <w:sz w:val="24"/>
          <w:szCs w:val="24"/>
        </w:rPr>
        <w:t>to contracts where contractors perform these kinds of services in order to maintain sufficient internal control capabilities.</w:t>
      </w:r>
      <w:r>
        <w:rPr>
          <w:sz w:val="24"/>
          <w:szCs w:val="24"/>
        </w:rPr>
        <w:t xml:space="preserve"> </w:t>
      </w:r>
      <w:r w:rsidRPr="003A4E29">
        <w:rPr>
          <w:sz w:val="24"/>
          <w:szCs w:val="24"/>
        </w:rPr>
        <w:t>As long as a critical function is not inherently governmental, it may continue to be performed by a contractor, but only when it is cost-effective.</w:t>
      </w:r>
    </w:p>
    <w:p w14:paraId="63F8E9F5" w14:textId="77777777" w:rsidR="00D60B7A" w:rsidRDefault="00D60B7A" w:rsidP="00D60B7A">
      <w:pPr>
        <w:tabs>
          <w:tab w:val="left" w:pos="0"/>
        </w:tabs>
        <w:rPr>
          <w:sz w:val="24"/>
          <w:szCs w:val="24"/>
        </w:rPr>
      </w:pPr>
    </w:p>
    <w:p w14:paraId="5F344773" w14:textId="77777777" w:rsidR="00D60B7A" w:rsidRPr="003A4E29" w:rsidRDefault="00D60B7A" w:rsidP="00D60B7A">
      <w:pPr>
        <w:tabs>
          <w:tab w:val="left" w:pos="0"/>
        </w:tabs>
        <w:rPr>
          <w:b/>
          <w:sz w:val="24"/>
          <w:szCs w:val="24"/>
        </w:rPr>
      </w:pPr>
      <w:r w:rsidRPr="003A4E29">
        <w:rPr>
          <w:b/>
          <w:sz w:val="24"/>
          <w:szCs w:val="24"/>
        </w:rPr>
        <w:t>Personal Services</w:t>
      </w:r>
    </w:p>
    <w:p w14:paraId="73A5F2BF" w14:textId="77777777" w:rsidR="00D60B7A" w:rsidRPr="00F276EA" w:rsidRDefault="00D60B7A" w:rsidP="00D60B7A">
      <w:pPr>
        <w:tabs>
          <w:tab w:val="left" w:pos="0"/>
        </w:tabs>
        <w:rPr>
          <w:i/>
          <w:sz w:val="10"/>
          <w:szCs w:val="10"/>
        </w:rPr>
      </w:pPr>
    </w:p>
    <w:p w14:paraId="405E7FC6" w14:textId="77777777" w:rsidR="00D60B7A" w:rsidRDefault="00D60B7A" w:rsidP="00D60B7A">
      <w:pPr>
        <w:tabs>
          <w:tab w:val="left" w:pos="0"/>
        </w:tabs>
        <w:rPr>
          <w:sz w:val="24"/>
          <w:szCs w:val="24"/>
        </w:rPr>
      </w:pPr>
      <w:r w:rsidRPr="00D914FC">
        <w:rPr>
          <w:sz w:val="24"/>
          <w:szCs w:val="24"/>
        </w:rPr>
        <w:t xml:space="preserve">Reviewers examined the contractual relationship between government and contractor employees </w:t>
      </w:r>
      <w:r>
        <w:rPr>
          <w:sz w:val="24"/>
          <w:szCs w:val="24"/>
        </w:rPr>
        <w:t xml:space="preserve">without identifying any </w:t>
      </w:r>
      <w:r w:rsidRPr="00D914FC">
        <w:rPr>
          <w:sz w:val="24"/>
          <w:szCs w:val="24"/>
        </w:rPr>
        <w:t>characteristics of a personal service nature.</w:t>
      </w:r>
      <w:r>
        <w:rPr>
          <w:sz w:val="24"/>
          <w:szCs w:val="24"/>
        </w:rPr>
        <w:t xml:space="preserve"> </w:t>
      </w:r>
      <w:r w:rsidRPr="00D914FC">
        <w:rPr>
          <w:sz w:val="24"/>
          <w:szCs w:val="24"/>
        </w:rPr>
        <w:t>The reviewers studied the definition of personal services contracts provided in F</w:t>
      </w:r>
      <w:r>
        <w:rPr>
          <w:sz w:val="24"/>
          <w:szCs w:val="24"/>
        </w:rPr>
        <w:t xml:space="preserve">ederal Acquisition Regulation </w:t>
      </w:r>
      <w:r w:rsidRPr="00D914FC">
        <w:rPr>
          <w:sz w:val="24"/>
          <w:szCs w:val="24"/>
        </w:rPr>
        <w:t>Part 37</w:t>
      </w:r>
      <w:r>
        <w:rPr>
          <w:sz w:val="24"/>
          <w:szCs w:val="24"/>
        </w:rPr>
        <w:t xml:space="preserve"> </w:t>
      </w:r>
      <w:r w:rsidRPr="00D914FC">
        <w:rPr>
          <w:sz w:val="24"/>
          <w:szCs w:val="24"/>
        </w:rPr>
        <w:t>and examples of what contractor personnel cannot do under a non-personal services contract, such as supervis</w:t>
      </w:r>
      <w:r>
        <w:rPr>
          <w:sz w:val="24"/>
          <w:szCs w:val="24"/>
        </w:rPr>
        <w:t>ing</w:t>
      </w:r>
      <w:r w:rsidRPr="00D914FC">
        <w:rPr>
          <w:sz w:val="24"/>
          <w:szCs w:val="24"/>
        </w:rPr>
        <w:t xml:space="preserve"> </w:t>
      </w:r>
      <w:r>
        <w:rPr>
          <w:sz w:val="24"/>
          <w:szCs w:val="24"/>
        </w:rPr>
        <w:t>Federal</w:t>
      </w:r>
      <w:r w:rsidRPr="00D914FC">
        <w:rPr>
          <w:sz w:val="24"/>
          <w:szCs w:val="24"/>
        </w:rPr>
        <w:t xml:space="preserve"> employees</w:t>
      </w:r>
      <w:r>
        <w:rPr>
          <w:sz w:val="24"/>
          <w:szCs w:val="24"/>
        </w:rPr>
        <w:t xml:space="preserve">. </w:t>
      </w:r>
      <w:r w:rsidRPr="00D914FC">
        <w:rPr>
          <w:sz w:val="24"/>
          <w:szCs w:val="24"/>
        </w:rPr>
        <w:t xml:space="preserve">The group discussed situations that </w:t>
      </w:r>
      <w:r>
        <w:rPr>
          <w:sz w:val="24"/>
          <w:szCs w:val="24"/>
        </w:rPr>
        <w:t>Federal</w:t>
      </w:r>
      <w:r w:rsidRPr="00D914FC">
        <w:rPr>
          <w:sz w:val="24"/>
          <w:szCs w:val="24"/>
        </w:rPr>
        <w:t xml:space="preserve"> employees must avoid, such as signing leave slips for contractor employees or telling a contractor who should be hired or terminated.</w:t>
      </w:r>
      <w:r>
        <w:rPr>
          <w:sz w:val="24"/>
          <w:szCs w:val="24"/>
        </w:rPr>
        <w:t xml:space="preserve"> </w:t>
      </w:r>
      <w:r w:rsidRPr="00D914FC">
        <w:rPr>
          <w:sz w:val="24"/>
          <w:szCs w:val="24"/>
        </w:rPr>
        <w:t xml:space="preserve">Reviewers were informed of the impact and consequences of a personal services contract, such as potential violations of the Anti-Deficiency Act, agency or Inspector General </w:t>
      </w:r>
      <w:proofErr w:type="gramStart"/>
      <w:r w:rsidRPr="00D914FC">
        <w:rPr>
          <w:sz w:val="24"/>
          <w:szCs w:val="24"/>
        </w:rPr>
        <w:t>investigations</w:t>
      </w:r>
      <w:proofErr w:type="gramEnd"/>
      <w:r w:rsidRPr="00D914FC">
        <w:rPr>
          <w:sz w:val="24"/>
          <w:szCs w:val="24"/>
        </w:rPr>
        <w:t>, and disciplinary actions.</w:t>
      </w:r>
      <w:r>
        <w:rPr>
          <w:sz w:val="24"/>
          <w:szCs w:val="24"/>
        </w:rPr>
        <w:t xml:space="preserve"> </w:t>
      </w:r>
      <w:r w:rsidRPr="00D914FC">
        <w:rPr>
          <w:sz w:val="24"/>
          <w:szCs w:val="24"/>
        </w:rPr>
        <w:t xml:space="preserve">Additionally, </w:t>
      </w:r>
      <w:r>
        <w:rPr>
          <w:sz w:val="24"/>
          <w:szCs w:val="24"/>
        </w:rPr>
        <w:t xml:space="preserve">the review team held </w:t>
      </w:r>
      <w:r w:rsidRPr="00D914FC">
        <w:rPr>
          <w:sz w:val="24"/>
          <w:szCs w:val="24"/>
        </w:rPr>
        <w:t>discussions</w:t>
      </w:r>
      <w:r>
        <w:rPr>
          <w:sz w:val="24"/>
          <w:szCs w:val="24"/>
        </w:rPr>
        <w:t xml:space="preserve"> </w:t>
      </w:r>
      <w:r w:rsidRPr="00D914FC">
        <w:rPr>
          <w:sz w:val="24"/>
          <w:szCs w:val="24"/>
        </w:rPr>
        <w:t>with the CORs to reinforce the need to continue exercising caution in preventing non-personal service</w:t>
      </w:r>
      <w:r>
        <w:rPr>
          <w:sz w:val="24"/>
          <w:szCs w:val="24"/>
        </w:rPr>
        <w:t xml:space="preserve">s </w:t>
      </w:r>
      <w:r w:rsidRPr="00D914FC">
        <w:rPr>
          <w:sz w:val="24"/>
          <w:szCs w:val="24"/>
        </w:rPr>
        <w:t xml:space="preserve">from becoming personal </w:t>
      </w:r>
      <w:r>
        <w:rPr>
          <w:sz w:val="24"/>
          <w:szCs w:val="24"/>
        </w:rPr>
        <w:t>services in the future.</w:t>
      </w:r>
    </w:p>
    <w:p w14:paraId="0458A879" w14:textId="77777777" w:rsidR="00D60B7A" w:rsidRDefault="00D60B7A" w:rsidP="00D60B7A">
      <w:pPr>
        <w:rPr>
          <w:sz w:val="24"/>
          <w:szCs w:val="24"/>
        </w:rPr>
      </w:pPr>
    </w:p>
    <w:p w14:paraId="5843DFC1" w14:textId="77777777" w:rsidR="00D60B7A" w:rsidRDefault="00D60B7A" w:rsidP="00D60B7A">
      <w:pPr>
        <w:rPr>
          <w:b/>
          <w:sz w:val="24"/>
          <w:szCs w:val="24"/>
        </w:rPr>
      </w:pPr>
      <w:r w:rsidRPr="00317C8A">
        <w:rPr>
          <w:b/>
          <w:sz w:val="24"/>
          <w:szCs w:val="24"/>
        </w:rPr>
        <w:t>Summary</w:t>
      </w:r>
    </w:p>
    <w:p w14:paraId="3EEBD8FD" w14:textId="77777777" w:rsidR="00D60B7A" w:rsidRPr="0031329C" w:rsidRDefault="00D60B7A" w:rsidP="00D60B7A">
      <w:pPr>
        <w:rPr>
          <w:b/>
          <w:sz w:val="10"/>
          <w:szCs w:val="10"/>
        </w:rPr>
      </w:pPr>
    </w:p>
    <w:p w14:paraId="78F02EA2" w14:textId="77777777" w:rsidR="00D60B7A" w:rsidRDefault="00D60B7A" w:rsidP="00D60B7A">
      <w:pPr>
        <w:rPr>
          <w:sz w:val="24"/>
          <w:szCs w:val="24"/>
        </w:rPr>
      </w:pPr>
      <w:r>
        <w:rPr>
          <w:sz w:val="24"/>
          <w:szCs w:val="24"/>
        </w:rPr>
        <w:t>The analysis of the contracts reviewed indicates:</w:t>
      </w:r>
    </w:p>
    <w:p w14:paraId="3139FD0E" w14:textId="77777777" w:rsidR="00D60B7A" w:rsidRPr="00F276EA" w:rsidRDefault="00D60B7A" w:rsidP="00D60B7A">
      <w:pPr>
        <w:rPr>
          <w:sz w:val="10"/>
          <w:szCs w:val="10"/>
        </w:rPr>
      </w:pPr>
    </w:p>
    <w:p w14:paraId="18ADD3D6" w14:textId="77777777" w:rsidR="00D60B7A" w:rsidRDefault="00D60B7A" w:rsidP="00D60B7A">
      <w:pPr>
        <w:numPr>
          <w:ilvl w:val="0"/>
          <w:numId w:val="2"/>
        </w:numPr>
        <w:rPr>
          <w:sz w:val="24"/>
          <w:szCs w:val="24"/>
        </w:rPr>
      </w:pPr>
      <w:r w:rsidRPr="004612CF">
        <w:rPr>
          <w:sz w:val="24"/>
          <w:szCs w:val="24"/>
        </w:rPr>
        <w:t>No evidence of contractors performing IGF</w:t>
      </w:r>
      <w:r>
        <w:rPr>
          <w:sz w:val="24"/>
          <w:szCs w:val="24"/>
        </w:rPr>
        <w:t xml:space="preserve"> services</w:t>
      </w:r>
    </w:p>
    <w:p w14:paraId="5FA472BC" w14:textId="77777777" w:rsidR="00D60B7A" w:rsidRPr="004612CF" w:rsidRDefault="00D60B7A" w:rsidP="00D60B7A">
      <w:pPr>
        <w:numPr>
          <w:ilvl w:val="0"/>
          <w:numId w:val="2"/>
        </w:numPr>
        <w:rPr>
          <w:sz w:val="24"/>
          <w:szCs w:val="24"/>
        </w:rPr>
      </w:pPr>
      <w:r w:rsidRPr="004612CF">
        <w:rPr>
          <w:sz w:val="24"/>
          <w:szCs w:val="24"/>
        </w:rPr>
        <w:t>No evidence of contractors performing personal services</w:t>
      </w:r>
    </w:p>
    <w:p w14:paraId="42D286C4" w14:textId="77777777" w:rsidR="00D60B7A" w:rsidRPr="00333EDD" w:rsidRDefault="00D60B7A" w:rsidP="00D60B7A">
      <w:pPr>
        <w:numPr>
          <w:ilvl w:val="0"/>
          <w:numId w:val="2"/>
        </w:numPr>
        <w:rPr>
          <w:sz w:val="24"/>
          <w:szCs w:val="24"/>
        </w:rPr>
      </w:pPr>
      <w:r>
        <w:rPr>
          <w:sz w:val="24"/>
          <w:szCs w:val="24"/>
        </w:rPr>
        <w:t>No evidence of contractors performing services iden</w:t>
      </w:r>
      <w:r w:rsidRPr="00333EDD">
        <w:rPr>
          <w:sz w:val="24"/>
          <w:szCs w:val="24"/>
        </w:rPr>
        <w:t xml:space="preserve">tified as closely associated with </w:t>
      </w:r>
      <w:r>
        <w:rPr>
          <w:sz w:val="24"/>
          <w:szCs w:val="24"/>
        </w:rPr>
        <w:t>IGF</w:t>
      </w:r>
    </w:p>
    <w:p w14:paraId="2188D955" w14:textId="77777777" w:rsidR="00D60B7A" w:rsidRPr="006522E0" w:rsidRDefault="00D60B7A" w:rsidP="00D60B7A">
      <w:pPr>
        <w:numPr>
          <w:ilvl w:val="0"/>
          <w:numId w:val="2"/>
        </w:numPr>
        <w:rPr>
          <w:sz w:val="24"/>
          <w:szCs w:val="24"/>
        </w:rPr>
      </w:pPr>
      <w:r w:rsidRPr="006522E0">
        <w:rPr>
          <w:sz w:val="24"/>
          <w:szCs w:val="24"/>
        </w:rPr>
        <w:t>Approximately 33 contracts reviewed included performance of mission critical functions</w:t>
      </w:r>
    </w:p>
    <w:p w14:paraId="1A065A56" w14:textId="77777777" w:rsidR="00D60B7A" w:rsidRPr="006522E0" w:rsidRDefault="00D60B7A" w:rsidP="00D60B7A">
      <w:pPr>
        <w:numPr>
          <w:ilvl w:val="0"/>
          <w:numId w:val="2"/>
        </w:numPr>
        <w:rPr>
          <w:sz w:val="24"/>
          <w:szCs w:val="24"/>
        </w:rPr>
      </w:pPr>
      <w:r w:rsidRPr="006522E0">
        <w:rPr>
          <w:sz w:val="24"/>
          <w:szCs w:val="24"/>
        </w:rPr>
        <w:t>All 50 contracts reviewed disclosed the Department as having enough sufficiently trained and experienced employees available within the agency to manage and oversee contract administration functions</w:t>
      </w:r>
    </w:p>
    <w:p w14:paraId="00C46186" w14:textId="77777777" w:rsidR="00D60B7A" w:rsidRPr="006522E0" w:rsidRDefault="00D60B7A" w:rsidP="00D60B7A">
      <w:pPr>
        <w:numPr>
          <w:ilvl w:val="0"/>
          <w:numId w:val="2"/>
        </w:numPr>
        <w:rPr>
          <w:sz w:val="24"/>
          <w:szCs w:val="24"/>
        </w:rPr>
      </w:pPr>
      <w:r w:rsidRPr="006522E0">
        <w:rPr>
          <w:sz w:val="24"/>
          <w:szCs w:val="24"/>
        </w:rPr>
        <w:t>No contracts recommended for further in-sourcing study</w:t>
      </w:r>
    </w:p>
    <w:p w14:paraId="08DE01B6" w14:textId="77777777" w:rsidR="00D60B7A" w:rsidRDefault="00D60B7A" w:rsidP="00D60B7A">
      <w:pPr>
        <w:rPr>
          <w:b/>
          <w:sz w:val="24"/>
          <w:szCs w:val="24"/>
        </w:rPr>
      </w:pPr>
    </w:p>
    <w:p w14:paraId="47F46727" w14:textId="77777777" w:rsidR="00D60B7A" w:rsidRDefault="00D60B7A" w:rsidP="00D60B7A">
      <w:pPr>
        <w:rPr>
          <w:b/>
          <w:sz w:val="24"/>
          <w:szCs w:val="24"/>
        </w:rPr>
      </w:pPr>
      <w:r>
        <w:rPr>
          <w:b/>
          <w:sz w:val="24"/>
          <w:szCs w:val="24"/>
        </w:rPr>
        <w:t>ACTION ITEMS</w:t>
      </w:r>
    </w:p>
    <w:p w14:paraId="062625D1" w14:textId="77777777" w:rsidR="00D60B7A" w:rsidRPr="00F276EA" w:rsidRDefault="00D60B7A" w:rsidP="00D60B7A">
      <w:pPr>
        <w:rPr>
          <w:b/>
          <w:sz w:val="10"/>
          <w:szCs w:val="10"/>
        </w:rPr>
      </w:pPr>
    </w:p>
    <w:p w14:paraId="0085683F" w14:textId="77777777" w:rsidR="00D60B7A" w:rsidRPr="00DB19D9" w:rsidRDefault="00D60B7A" w:rsidP="00D60B7A">
      <w:pPr>
        <w:rPr>
          <w:sz w:val="24"/>
          <w:szCs w:val="24"/>
        </w:rPr>
      </w:pPr>
      <w:r>
        <w:rPr>
          <w:sz w:val="24"/>
          <w:szCs w:val="24"/>
        </w:rPr>
        <w:lastRenderedPageBreak/>
        <w:t xml:space="preserve">There are no action items based on the FY 2015 service contract inventory review process. </w:t>
      </w:r>
    </w:p>
    <w:p w14:paraId="18FCD789" w14:textId="77777777" w:rsidR="00D60B7A" w:rsidRDefault="00D60B7A" w:rsidP="00D60B7A">
      <w:pPr>
        <w:rPr>
          <w:i/>
          <w:sz w:val="24"/>
          <w:szCs w:val="24"/>
        </w:rPr>
      </w:pPr>
    </w:p>
    <w:p w14:paraId="36E56169" w14:textId="77777777" w:rsidR="00D60B7A" w:rsidRDefault="00D60B7A" w:rsidP="00D60B7A">
      <w:pPr>
        <w:rPr>
          <w:b/>
          <w:sz w:val="24"/>
          <w:szCs w:val="24"/>
        </w:rPr>
      </w:pPr>
      <w:r>
        <w:rPr>
          <w:b/>
          <w:sz w:val="24"/>
          <w:szCs w:val="24"/>
        </w:rPr>
        <w:t>STATUS OF PREVIOUS ACTION ITEMS</w:t>
      </w:r>
    </w:p>
    <w:p w14:paraId="18D6D8CB" w14:textId="77777777" w:rsidR="00D60B7A" w:rsidRPr="00F276EA" w:rsidRDefault="00D60B7A" w:rsidP="00D60B7A">
      <w:pPr>
        <w:rPr>
          <w:i/>
          <w:sz w:val="10"/>
          <w:szCs w:val="10"/>
        </w:rPr>
      </w:pPr>
    </w:p>
    <w:p w14:paraId="0547A53D" w14:textId="77777777" w:rsidR="00D60B7A" w:rsidRPr="00EF5C63" w:rsidRDefault="00D60B7A" w:rsidP="00D60B7A">
      <w:pPr>
        <w:rPr>
          <w:sz w:val="24"/>
          <w:szCs w:val="24"/>
        </w:rPr>
      </w:pPr>
      <w:r>
        <w:rPr>
          <w:sz w:val="24"/>
          <w:szCs w:val="24"/>
        </w:rPr>
        <w:t xml:space="preserve">The status of prior years’ </w:t>
      </w:r>
      <w:r w:rsidRPr="00EF5C63">
        <w:rPr>
          <w:sz w:val="24"/>
          <w:szCs w:val="24"/>
        </w:rPr>
        <w:t xml:space="preserve">service contract inventory recommendations were implemented </w:t>
      </w:r>
      <w:r>
        <w:rPr>
          <w:sz w:val="24"/>
          <w:szCs w:val="24"/>
        </w:rPr>
        <w:t xml:space="preserve">as follows. </w:t>
      </w:r>
    </w:p>
    <w:p w14:paraId="289ABF32" w14:textId="77777777" w:rsidR="00D60B7A" w:rsidRPr="00F276EA" w:rsidRDefault="00D60B7A" w:rsidP="00D60B7A">
      <w:pPr>
        <w:jc w:val="center"/>
        <w:rPr>
          <w:i/>
          <w:sz w:val="10"/>
          <w:szCs w:val="10"/>
        </w:rPr>
      </w:pPr>
    </w:p>
    <w:p w14:paraId="53A5B72E" w14:textId="77777777" w:rsidR="00D60B7A" w:rsidRPr="007D6FA6" w:rsidRDefault="00D60B7A" w:rsidP="00D60B7A">
      <w:pPr>
        <w:jc w:val="center"/>
        <w:rPr>
          <w:i/>
          <w:sz w:val="22"/>
          <w:szCs w:val="22"/>
        </w:rPr>
      </w:pPr>
      <w:r w:rsidRPr="007D6FA6">
        <w:rPr>
          <w:i/>
          <w:sz w:val="22"/>
          <w:szCs w:val="22"/>
        </w:rPr>
        <w:t>Table 3</w:t>
      </w:r>
    </w:p>
    <w:tbl>
      <w:tblPr>
        <w:tblW w:w="0" w:type="auto"/>
        <w:jc w:val="center"/>
        <w:tblLook w:val="04A0" w:firstRow="1" w:lastRow="0" w:firstColumn="1" w:lastColumn="0" w:noHBand="0" w:noVBand="1"/>
      </w:tblPr>
      <w:tblGrid>
        <w:gridCol w:w="7344"/>
        <w:gridCol w:w="1800"/>
      </w:tblGrid>
      <w:tr w:rsidR="00D60B7A" w:rsidRPr="006015FA" w14:paraId="7821B047" w14:textId="77777777" w:rsidTr="00CB0DEF">
        <w:trPr>
          <w:jc w:val="center"/>
        </w:trPr>
        <w:tc>
          <w:tcPr>
            <w:tcW w:w="7344" w:type="dxa"/>
            <w:tcBorders>
              <w:top w:val="single" w:sz="4" w:space="0" w:color="auto"/>
              <w:left w:val="single" w:sz="4" w:space="0" w:color="auto"/>
              <w:right w:val="single" w:sz="4" w:space="0" w:color="auto"/>
            </w:tcBorders>
          </w:tcPr>
          <w:p w14:paraId="17714DA2" w14:textId="77777777" w:rsidR="00D60B7A" w:rsidRPr="006522E0" w:rsidRDefault="00D60B7A" w:rsidP="00CB0DEF">
            <w:pPr>
              <w:jc w:val="center"/>
              <w:rPr>
                <w:b/>
                <w:sz w:val="24"/>
                <w:szCs w:val="24"/>
                <w:u w:val="single"/>
              </w:rPr>
            </w:pPr>
            <w:r w:rsidRPr="006522E0">
              <w:rPr>
                <w:b/>
                <w:sz w:val="24"/>
                <w:szCs w:val="24"/>
                <w:u w:val="single"/>
              </w:rPr>
              <w:t>SCI RECOMMENDATIONS</w:t>
            </w:r>
          </w:p>
        </w:tc>
        <w:tc>
          <w:tcPr>
            <w:tcW w:w="1800" w:type="dxa"/>
            <w:tcBorders>
              <w:top w:val="single" w:sz="4" w:space="0" w:color="auto"/>
              <w:left w:val="single" w:sz="4" w:space="0" w:color="auto"/>
              <w:right w:val="single" w:sz="4" w:space="0" w:color="auto"/>
            </w:tcBorders>
          </w:tcPr>
          <w:p w14:paraId="70BC053C" w14:textId="77777777" w:rsidR="00D60B7A" w:rsidRPr="006522E0" w:rsidRDefault="00D60B7A" w:rsidP="00CB0DEF">
            <w:pPr>
              <w:jc w:val="center"/>
              <w:rPr>
                <w:b/>
                <w:sz w:val="24"/>
                <w:szCs w:val="24"/>
                <w:u w:val="single"/>
              </w:rPr>
            </w:pPr>
            <w:r w:rsidRPr="006522E0">
              <w:rPr>
                <w:b/>
                <w:sz w:val="24"/>
                <w:szCs w:val="24"/>
                <w:u w:val="single"/>
              </w:rPr>
              <w:t>STATUS</w:t>
            </w:r>
          </w:p>
        </w:tc>
      </w:tr>
      <w:tr w:rsidR="00D60B7A" w:rsidRPr="006015FA" w14:paraId="5B9F1D3A" w14:textId="77777777" w:rsidTr="00CB0DEF">
        <w:trPr>
          <w:jc w:val="center"/>
        </w:trPr>
        <w:tc>
          <w:tcPr>
            <w:tcW w:w="7344" w:type="dxa"/>
            <w:tcBorders>
              <w:left w:val="single" w:sz="4" w:space="0" w:color="auto"/>
              <w:bottom w:val="single" w:sz="4" w:space="0" w:color="auto"/>
              <w:right w:val="single" w:sz="4" w:space="0" w:color="auto"/>
            </w:tcBorders>
          </w:tcPr>
          <w:p w14:paraId="3F7479C5" w14:textId="77777777" w:rsidR="00D60B7A" w:rsidRPr="006015FA" w:rsidRDefault="00D60B7A" w:rsidP="00CB0DEF">
            <w:pPr>
              <w:rPr>
                <w:sz w:val="24"/>
                <w:szCs w:val="24"/>
              </w:rPr>
            </w:pPr>
            <w:r w:rsidRPr="00DA3D85">
              <w:rPr>
                <w:b/>
                <w:sz w:val="24"/>
                <w:szCs w:val="24"/>
              </w:rPr>
              <w:t>FY 2010</w:t>
            </w:r>
            <w:r>
              <w:rPr>
                <w:sz w:val="24"/>
                <w:szCs w:val="24"/>
              </w:rPr>
              <w:t xml:space="preserve"> –The Department</w:t>
            </w:r>
            <w:r w:rsidRPr="006015FA">
              <w:rPr>
                <w:sz w:val="24"/>
                <w:szCs w:val="24"/>
              </w:rPr>
              <w:t xml:space="preserve"> improved their procedures for organizing contract files to require use of a comprehensive list of file documents (Ac</w:t>
            </w:r>
            <w:r>
              <w:rPr>
                <w:sz w:val="24"/>
                <w:szCs w:val="24"/>
              </w:rPr>
              <w:t>quisition Procedures Manual</w:t>
            </w:r>
            <w:r w:rsidRPr="006015FA">
              <w:rPr>
                <w:sz w:val="24"/>
                <w:szCs w:val="24"/>
              </w:rPr>
              <w:t xml:space="preserve"> </w:t>
            </w:r>
            <w:r>
              <w:rPr>
                <w:sz w:val="24"/>
                <w:szCs w:val="24"/>
              </w:rPr>
              <w:t>C</w:t>
            </w:r>
            <w:r w:rsidRPr="006015FA">
              <w:rPr>
                <w:sz w:val="24"/>
                <w:szCs w:val="24"/>
              </w:rPr>
              <w:t>hapter 4.803</w:t>
            </w:r>
            <w:r>
              <w:rPr>
                <w:sz w:val="24"/>
                <w:szCs w:val="24"/>
              </w:rPr>
              <w:t xml:space="preserve"> – Content of Contract Files)</w:t>
            </w:r>
            <w:r w:rsidRPr="006015FA">
              <w:rPr>
                <w:sz w:val="24"/>
                <w:szCs w:val="24"/>
              </w:rPr>
              <w:t>.</w:t>
            </w:r>
          </w:p>
        </w:tc>
        <w:tc>
          <w:tcPr>
            <w:tcW w:w="1800" w:type="dxa"/>
            <w:tcBorders>
              <w:left w:val="single" w:sz="4" w:space="0" w:color="auto"/>
              <w:bottom w:val="single" w:sz="4" w:space="0" w:color="auto"/>
              <w:right w:val="single" w:sz="4" w:space="0" w:color="auto"/>
            </w:tcBorders>
          </w:tcPr>
          <w:p w14:paraId="72705CA5" w14:textId="77777777" w:rsidR="00D60B7A" w:rsidRPr="006015FA" w:rsidRDefault="00D60B7A" w:rsidP="00CB0DEF">
            <w:pPr>
              <w:jc w:val="center"/>
              <w:rPr>
                <w:sz w:val="24"/>
                <w:szCs w:val="24"/>
              </w:rPr>
            </w:pPr>
            <w:r w:rsidRPr="006015FA">
              <w:rPr>
                <w:sz w:val="24"/>
                <w:szCs w:val="24"/>
              </w:rPr>
              <w:t xml:space="preserve">Completed </w:t>
            </w:r>
            <w:r>
              <w:rPr>
                <w:sz w:val="24"/>
                <w:szCs w:val="24"/>
              </w:rPr>
              <w:t>during</w:t>
            </w:r>
            <w:r w:rsidRPr="006015FA">
              <w:rPr>
                <w:sz w:val="24"/>
                <w:szCs w:val="24"/>
              </w:rPr>
              <w:t xml:space="preserve"> FY 2011</w:t>
            </w:r>
          </w:p>
        </w:tc>
      </w:tr>
      <w:tr w:rsidR="00D60B7A" w:rsidRPr="006015FA" w14:paraId="1A1B9A33" w14:textId="77777777" w:rsidTr="00CB0DEF">
        <w:trPr>
          <w:jc w:val="center"/>
        </w:trPr>
        <w:tc>
          <w:tcPr>
            <w:tcW w:w="7344" w:type="dxa"/>
            <w:tcBorders>
              <w:top w:val="single" w:sz="4" w:space="0" w:color="auto"/>
              <w:left w:val="single" w:sz="4" w:space="0" w:color="auto"/>
              <w:bottom w:val="single" w:sz="4" w:space="0" w:color="auto"/>
              <w:right w:val="single" w:sz="4" w:space="0" w:color="auto"/>
            </w:tcBorders>
          </w:tcPr>
          <w:p w14:paraId="02311A82" w14:textId="77777777" w:rsidR="00D60B7A" w:rsidRPr="006015FA" w:rsidRDefault="00D60B7A" w:rsidP="00CB0DEF">
            <w:pPr>
              <w:rPr>
                <w:sz w:val="24"/>
                <w:szCs w:val="24"/>
              </w:rPr>
            </w:pPr>
            <w:r w:rsidRPr="00DA3D85">
              <w:rPr>
                <w:b/>
                <w:sz w:val="24"/>
                <w:szCs w:val="24"/>
              </w:rPr>
              <w:t>FY 2011</w:t>
            </w:r>
            <w:r>
              <w:rPr>
                <w:sz w:val="24"/>
                <w:szCs w:val="24"/>
              </w:rPr>
              <w:t xml:space="preserve"> - Revised Departmental Directive OCFO:</w:t>
            </w:r>
            <w:r w:rsidRPr="006015FA">
              <w:rPr>
                <w:sz w:val="24"/>
                <w:szCs w:val="24"/>
              </w:rPr>
              <w:t xml:space="preserve"> 2-108, Contract Monitoring for Program Officials.</w:t>
            </w:r>
          </w:p>
        </w:tc>
        <w:tc>
          <w:tcPr>
            <w:tcW w:w="1800" w:type="dxa"/>
            <w:tcBorders>
              <w:top w:val="single" w:sz="4" w:space="0" w:color="auto"/>
              <w:left w:val="single" w:sz="4" w:space="0" w:color="auto"/>
              <w:bottom w:val="single" w:sz="4" w:space="0" w:color="auto"/>
              <w:right w:val="single" w:sz="4" w:space="0" w:color="auto"/>
            </w:tcBorders>
          </w:tcPr>
          <w:p w14:paraId="30D297F0" w14:textId="77777777" w:rsidR="00D60B7A" w:rsidRPr="006015FA" w:rsidRDefault="00D60B7A" w:rsidP="00CB0DEF">
            <w:pPr>
              <w:jc w:val="center"/>
              <w:rPr>
                <w:sz w:val="24"/>
                <w:szCs w:val="24"/>
              </w:rPr>
            </w:pPr>
            <w:r w:rsidRPr="006015FA">
              <w:rPr>
                <w:sz w:val="24"/>
                <w:szCs w:val="24"/>
              </w:rPr>
              <w:t xml:space="preserve">Completed </w:t>
            </w:r>
            <w:r>
              <w:rPr>
                <w:sz w:val="24"/>
                <w:szCs w:val="24"/>
              </w:rPr>
              <w:t>during</w:t>
            </w:r>
            <w:r w:rsidRPr="006015FA">
              <w:rPr>
                <w:sz w:val="24"/>
                <w:szCs w:val="24"/>
              </w:rPr>
              <w:t xml:space="preserve"> FY 2012</w:t>
            </w:r>
          </w:p>
        </w:tc>
      </w:tr>
      <w:tr w:rsidR="00D60B7A" w:rsidRPr="006015FA" w14:paraId="0A7E85D8" w14:textId="77777777" w:rsidTr="00CB0DEF">
        <w:trPr>
          <w:jc w:val="center"/>
        </w:trPr>
        <w:tc>
          <w:tcPr>
            <w:tcW w:w="7344" w:type="dxa"/>
            <w:tcBorders>
              <w:top w:val="single" w:sz="4" w:space="0" w:color="auto"/>
              <w:left w:val="single" w:sz="4" w:space="0" w:color="auto"/>
              <w:bottom w:val="single" w:sz="4" w:space="0" w:color="auto"/>
              <w:right w:val="single" w:sz="4" w:space="0" w:color="auto"/>
            </w:tcBorders>
          </w:tcPr>
          <w:p w14:paraId="2FF75000" w14:textId="77777777" w:rsidR="00D60B7A" w:rsidRPr="000C4A6A" w:rsidRDefault="00D60B7A" w:rsidP="00CB0DEF">
            <w:pPr>
              <w:rPr>
                <w:sz w:val="24"/>
                <w:szCs w:val="24"/>
              </w:rPr>
            </w:pPr>
            <w:r w:rsidRPr="00DA3D85">
              <w:rPr>
                <w:b/>
                <w:sz w:val="24"/>
                <w:szCs w:val="24"/>
              </w:rPr>
              <w:t>FY 2012</w:t>
            </w:r>
            <w:r>
              <w:rPr>
                <w:sz w:val="24"/>
                <w:szCs w:val="24"/>
              </w:rPr>
              <w:t xml:space="preserve"> - </w:t>
            </w:r>
            <w:r w:rsidRPr="000C4A6A">
              <w:rPr>
                <w:sz w:val="24"/>
                <w:szCs w:val="24"/>
              </w:rPr>
              <w:t>Develop guidance to further define mission critical functions.</w:t>
            </w:r>
          </w:p>
          <w:p w14:paraId="3DC4CFB1" w14:textId="77777777" w:rsidR="00D60B7A" w:rsidRPr="006015FA" w:rsidRDefault="00D60B7A" w:rsidP="00CB0DEF">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2607BEA" w14:textId="77777777" w:rsidR="00D60B7A" w:rsidRPr="006015FA" w:rsidRDefault="00D60B7A" w:rsidP="00CB0DEF">
            <w:pPr>
              <w:jc w:val="center"/>
              <w:rPr>
                <w:sz w:val="24"/>
                <w:szCs w:val="24"/>
              </w:rPr>
            </w:pPr>
            <w:r w:rsidRPr="006015FA">
              <w:rPr>
                <w:sz w:val="24"/>
                <w:szCs w:val="24"/>
              </w:rPr>
              <w:t xml:space="preserve">Completed </w:t>
            </w:r>
            <w:r>
              <w:rPr>
                <w:sz w:val="24"/>
                <w:szCs w:val="24"/>
              </w:rPr>
              <w:t>during</w:t>
            </w:r>
            <w:r w:rsidRPr="006015FA">
              <w:rPr>
                <w:sz w:val="24"/>
                <w:szCs w:val="24"/>
              </w:rPr>
              <w:t xml:space="preserve"> FY 201</w:t>
            </w:r>
            <w:r>
              <w:rPr>
                <w:sz w:val="24"/>
                <w:szCs w:val="24"/>
              </w:rPr>
              <w:t>3</w:t>
            </w:r>
          </w:p>
        </w:tc>
      </w:tr>
      <w:tr w:rsidR="00D60B7A" w:rsidRPr="006015FA" w14:paraId="37759856" w14:textId="77777777" w:rsidTr="00CB0DEF">
        <w:trPr>
          <w:jc w:val="center"/>
        </w:trPr>
        <w:tc>
          <w:tcPr>
            <w:tcW w:w="7344" w:type="dxa"/>
            <w:tcBorders>
              <w:top w:val="single" w:sz="4" w:space="0" w:color="auto"/>
              <w:left w:val="single" w:sz="4" w:space="0" w:color="auto"/>
              <w:bottom w:val="single" w:sz="4" w:space="0" w:color="auto"/>
              <w:right w:val="single" w:sz="4" w:space="0" w:color="auto"/>
            </w:tcBorders>
          </w:tcPr>
          <w:p w14:paraId="32E16E09" w14:textId="77777777" w:rsidR="00D60B7A" w:rsidRPr="000C4A6A" w:rsidRDefault="00D60B7A" w:rsidP="00CB0DEF">
            <w:pPr>
              <w:rPr>
                <w:sz w:val="24"/>
                <w:szCs w:val="24"/>
              </w:rPr>
            </w:pPr>
            <w:r>
              <w:rPr>
                <w:b/>
                <w:sz w:val="24"/>
                <w:szCs w:val="24"/>
              </w:rPr>
              <w:t>FY 2013 – FY 2015</w:t>
            </w:r>
            <w:r>
              <w:rPr>
                <w:sz w:val="24"/>
                <w:szCs w:val="24"/>
              </w:rPr>
              <w:t xml:space="preserve"> – No SCI recommendations.</w:t>
            </w:r>
          </w:p>
          <w:p w14:paraId="0D471C73" w14:textId="77777777" w:rsidR="00D60B7A" w:rsidRPr="00DA3D85" w:rsidRDefault="00D60B7A" w:rsidP="00CB0DEF">
            <w:pP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C1B1EB2" w14:textId="77777777" w:rsidR="00D60B7A" w:rsidRPr="006015FA" w:rsidRDefault="00D60B7A" w:rsidP="00CB0DEF">
            <w:pPr>
              <w:jc w:val="center"/>
              <w:rPr>
                <w:sz w:val="24"/>
                <w:szCs w:val="24"/>
              </w:rPr>
            </w:pPr>
            <w:r>
              <w:rPr>
                <w:sz w:val="24"/>
                <w:szCs w:val="24"/>
              </w:rPr>
              <w:t>N/A</w:t>
            </w:r>
          </w:p>
        </w:tc>
      </w:tr>
    </w:tbl>
    <w:p w14:paraId="3561F6E1" w14:textId="77777777" w:rsidR="00D60B7A" w:rsidRDefault="00D60B7A" w:rsidP="00D60B7A">
      <w:pPr>
        <w:rPr>
          <w:b/>
          <w:sz w:val="24"/>
          <w:szCs w:val="24"/>
        </w:rPr>
      </w:pPr>
    </w:p>
    <w:p w14:paraId="0A48F533" w14:textId="77777777" w:rsidR="00D60B7A" w:rsidRDefault="00D60B7A" w:rsidP="00D60B7A">
      <w:pPr>
        <w:rPr>
          <w:b/>
          <w:sz w:val="24"/>
          <w:szCs w:val="24"/>
        </w:rPr>
      </w:pPr>
    </w:p>
    <w:p w14:paraId="2BF368BD" w14:textId="77777777" w:rsidR="00D60B7A" w:rsidRDefault="00D60B7A" w:rsidP="00D60B7A">
      <w:pPr>
        <w:rPr>
          <w:b/>
          <w:sz w:val="24"/>
          <w:szCs w:val="24"/>
        </w:rPr>
      </w:pPr>
      <w:r w:rsidRPr="009B3575">
        <w:rPr>
          <w:b/>
          <w:sz w:val="24"/>
          <w:szCs w:val="24"/>
        </w:rPr>
        <w:t>POINTS OF CONTACT</w:t>
      </w:r>
    </w:p>
    <w:p w14:paraId="3405F1E1" w14:textId="77777777" w:rsidR="00D60B7A" w:rsidRPr="00F276EA" w:rsidRDefault="00D60B7A" w:rsidP="00D60B7A">
      <w:pPr>
        <w:rPr>
          <w:b/>
          <w:sz w:val="10"/>
          <w:szCs w:val="10"/>
        </w:rPr>
      </w:pPr>
    </w:p>
    <w:p w14:paraId="631D08B2" w14:textId="77777777" w:rsidR="00D60B7A" w:rsidRDefault="00D60B7A" w:rsidP="00D60B7A">
      <w:pPr>
        <w:rPr>
          <w:sz w:val="24"/>
          <w:szCs w:val="24"/>
        </w:rPr>
      </w:pPr>
      <w:r w:rsidRPr="003D216E">
        <w:rPr>
          <w:sz w:val="24"/>
          <w:szCs w:val="24"/>
        </w:rPr>
        <w:t xml:space="preserve">The Department’s senior management official accountable for the development of agency policies, procedures, and training associated with the OFPP Letter 11-01 addressing the performance of inherently governmental and critical functions </w:t>
      </w:r>
      <w:r w:rsidRPr="003D216E">
        <w:rPr>
          <w:i/>
          <w:sz w:val="24"/>
          <w:szCs w:val="24"/>
        </w:rPr>
        <w:t xml:space="preserve">(this designation is already required by section 5-4(e) of the Policy Letter) </w:t>
      </w:r>
      <w:r w:rsidRPr="003D216E">
        <w:rPr>
          <w:sz w:val="24"/>
          <w:szCs w:val="24"/>
        </w:rPr>
        <w:t>is</w:t>
      </w:r>
      <w:r w:rsidRPr="003D216E">
        <w:rPr>
          <w:i/>
          <w:sz w:val="24"/>
          <w:szCs w:val="24"/>
        </w:rPr>
        <w:t xml:space="preserve"> </w:t>
      </w:r>
      <w:r w:rsidRPr="003D216E">
        <w:rPr>
          <w:sz w:val="24"/>
          <w:szCs w:val="24"/>
        </w:rPr>
        <w:t>Dr. Angela Billups, Ph.D., Deputy Chief Acquisition Officer and Senior Procurement Executive. Dr. Billups, Ph.D., serves as the senior management official accountable for generating the service contract inventory from the Federal Procurement Data System – Next Generation (FPDS-NG), providing procurement related support for the development and execution of the service contract inventory analysis.</w:t>
      </w:r>
      <w:r>
        <w:rPr>
          <w:sz w:val="24"/>
          <w:szCs w:val="24"/>
        </w:rPr>
        <w:t xml:space="preserve">   </w:t>
      </w:r>
    </w:p>
    <w:p w14:paraId="6BE38B33" w14:textId="77777777" w:rsidR="003D44DC" w:rsidRDefault="003D44DC"/>
    <w:sectPr w:rsidR="003D44DC" w:rsidSect="00F276EA">
      <w:footerReference w:type="default" r:id="rId9"/>
      <w:footerReference w:type="first" r:id="rId10"/>
      <w:pgSz w:w="12240" w:h="15840" w:code="1"/>
      <w:pgMar w:top="1440" w:right="1440" w:bottom="720" w:left="1440" w:header="720" w:footer="298"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0584" w14:textId="77777777" w:rsidR="0043091E" w:rsidRDefault="0043091E">
      <w:r>
        <w:separator/>
      </w:r>
    </w:p>
  </w:endnote>
  <w:endnote w:type="continuationSeparator" w:id="0">
    <w:p w14:paraId="1E3FE290" w14:textId="77777777" w:rsidR="0043091E" w:rsidRDefault="004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5B5B" w14:textId="77777777" w:rsidR="00F276EA" w:rsidRDefault="00500602">
    <w:pPr>
      <w:pStyle w:val="Footer"/>
      <w:jc w:val="right"/>
      <w:rPr>
        <w:lang w:val="en-US"/>
      </w:rPr>
    </w:pPr>
  </w:p>
  <w:p w14:paraId="00CD7799" w14:textId="77777777" w:rsidR="00B72C8A" w:rsidRDefault="00D60B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06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602">
      <w:rPr>
        <w:b/>
        <w:bCs/>
        <w:noProof/>
      </w:rPr>
      <w:t>5</w:t>
    </w:r>
    <w:r>
      <w:rPr>
        <w:b/>
        <w:bCs/>
        <w:sz w:val="24"/>
        <w:szCs w:val="24"/>
      </w:rPr>
      <w:fldChar w:fldCharType="end"/>
    </w:r>
  </w:p>
  <w:p w14:paraId="6571CB46" w14:textId="77777777" w:rsidR="00B72C8A" w:rsidRDefault="0050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CB9C" w14:textId="77777777" w:rsidR="003F4B27" w:rsidRDefault="00500602" w:rsidP="002546D1">
    <w:pPr>
      <w:tabs>
        <w:tab w:val="center" w:pos="4320"/>
        <w:tab w:val="right" w:pos="8640"/>
      </w:tabs>
      <w:jc w:val="center"/>
      <w:rPr>
        <w:b/>
        <w:color w:val="000080"/>
        <w:sz w:val="16"/>
      </w:rPr>
    </w:pPr>
  </w:p>
  <w:p w14:paraId="78A0DEAF" w14:textId="77777777" w:rsidR="003F4B27" w:rsidRDefault="00500602" w:rsidP="002546D1">
    <w:pPr>
      <w:tabs>
        <w:tab w:val="center" w:pos="4320"/>
        <w:tab w:val="right" w:pos="8640"/>
      </w:tabs>
      <w:jc w:val="center"/>
      <w:rPr>
        <w:b/>
        <w:color w:val="000080"/>
        <w:sz w:val="16"/>
      </w:rPr>
    </w:pPr>
  </w:p>
  <w:p w14:paraId="4E8BD68F" w14:textId="77777777" w:rsidR="00B72C8A" w:rsidRPr="002546D1" w:rsidRDefault="00D60B7A" w:rsidP="002546D1">
    <w:pPr>
      <w:tabs>
        <w:tab w:val="center" w:pos="4320"/>
        <w:tab w:val="right" w:pos="8640"/>
      </w:tabs>
      <w:jc w:val="center"/>
      <w:rPr>
        <w:b/>
        <w:color w:val="000080"/>
        <w:sz w:val="16"/>
      </w:rPr>
    </w:pPr>
    <w:r w:rsidRPr="002546D1">
      <w:rPr>
        <w:b/>
        <w:color w:val="000080"/>
        <w:sz w:val="16"/>
      </w:rPr>
      <w:t>550 12</w:t>
    </w:r>
    <w:r w:rsidRPr="002546D1">
      <w:rPr>
        <w:b/>
        <w:color w:val="000080"/>
        <w:sz w:val="16"/>
        <w:vertAlign w:val="superscript"/>
      </w:rPr>
      <w:t>th</w:t>
    </w:r>
    <w:r w:rsidRPr="002546D1">
      <w:rPr>
        <w:b/>
        <w:color w:val="000080"/>
        <w:sz w:val="16"/>
      </w:rPr>
      <w:t xml:space="preserve"> Street SW, 6</w:t>
    </w:r>
    <w:r w:rsidRPr="002546D1">
      <w:rPr>
        <w:b/>
        <w:color w:val="000080"/>
        <w:sz w:val="16"/>
        <w:vertAlign w:val="superscript"/>
      </w:rPr>
      <w:t>th</w:t>
    </w:r>
    <w:r w:rsidRPr="002546D1">
      <w:rPr>
        <w:b/>
        <w:color w:val="000080"/>
        <w:sz w:val="16"/>
      </w:rPr>
      <w:t xml:space="preserve"> Floor, Washington, DC</w:t>
    </w:r>
    <w:r>
      <w:rPr>
        <w:b/>
        <w:color w:val="000080"/>
        <w:sz w:val="16"/>
      </w:rPr>
      <w:t xml:space="preserve"> </w:t>
    </w:r>
    <w:r w:rsidRPr="002546D1">
      <w:rPr>
        <w:b/>
        <w:color w:val="000080"/>
        <w:sz w:val="16"/>
      </w:rPr>
      <w:t>20202-4447</w:t>
    </w:r>
  </w:p>
  <w:p w14:paraId="65B316DF" w14:textId="77777777" w:rsidR="00B72C8A" w:rsidRPr="002546D1" w:rsidRDefault="00D60B7A" w:rsidP="002546D1">
    <w:pPr>
      <w:tabs>
        <w:tab w:val="center" w:pos="4320"/>
        <w:tab w:val="right" w:pos="8640"/>
      </w:tabs>
      <w:jc w:val="center"/>
      <w:rPr>
        <w:b/>
        <w:i/>
        <w:color w:val="000080"/>
        <w:sz w:val="16"/>
      </w:rPr>
    </w:pPr>
    <w:r w:rsidRPr="002546D1">
      <w:rPr>
        <w:b/>
        <w:i/>
        <w:color w:val="000080"/>
        <w:sz w:val="16"/>
      </w:rPr>
      <w:t>Our Mission is to promote student achievement and preparation for global competitiveness by fostering</w:t>
    </w:r>
  </w:p>
  <w:p w14:paraId="22814A92" w14:textId="77777777" w:rsidR="00B72C8A" w:rsidRPr="002546D1" w:rsidRDefault="00D60B7A" w:rsidP="002546D1">
    <w:pPr>
      <w:tabs>
        <w:tab w:val="center" w:pos="4320"/>
        <w:tab w:val="right" w:pos="8640"/>
      </w:tabs>
      <w:jc w:val="center"/>
    </w:pPr>
    <w:proofErr w:type="gramStart"/>
    <w:r w:rsidRPr="002546D1">
      <w:rPr>
        <w:b/>
        <w:i/>
        <w:color w:val="000080"/>
        <w:sz w:val="16"/>
      </w:rPr>
      <w:t>educational</w:t>
    </w:r>
    <w:proofErr w:type="gramEnd"/>
    <w:r w:rsidRPr="002546D1">
      <w:rPr>
        <w:b/>
        <w:i/>
        <w:color w:val="000080"/>
        <w:sz w:val="16"/>
      </w:rPr>
      <w:t xml:space="preserve"> excellence and ensuring equal access</w:t>
    </w:r>
  </w:p>
  <w:p w14:paraId="5516898C" w14:textId="77777777" w:rsidR="00B72C8A" w:rsidRDefault="00500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09A7" w14:textId="77777777" w:rsidR="0043091E" w:rsidRDefault="0043091E">
      <w:r>
        <w:separator/>
      </w:r>
    </w:p>
  </w:footnote>
  <w:footnote w:type="continuationSeparator" w:id="0">
    <w:p w14:paraId="750867CC" w14:textId="77777777" w:rsidR="0043091E" w:rsidRDefault="00430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48E"/>
    <w:multiLevelType w:val="hybridMultilevel"/>
    <w:tmpl w:val="91AC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E63CD"/>
    <w:multiLevelType w:val="hybridMultilevel"/>
    <w:tmpl w:val="0898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7A"/>
    <w:rsid w:val="001B5C23"/>
    <w:rsid w:val="003D44DC"/>
    <w:rsid w:val="0043091E"/>
    <w:rsid w:val="004961CE"/>
    <w:rsid w:val="004D5E54"/>
    <w:rsid w:val="00500602"/>
    <w:rsid w:val="00527E54"/>
    <w:rsid w:val="00725486"/>
    <w:rsid w:val="00D45F65"/>
    <w:rsid w:val="00D6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0B7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60B7A"/>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D60B7A"/>
    <w:rPr>
      <w:sz w:val="16"/>
      <w:szCs w:val="16"/>
    </w:rPr>
  </w:style>
  <w:style w:type="paragraph" w:styleId="CommentText">
    <w:name w:val="annotation text"/>
    <w:basedOn w:val="Normal"/>
    <w:link w:val="CommentTextChar"/>
    <w:uiPriority w:val="99"/>
    <w:semiHidden/>
    <w:unhideWhenUsed/>
    <w:rsid w:val="00D60B7A"/>
    <w:rPr>
      <w:lang w:val="x-none" w:eastAsia="x-none"/>
    </w:rPr>
  </w:style>
  <w:style w:type="character" w:customStyle="1" w:styleId="CommentTextChar">
    <w:name w:val="Comment Text Char"/>
    <w:basedOn w:val="DefaultParagraphFont"/>
    <w:link w:val="CommentText"/>
    <w:uiPriority w:val="99"/>
    <w:semiHidden/>
    <w:rsid w:val="00D60B7A"/>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60B7A"/>
    <w:pPr>
      <w:ind w:left="720"/>
    </w:pPr>
  </w:style>
  <w:style w:type="character" w:customStyle="1" w:styleId="st1">
    <w:name w:val="st1"/>
    <w:rsid w:val="00D60B7A"/>
  </w:style>
  <w:style w:type="paragraph" w:styleId="BalloonText">
    <w:name w:val="Balloon Text"/>
    <w:basedOn w:val="Normal"/>
    <w:link w:val="BalloonTextChar"/>
    <w:uiPriority w:val="99"/>
    <w:semiHidden/>
    <w:unhideWhenUsed/>
    <w:rsid w:val="00D60B7A"/>
    <w:rPr>
      <w:rFonts w:ascii="Tahoma" w:hAnsi="Tahoma" w:cs="Tahoma"/>
      <w:sz w:val="16"/>
      <w:szCs w:val="16"/>
    </w:rPr>
  </w:style>
  <w:style w:type="character" w:customStyle="1" w:styleId="BalloonTextChar">
    <w:name w:val="Balloon Text Char"/>
    <w:basedOn w:val="DefaultParagraphFont"/>
    <w:link w:val="BalloonText"/>
    <w:uiPriority w:val="99"/>
    <w:semiHidden/>
    <w:rsid w:val="00D60B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0B7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60B7A"/>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D60B7A"/>
    <w:rPr>
      <w:sz w:val="16"/>
      <w:szCs w:val="16"/>
    </w:rPr>
  </w:style>
  <w:style w:type="paragraph" w:styleId="CommentText">
    <w:name w:val="annotation text"/>
    <w:basedOn w:val="Normal"/>
    <w:link w:val="CommentTextChar"/>
    <w:uiPriority w:val="99"/>
    <w:semiHidden/>
    <w:unhideWhenUsed/>
    <w:rsid w:val="00D60B7A"/>
    <w:rPr>
      <w:lang w:val="x-none" w:eastAsia="x-none"/>
    </w:rPr>
  </w:style>
  <w:style w:type="character" w:customStyle="1" w:styleId="CommentTextChar">
    <w:name w:val="Comment Text Char"/>
    <w:basedOn w:val="DefaultParagraphFont"/>
    <w:link w:val="CommentText"/>
    <w:uiPriority w:val="99"/>
    <w:semiHidden/>
    <w:rsid w:val="00D60B7A"/>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D60B7A"/>
    <w:pPr>
      <w:ind w:left="720"/>
    </w:pPr>
  </w:style>
  <w:style w:type="character" w:customStyle="1" w:styleId="st1">
    <w:name w:val="st1"/>
    <w:rsid w:val="00D60B7A"/>
  </w:style>
  <w:style w:type="paragraph" w:styleId="BalloonText">
    <w:name w:val="Balloon Text"/>
    <w:basedOn w:val="Normal"/>
    <w:link w:val="BalloonTextChar"/>
    <w:uiPriority w:val="99"/>
    <w:semiHidden/>
    <w:unhideWhenUsed/>
    <w:rsid w:val="00D60B7A"/>
    <w:rPr>
      <w:rFonts w:ascii="Tahoma" w:hAnsi="Tahoma" w:cs="Tahoma"/>
      <w:sz w:val="16"/>
      <w:szCs w:val="16"/>
    </w:rPr>
  </w:style>
  <w:style w:type="character" w:customStyle="1" w:styleId="BalloonTextChar">
    <w:name w:val="Balloon Text Char"/>
    <w:basedOn w:val="DefaultParagraphFont"/>
    <w:link w:val="BalloonText"/>
    <w:uiPriority w:val="99"/>
    <w:semiHidden/>
    <w:rsid w:val="00D60B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10793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 Teddy</dc:creator>
  <cp:lastModifiedBy>Hicks, Chanel</cp:lastModifiedBy>
  <cp:revision>2</cp:revision>
  <dcterms:created xsi:type="dcterms:W3CDTF">2017-12-14T16:41:00Z</dcterms:created>
  <dcterms:modified xsi:type="dcterms:W3CDTF">2017-12-14T16:41:00Z</dcterms:modified>
</cp:coreProperties>
</file>