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90" w:rsidRPr="00FD342F" w:rsidRDefault="00142790" w:rsidP="00142790">
      <w:pPr>
        <w:ind w:left="2880" w:hanging="2880"/>
        <w:rPr>
          <w:rFonts w:ascii="Times New Roman" w:hAnsi="Times New Roman"/>
          <w:szCs w:val="24"/>
        </w:rPr>
      </w:pPr>
      <w:bookmarkStart w:id="0" w:name="_GoBack"/>
      <w:bookmarkEnd w:id="0"/>
      <w:r w:rsidRPr="00FD342F">
        <w:rPr>
          <w:rFonts w:ascii="Times New Roman" w:hAnsi="Times New Roman"/>
          <w:szCs w:val="24"/>
        </w:rPr>
        <w:t>MEMORANDUM FOR:</w:t>
      </w:r>
      <w:r w:rsidRPr="00FD342F">
        <w:rPr>
          <w:rFonts w:ascii="Times New Roman" w:hAnsi="Times New Roman"/>
          <w:szCs w:val="24"/>
        </w:rPr>
        <w:tab/>
      </w:r>
      <w:r w:rsidR="002077ED">
        <w:rPr>
          <w:rFonts w:ascii="Times New Roman" w:hAnsi="Times New Roman"/>
          <w:szCs w:val="24"/>
        </w:rPr>
        <w:t>Director</w:t>
      </w:r>
    </w:p>
    <w:p w:rsidR="00142790" w:rsidRDefault="00863ED1" w:rsidP="00142790">
      <w:pPr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Security, Facilities and Logistic Services (OSFLS)</w:t>
      </w:r>
    </w:p>
    <w:p w:rsidR="00863ED1" w:rsidRPr="00FD342F" w:rsidRDefault="00863ED1" w:rsidP="00142790">
      <w:pPr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Management</w:t>
      </w:r>
    </w:p>
    <w:p w:rsidR="00142790" w:rsidRPr="00FD342F" w:rsidRDefault="00142790" w:rsidP="00142790">
      <w:pPr>
        <w:rPr>
          <w:rFonts w:ascii="Times New Roman" w:hAnsi="Times New Roman"/>
          <w:szCs w:val="24"/>
        </w:rPr>
      </w:pPr>
    </w:p>
    <w:p w:rsidR="00863ED1" w:rsidRDefault="00142790" w:rsidP="00863ED1">
      <w:pPr>
        <w:ind w:left="2880" w:hanging="2880"/>
        <w:rPr>
          <w:rFonts w:ascii="Times New Roman" w:hAnsi="Times New Roman"/>
          <w:szCs w:val="24"/>
        </w:rPr>
      </w:pPr>
      <w:r w:rsidRPr="00FD342F">
        <w:rPr>
          <w:rFonts w:ascii="Times New Roman" w:hAnsi="Times New Roman"/>
          <w:szCs w:val="24"/>
        </w:rPr>
        <w:t>FROM:</w:t>
      </w:r>
      <w:r w:rsidRPr="00FD342F">
        <w:rPr>
          <w:rFonts w:ascii="Times New Roman" w:hAnsi="Times New Roman"/>
          <w:szCs w:val="24"/>
        </w:rPr>
        <w:tab/>
      </w:r>
      <w:r w:rsidR="002077ED">
        <w:rPr>
          <w:rFonts w:ascii="Times New Roman" w:hAnsi="Times New Roman"/>
          <w:szCs w:val="24"/>
        </w:rPr>
        <w:t>Assistant Secretary for Management</w:t>
      </w:r>
    </w:p>
    <w:p w:rsidR="00142790" w:rsidRPr="00FD342F" w:rsidRDefault="00142790" w:rsidP="00142790">
      <w:pPr>
        <w:rPr>
          <w:rFonts w:ascii="Times New Roman" w:hAnsi="Times New Roman"/>
          <w:szCs w:val="24"/>
        </w:rPr>
      </w:pPr>
    </w:p>
    <w:p w:rsidR="00863ED1" w:rsidRDefault="00142790" w:rsidP="00863ED1">
      <w:pPr>
        <w:pStyle w:val="BodyText"/>
        <w:tabs>
          <w:tab w:val="left" w:pos="1840"/>
        </w:tabs>
        <w:spacing w:line="247" w:lineRule="auto"/>
        <w:ind w:left="2880" w:right="691" w:hanging="2880"/>
      </w:pPr>
      <w:r w:rsidRPr="00E451B9">
        <w:rPr>
          <w:szCs w:val="24"/>
        </w:rPr>
        <w:t>SUBJECT:</w:t>
      </w:r>
      <w:r w:rsidRPr="00E451B9">
        <w:rPr>
          <w:szCs w:val="24"/>
        </w:rPr>
        <w:tab/>
      </w:r>
      <w:r w:rsidR="00863ED1">
        <w:rPr>
          <w:szCs w:val="24"/>
        </w:rPr>
        <w:tab/>
      </w:r>
      <w:r w:rsidR="00863ED1">
        <w:t>Delegation of Authority for the Department of Education's</w:t>
      </w:r>
      <w:r w:rsidR="00863ED1">
        <w:rPr>
          <w:spacing w:val="-29"/>
        </w:rPr>
        <w:t xml:space="preserve"> </w:t>
      </w:r>
      <w:r w:rsidR="00863ED1">
        <w:t>Personnel Security and Suitability</w:t>
      </w:r>
      <w:r w:rsidR="00863ED1">
        <w:rPr>
          <w:spacing w:val="-17"/>
        </w:rPr>
        <w:t xml:space="preserve"> </w:t>
      </w:r>
      <w:r w:rsidR="00863ED1">
        <w:t>Programs</w:t>
      </w:r>
    </w:p>
    <w:p w:rsidR="00142790" w:rsidRPr="00E451B9" w:rsidRDefault="00142790" w:rsidP="00142790">
      <w:pPr>
        <w:pStyle w:val="Heading1"/>
        <w:spacing w:after="240"/>
        <w:rPr>
          <w:b w:val="0"/>
          <w:sz w:val="24"/>
          <w:szCs w:val="24"/>
        </w:rPr>
      </w:pPr>
    </w:p>
    <w:p w:rsidR="00863ED1" w:rsidRDefault="00863ED1" w:rsidP="00863ED1">
      <w:pPr>
        <w:pStyle w:val="ListParagraph"/>
        <w:numPr>
          <w:ilvl w:val="0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  <w:u w:val="single"/>
        </w:rPr>
        <w:t>DELEGATION</w:t>
      </w:r>
    </w:p>
    <w:p w:rsidR="00863ED1" w:rsidRDefault="00863ED1" w:rsidP="00863ED1">
      <w:pPr>
        <w:pStyle w:val="BodyText"/>
        <w:spacing w:before="90" w:line="247" w:lineRule="auto"/>
        <w:ind w:left="1120" w:right="114"/>
      </w:pPr>
      <w:r>
        <w:t>Under the authority vested in me by a delegation from the</w:t>
      </w:r>
      <w:r w:rsidR="00FD2A03">
        <w:t xml:space="preserve"> Secretary</w:t>
      </w:r>
      <w:r>
        <w:t>, delegation control EM/</w:t>
      </w:r>
      <w:r w:rsidRPr="00FD2A03">
        <w:t>EMS/41</w:t>
      </w:r>
      <w:r w:rsidR="00FD2A03" w:rsidRPr="00FD2A03">
        <w:t>5</w:t>
      </w:r>
      <w:r w:rsidRPr="00FD2A03">
        <w:t>,</w:t>
      </w:r>
      <w:r>
        <w:t xml:space="preserve"> certified on </w:t>
      </w:r>
      <w:r w:rsidR="00FD2A03" w:rsidRPr="00FD2A03">
        <w:t>September 1</w:t>
      </w:r>
      <w:r w:rsidR="00256011">
        <w:t>1</w:t>
      </w:r>
      <w:r w:rsidRPr="00FD2A03">
        <w:t>, 2018</w:t>
      </w:r>
      <w:r>
        <w:t>, I hereby delegate to you, and to anyone serving for you in an acting capacity,</w:t>
      </w:r>
      <w:r w:rsidR="003457FC">
        <w:t xml:space="preserve"> or delegate the authority to perform the functions and duties of your position, </w:t>
      </w:r>
      <w:r>
        <w:t xml:space="preserve">the authority to direct and administer the personnel security and suitability programs for all positions within the Department of Education. </w:t>
      </w:r>
    </w:p>
    <w:p w:rsidR="00863ED1" w:rsidRDefault="00863ED1" w:rsidP="00863ED1">
      <w:pPr>
        <w:pStyle w:val="BodyText"/>
        <w:spacing w:before="90" w:line="247" w:lineRule="auto"/>
        <w:ind w:left="1120" w:right="114"/>
      </w:pPr>
    </w:p>
    <w:p w:rsidR="00863ED1" w:rsidRDefault="00863ED1" w:rsidP="00863ED1">
      <w:pPr>
        <w:tabs>
          <w:tab w:val="left" w:pos="1152"/>
        </w:tabs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925B4">
        <w:rPr>
          <w:rFonts w:ascii="Times New Roman" w:hAnsi="Times New Roman"/>
        </w:rPr>
        <w:t xml:space="preserve">These programs are authorized by </w:t>
      </w:r>
      <w:r w:rsidRPr="00A925B4">
        <w:rPr>
          <w:rFonts w:ascii="Times New Roman" w:hAnsi="Times New Roman"/>
          <w:szCs w:val="24"/>
        </w:rPr>
        <w:t xml:space="preserve">5 U.S.C. Sections 3301, 3571, 7531, and 7532; Executive Orders 12968, 10450, 13467, 13488, 13741, </w:t>
      </w:r>
      <w:r>
        <w:rPr>
          <w:rFonts w:ascii="Times New Roman" w:hAnsi="Times New Roman"/>
          <w:szCs w:val="24"/>
        </w:rPr>
        <w:t xml:space="preserve">13764, </w:t>
      </w:r>
      <w:r w:rsidRPr="00A925B4">
        <w:rPr>
          <w:rFonts w:ascii="Times New Roman" w:hAnsi="Times New Roman"/>
          <w:szCs w:val="24"/>
        </w:rPr>
        <w:t xml:space="preserve">13767 and 10577, as amended; Federal Information Security Modernization Act of 2014 (FISMA 2014); Office of Management and Budget (OMB) Circular No. </w:t>
      </w:r>
      <w:proofErr w:type="gramStart"/>
      <w:r w:rsidRPr="00A925B4">
        <w:rPr>
          <w:rFonts w:ascii="Times New Roman" w:hAnsi="Times New Roman"/>
          <w:szCs w:val="24"/>
        </w:rPr>
        <w:t>A-130; 5 CFR Parts 302, 315, 731, 732, and</w:t>
      </w:r>
      <w:r w:rsidRPr="00A925B4">
        <w:rPr>
          <w:rFonts w:ascii="Times New Roman" w:hAnsi="Times New Roman"/>
          <w:spacing w:val="-3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736;</w:t>
      </w:r>
      <w:r w:rsidRPr="00A925B4">
        <w:rPr>
          <w:rFonts w:ascii="Times New Roman" w:hAnsi="Times New Roman"/>
          <w:spacing w:val="-3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Homeland</w:t>
      </w:r>
      <w:r w:rsidRPr="00A925B4">
        <w:rPr>
          <w:rFonts w:ascii="Times New Roman" w:hAnsi="Times New Roman"/>
          <w:spacing w:val="-3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Security</w:t>
      </w:r>
      <w:r w:rsidRPr="00A925B4">
        <w:rPr>
          <w:rFonts w:ascii="Times New Roman" w:hAnsi="Times New Roman"/>
          <w:spacing w:val="-11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Presidential</w:t>
      </w:r>
      <w:r w:rsidRPr="00A925B4">
        <w:rPr>
          <w:rFonts w:ascii="Times New Roman" w:hAnsi="Times New Roman"/>
          <w:spacing w:val="-3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Directive</w:t>
      </w:r>
      <w:r w:rsidRPr="00A925B4">
        <w:rPr>
          <w:rFonts w:ascii="Times New Roman" w:hAnsi="Times New Roman"/>
          <w:spacing w:val="-4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12 (HSPD-12),</w:t>
      </w:r>
      <w:r w:rsidRPr="00A925B4">
        <w:rPr>
          <w:rFonts w:ascii="Times New Roman" w:hAnsi="Times New Roman"/>
          <w:spacing w:val="-3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“Policy</w:t>
      </w:r>
      <w:r w:rsidRPr="00A925B4">
        <w:rPr>
          <w:rFonts w:ascii="Times New Roman" w:hAnsi="Times New Roman"/>
          <w:spacing w:val="-11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for</w:t>
      </w:r>
      <w:r w:rsidRPr="00A925B4">
        <w:rPr>
          <w:rFonts w:ascii="Times New Roman" w:hAnsi="Times New Roman"/>
          <w:spacing w:val="-4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a</w:t>
      </w:r>
      <w:r w:rsidRPr="00A925B4">
        <w:rPr>
          <w:rFonts w:ascii="Times New Roman" w:hAnsi="Times New Roman"/>
          <w:spacing w:val="-4"/>
          <w:szCs w:val="24"/>
        </w:rPr>
        <w:t xml:space="preserve"> </w:t>
      </w:r>
      <w:r w:rsidRPr="00A925B4">
        <w:rPr>
          <w:rFonts w:ascii="Times New Roman" w:hAnsi="Times New Roman"/>
          <w:szCs w:val="24"/>
        </w:rPr>
        <w:t>Common Identification Standard for Federal Employees and Contractors”; OMB M-11-11; OMB M-05-24; 48 CFR 52.204-9;</w:t>
      </w:r>
      <w:r>
        <w:rPr>
          <w:rFonts w:ascii="Times New Roman" w:hAnsi="Times New Roman"/>
          <w:szCs w:val="24"/>
        </w:rPr>
        <w:t xml:space="preserve"> 5 CFR 1400;</w:t>
      </w:r>
      <w:r w:rsidRPr="00A925B4">
        <w:rPr>
          <w:rFonts w:ascii="Times New Roman" w:hAnsi="Times New Roman"/>
          <w:szCs w:val="24"/>
        </w:rPr>
        <w:t xml:space="preserve"> Federal Information Processing Standards Publication (FIPS PUB) 200 and 201-2.</w:t>
      </w:r>
      <w:proofErr w:type="gramEnd"/>
      <w:r w:rsidRPr="00A925B4">
        <w:rPr>
          <w:rFonts w:ascii="Times New Roman" w:hAnsi="Times New Roman"/>
          <w:szCs w:val="24"/>
        </w:rPr>
        <w:t xml:space="preserve">  T</w:t>
      </w:r>
      <w:r w:rsidRPr="00A925B4">
        <w:rPr>
          <w:rFonts w:ascii="Times New Roman" w:hAnsi="Times New Roman"/>
        </w:rPr>
        <w:t>his authority must be exercised in accordance with the above authorities and their implementing guidance.</w:t>
      </w:r>
    </w:p>
    <w:p w:rsidR="00863ED1" w:rsidRDefault="00863ED1" w:rsidP="00863ED1">
      <w:pPr>
        <w:pStyle w:val="BodyText"/>
        <w:spacing w:before="1" w:line="247" w:lineRule="auto"/>
        <w:ind w:left="1120"/>
      </w:pPr>
    </w:p>
    <w:p w:rsidR="00863ED1" w:rsidRDefault="00863ED1" w:rsidP="00863ED1">
      <w:pPr>
        <w:pStyle w:val="BodyText"/>
        <w:spacing w:before="1" w:line="247" w:lineRule="auto"/>
        <w:ind w:left="1120"/>
      </w:pPr>
      <w:r>
        <w:t>This delegated authority includes, but is not limited to, the following responsibilities:</w:t>
      </w:r>
    </w:p>
    <w:p w:rsidR="00863ED1" w:rsidRDefault="00863ED1" w:rsidP="00863ED1">
      <w:pPr>
        <w:pStyle w:val="BodyText"/>
        <w:spacing w:before="5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line="247" w:lineRule="auto"/>
        <w:ind w:right="188"/>
        <w:rPr>
          <w:sz w:val="24"/>
        </w:rPr>
      </w:pPr>
      <w:r>
        <w:rPr>
          <w:sz w:val="24"/>
        </w:rPr>
        <w:t>The authority to establish procedures to prevent unnecessary access to classified information, including procedures that: (1) require that a need</w:t>
      </w:r>
      <w:r>
        <w:rPr>
          <w:spacing w:val="-21"/>
          <w:sz w:val="24"/>
        </w:rPr>
        <w:t xml:space="preserve"> </w:t>
      </w:r>
      <w:r>
        <w:rPr>
          <w:sz w:val="24"/>
        </w:rPr>
        <w:t>for access to classified information is established before initiating administrative clearance procedures; and (2) ensure that the number of persons granted access to classified information is limited to the minimum consistent with operational and security requirements and</w:t>
      </w:r>
      <w:r>
        <w:rPr>
          <w:spacing w:val="-13"/>
          <w:sz w:val="24"/>
        </w:rPr>
        <w:t xml:space="preserve"> </w:t>
      </w:r>
      <w:r>
        <w:rPr>
          <w:sz w:val="24"/>
        </w:rPr>
        <w:t>needs.</w:t>
      </w:r>
    </w:p>
    <w:p w:rsidR="00863ED1" w:rsidRDefault="00863ED1" w:rsidP="00863ED1">
      <w:pPr>
        <w:pStyle w:val="BodyText"/>
        <w:rPr>
          <w:sz w:val="21"/>
        </w:rPr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before="90" w:line="247" w:lineRule="auto"/>
        <w:ind w:right="217"/>
        <w:rPr>
          <w:sz w:val="24"/>
        </w:rPr>
      </w:pPr>
      <w:r>
        <w:rPr>
          <w:sz w:val="24"/>
        </w:rPr>
        <w:t>The authority to grant clearances for access to Classified National Security Information on an as-needed basis, for any individual employed by the Department, including all non-Federal employees working on a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z w:val="24"/>
        </w:rPr>
        <w:lastRenderedPageBreak/>
        <w:t>of Education contract, including all</w:t>
      </w:r>
      <w:r>
        <w:rPr>
          <w:spacing w:val="-6"/>
          <w:sz w:val="24"/>
        </w:rPr>
        <w:t xml:space="preserve"> </w:t>
      </w:r>
      <w:r>
        <w:rPr>
          <w:sz w:val="24"/>
        </w:rPr>
        <w:t>subcontractors.</w:t>
      </w:r>
    </w:p>
    <w:p w:rsidR="00863ED1" w:rsidRDefault="00863ED1" w:rsidP="00863ED1">
      <w:pPr>
        <w:pStyle w:val="BodyText"/>
        <w:spacing w:before="3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line="247" w:lineRule="auto"/>
        <w:ind w:right="108"/>
        <w:rPr>
          <w:sz w:val="24"/>
        </w:rPr>
      </w:pPr>
      <w:r>
        <w:rPr>
          <w:sz w:val="24"/>
        </w:rPr>
        <w:t>The authority to make determinations of suitability for employment of applicants for, or appointees to, competitive service or career Senior Executive Service (SES) positions, in accordance with 5 CFR Part 731 and Office of Personnel Management guidance. An applicant is a person being considered for employment, and an appointee is a person who has entered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on duty and is in the first </w:t>
      </w:r>
      <w:r>
        <w:rPr>
          <w:spacing w:val="-3"/>
          <w:sz w:val="24"/>
        </w:rPr>
        <w:t xml:space="preserve">year </w:t>
      </w:r>
      <w:r>
        <w:rPr>
          <w:sz w:val="24"/>
        </w:rPr>
        <w:t>of a “subject to investigation”</w:t>
      </w:r>
      <w:r>
        <w:rPr>
          <w:spacing w:val="-15"/>
          <w:sz w:val="24"/>
        </w:rPr>
        <w:t xml:space="preserve"> </w:t>
      </w:r>
      <w:r>
        <w:rPr>
          <w:sz w:val="24"/>
        </w:rPr>
        <w:t>appointment.</w:t>
      </w:r>
    </w:p>
    <w:p w:rsidR="00863ED1" w:rsidRDefault="00863ED1" w:rsidP="00863ED1">
      <w:pPr>
        <w:pStyle w:val="BodyText"/>
        <w:spacing w:before="1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line="247" w:lineRule="auto"/>
        <w:ind w:right="408"/>
        <w:rPr>
          <w:sz w:val="24"/>
        </w:rPr>
      </w:pPr>
      <w:r>
        <w:rPr>
          <w:sz w:val="24"/>
        </w:rPr>
        <w:t>The authority to make determinations of suitability for employment of applicants for, or appointees to, positions in the Excepted Service in accordance with Office of Personnel Management (OPM) regulations</w:t>
      </w:r>
      <w:r>
        <w:rPr>
          <w:spacing w:val="-28"/>
          <w:sz w:val="24"/>
        </w:rPr>
        <w:t xml:space="preserve"> </w:t>
      </w:r>
      <w:r>
        <w:rPr>
          <w:sz w:val="24"/>
        </w:rPr>
        <w:t>and guidance, and Department of Education policies and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procedures.</w:t>
      </w:r>
    </w:p>
    <w:p w:rsidR="00863ED1" w:rsidRDefault="00863ED1" w:rsidP="00863ED1">
      <w:pPr>
        <w:pStyle w:val="BodyText"/>
        <w:spacing w:before="3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line="247" w:lineRule="auto"/>
        <w:ind w:right="640"/>
        <w:rPr>
          <w:sz w:val="24"/>
        </w:rPr>
      </w:pPr>
      <w:r>
        <w:rPr>
          <w:sz w:val="24"/>
        </w:rPr>
        <w:t>The authority to determine the acceptability for employment of all</w:t>
      </w:r>
      <w:r>
        <w:rPr>
          <w:spacing w:val="-35"/>
          <w:sz w:val="24"/>
        </w:rPr>
        <w:t xml:space="preserve"> </w:t>
      </w:r>
      <w:r>
        <w:rPr>
          <w:sz w:val="24"/>
        </w:rPr>
        <w:t>non- Federal employees working on a Department of Education contract, including all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subcontractors.</w:t>
      </w:r>
    </w:p>
    <w:p w:rsidR="00863ED1" w:rsidRDefault="00863ED1" w:rsidP="00863ED1">
      <w:pPr>
        <w:pStyle w:val="BodyText"/>
        <w:spacing w:before="5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line="247" w:lineRule="auto"/>
        <w:ind w:right="103"/>
        <w:rPr>
          <w:sz w:val="24"/>
        </w:rPr>
      </w:pPr>
      <w:r>
        <w:rPr>
          <w:sz w:val="24"/>
        </w:rPr>
        <w:t xml:space="preserve">The authority to impose a period of debarment of up to one </w:t>
      </w:r>
      <w:r>
        <w:rPr>
          <w:spacing w:val="-3"/>
          <w:sz w:val="24"/>
        </w:rPr>
        <w:t xml:space="preserve">year </w:t>
      </w:r>
      <w:r>
        <w:rPr>
          <w:sz w:val="24"/>
        </w:rPr>
        <w:t>from all or specific competitive service positions, and other appropriate positions</w:t>
      </w:r>
      <w:r>
        <w:rPr>
          <w:spacing w:val="-12"/>
          <w:sz w:val="24"/>
        </w:rPr>
        <w:t xml:space="preserve"> </w:t>
      </w:r>
      <w:r>
        <w:rPr>
          <w:sz w:val="24"/>
        </w:rPr>
        <w:t>within the Department of Education, in accordance with OPM regulations and guidance and Department of Education policies and procedures, and impose a cancellation of pending applications in any case in which an ineligible or removal decision has been made under 5 CFR Part</w:t>
      </w:r>
      <w:r>
        <w:rPr>
          <w:spacing w:val="-5"/>
          <w:sz w:val="24"/>
        </w:rPr>
        <w:t xml:space="preserve"> </w:t>
      </w:r>
      <w:r>
        <w:rPr>
          <w:sz w:val="24"/>
        </w:rPr>
        <w:t>731.</w:t>
      </w:r>
    </w:p>
    <w:p w:rsidR="00863ED1" w:rsidRDefault="00863ED1" w:rsidP="00863ED1">
      <w:pPr>
        <w:pStyle w:val="BodyText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before="1" w:line="247" w:lineRule="auto"/>
        <w:ind w:right="324"/>
        <w:rPr>
          <w:sz w:val="24"/>
        </w:rPr>
      </w:pPr>
      <w:r>
        <w:rPr>
          <w:sz w:val="24"/>
        </w:rPr>
        <w:t>The authority to take a suitability action against an applicant, appointee,</w:t>
      </w:r>
      <w:r>
        <w:rPr>
          <w:spacing w:val="-34"/>
          <w:sz w:val="24"/>
        </w:rPr>
        <w:t xml:space="preserve"> </w:t>
      </w:r>
      <w:r>
        <w:rPr>
          <w:sz w:val="24"/>
        </w:rPr>
        <w:t>or employee in accordance with 5 CFR Part 731 or 315, and in consultation with Human Resources Services and the Principal Office</w:t>
      </w:r>
      <w:r>
        <w:rPr>
          <w:spacing w:val="-8"/>
          <w:sz w:val="24"/>
        </w:rPr>
        <w:t xml:space="preserve"> </w:t>
      </w:r>
      <w:r>
        <w:rPr>
          <w:sz w:val="24"/>
        </w:rPr>
        <w:t>involved.</w:t>
      </w:r>
    </w:p>
    <w:p w:rsidR="00863ED1" w:rsidRDefault="00863ED1" w:rsidP="00863ED1">
      <w:pPr>
        <w:pStyle w:val="BodyText"/>
        <w:spacing w:before="1" w:line="247" w:lineRule="auto"/>
        <w:ind w:left="1120"/>
      </w:pPr>
    </w:p>
    <w:p w:rsidR="00863ED1" w:rsidRDefault="00863ED1" w:rsidP="00863ED1">
      <w:pPr>
        <w:pStyle w:val="BodyText"/>
        <w:spacing w:before="1" w:line="247" w:lineRule="auto"/>
        <w:ind w:left="1120"/>
      </w:pPr>
      <w:r>
        <w:t>Unless otherwise specified in future delegations of authority, amendments to these delegated authorities are included within the scope of this delegation.</w:t>
      </w:r>
    </w:p>
    <w:p w:rsidR="00863ED1" w:rsidRDefault="00863ED1" w:rsidP="00863ED1">
      <w:pPr>
        <w:pStyle w:val="BodyText"/>
        <w:spacing w:before="5"/>
      </w:pPr>
    </w:p>
    <w:p w:rsidR="00863ED1" w:rsidRDefault="00863ED1" w:rsidP="00863ED1">
      <w:pPr>
        <w:pStyle w:val="ListParagraph"/>
        <w:numPr>
          <w:ilvl w:val="0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  <w:u w:val="single"/>
        </w:rPr>
        <w:t>RESERVATIONS</w:t>
      </w:r>
    </w:p>
    <w:p w:rsidR="00863ED1" w:rsidRDefault="00863ED1" w:rsidP="00863ED1">
      <w:pPr>
        <w:pStyle w:val="BodyText"/>
        <w:spacing w:before="5"/>
        <w:rPr>
          <w:sz w:val="17"/>
        </w:rPr>
      </w:pPr>
    </w:p>
    <w:p w:rsidR="00863ED1" w:rsidRDefault="00863ED1" w:rsidP="00863ED1">
      <w:pPr>
        <w:pStyle w:val="BodyText"/>
        <w:spacing w:before="90" w:line="247" w:lineRule="auto"/>
        <w:ind w:left="1120" w:right="455"/>
      </w:pPr>
      <w:r>
        <w:t>Unless otherwise noted in existing or future delegations of authority, the following are not delegated:</w:t>
      </w: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before="61" w:line="247" w:lineRule="auto"/>
        <w:ind w:right="532"/>
        <w:rPr>
          <w:sz w:val="24"/>
        </w:rPr>
      </w:pPr>
      <w:r>
        <w:rPr>
          <w:sz w:val="24"/>
        </w:rPr>
        <w:t>The authority to approve the waiver of the pre-appointment background investigation requirement for appointments to critical-sensitive and</w:t>
      </w:r>
      <w:r>
        <w:rPr>
          <w:spacing w:val="-16"/>
          <w:sz w:val="24"/>
        </w:rPr>
        <w:t xml:space="preserve"> </w:t>
      </w:r>
      <w:r>
        <w:rPr>
          <w:sz w:val="24"/>
        </w:rPr>
        <w:t>non- critical sensitive national security positions is reserved to the Assistant Secretary for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Management.</w:t>
      </w:r>
    </w:p>
    <w:p w:rsidR="00863ED1" w:rsidRDefault="00863ED1" w:rsidP="00863ED1">
      <w:pPr>
        <w:pStyle w:val="BodyText"/>
        <w:spacing w:before="3"/>
      </w:pPr>
    </w:p>
    <w:p w:rsidR="003457FC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before="1" w:line="247" w:lineRule="auto"/>
        <w:ind w:right="158"/>
        <w:rPr>
          <w:sz w:val="24"/>
        </w:rPr>
      </w:pPr>
      <w:r>
        <w:rPr>
          <w:sz w:val="24"/>
        </w:rPr>
        <w:t>The authority to suspend or remove an employee for security reasons is reserved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 pursuant to Section 5.2(6</w:t>
      </w:r>
      <w:r w:rsidR="007A0A66">
        <w:rPr>
          <w:sz w:val="24"/>
        </w:rPr>
        <w:t>-7)</w:t>
      </w:r>
      <w:r>
        <w:rPr>
          <w:sz w:val="24"/>
        </w:rPr>
        <w:t xml:space="preserve"> of Executive O</w:t>
      </w:r>
      <w:r w:rsidR="007A0A66">
        <w:rPr>
          <w:sz w:val="24"/>
        </w:rPr>
        <w:t xml:space="preserve">rder 12968, 60 Federal </w:t>
      </w:r>
    </w:p>
    <w:p w:rsidR="003457FC" w:rsidRPr="003457FC" w:rsidRDefault="003457FC" w:rsidP="003457FC">
      <w:pPr>
        <w:pStyle w:val="ListParagraph"/>
        <w:rPr>
          <w:sz w:val="24"/>
        </w:rPr>
      </w:pPr>
    </w:p>
    <w:p w:rsidR="00863ED1" w:rsidRDefault="007A0A66" w:rsidP="003457FC">
      <w:pPr>
        <w:pStyle w:val="ListParagraph"/>
        <w:tabs>
          <w:tab w:val="left" w:pos="1660"/>
          <w:tab w:val="left" w:pos="1661"/>
        </w:tabs>
        <w:spacing w:before="1" w:line="247" w:lineRule="auto"/>
        <w:ind w:right="158" w:firstLine="0"/>
        <w:rPr>
          <w:sz w:val="24"/>
        </w:rPr>
      </w:pPr>
      <w:r>
        <w:rPr>
          <w:sz w:val="24"/>
        </w:rPr>
        <w:lastRenderedPageBreak/>
        <w:t>Register</w:t>
      </w:r>
      <w:r w:rsidR="003457FC">
        <w:rPr>
          <w:sz w:val="24"/>
        </w:rPr>
        <w:t xml:space="preserve"> </w:t>
      </w:r>
      <w:r w:rsidR="00863ED1">
        <w:rPr>
          <w:sz w:val="24"/>
        </w:rPr>
        <w:t>(August 7,</w:t>
      </w:r>
      <w:r w:rsidR="00863ED1">
        <w:rPr>
          <w:spacing w:val="-1"/>
          <w:sz w:val="24"/>
        </w:rPr>
        <w:t xml:space="preserve"> </w:t>
      </w:r>
      <w:r w:rsidR="00863ED1">
        <w:rPr>
          <w:sz w:val="24"/>
        </w:rPr>
        <w:t>1995)</w:t>
      </w:r>
      <w:r>
        <w:rPr>
          <w:sz w:val="24"/>
        </w:rPr>
        <w:t>, as amended by Executive Order 13467 (June 30, 2008)</w:t>
      </w:r>
      <w:r w:rsidR="00863ED1">
        <w:rPr>
          <w:sz w:val="24"/>
        </w:rPr>
        <w:t>;</w:t>
      </w:r>
    </w:p>
    <w:p w:rsidR="00863ED1" w:rsidRDefault="00863ED1" w:rsidP="00863ED1">
      <w:pPr>
        <w:pStyle w:val="BodyText"/>
        <w:spacing w:before="2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before="1" w:line="247" w:lineRule="auto"/>
        <w:ind w:right="111"/>
        <w:rPr>
          <w:sz w:val="24"/>
        </w:rPr>
      </w:pPr>
      <w:r>
        <w:rPr>
          <w:sz w:val="24"/>
        </w:rPr>
        <w:t>The authority to restore to duty an employee who was suspended or</w:t>
      </w:r>
      <w:r>
        <w:rPr>
          <w:spacing w:val="-40"/>
          <w:sz w:val="24"/>
        </w:rPr>
        <w:t xml:space="preserve"> </w:t>
      </w:r>
      <w:r>
        <w:rPr>
          <w:sz w:val="24"/>
        </w:rPr>
        <w:t>removed under 5 U.S.C. Section 7532 is reserved to the Secretary;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:rsidR="00863ED1" w:rsidRDefault="00863ED1" w:rsidP="00863ED1">
      <w:pPr>
        <w:pStyle w:val="BodyText"/>
        <w:spacing w:before="5"/>
      </w:pPr>
    </w:p>
    <w:p w:rsidR="00863ED1" w:rsidRDefault="00863ED1" w:rsidP="00863ED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spacing w:line="247" w:lineRule="auto"/>
        <w:ind w:right="548"/>
        <w:rPr>
          <w:sz w:val="24"/>
        </w:rPr>
      </w:pPr>
      <w:r>
        <w:rPr>
          <w:sz w:val="24"/>
        </w:rPr>
        <w:t>The authority to make suitability determinations for Schedule C or</w:t>
      </w:r>
      <w:r>
        <w:rPr>
          <w:spacing w:val="-26"/>
          <w:sz w:val="24"/>
        </w:rPr>
        <w:t xml:space="preserve"> </w:t>
      </w:r>
      <w:r>
        <w:rPr>
          <w:sz w:val="24"/>
        </w:rPr>
        <w:t>Non- Career SES applicants or appointees is reserved to the</w:t>
      </w:r>
      <w:r>
        <w:rPr>
          <w:spacing w:val="-12"/>
          <w:sz w:val="24"/>
        </w:rPr>
        <w:t xml:space="preserve"> </w:t>
      </w:r>
      <w:r>
        <w:rPr>
          <w:sz w:val="24"/>
        </w:rPr>
        <w:t>Secretary.</w:t>
      </w:r>
    </w:p>
    <w:p w:rsidR="00863ED1" w:rsidRDefault="00863ED1" w:rsidP="00863ED1">
      <w:pPr>
        <w:pStyle w:val="BodyText"/>
        <w:spacing w:before="5"/>
      </w:pPr>
    </w:p>
    <w:p w:rsidR="00863ED1" w:rsidRDefault="00863ED1" w:rsidP="00863ED1">
      <w:pPr>
        <w:pStyle w:val="ListParagraph"/>
        <w:numPr>
          <w:ilvl w:val="0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  <w:u w:val="single"/>
        </w:rPr>
        <w:t>REDELEGATION</w:t>
      </w:r>
    </w:p>
    <w:p w:rsidR="00863ED1" w:rsidRDefault="00863ED1" w:rsidP="00863ED1">
      <w:pPr>
        <w:pStyle w:val="BodyText"/>
        <w:spacing w:before="5"/>
        <w:rPr>
          <w:sz w:val="17"/>
        </w:rPr>
      </w:pPr>
    </w:p>
    <w:p w:rsidR="002077ED" w:rsidRDefault="002077ED" w:rsidP="002077ED">
      <w:pPr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may </w:t>
      </w:r>
      <w:proofErr w:type="spellStart"/>
      <w:r>
        <w:rPr>
          <w:rFonts w:ascii="Times New Roman" w:hAnsi="Times New Roman"/>
        </w:rPr>
        <w:t>redelegate</w:t>
      </w:r>
      <w:proofErr w:type="spellEnd"/>
      <w:r>
        <w:rPr>
          <w:rFonts w:ascii="Times New Roman" w:hAnsi="Times New Roman"/>
        </w:rPr>
        <w:t xml:space="preserve"> the authorities delegated to you, but no further </w:t>
      </w:r>
      <w:proofErr w:type="spellStart"/>
      <w:r>
        <w:rPr>
          <w:rFonts w:ascii="Times New Roman" w:hAnsi="Times New Roman"/>
        </w:rPr>
        <w:t>redelegation</w:t>
      </w:r>
      <w:proofErr w:type="spellEnd"/>
      <w:r>
        <w:rPr>
          <w:rFonts w:ascii="Times New Roman" w:hAnsi="Times New Roman"/>
        </w:rPr>
        <w:t xml:space="preserve"> is authorized.  Any </w:t>
      </w:r>
      <w:proofErr w:type="spellStart"/>
      <w:r>
        <w:rPr>
          <w:rFonts w:ascii="Times New Roman" w:hAnsi="Times New Roman"/>
        </w:rPr>
        <w:t>redelegation</w:t>
      </w:r>
      <w:proofErr w:type="spellEnd"/>
      <w:r>
        <w:rPr>
          <w:rFonts w:ascii="Times New Roman" w:hAnsi="Times New Roman"/>
        </w:rPr>
        <w:t xml:space="preserve"> must be done in accordance with the Administrative Communications System directive, OM</w:t>
      </w:r>
      <w:proofErr w:type="gramStart"/>
      <w:r>
        <w:rPr>
          <w:rFonts w:ascii="Times New Roman" w:hAnsi="Times New Roman"/>
        </w:rPr>
        <w:t>:1</w:t>
      </w:r>
      <w:proofErr w:type="gramEnd"/>
      <w:r>
        <w:rPr>
          <w:rFonts w:ascii="Times New Roman" w:hAnsi="Times New Roman"/>
        </w:rPr>
        <w:t xml:space="preserve">-102, Delegations of Authority, dated August 26, 2016.  </w:t>
      </w:r>
    </w:p>
    <w:p w:rsidR="00863ED1" w:rsidRDefault="00863ED1" w:rsidP="00863ED1">
      <w:pPr>
        <w:pStyle w:val="BodyText"/>
        <w:spacing w:before="3"/>
        <w:rPr>
          <w:sz w:val="25"/>
        </w:rPr>
      </w:pPr>
    </w:p>
    <w:p w:rsidR="00863ED1" w:rsidRDefault="00863ED1" w:rsidP="00863ED1">
      <w:pPr>
        <w:pStyle w:val="ListParagraph"/>
        <w:numPr>
          <w:ilvl w:val="0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  <w:u w:val="single"/>
        </w:rPr>
        <w:t>CERTIFICATION AND EFFECTIVE</w:t>
      </w:r>
      <w:r>
        <w:rPr>
          <w:spacing w:val="-37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</w:p>
    <w:p w:rsidR="00863ED1" w:rsidRDefault="00863ED1" w:rsidP="00863ED1">
      <w:pPr>
        <w:pStyle w:val="BodyText"/>
        <w:spacing w:before="5"/>
        <w:rPr>
          <w:sz w:val="17"/>
        </w:rPr>
      </w:pPr>
    </w:p>
    <w:p w:rsidR="00863ED1" w:rsidRDefault="00863ED1" w:rsidP="00863ED1">
      <w:pPr>
        <w:pStyle w:val="BodyText"/>
        <w:spacing w:before="90" w:line="247" w:lineRule="auto"/>
        <w:ind w:left="1120"/>
      </w:pPr>
      <w:r>
        <w:t xml:space="preserve">This delegation is effective upon certification of the Department's Delegations Control Officer and supersedes all previous </w:t>
      </w:r>
      <w:proofErr w:type="spellStart"/>
      <w:r>
        <w:t>redelegations</w:t>
      </w:r>
      <w:proofErr w:type="spellEnd"/>
      <w:r>
        <w:t>.</w:t>
      </w:r>
    </w:p>
    <w:p w:rsidR="00863ED1" w:rsidRDefault="00863ED1" w:rsidP="00863ED1">
      <w:pPr>
        <w:pStyle w:val="BodyText"/>
        <w:spacing w:before="6"/>
      </w:pPr>
    </w:p>
    <w:p w:rsidR="00863ED1" w:rsidRDefault="00863ED1" w:rsidP="00863ED1">
      <w:pPr>
        <w:pStyle w:val="BodyText"/>
        <w:spacing w:line="247" w:lineRule="auto"/>
        <w:ind w:left="1120" w:right="455"/>
      </w:pPr>
      <w:r>
        <w:t>I hereby ratify actions within the scope of this delegation taken by you prior to certification of this delegation.</w:t>
      </w:r>
    </w:p>
    <w:p w:rsidR="00863ED1" w:rsidRDefault="00863ED1" w:rsidP="00863ED1">
      <w:pPr>
        <w:pStyle w:val="BodyText"/>
        <w:rPr>
          <w:sz w:val="20"/>
        </w:rPr>
      </w:pPr>
    </w:p>
    <w:p w:rsidR="00863ED1" w:rsidRDefault="00863ED1" w:rsidP="00863ED1">
      <w:pPr>
        <w:pStyle w:val="BodyText"/>
        <w:rPr>
          <w:sz w:val="20"/>
        </w:rPr>
      </w:pPr>
    </w:p>
    <w:p w:rsidR="00863ED1" w:rsidRDefault="00863ED1" w:rsidP="00863ED1">
      <w:pPr>
        <w:pStyle w:val="BodyText"/>
        <w:spacing w:before="10"/>
        <w:rPr>
          <w:sz w:val="25"/>
        </w:rPr>
      </w:pPr>
    </w:p>
    <w:p w:rsidR="00863ED1" w:rsidRDefault="00863ED1" w:rsidP="00863ED1">
      <w:pPr>
        <w:pStyle w:val="BodyText"/>
        <w:tabs>
          <w:tab w:val="left" w:pos="6521"/>
          <w:tab w:val="left" w:pos="8669"/>
        </w:tabs>
        <w:spacing w:before="90" w:line="247" w:lineRule="auto"/>
        <w:ind w:left="6041" w:right="468" w:hanging="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9527D">
        <w:rPr>
          <w:u w:val="single"/>
        </w:rPr>
        <w:t>/s</w:t>
      </w:r>
      <w:r>
        <w:rPr>
          <w:u w:val="single"/>
        </w:rPr>
        <w:tab/>
      </w:r>
      <w:r w:rsidR="005651BD">
        <w:t xml:space="preserve"> Denise L. Carter</w:t>
      </w:r>
    </w:p>
    <w:p w:rsidR="00863ED1" w:rsidRDefault="00863ED1" w:rsidP="00863ED1">
      <w:pPr>
        <w:pStyle w:val="BodyTextIndent2"/>
        <w:spacing w:after="0"/>
        <w:ind w:left="0"/>
        <w:rPr>
          <w:rFonts w:ascii="Times New Roman" w:hAnsi="Times New Roman"/>
          <w:szCs w:val="24"/>
        </w:rPr>
      </w:pPr>
    </w:p>
    <w:p w:rsidR="00863ED1" w:rsidRDefault="00863ED1" w:rsidP="00863ED1">
      <w:pPr>
        <w:pStyle w:val="BodyTextIndent2"/>
        <w:spacing w:after="0"/>
        <w:ind w:left="0"/>
        <w:rPr>
          <w:rFonts w:ascii="Times New Roman" w:hAnsi="Times New Roman"/>
          <w:szCs w:val="24"/>
        </w:rPr>
      </w:pPr>
      <w:r w:rsidRPr="00285AC6">
        <w:rPr>
          <w:rFonts w:ascii="Times New Roman" w:hAnsi="Times New Roman"/>
          <w:szCs w:val="24"/>
        </w:rPr>
        <w:t xml:space="preserve">OGC Clearance and Date:  </w:t>
      </w:r>
      <w:r w:rsidR="0049527D">
        <w:rPr>
          <w:rFonts w:ascii="Times New Roman" w:hAnsi="Times New Roman"/>
          <w:szCs w:val="24"/>
        </w:rPr>
        <w:t>Debbie Friendly; 9/13/2018</w:t>
      </w:r>
    </w:p>
    <w:p w:rsidR="00AD6802" w:rsidRDefault="00AD6802" w:rsidP="00863ED1">
      <w:pPr>
        <w:pStyle w:val="BodyTextIndent2"/>
        <w:spacing w:after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Certified Date: 9/11/18</w:t>
      </w:r>
    </w:p>
    <w:p w:rsidR="00AD6802" w:rsidRDefault="00AD6802" w:rsidP="00863ED1">
      <w:pPr>
        <w:pStyle w:val="BodyTextIndent2"/>
        <w:spacing w:after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Departmental Delegations Control Officer: Jim Clemmens</w:t>
      </w:r>
    </w:p>
    <w:p w:rsidR="00AD6802" w:rsidRPr="00285AC6" w:rsidRDefault="00AD6802" w:rsidP="00863ED1">
      <w:pPr>
        <w:pStyle w:val="BodyTextIndent2"/>
        <w:spacing w:after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Control Number: EA/EM/416</w:t>
      </w:r>
    </w:p>
    <w:p w:rsidR="00863ED1" w:rsidRDefault="00863ED1" w:rsidP="009459CC">
      <w:pPr>
        <w:pStyle w:val="Heading2"/>
        <w:spacing w:after="240"/>
        <w:jc w:val="left"/>
        <w:rPr>
          <w:szCs w:val="24"/>
        </w:rPr>
      </w:pPr>
    </w:p>
    <w:p w:rsidR="00863ED1" w:rsidRDefault="00863ED1" w:rsidP="009459CC">
      <w:pPr>
        <w:pStyle w:val="Heading2"/>
        <w:spacing w:after="240"/>
        <w:jc w:val="left"/>
        <w:rPr>
          <w:szCs w:val="24"/>
        </w:rPr>
      </w:pPr>
    </w:p>
    <w:sectPr w:rsidR="00863ED1" w:rsidSect="00A11FAD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42" w:rsidRDefault="00CA1842">
      <w:r>
        <w:separator/>
      </w:r>
    </w:p>
  </w:endnote>
  <w:endnote w:type="continuationSeparator" w:id="0">
    <w:p w:rsidR="00CA1842" w:rsidRDefault="00CA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EE" w:rsidRDefault="00CC10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90" w:rsidRPr="00142790" w:rsidRDefault="00142790" w:rsidP="00142790">
    <w:pPr>
      <w:jc w:val="center"/>
      <w:rPr>
        <w:rFonts w:ascii="Times New Roman" w:hAnsi="Times New Roman"/>
        <w:i/>
        <w:sz w:val="20"/>
      </w:rPr>
    </w:pPr>
    <w:r w:rsidRPr="00142790">
      <w:rPr>
        <w:rFonts w:ascii="Times New Roman" w:hAnsi="Times New Roman"/>
        <w:sz w:val="20"/>
      </w:rPr>
      <w:t>400 MARYLAND AVE., S.W., WASHINGTON, DC  20202</w:t>
    </w:r>
  </w:p>
  <w:p w:rsidR="00142790" w:rsidRPr="00142790" w:rsidRDefault="00142790" w:rsidP="00142790">
    <w:pPr>
      <w:jc w:val="center"/>
      <w:rPr>
        <w:rFonts w:ascii="Times New Roman" w:hAnsi="Times New Roman"/>
        <w:i/>
        <w:color w:val="0000FF"/>
        <w:sz w:val="20"/>
      </w:rPr>
    </w:pPr>
    <w:r w:rsidRPr="00142790">
      <w:rPr>
        <w:rFonts w:ascii="Times New Roman" w:hAnsi="Times New Roman"/>
        <w:color w:val="0000FF"/>
        <w:sz w:val="20"/>
      </w:rPr>
      <w:t>www.ed.gov</w:t>
    </w:r>
  </w:p>
  <w:p w:rsidR="00142790" w:rsidRPr="00142790" w:rsidRDefault="00142790" w:rsidP="00142790">
    <w:pPr>
      <w:jc w:val="center"/>
      <w:rPr>
        <w:rFonts w:ascii="Times New Roman" w:hAnsi="Times New Roman"/>
        <w:color w:val="0000FF"/>
        <w:sz w:val="20"/>
      </w:rPr>
    </w:pPr>
  </w:p>
  <w:p w:rsidR="00142790" w:rsidRPr="00142790" w:rsidRDefault="00142790" w:rsidP="00142790">
    <w:pPr>
      <w:jc w:val="center"/>
      <w:rPr>
        <w:rFonts w:ascii="Times New Roman" w:hAnsi="Times New Roman"/>
        <w:i/>
        <w:sz w:val="20"/>
      </w:rPr>
    </w:pPr>
    <w:r w:rsidRPr="00142790">
      <w:rPr>
        <w:rFonts w:ascii="Times New Roman" w:hAnsi="Times New Roman"/>
        <w:i/>
        <w:sz w:val="20"/>
      </w:rPr>
      <w:t>The Department of Education's mission is to promote student achievement and preparation for global competitiveness by fostering educational excellence and ensuring equal access.</w:t>
    </w:r>
  </w:p>
  <w:p w:rsidR="00CC10EE" w:rsidRPr="00142790" w:rsidRDefault="00CC10EE" w:rsidP="0014279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42" w:rsidRDefault="00CA1842">
      <w:r>
        <w:separator/>
      </w:r>
    </w:p>
  </w:footnote>
  <w:footnote w:type="continuationSeparator" w:id="0">
    <w:p w:rsidR="00CA1842" w:rsidRDefault="00CA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EE" w:rsidRDefault="002B5A4C">
    <w:pPr>
      <w:pStyle w:val="Header"/>
    </w:pPr>
    <w:r w:rsidRPr="005275A5">
      <w:rPr>
        <w:noProof/>
        <w:color w:val="002060"/>
        <w:sz w:val="20"/>
      </w:rPr>
      <w:drawing>
        <wp:inline distT="0" distB="0" distL="0" distR="0" wp14:anchorId="5A3A420C" wp14:editId="0804A90B">
          <wp:extent cx="1033272" cy="1024128"/>
          <wp:effectExtent l="0" t="0" r="0" b="5080"/>
          <wp:docPr id="3" name="Picture 3" descr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1024128"/>
                  </a:xfrm>
                  <a:prstGeom prst="rect">
                    <a:avLst/>
                  </a:prstGeom>
                  <a:solidFill>
                    <a:srgbClr val="0F243E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42790">
      <w:rPr>
        <w:noProof/>
      </w:rPr>
      <mc:AlternateContent>
        <mc:Choice Requires="wps">
          <w:drawing>
            <wp:inline distT="0" distB="0" distL="0" distR="0" wp14:anchorId="35D5C6F1" wp14:editId="653DCB03">
              <wp:extent cx="3810000" cy="1404620"/>
              <wp:effectExtent l="0" t="0" r="0" b="0"/>
              <wp:docPr id="217" name="Text Box 2" descr="UNITED STATES DEPARTMENT OF EDUCATION&#10;OFFICE OF MANAGEMENT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90" w:rsidRPr="00FD342F" w:rsidRDefault="00142790" w:rsidP="00142790">
                          <w:pPr>
                            <w:tabs>
                              <w:tab w:val="left" w:pos="1440"/>
                            </w:tabs>
                            <w:spacing w:after="240"/>
                            <w:jc w:val="center"/>
                            <w:rPr>
                              <w:rFonts w:ascii="Times New Roman" w:hAnsi="Times New Roman"/>
                              <w:color w:val="000080"/>
                            </w:rPr>
                          </w:pPr>
                          <w:r w:rsidRPr="00FD342F">
                            <w:rPr>
                              <w:rFonts w:ascii="Times New Roman" w:hAnsi="Times New Roman"/>
                              <w:color w:val="000080"/>
                            </w:rPr>
                            <w:t>UNITED STATES DEPARTMENT OF EDUCATION</w:t>
                          </w:r>
                        </w:p>
                        <w:p w:rsidR="00142790" w:rsidRPr="00FD342F" w:rsidRDefault="00142790" w:rsidP="00142790">
                          <w:pPr>
                            <w:tabs>
                              <w:tab w:val="left" w:pos="540"/>
                              <w:tab w:val="center" w:pos="4680"/>
                            </w:tabs>
                            <w:spacing w:after="240"/>
                            <w:jc w:val="center"/>
                            <w:rPr>
                              <w:rFonts w:ascii="Times New Roman" w:hAnsi="Times New Roman"/>
                              <w:i/>
                              <w:color w:val="000080"/>
                            </w:rPr>
                          </w:pPr>
                          <w:r w:rsidRPr="00FD342F">
                            <w:rPr>
                              <w:rFonts w:ascii="Times New Roman" w:hAnsi="Times New Roman"/>
                              <w:color w:val="000080"/>
                            </w:rPr>
                            <w:t>OFFICE OF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ITED STATES DEPARTMENT OF EDUCATION&#10;OFFICE OF MANAGEMENT&#10;" style="width:30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" filled="f" stroked="f">
              <v:textbox style="mso-fit-shape-to-text:t">
                <w:txbxContent>
                  <w:p w:rsidR="00142790" w:rsidRPr="00FD342F" w:rsidRDefault="00142790" w:rsidP="00142790">
                    <w:pPr>
                      <w:tabs>
                        <w:tab w:val="left" w:pos="1440"/>
                      </w:tabs>
                      <w:spacing w:after="240"/>
                      <w:jc w:val="center"/>
                      <w:rPr>
                        <w:rFonts w:ascii="Times New Roman" w:hAnsi="Times New Roman"/>
                        <w:color w:val="000080"/>
                      </w:rPr>
                    </w:pPr>
                    <w:r w:rsidRPr="00FD342F">
                      <w:rPr>
                        <w:rFonts w:ascii="Times New Roman" w:hAnsi="Times New Roman"/>
                        <w:color w:val="000080"/>
                      </w:rPr>
                      <w:t>UNITED STATES DEPARTMENT OF EDUCATION</w:t>
                    </w:r>
                  </w:p>
                  <w:p w:rsidR="00142790" w:rsidRPr="00FD342F" w:rsidRDefault="00142790" w:rsidP="00142790">
                    <w:pPr>
                      <w:tabs>
                        <w:tab w:val="left" w:pos="540"/>
                        <w:tab w:val="center" w:pos="4680"/>
                      </w:tabs>
                      <w:spacing w:after="240"/>
                      <w:jc w:val="center"/>
                      <w:rPr>
                        <w:rFonts w:ascii="Times New Roman" w:hAnsi="Times New Roman"/>
                        <w:i/>
                        <w:color w:val="000080"/>
                      </w:rPr>
                    </w:pPr>
                    <w:r w:rsidRPr="00FD342F">
                      <w:rPr>
                        <w:rFonts w:ascii="Times New Roman" w:hAnsi="Times New Roman"/>
                        <w:color w:val="000080"/>
                      </w:rPr>
                      <w:t>OFFICE OF MANAGEMENT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74B"/>
    <w:multiLevelType w:val="hybridMultilevel"/>
    <w:tmpl w:val="429852A0"/>
    <w:lvl w:ilvl="0" w:tplc="2D3A971C">
      <w:start w:val="1"/>
      <w:numFmt w:val="upperRoman"/>
      <w:lvlText w:val="%1."/>
      <w:lvlJc w:val="left"/>
      <w:pPr>
        <w:ind w:left="112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85385532">
      <w:start w:val="1"/>
      <w:numFmt w:val="upperLetter"/>
      <w:lvlText w:val="%2."/>
      <w:lvlJc w:val="left"/>
      <w:pPr>
        <w:ind w:left="1660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B0B0C348">
      <w:numFmt w:val="bullet"/>
      <w:lvlText w:val="•"/>
      <w:lvlJc w:val="left"/>
      <w:pPr>
        <w:ind w:left="2491" w:hanging="540"/>
      </w:pPr>
      <w:rPr>
        <w:rFonts w:hint="default"/>
        <w:lang w:val="en-US" w:eastAsia="en-US" w:bidi="en-US"/>
      </w:rPr>
    </w:lvl>
    <w:lvl w:ilvl="3" w:tplc="2354A614">
      <w:numFmt w:val="bullet"/>
      <w:lvlText w:val="•"/>
      <w:lvlJc w:val="left"/>
      <w:pPr>
        <w:ind w:left="3322" w:hanging="540"/>
      </w:pPr>
      <w:rPr>
        <w:rFonts w:hint="default"/>
        <w:lang w:val="en-US" w:eastAsia="en-US" w:bidi="en-US"/>
      </w:rPr>
    </w:lvl>
    <w:lvl w:ilvl="4" w:tplc="FBE4228C">
      <w:numFmt w:val="bullet"/>
      <w:lvlText w:val="•"/>
      <w:lvlJc w:val="left"/>
      <w:pPr>
        <w:ind w:left="4153" w:hanging="540"/>
      </w:pPr>
      <w:rPr>
        <w:rFonts w:hint="default"/>
        <w:lang w:val="en-US" w:eastAsia="en-US" w:bidi="en-US"/>
      </w:rPr>
    </w:lvl>
    <w:lvl w:ilvl="5" w:tplc="CED68D9A">
      <w:numFmt w:val="bullet"/>
      <w:lvlText w:val="•"/>
      <w:lvlJc w:val="left"/>
      <w:pPr>
        <w:ind w:left="4984" w:hanging="540"/>
      </w:pPr>
      <w:rPr>
        <w:rFonts w:hint="default"/>
        <w:lang w:val="en-US" w:eastAsia="en-US" w:bidi="en-US"/>
      </w:rPr>
    </w:lvl>
    <w:lvl w:ilvl="6" w:tplc="C832D4A6">
      <w:numFmt w:val="bullet"/>
      <w:lvlText w:val="•"/>
      <w:lvlJc w:val="left"/>
      <w:pPr>
        <w:ind w:left="5815" w:hanging="540"/>
      </w:pPr>
      <w:rPr>
        <w:rFonts w:hint="default"/>
        <w:lang w:val="en-US" w:eastAsia="en-US" w:bidi="en-US"/>
      </w:rPr>
    </w:lvl>
    <w:lvl w:ilvl="7" w:tplc="7058380A">
      <w:numFmt w:val="bullet"/>
      <w:lvlText w:val="•"/>
      <w:lvlJc w:val="left"/>
      <w:pPr>
        <w:ind w:left="6646" w:hanging="540"/>
      </w:pPr>
      <w:rPr>
        <w:rFonts w:hint="default"/>
        <w:lang w:val="en-US" w:eastAsia="en-US" w:bidi="en-US"/>
      </w:rPr>
    </w:lvl>
    <w:lvl w:ilvl="8" w:tplc="3F9CD8C2">
      <w:numFmt w:val="bullet"/>
      <w:lvlText w:val="•"/>
      <w:lvlJc w:val="left"/>
      <w:pPr>
        <w:ind w:left="7477" w:hanging="540"/>
      </w:pPr>
      <w:rPr>
        <w:rFonts w:hint="default"/>
        <w:lang w:val="en-US" w:eastAsia="en-US" w:bidi="en-US"/>
      </w:rPr>
    </w:lvl>
  </w:abstractNum>
  <w:abstractNum w:abstractNumId="1">
    <w:nsid w:val="41284C32"/>
    <w:multiLevelType w:val="hybridMultilevel"/>
    <w:tmpl w:val="C28AC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005A5"/>
    <w:multiLevelType w:val="singleLevel"/>
    <w:tmpl w:val="733C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C4156A8"/>
    <w:multiLevelType w:val="singleLevel"/>
    <w:tmpl w:val="762A99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C"/>
    <w:rsid w:val="000074A4"/>
    <w:rsid w:val="00012029"/>
    <w:rsid w:val="00094754"/>
    <w:rsid w:val="000C2132"/>
    <w:rsid w:val="000F7A26"/>
    <w:rsid w:val="00142790"/>
    <w:rsid w:val="00190559"/>
    <w:rsid w:val="001B31C8"/>
    <w:rsid w:val="001C3732"/>
    <w:rsid w:val="002077ED"/>
    <w:rsid w:val="002241F3"/>
    <w:rsid w:val="00244E02"/>
    <w:rsid w:val="00256011"/>
    <w:rsid w:val="00286880"/>
    <w:rsid w:val="002B5A4C"/>
    <w:rsid w:val="002C0ADB"/>
    <w:rsid w:val="002F10D8"/>
    <w:rsid w:val="00304FDD"/>
    <w:rsid w:val="003052A6"/>
    <w:rsid w:val="00317E36"/>
    <w:rsid w:val="003457FC"/>
    <w:rsid w:val="0039695D"/>
    <w:rsid w:val="003C5C0F"/>
    <w:rsid w:val="003D2843"/>
    <w:rsid w:val="004035BE"/>
    <w:rsid w:val="00407ADF"/>
    <w:rsid w:val="004113AA"/>
    <w:rsid w:val="0046075B"/>
    <w:rsid w:val="004609F2"/>
    <w:rsid w:val="00477A5A"/>
    <w:rsid w:val="0049527D"/>
    <w:rsid w:val="004A035C"/>
    <w:rsid w:val="004E375C"/>
    <w:rsid w:val="00503E65"/>
    <w:rsid w:val="00520A20"/>
    <w:rsid w:val="005275A5"/>
    <w:rsid w:val="00535504"/>
    <w:rsid w:val="005651BD"/>
    <w:rsid w:val="00595111"/>
    <w:rsid w:val="00621B77"/>
    <w:rsid w:val="00631BE2"/>
    <w:rsid w:val="006F713F"/>
    <w:rsid w:val="0072590B"/>
    <w:rsid w:val="0073672C"/>
    <w:rsid w:val="007A0A66"/>
    <w:rsid w:val="00803692"/>
    <w:rsid w:val="00824EF0"/>
    <w:rsid w:val="00860AD8"/>
    <w:rsid w:val="00863ED1"/>
    <w:rsid w:val="00884B3D"/>
    <w:rsid w:val="00931496"/>
    <w:rsid w:val="009459CC"/>
    <w:rsid w:val="009D2AF2"/>
    <w:rsid w:val="00A11FAD"/>
    <w:rsid w:val="00A15E31"/>
    <w:rsid w:val="00A5655A"/>
    <w:rsid w:val="00A77B1A"/>
    <w:rsid w:val="00AA23BC"/>
    <w:rsid w:val="00AB52C6"/>
    <w:rsid w:val="00AC2AE0"/>
    <w:rsid w:val="00AD6802"/>
    <w:rsid w:val="00AF4B3E"/>
    <w:rsid w:val="00BF0EE5"/>
    <w:rsid w:val="00BF5934"/>
    <w:rsid w:val="00C16E7C"/>
    <w:rsid w:val="00C26B06"/>
    <w:rsid w:val="00C30ABD"/>
    <w:rsid w:val="00C53945"/>
    <w:rsid w:val="00CA1842"/>
    <w:rsid w:val="00CA2279"/>
    <w:rsid w:val="00CA79B4"/>
    <w:rsid w:val="00CC10EE"/>
    <w:rsid w:val="00CC1440"/>
    <w:rsid w:val="00CE02BD"/>
    <w:rsid w:val="00D16F23"/>
    <w:rsid w:val="00D4257C"/>
    <w:rsid w:val="00D5002F"/>
    <w:rsid w:val="00DF048D"/>
    <w:rsid w:val="00E451B9"/>
    <w:rsid w:val="00E50BF8"/>
    <w:rsid w:val="00E72DC4"/>
    <w:rsid w:val="00E84A0A"/>
    <w:rsid w:val="00F2787D"/>
    <w:rsid w:val="00FD2A03"/>
    <w:rsid w:val="00FD342F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-144" w:right="-144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-144" w:right="-144"/>
      <w:jc w:val="center"/>
      <w:outlineLvl w:val="4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3E6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</w:rPr>
  </w:style>
  <w:style w:type="character" w:customStyle="1" w:styleId="emailstyle18">
    <w:name w:val="emailstyle18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TammyTaylor">
    <w:name w:val="Tammy.Taylor"/>
    <w:semiHidden/>
    <w:rPr>
      <w:rFonts w:ascii="Arial" w:hAnsi="Arial" w:cs="Arial"/>
      <w:color w:val="000080"/>
      <w:sz w:val="20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  <w:sz w:val="20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sz w:val="20"/>
    </w:rPr>
  </w:style>
  <w:style w:type="paragraph" w:styleId="E-mailSignature">
    <w:name w:val="E-mail Signature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style20">
    <w:name w:val="emailstyle20"/>
    <w:basedOn w:val="DefaultParagraphFont"/>
  </w:style>
  <w:style w:type="character" w:customStyle="1" w:styleId="emailstyle17">
    <w:name w:val="emailstyle17"/>
    <w:basedOn w:val="DefaultParagraphFont"/>
  </w:style>
  <w:style w:type="character" w:customStyle="1" w:styleId="emailstyle170">
    <w:name w:val="emailstyle170"/>
    <w:basedOn w:val="DefaultParagraphFont"/>
  </w:style>
  <w:style w:type="character" w:customStyle="1" w:styleId="emailstyle21">
    <w:name w:val="emailstyle21"/>
    <w:rPr>
      <w:rFonts w:ascii="Arial" w:hAnsi="Arial" w:cs="Arial"/>
      <w:color w:val="000080"/>
      <w:sz w:val="20"/>
    </w:rPr>
  </w:style>
  <w:style w:type="character" w:styleId="Strong">
    <w:name w:val="Strong"/>
    <w:qFormat/>
    <w:rPr>
      <w:b/>
      <w:bCs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36">
    <w:name w:val="EmailStyle36"/>
    <w:semiHidden/>
    <w:rPr>
      <w:rFonts w:ascii="Arial" w:hAnsi="Arial" w:cs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259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590B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72590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2590B"/>
    <w:rPr>
      <w:rFonts w:ascii="Arial" w:hAnsi="Arial"/>
      <w:sz w:val="24"/>
    </w:rPr>
  </w:style>
  <w:style w:type="character" w:customStyle="1" w:styleId="Heading8Char">
    <w:name w:val="Heading 8 Char"/>
    <w:link w:val="Heading8"/>
    <w:uiPriority w:val="9"/>
    <w:rsid w:val="00503E65"/>
    <w:rPr>
      <w:rFonts w:ascii="Cambria" w:eastAsia="Times New Roman" w:hAnsi="Cambria" w:cs="Times New Roman"/>
      <w:color w:val="404040"/>
    </w:rPr>
  </w:style>
  <w:style w:type="character" w:customStyle="1" w:styleId="TitleChar">
    <w:name w:val="Title Char"/>
    <w:link w:val="Title"/>
    <w:rsid w:val="00520A20"/>
    <w:rPr>
      <w:b/>
      <w:sz w:val="24"/>
    </w:rPr>
  </w:style>
  <w:style w:type="character" w:styleId="Hyperlink">
    <w:name w:val="Hyperlink"/>
    <w:rsid w:val="005275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1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63ED1"/>
    <w:pPr>
      <w:widowControl w:val="0"/>
      <w:autoSpaceDE w:val="0"/>
      <w:autoSpaceDN w:val="0"/>
      <w:ind w:left="1660" w:hanging="540"/>
    </w:pPr>
    <w:rPr>
      <w:rFonts w:ascii="Times New Roman" w:hAnsi="Times New Roman"/>
      <w:sz w:val="22"/>
      <w:szCs w:val="22"/>
      <w:lang w:bidi="en-US"/>
    </w:rPr>
  </w:style>
  <w:style w:type="paragraph" w:styleId="BodyTextIndent2">
    <w:name w:val="Body Text Indent 2"/>
    <w:basedOn w:val="Normal"/>
    <w:link w:val="BodyTextIndent2Char"/>
    <w:rsid w:val="00863E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3ED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-144" w:right="-144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-144" w:right="-144"/>
      <w:jc w:val="center"/>
      <w:outlineLvl w:val="4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3E6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</w:rPr>
  </w:style>
  <w:style w:type="character" w:customStyle="1" w:styleId="emailstyle18">
    <w:name w:val="emailstyle18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TammyTaylor">
    <w:name w:val="Tammy.Taylor"/>
    <w:semiHidden/>
    <w:rPr>
      <w:rFonts w:ascii="Arial" w:hAnsi="Arial" w:cs="Arial"/>
      <w:color w:val="000080"/>
      <w:sz w:val="20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  <w:sz w:val="20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sz w:val="20"/>
    </w:rPr>
  </w:style>
  <w:style w:type="paragraph" w:styleId="E-mailSignature">
    <w:name w:val="E-mail Signature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style20">
    <w:name w:val="emailstyle20"/>
    <w:basedOn w:val="DefaultParagraphFont"/>
  </w:style>
  <w:style w:type="character" w:customStyle="1" w:styleId="emailstyle17">
    <w:name w:val="emailstyle17"/>
    <w:basedOn w:val="DefaultParagraphFont"/>
  </w:style>
  <w:style w:type="character" w:customStyle="1" w:styleId="emailstyle170">
    <w:name w:val="emailstyle170"/>
    <w:basedOn w:val="DefaultParagraphFont"/>
  </w:style>
  <w:style w:type="character" w:customStyle="1" w:styleId="emailstyle21">
    <w:name w:val="emailstyle21"/>
    <w:rPr>
      <w:rFonts w:ascii="Arial" w:hAnsi="Arial" w:cs="Arial"/>
      <w:color w:val="000080"/>
      <w:sz w:val="20"/>
    </w:rPr>
  </w:style>
  <w:style w:type="character" w:styleId="Strong">
    <w:name w:val="Strong"/>
    <w:qFormat/>
    <w:rPr>
      <w:b/>
      <w:bCs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36">
    <w:name w:val="EmailStyle36"/>
    <w:semiHidden/>
    <w:rPr>
      <w:rFonts w:ascii="Arial" w:hAnsi="Arial" w:cs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259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590B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72590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2590B"/>
    <w:rPr>
      <w:rFonts w:ascii="Arial" w:hAnsi="Arial"/>
      <w:sz w:val="24"/>
    </w:rPr>
  </w:style>
  <w:style w:type="character" w:customStyle="1" w:styleId="Heading8Char">
    <w:name w:val="Heading 8 Char"/>
    <w:link w:val="Heading8"/>
    <w:uiPriority w:val="9"/>
    <w:rsid w:val="00503E65"/>
    <w:rPr>
      <w:rFonts w:ascii="Cambria" w:eastAsia="Times New Roman" w:hAnsi="Cambria" w:cs="Times New Roman"/>
      <w:color w:val="404040"/>
    </w:rPr>
  </w:style>
  <w:style w:type="character" w:customStyle="1" w:styleId="TitleChar">
    <w:name w:val="Title Char"/>
    <w:link w:val="Title"/>
    <w:rsid w:val="00520A20"/>
    <w:rPr>
      <w:b/>
      <w:sz w:val="24"/>
    </w:rPr>
  </w:style>
  <w:style w:type="character" w:styleId="Hyperlink">
    <w:name w:val="Hyperlink"/>
    <w:rsid w:val="005275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1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63ED1"/>
    <w:pPr>
      <w:widowControl w:val="0"/>
      <w:autoSpaceDE w:val="0"/>
      <w:autoSpaceDN w:val="0"/>
      <w:ind w:left="1660" w:hanging="540"/>
    </w:pPr>
    <w:rPr>
      <w:rFonts w:ascii="Times New Roman" w:hAnsi="Times New Roman"/>
      <w:sz w:val="22"/>
      <w:szCs w:val="22"/>
      <w:lang w:bidi="en-US"/>
    </w:rPr>
  </w:style>
  <w:style w:type="paragraph" w:styleId="BodyTextIndent2">
    <w:name w:val="Body Text Indent 2"/>
    <w:basedOn w:val="Normal"/>
    <w:link w:val="BodyTextIndent2Char"/>
    <w:rsid w:val="00863E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3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Authority for the Department of Education's Personnel Security and Suitability Programs</vt:lpstr>
    </vt:vector>
  </TitlesOfParts>
  <Company>U.S. Department of Education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Authority for the Department of Education's Personnel Security and Suitability Programs (DOCX)</dc:title>
  <dc:subject>Delegation of Authority for the Department of Education's Personnel Security and Suitability Programs</dc:subject>
  <dc:creator>Jim Clemmens</dc:creator>
  <cp:keywords>Delegation of Authority for the Department of Education's Personnel Security and Suitability Programs</cp:keywords>
  <cp:lastModifiedBy>Rousey, Rebecca (Contractor)</cp:lastModifiedBy>
  <cp:revision>4</cp:revision>
  <cp:lastPrinted>2018-09-14T13:15:00Z</cp:lastPrinted>
  <dcterms:created xsi:type="dcterms:W3CDTF">2018-09-21T18:17:00Z</dcterms:created>
  <dcterms:modified xsi:type="dcterms:W3CDTF">2018-09-21T19:51:00Z</dcterms:modified>
</cp:coreProperties>
</file>