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8255" w14:textId="22DCD923" w:rsidR="007C7F97" w:rsidRPr="000A072C" w:rsidRDefault="00AA6FE1" w:rsidP="000A072C">
      <w:pPr>
        <w:pStyle w:val="Heading1"/>
      </w:pPr>
      <w:r w:rsidRPr="000A072C">
        <w:t>U.S. Department of Education</w:t>
      </w:r>
      <w:bookmarkStart w:id="0" w:name="_Hlk118807971"/>
      <w:r w:rsidR="000A072C">
        <w:br/>
      </w:r>
      <w:r w:rsidRPr="000A072C">
        <w:t>FY 202</w:t>
      </w:r>
      <w:r w:rsidR="003F546F" w:rsidRPr="000A072C">
        <w:t>3</w:t>
      </w:r>
      <w:r w:rsidRPr="000A072C">
        <w:t xml:space="preserve"> Improper Payment Methodology &amp; Estimation Results for</w:t>
      </w:r>
      <w:r w:rsidR="000A072C" w:rsidRPr="000A072C">
        <w:t xml:space="preserve"> </w:t>
      </w:r>
      <w:r w:rsidR="00374C99" w:rsidRPr="000A072C">
        <w:t xml:space="preserve">the Title I, Part A (Title I), Special Education – Grants to States (IDEA), and </w:t>
      </w:r>
      <w:r w:rsidRPr="000A072C">
        <w:t xml:space="preserve">the </w:t>
      </w:r>
      <w:r w:rsidR="00A33012" w:rsidRPr="000A072C">
        <w:t>Education Stabilization Fund (ESF)</w:t>
      </w:r>
      <w:r w:rsidR="00374C99" w:rsidRPr="000A072C">
        <w:t xml:space="preserve"> </w:t>
      </w:r>
      <w:r w:rsidR="007C7F97" w:rsidRPr="000A072C">
        <w:t>Program</w:t>
      </w:r>
      <w:r w:rsidR="00374C99" w:rsidRPr="000A072C">
        <w:t>s</w:t>
      </w:r>
    </w:p>
    <w:bookmarkEnd w:id="0"/>
    <w:p w14:paraId="16F9B41C" w14:textId="7151894D" w:rsidR="00B0266D" w:rsidRDefault="00B0266D" w:rsidP="00572055">
      <w:pPr>
        <w:pStyle w:val="BodyText"/>
        <w:rPr>
          <w:rFonts w:asciiTheme="minorHAnsi" w:hAnsiTheme="minorHAnsi" w:cstheme="minorHAnsi"/>
          <w:b/>
        </w:rPr>
      </w:pPr>
    </w:p>
    <w:p w14:paraId="600D523F" w14:textId="77777777" w:rsidR="00331AB1" w:rsidRPr="0080083D" w:rsidRDefault="00331AB1" w:rsidP="00572055">
      <w:pPr>
        <w:pStyle w:val="BodyText"/>
        <w:rPr>
          <w:rFonts w:asciiTheme="minorHAnsi" w:hAnsiTheme="minorHAnsi" w:cstheme="minorHAnsi"/>
          <w:b/>
        </w:rPr>
      </w:pPr>
    </w:p>
    <w:p w14:paraId="16F9B41E" w14:textId="77777777" w:rsidR="00B0266D" w:rsidRPr="000A072C" w:rsidRDefault="00AA6FE1" w:rsidP="000A072C">
      <w:pPr>
        <w:pStyle w:val="Heading2"/>
      </w:pPr>
      <w:bookmarkStart w:id="1" w:name="Introduction"/>
      <w:bookmarkEnd w:id="1"/>
      <w:r w:rsidRPr="000A072C">
        <w:t>Introduction</w:t>
      </w:r>
    </w:p>
    <w:p w14:paraId="16F9B420" w14:textId="63B9C594" w:rsidR="00B0266D" w:rsidRPr="00D73DC6" w:rsidRDefault="2D08AFE8" w:rsidP="7DB89B23">
      <w:pPr>
        <w:pStyle w:val="BodyText"/>
        <w:rPr>
          <w:rFonts w:asciiTheme="minorHAnsi" w:hAnsiTheme="minorHAnsi" w:cstheme="minorBidi"/>
        </w:rPr>
      </w:pPr>
      <w:r w:rsidRPr="7DB89B23">
        <w:rPr>
          <w:rFonts w:asciiTheme="minorHAnsi" w:hAnsiTheme="minorHAnsi" w:cstheme="minorBidi"/>
        </w:rPr>
        <w:t xml:space="preserve">Simplifying and accelerating access to </w:t>
      </w:r>
      <w:r w:rsidR="54C35F99" w:rsidRPr="7DB89B23">
        <w:rPr>
          <w:rFonts w:asciiTheme="minorHAnsi" w:hAnsiTheme="minorHAnsi" w:cstheme="minorBidi"/>
        </w:rPr>
        <w:t xml:space="preserve">critical </w:t>
      </w:r>
      <w:r w:rsidR="75B25109" w:rsidRPr="7DB89B23">
        <w:rPr>
          <w:rFonts w:asciiTheme="minorHAnsi" w:hAnsiTheme="minorHAnsi" w:cstheme="minorBidi"/>
        </w:rPr>
        <w:t xml:space="preserve">education </w:t>
      </w:r>
      <w:r w:rsidR="54C35F99" w:rsidRPr="7DB89B23">
        <w:rPr>
          <w:rFonts w:asciiTheme="minorHAnsi" w:hAnsiTheme="minorHAnsi" w:cstheme="minorBidi"/>
        </w:rPr>
        <w:t>program</w:t>
      </w:r>
      <w:r w:rsidRPr="7DB89B23">
        <w:rPr>
          <w:rFonts w:asciiTheme="minorHAnsi" w:hAnsiTheme="minorHAnsi" w:cstheme="minorBidi"/>
        </w:rPr>
        <w:t xml:space="preserve"> funds</w:t>
      </w:r>
      <w:r w:rsidR="75B25109" w:rsidRPr="7DB89B23">
        <w:rPr>
          <w:rFonts w:asciiTheme="minorHAnsi" w:hAnsiTheme="minorHAnsi" w:cstheme="minorBidi"/>
        </w:rPr>
        <w:t xml:space="preserve"> </w:t>
      </w:r>
      <w:r w:rsidRPr="7DB89B23">
        <w:rPr>
          <w:rFonts w:asciiTheme="minorHAnsi" w:hAnsiTheme="minorHAnsi" w:cstheme="minorBidi"/>
        </w:rPr>
        <w:t xml:space="preserve">while minimizing </w:t>
      </w:r>
      <w:r w:rsidR="7F26876A" w:rsidRPr="7DB89B23">
        <w:rPr>
          <w:rFonts w:asciiTheme="minorHAnsi" w:hAnsiTheme="minorHAnsi" w:cstheme="minorBidi"/>
        </w:rPr>
        <w:t xml:space="preserve">payment </w:t>
      </w:r>
      <w:r w:rsidRPr="7DB89B23">
        <w:rPr>
          <w:rFonts w:asciiTheme="minorHAnsi" w:hAnsiTheme="minorHAnsi" w:cstheme="minorBidi"/>
        </w:rPr>
        <w:t>errors and the potential for fraud remains a priority</w:t>
      </w:r>
      <w:r w:rsidR="56B954E5" w:rsidRPr="7DB89B23">
        <w:rPr>
          <w:rFonts w:asciiTheme="minorHAnsi" w:hAnsiTheme="minorHAnsi" w:cstheme="minorBidi"/>
        </w:rPr>
        <w:t xml:space="preserve"> of the U.S. Department of Education (Department)</w:t>
      </w:r>
      <w:r w:rsidRPr="7DB89B23">
        <w:rPr>
          <w:rFonts w:asciiTheme="minorHAnsi" w:hAnsiTheme="minorHAnsi" w:cstheme="minorBidi"/>
        </w:rPr>
        <w:t>. To this end, the Department</w:t>
      </w:r>
      <w:r w:rsidR="47BB6B85" w:rsidRPr="7DB89B23">
        <w:rPr>
          <w:rFonts w:asciiTheme="minorHAnsi" w:hAnsiTheme="minorHAnsi" w:cstheme="minorBidi"/>
        </w:rPr>
        <w:t xml:space="preserve"> </w:t>
      </w:r>
      <w:r w:rsidRPr="7DB89B23">
        <w:rPr>
          <w:rFonts w:asciiTheme="minorHAnsi" w:hAnsiTheme="minorHAnsi" w:cstheme="minorBidi"/>
        </w:rPr>
        <w:t xml:space="preserve">is committed to improper payment prevention, </w:t>
      </w:r>
      <w:r w:rsidR="4CC08565" w:rsidRPr="7DB89B23">
        <w:rPr>
          <w:rFonts w:asciiTheme="minorHAnsi" w:hAnsiTheme="minorHAnsi" w:cstheme="minorBidi"/>
        </w:rPr>
        <w:t>mitigation,</w:t>
      </w:r>
      <w:r w:rsidRPr="7DB89B23">
        <w:rPr>
          <w:rFonts w:asciiTheme="minorHAnsi" w:hAnsiTheme="minorHAnsi" w:cstheme="minorBidi"/>
        </w:rPr>
        <w:t xml:space="preserve"> and reduction</w:t>
      </w:r>
      <w:r w:rsidR="1F377172" w:rsidRPr="7DB89B23">
        <w:rPr>
          <w:rFonts w:asciiTheme="minorHAnsi" w:hAnsiTheme="minorHAnsi" w:cstheme="minorBidi"/>
        </w:rPr>
        <w:t>,</w:t>
      </w:r>
      <w:r w:rsidRPr="7DB89B23">
        <w:rPr>
          <w:rFonts w:asciiTheme="minorHAnsi" w:hAnsiTheme="minorHAnsi" w:cstheme="minorBidi"/>
        </w:rPr>
        <w:t xml:space="preserve"> and </w:t>
      </w:r>
      <w:r w:rsidR="1440A6DD" w:rsidRPr="7DB89B23">
        <w:rPr>
          <w:rFonts w:asciiTheme="minorHAnsi" w:hAnsiTheme="minorHAnsi" w:cstheme="minorBidi"/>
        </w:rPr>
        <w:t xml:space="preserve">it </w:t>
      </w:r>
      <w:r w:rsidRPr="7DB89B23">
        <w:rPr>
          <w:rFonts w:asciiTheme="minorHAnsi" w:hAnsiTheme="minorHAnsi" w:cstheme="minorBidi"/>
        </w:rPr>
        <w:t>continues to strengthen payment</w:t>
      </w:r>
      <w:r w:rsidR="1F377172" w:rsidRPr="7DB89B23">
        <w:rPr>
          <w:rFonts w:asciiTheme="minorHAnsi" w:hAnsiTheme="minorHAnsi" w:cstheme="minorBidi"/>
        </w:rPr>
        <w:t xml:space="preserve"> integrity</w:t>
      </w:r>
      <w:r w:rsidRPr="7DB89B23">
        <w:rPr>
          <w:rFonts w:asciiTheme="minorHAnsi" w:hAnsiTheme="minorHAnsi" w:cstheme="minorBidi"/>
        </w:rPr>
        <w:t xml:space="preserve"> controls, </w:t>
      </w:r>
      <w:r w:rsidR="3011C89F" w:rsidRPr="7DB89B23">
        <w:rPr>
          <w:rFonts w:asciiTheme="minorHAnsi" w:hAnsiTheme="minorHAnsi" w:cstheme="minorBidi"/>
        </w:rPr>
        <w:t>develop,</w:t>
      </w:r>
      <w:r w:rsidRPr="7DB89B23">
        <w:rPr>
          <w:rFonts w:asciiTheme="minorHAnsi" w:hAnsiTheme="minorHAnsi" w:cstheme="minorBidi"/>
        </w:rPr>
        <w:t xml:space="preserve"> and enhance estimation methodologies</w:t>
      </w:r>
      <w:r w:rsidR="47BB6B85" w:rsidRPr="7DB89B23">
        <w:rPr>
          <w:rFonts w:asciiTheme="minorHAnsi" w:hAnsiTheme="minorHAnsi" w:cstheme="minorBidi"/>
        </w:rPr>
        <w:t>,</w:t>
      </w:r>
      <w:r w:rsidRPr="7DB89B23">
        <w:rPr>
          <w:rFonts w:asciiTheme="minorHAnsi" w:hAnsiTheme="minorHAnsi" w:cstheme="minorBidi"/>
        </w:rPr>
        <w:t xml:space="preserve"> and </w:t>
      </w:r>
      <w:r w:rsidR="14040073" w:rsidRPr="7DB89B23">
        <w:rPr>
          <w:rFonts w:asciiTheme="minorHAnsi" w:hAnsiTheme="minorHAnsi" w:cstheme="minorBidi"/>
        </w:rPr>
        <w:t xml:space="preserve">perform data </w:t>
      </w:r>
      <w:r w:rsidRPr="7DB89B23">
        <w:rPr>
          <w:rFonts w:asciiTheme="minorHAnsi" w:hAnsiTheme="minorHAnsi" w:cstheme="minorBidi"/>
        </w:rPr>
        <w:t>analytics to monitor</w:t>
      </w:r>
      <w:r w:rsidR="14040073" w:rsidRPr="7DB89B23">
        <w:rPr>
          <w:rFonts w:asciiTheme="minorHAnsi" w:hAnsiTheme="minorHAnsi" w:cstheme="minorBidi"/>
        </w:rPr>
        <w:t xml:space="preserve"> the</w:t>
      </w:r>
      <w:r w:rsidRPr="7DB89B23">
        <w:rPr>
          <w:rFonts w:asciiTheme="minorHAnsi" w:hAnsiTheme="minorHAnsi" w:cstheme="minorBidi"/>
        </w:rPr>
        <w:t xml:space="preserve"> Department</w:t>
      </w:r>
      <w:r w:rsidR="14040073" w:rsidRPr="7DB89B23">
        <w:rPr>
          <w:rFonts w:asciiTheme="minorHAnsi" w:hAnsiTheme="minorHAnsi" w:cstheme="minorBidi"/>
        </w:rPr>
        <w:t>’s</w:t>
      </w:r>
      <w:r w:rsidRPr="7DB89B23">
        <w:rPr>
          <w:rFonts w:asciiTheme="minorHAnsi" w:hAnsiTheme="minorHAnsi" w:cstheme="minorBidi"/>
        </w:rPr>
        <w:t xml:space="preserve"> programs</w:t>
      </w:r>
      <w:r w:rsidR="14040073" w:rsidRPr="7DB89B23">
        <w:rPr>
          <w:rFonts w:asciiTheme="minorHAnsi" w:hAnsiTheme="minorHAnsi" w:cstheme="minorBidi"/>
        </w:rPr>
        <w:t xml:space="preserve"> and activities</w:t>
      </w:r>
      <w:r w:rsidRPr="7DB89B23">
        <w:rPr>
          <w:rFonts w:asciiTheme="minorHAnsi" w:hAnsiTheme="minorHAnsi" w:cstheme="minorBidi"/>
        </w:rPr>
        <w:t xml:space="preserve">. Accurate improper payment estimation is essential to achieving these objectives and will continue to inform root cause analysis and corrective actions, as described in part in the </w:t>
      </w:r>
      <w:hyperlink r:id="rId11">
        <w:r w:rsidR="062EE465" w:rsidRPr="7DB89B23">
          <w:rPr>
            <w:rFonts w:asciiTheme="minorHAnsi" w:hAnsiTheme="minorHAnsi" w:cstheme="minorBidi"/>
            <w:color w:val="0000FF"/>
          </w:rPr>
          <w:t>Fiscal Year (FY) 202</w:t>
        </w:r>
        <w:r w:rsidR="64798E30" w:rsidRPr="7DB89B23">
          <w:rPr>
            <w:rFonts w:asciiTheme="minorHAnsi" w:hAnsiTheme="minorHAnsi" w:cstheme="minorBidi"/>
            <w:color w:val="0000FF"/>
          </w:rPr>
          <w:t>3</w:t>
        </w:r>
        <w:r w:rsidR="062EE465" w:rsidRPr="7DB89B23">
          <w:rPr>
            <w:rFonts w:asciiTheme="minorHAnsi" w:hAnsiTheme="minorHAnsi" w:cstheme="minorBidi"/>
            <w:color w:val="0000FF"/>
          </w:rPr>
          <w:t xml:space="preserve"> Agency Financial Report (AFR).</w:t>
        </w:r>
      </w:hyperlink>
    </w:p>
    <w:p w14:paraId="47D36E2B" w14:textId="77777777" w:rsidR="001E205C" w:rsidRPr="0080083D" w:rsidRDefault="001E205C" w:rsidP="00572055">
      <w:pPr>
        <w:pStyle w:val="BodyText"/>
        <w:rPr>
          <w:rFonts w:asciiTheme="minorHAnsi" w:hAnsiTheme="minorHAnsi" w:cstheme="minorHAnsi"/>
        </w:rPr>
      </w:pPr>
      <w:bookmarkStart w:id="2" w:name="The_Department’s_Programs_Susceptible_to"/>
      <w:bookmarkEnd w:id="2"/>
    </w:p>
    <w:p w14:paraId="16F9B423" w14:textId="2230B10C" w:rsidR="00B0266D" w:rsidRPr="00717E13" w:rsidRDefault="00AA6FE1" w:rsidP="00D73DC6">
      <w:pPr>
        <w:spacing w:before="120" w:after="120"/>
        <w:rPr>
          <w:rFonts w:asciiTheme="minorHAnsi" w:hAnsiTheme="minorHAnsi" w:cstheme="minorBidi"/>
          <w:b/>
          <w:bCs/>
          <w:sz w:val="24"/>
          <w:szCs w:val="24"/>
        </w:rPr>
      </w:pPr>
      <w:r w:rsidRPr="00717E13">
        <w:rPr>
          <w:rFonts w:asciiTheme="minorHAnsi" w:hAnsiTheme="minorHAnsi" w:cstheme="minorBidi"/>
          <w:b/>
          <w:bCs/>
          <w:color w:val="365E92"/>
          <w:sz w:val="24"/>
          <w:szCs w:val="24"/>
        </w:rPr>
        <w:t>The Department’s Programs Susceptible to Significant Improper Payment</w:t>
      </w:r>
      <w:r w:rsidR="00AD6A55" w:rsidRPr="00717E13">
        <w:rPr>
          <w:rFonts w:asciiTheme="minorHAnsi" w:hAnsiTheme="minorHAnsi" w:cstheme="minorBidi"/>
          <w:b/>
          <w:bCs/>
          <w:color w:val="365E92"/>
          <w:sz w:val="24"/>
          <w:szCs w:val="24"/>
        </w:rPr>
        <w:t>s</w:t>
      </w:r>
    </w:p>
    <w:p w14:paraId="717D6EDC" w14:textId="418B38BE" w:rsidR="001E205C" w:rsidRPr="008E78D5" w:rsidRDefault="7C7BEE34" w:rsidP="7DB89B23">
      <w:pPr>
        <w:rPr>
          <w:rFonts w:asciiTheme="minorHAnsi" w:hAnsiTheme="minorHAnsi" w:cstheme="minorBidi"/>
        </w:rPr>
      </w:pPr>
      <w:r>
        <w:t xml:space="preserve">According to OMB Memorandum </w:t>
      </w:r>
      <w:hyperlink r:id="rId12">
        <w:r w:rsidRPr="7DB89B23">
          <w:rPr>
            <w:rStyle w:val="Hyperlink"/>
            <w:rFonts w:asciiTheme="minorHAnsi" w:hAnsiTheme="minorHAnsi" w:cstheme="minorBidi"/>
          </w:rPr>
          <w:t>M-</w:t>
        </w:r>
        <w:r w:rsidR="3D18C706" w:rsidRPr="7DB89B23">
          <w:rPr>
            <w:rStyle w:val="Hyperlink"/>
            <w:rFonts w:asciiTheme="minorHAnsi" w:hAnsiTheme="minorHAnsi" w:cstheme="minorBidi"/>
          </w:rPr>
          <w:t>21-19</w:t>
        </w:r>
      </w:hyperlink>
      <w:r>
        <w:t xml:space="preserve">, </w:t>
      </w:r>
      <w:r w:rsidR="579105A2" w:rsidRPr="7DB89B23">
        <w:rPr>
          <w:i/>
          <w:iCs/>
        </w:rPr>
        <w:t>Transmitt</w:t>
      </w:r>
      <w:r w:rsidR="2C1A66C7" w:rsidRPr="7DB89B23">
        <w:rPr>
          <w:i/>
          <w:iCs/>
        </w:rPr>
        <w:t>al of Appendix C to OMB Circular A-123, Requirements of Payment Integrity Improvement</w:t>
      </w:r>
      <w:r w:rsidRPr="7DB89B23">
        <w:rPr>
          <w:color w:val="000000" w:themeColor="text1"/>
        </w:rPr>
        <w:t>, a</w:t>
      </w:r>
      <w:r w:rsidR="5E1AC334" w:rsidRPr="7DB89B23">
        <w:rPr>
          <w:color w:val="000000" w:themeColor="text1"/>
        </w:rPr>
        <w:t xml:space="preserve">ll programs with </w:t>
      </w:r>
      <w:r w:rsidR="27D0A23B" w:rsidRPr="7DB89B23">
        <w:rPr>
          <w:color w:val="000000" w:themeColor="text1"/>
        </w:rPr>
        <w:t xml:space="preserve">annual outlays greater than $10 million must be </w:t>
      </w:r>
      <w:r w:rsidR="4BDB2860" w:rsidRPr="7DB89B23">
        <w:rPr>
          <w:color w:val="000000" w:themeColor="text1"/>
        </w:rPr>
        <w:t xml:space="preserve">assessed for payment integrity risk </w:t>
      </w:r>
      <w:r w:rsidR="5EDE1D98" w:rsidRPr="7DB89B23">
        <w:rPr>
          <w:color w:val="000000" w:themeColor="text1"/>
        </w:rPr>
        <w:t xml:space="preserve">at least </w:t>
      </w:r>
      <w:r w:rsidR="1F377172" w:rsidRPr="7DB89B23">
        <w:rPr>
          <w:color w:val="000000" w:themeColor="text1"/>
        </w:rPr>
        <w:t xml:space="preserve">once </w:t>
      </w:r>
      <w:r w:rsidR="4BDB2860" w:rsidRPr="7DB89B23">
        <w:rPr>
          <w:color w:val="000000" w:themeColor="text1"/>
        </w:rPr>
        <w:t>every 3 years</w:t>
      </w:r>
      <w:r w:rsidR="4A655916" w:rsidRPr="7DB89B23">
        <w:rPr>
          <w:color w:val="000000" w:themeColor="text1"/>
        </w:rPr>
        <w:t xml:space="preserve">. Programs whose </w:t>
      </w:r>
      <w:r w:rsidR="4BDB2860" w:rsidRPr="7DB89B23">
        <w:rPr>
          <w:color w:val="000000" w:themeColor="text1"/>
        </w:rPr>
        <w:t xml:space="preserve">improper payments </w:t>
      </w:r>
      <w:r w:rsidR="4A655916" w:rsidRPr="7DB89B23">
        <w:rPr>
          <w:color w:val="000000" w:themeColor="text1"/>
        </w:rPr>
        <w:t xml:space="preserve">exceed (or are likely to </w:t>
      </w:r>
      <w:r w:rsidR="4BDB2860" w:rsidRPr="7DB89B23">
        <w:rPr>
          <w:color w:val="000000" w:themeColor="text1"/>
        </w:rPr>
        <w:t>exceed</w:t>
      </w:r>
      <w:r w:rsidR="4A655916" w:rsidRPr="7DB89B23">
        <w:rPr>
          <w:color w:val="000000" w:themeColor="text1"/>
        </w:rPr>
        <w:t>)</w:t>
      </w:r>
      <w:r w:rsidR="4BDB2860" w:rsidRPr="7DB89B23">
        <w:rPr>
          <w:color w:val="000000" w:themeColor="text1"/>
        </w:rPr>
        <w:t xml:space="preserve"> statutory thresholds of either $10M</w:t>
      </w:r>
      <w:r w:rsidR="13D9F49B" w:rsidRPr="7DB89B23">
        <w:rPr>
          <w:color w:val="000000" w:themeColor="text1"/>
        </w:rPr>
        <w:t xml:space="preserve"> and 1.5% of outlays </w:t>
      </w:r>
      <w:r w:rsidR="13D9F49B" w:rsidRPr="7DB89B23">
        <w:rPr>
          <w:color w:val="000000" w:themeColor="text1"/>
          <w:u w:val="single"/>
        </w:rPr>
        <w:t>or</w:t>
      </w:r>
      <w:r w:rsidR="13D9F49B" w:rsidRPr="7DB89B23">
        <w:rPr>
          <w:color w:val="000000" w:themeColor="text1"/>
        </w:rPr>
        <w:t xml:space="preserve"> $100M</w:t>
      </w:r>
      <w:r w:rsidR="4A655916" w:rsidRPr="7DB89B23">
        <w:rPr>
          <w:color w:val="000000" w:themeColor="text1"/>
        </w:rPr>
        <w:t xml:space="preserve"> move to Phase 2 and an improper payment estimate is obtained</w:t>
      </w:r>
      <w:r w:rsidRPr="7DB89B23">
        <w:rPr>
          <w:color w:val="000000" w:themeColor="text1"/>
        </w:rPr>
        <w:t>.</w:t>
      </w:r>
      <w:r w:rsidR="4A655916" w:rsidRPr="7DB89B23">
        <w:rPr>
          <w:color w:val="000000" w:themeColor="text1"/>
        </w:rPr>
        <w:t xml:space="preserve"> </w:t>
      </w:r>
      <w:r w:rsidR="30268FAE" w:rsidRPr="7DB89B23">
        <w:rPr>
          <w:rFonts w:asciiTheme="minorHAnsi" w:hAnsiTheme="minorHAnsi" w:cstheme="minorBidi"/>
        </w:rPr>
        <w:t xml:space="preserve">In FY 2023, </w:t>
      </w:r>
      <w:r w:rsidR="51A7A91C" w:rsidRPr="7DB89B23">
        <w:rPr>
          <w:color w:val="000000" w:themeColor="text1"/>
        </w:rPr>
        <w:t>the following</w:t>
      </w:r>
      <w:r w:rsidR="51A7A91C" w:rsidRPr="7DB89B23">
        <w:rPr>
          <w:rFonts w:asciiTheme="minorHAnsi" w:hAnsiTheme="minorHAnsi" w:cstheme="minorBidi"/>
        </w:rPr>
        <w:t xml:space="preserve"> 3</w:t>
      </w:r>
      <w:r w:rsidR="23A0F2D2" w:rsidRPr="7DB89B23">
        <w:rPr>
          <w:rFonts w:asciiTheme="minorHAnsi" w:hAnsiTheme="minorHAnsi" w:cstheme="minorBidi"/>
        </w:rPr>
        <w:t xml:space="preserve"> Education (</w:t>
      </w:r>
      <w:r w:rsidR="30268FAE" w:rsidRPr="7DB89B23">
        <w:rPr>
          <w:rFonts w:asciiTheme="minorHAnsi" w:hAnsiTheme="minorHAnsi" w:cstheme="minorBidi"/>
        </w:rPr>
        <w:t>non-Federal Student Aid</w:t>
      </w:r>
      <w:r w:rsidR="3C508D29" w:rsidRPr="7DB89B23">
        <w:rPr>
          <w:rFonts w:asciiTheme="minorHAnsi" w:hAnsiTheme="minorHAnsi" w:cstheme="minorBidi"/>
        </w:rPr>
        <w:t>)</w:t>
      </w:r>
      <w:r w:rsidR="30268FAE" w:rsidRPr="7DB89B23">
        <w:rPr>
          <w:rFonts w:asciiTheme="minorHAnsi" w:hAnsiTheme="minorHAnsi" w:cstheme="minorBidi"/>
        </w:rPr>
        <w:t xml:space="preserve"> grant programs </w:t>
      </w:r>
      <w:r w:rsidR="3C508D29" w:rsidRPr="7DB89B23">
        <w:rPr>
          <w:color w:val="000000" w:themeColor="text1"/>
        </w:rPr>
        <w:t xml:space="preserve">met </w:t>
      </w:r>
      <w:proofErr w:type="gramStart"/>
      <w:r w:rsidR="3C508D29" w:rsidRPr="7DB89B23">
        <w:rPr>
          <w:color w:val="000000" w:themeColor="text1"/>
        </w:rPr>
        <w:t>this criteri</w:t>
      </w:r>
      <w:r w:rsidR="7B276457" w:rsidRPr="7DB89B23">
        <w:rPr>
          <w:color w:val="000000" w:themeColor="text1"/>
        </w:rPr>
        <w:t>a</w:t>
      </w:r>
      <w:proofErr w:type="gramEnd"/>
      <w:r w:rsidR="7B276457" w:rsidRPr="7DB89B23">
        <w:rPr>
          <w:color w:val="000000" w:themeColor="text1"/>
        </w:rPr>
        <w:t xml:space="preserve"> </w:t>
      </w:r>
      <w:r w:rsidR="3C508D29" w:rsidRPr="7DB89B23">
        <w:rPr>
          <w:rFonts w:asciiTheme="minorHAnsi" w:hAnsiTheme="minorHAnsi" w:cstheme="minorBidi"/>
        </w:rPr>
        <w:t xml:space="preserve">and </w:t>
      </w:r>
      <w:r w:rsidR="30268FAE" w:rsidRPr="7DB89B23">
        <w:rPr>
          <w:rFonts w:asciiTheme="minorHAnsi" w:hAnsiTheme="minorHAnsi" w:cstheme="minorBidi"/>
        </w:rPr>
        <w:t>were determined to be “susceptible to significant improper payments”</w:t>
      </w:r>
      <w:r w:rsidR="4A655916" w:rsidRPr="7DB89B23">
        <w:rPr>
          <w:color w:val="000000" w:themeColor="text1"/>
        </w:rPr>
        <w:t>:</w:t>
      </w:r>
    </w:p>
    <w:p w14:paraId="5F93A55A" w14:textId="2349B130" w:rsidR="001E205C" w:rsidRPr="0080083D" w:rsidRDefault="001E205C" w:rsidP="7DB89B23">
      <w:pPr>
        <w:pStyle w:val="BodyText"/>
        <w:rPr>
          <w:rFonts w:asciiTheme="minorHAnsi" w:hAnsiTheme="minorHAnsi" w:cstheme="minorBidi"/>
          <w:color w:val="000000"/>
        </w:rPr>
      </w:pPr>
    </w:p>
    <w:p w14:paraId="35043550" w14:textId="76FE078E" w:rsidR="005C5246" w:rsidRPr="00717E13" w:rsidRDefault="3362D831" w:rsidP="7DB89B23">
      <w:pPr>
        <w:pStyle w:val="BodyText"/>
        <w:numPr>
          <w:ilvl w:val="0"/>
          <w:numId w:val="10"/>
        </w:numPr>
        <w:ind w:left="360"/>
        <w:rPr>
          <w:rFonts w:asciiTheme="minorHAnsi" w:hAnsiTheme="minorHAnsi" w:cstheme="minorBidi"/>
          <w:color w:val="000000"/>
        </w:rPr>
      </w:pPr>
      <w:r w:rsidRPr="7DB89B23">
        <w:rPr>
          <w:rFonts w:asciiTheme="minorHAnsi" w:hAnsiTheme="minorHAnsi" w:cstheme="minorBidi"/>
          <w:b/>
          <w:bCs/>
        </w:rPr>
        <w:t>Title I, Part A</w:t>
      </w:r>
      <w:r w:rsidR="65C18528" w:rsidRPr="7DB89B23">
        <w:rPr>
          <w:rFonts w:asciiTheme="minorHAnsi" w:hAnsiTheme="minorHAnsi" w:cstheme="minorBidi"/>
          <w:b/>
          <w:bCs/>
        </w:rPr>
        <w:t xml:space="preserve">: Improving Basic Programs Operated by Local Education Agencies </w:t>
      </w:r>
      <w:r w:rsidRPr="7DB89B23">
        <w:rPr>
          <w:rFonts w:asciiTheme="minorHAnsi" w:hAnsiTheme="minorHAnsi" w:cstheme="minorBidi"/>
          <w:b/>
          <w:bCs/>
        </w:rPr>
        <w:t xml:space="preserve">(Title I) </w:t>
      </w:r>
      <w:r w:rsidRPr="7DB89B23">
        <w:rPr>
          <w:rFonts w:asciiTheme="minorHAnsi" w:hAnsiTheme="minorHAnsi" w:cstheme="minorBidi"/>
          <w:i/>
          <w:iCs/>
        </w:rPr>
        <w:t xml:space="preserve">(CFDA 84.010A) </w:t>
      </w:r>
      <w:r w:rsidR="7D2B78C2" w:rsidRPr="7DB89B23">
        <w:rPr>
          <w:rFonts w:asciiTheme="minorHAnsi" w:hAnsiTheme="minorHAnsi" w:cstheme="minorBidi"/>
          <w:color w:val="000000" w:themeColor="text1"/>
        </w:rPr>
        <w:t>–</w:t>
      </w:r>
      <w:r w:rsidRPr="7DB89B23">
        <w:rPr>
          <w:rFonts w:asciiTheme="minorHAnsi" w:hAnsiTheme="minorHAnsi" w:cstheme="minorBidi"/>
          <w:color w:val="000000" w:themeColor="text1"/>
        </w:rPr>
        <w:t xml:space="preserve"> Title I, Part A (Title I) of the Elementary and Secondary Education Act</w:t>
      </w:r>
      <w:r w:rsidR="0F213CE1" w:rsidRPr="7DB89B23">
        <w:rPr>
          <w:rFonts w:asciiTheme="minorHAnsi" w:hAnsiTheme="minorHAnsi" w:cstheme="minorBidi"/>
          <w:color w:val="000000" w:themeColor="text1"/>
        </w:rPr>
        <w:t xml:space="preserve"> (ESEA)</w:t>
      </w:r>
      <w:r w:rsidRPr="7DB89B23">
        <w:rPr>
          <w:rFonts w:asciiTheme="minorHAnsi" w:hAnsiTheme="minorHAnsi" w:cstheme="minorBidi"/>
          <w:color w:val="000000" w:themeColor="text1"/>
        </w:rPr>
        <w:t>, as amended by the Every Student Succeeds Act</w:t>
      </w:r>
      <w:r w:rsidR="1F377172" w:rsidRPr="7DB89B23">
        <w:rPr>
          <w:rFonts w:asciiTheme="minorHAnsi" w:hAnsiTheme="minorHAnsi" w:cstheme="minorBidi"/>
          <w:color w:val="000000" w:themeColor="text1"/>
        </w:rPr>
        <w:t>,</w:t>
      </w:r>
      <w:r w:rsidRPr="7DB89B23">
        <w:rPr>
          <w:rFonts w:asciiTheme="minorHAnsi" w:hAnsiTheme="minorHAnsi" w:cstheme="minorBidi"/>
          <w:color w:val="000000" w:themeColor="text1"/>
        </w:rPr>
        <w:t xml:space="preserve"> provides financial assistance to </w:t>
      </w:r>
      <w:r w:rsidR="265B270F" w:rsidRPr="7DB89B23">
        <w:rPr>
          <w:rFonts w:asciiTheme="minorHAnsi" w:hAnsiTheme="minorHAnsi" w:cstheme="minorBidi"/>
          <w:color w:val="000000" w:themeColor="text1"/>
        </w:rPr>
        <w:t>Local Education Agencies (</w:t>
      </w:r>
      <w:r w:rsidR="56588BBA" w:rsidRPr="7DB89B23">
        <w:rPr>
          <w:rFonts w:asciiTheme="minorHAnsi" w:hAnsiTheme="minorHAnsi" w:cstheme="minorBidi"/>
          <w:color w:val="000000" w:themeColor="text1"/>
        </w:rPr>
        <w:t>LEAs</w:t>
      </w:r>
      <w:r w:rsidR="265B270F" w:rsidRPr="7DB89B23">
        <w:rPr>
          <w:rFonts w:asciiTheme="minorHAnsi" w:hAnsiTheme="minorHAnsi" w:cstheme="minorBidi"/>
          <w:color w:val="000000" w:themeColor="text1"/>
        </w:rPr>
        <w:t>)</w:t>
      </w:r>
      <w:r w:rsidRPr="7DB89B23">
        <w:rPr>
          <w:rFonts w:asciiTheme="minorHAnsi" w:hAnsiTheme="minorHAnsi" w:cstheme="minorBidi"/>
          <w:color w:val="000000" w:themeColor="text1"/>
        </w:rPr>
        <w:t xml:space="preserve"> and schools with high numbers or high percentages of children from low-income families to help ensure that all children meet challenging state academic standards. Federal funds are currently allocated through four statutory formulas that are based primarily on census poverty estimates and the cost of education in each state.</w:t>
      </w:r>
    </w:p>
    <w:p w14:paraId="7D7E0B29" w14:textId="77777777" w:rsidR="005C5246" w:rsidRDefault="005C5246" w:rsidP="00717E13">
      <w:pPr>
        <w:pStyle w:val="ListParagraph"/>
        <w:ind w:left="119"/>
        <w:rPr>
          <w:rFonts w:asciiTheme="minorHAnsi" w:hAnsiTheme="minorHAnsi" w:cstheme="minorBidi"/>
          <w:b/>
          <w:bCs/>
        </w:rPr>
      </w:pPr>
    </w:p>
    <w:p w14:paraId="240037E6" w14:textId="6E44E5BA" w:rsidR="005C5246" w:rsidRDefault="00A33012" w:rsidP="00717E13">
      <w:pPr>
        <w:pStyle w:val="BodyText"/>
        <w:numPr>
          <w:ilvl w:val="0"/>
          <w:numId w:val="10"/>
        </w:numPr>
        <w:ind w:left="360"/>
        <w:rPr>
          <w:rFonts w:asciiTheme="minorHAnsi" w:hAnsiTheme="minorHAnsi" w:cstheme="minorBidi"/>
          <w:color w:val="000000"/>
        </w:rPr>
      </w:pPr>
      <w:r w:rsidRPr="00657323">
        <w:rPr>
          <w:rFonts w:asciiTheme="minorHAnsi" w:hAnsiTheme="minorHAnsi" w:cstheme="minorBidi"/>
          <w:b/>
          <w:bCs/>
        </w:rPr>
        <w:t xml:space="preserve">Special Education </w:t>
      </w:r>
      <w:r w:rsidRPr="00657323">
        <w:rPr>
          <w:rFonts w:asciiTheme="minorHAnsi" w:hAnsiTheme="minorHAnsi" w:cstheme="minorBidi"/>
          <w:b/>
          <w:bCs/>
          <w:color w:val="000000"/>
        </w:rPr>
        <w:t xml:space="preserve">– Grants to States, </w:t>
      </w:r>
      <w:r w:rsidRPr="00657323">
        <w:rPr>
          <w:b/>
          <w:bCs/>
        </w:rPr>
        <w:t>Individuals with Disabilities Education Act (IDEA)</w:t>
      </w:r>
      <w:r w:rsidR="005C5246">
        <w:rPr>
          <w:b/>
          <w:bCs/>
        </w:rPr>
        <w:t xml:space="preserve"> </w:t>
      </w:r>
      <w:r w:rsidRPr="00FE3D73">
        <w:rPr>
          <w:i/>
          <w:iCs/>
        </w:rPr>
        <w:t>(CFDA 84.027)</w:t>
      </w:r>
      <w:r>
        <w:t xml:space="preserve"> </w:t>
      </w:r>
      <w:r w:rsidR="00765980">
        <w:t xml:space="preserve">– The IDEA </w:t>
      </w:r>
      <w:r w:rsidRPr="00657323">
        <w:rPr>
          <w:rFonts w:asciiTheme="minorHAnsi" w:hAnsiTheme="minorHAnsi" w:cstheme="minorBidi"/>
          <w:color w:val="000000"/>
        </w:rPr>
        <w:t>program provides formula grants to assist the 50 states, the District of Columbi</w:t>
      </w:r>
      <w:r w:rsidRPr="00FE3D73">
        <w:rPr>
          <w:rFonts w:asciiTheme="minorHAnsi" w:hAnsiTheme="minorHAnsi" w:cstheme="minorBidi"/>
          <w:color w:val="000000"/>
        </w:rPr>
        <w:t>a, Puerto Rico, the</w:t>
      </w:r>
      <w:r w:rsidR="005C5246">
        <w:rPr>
          <w:rFonts w:asciiTheme="minorHAnsi" w:hAnsiTheme="minorHAnsi" w:cstheme="minorBidi"/>
          <w:color w:val="000000"/>
        </w:rPr>
        <w:t xml:space="preserve"> </w:t>
      </w:r>
      <w:r w:rsidRPr="00FE3D73">
        <w:rPr>
          <w:rFonts w:asciiTheme="minorHAnsi" w:hAnsiTheme="minorHAnsi" w:cstheme="minorBidi"/>
          <w:color w:val="000000"/>
        </w:rPr>
        <w:t>Department of the Interior, Outlying Areas, and the Freely Associated States in meeting the excess costs of providing special education and related</w:t>
      </w:r>
      <w:r w:rsidR="005C5246">
        <w:rPr>
          <w:rFonts w:asciiTheme="minorHAnsi" w:hAnsiTheme="minorHAnsi" w:cstheme="minorBidi"/>
          <w:color w:val="000000"/>
        </w:rPr>
        <w:t xml:space="preserve"> </w:t>
      </w:r>
      <w:r w:rsidRPr="00FE3D73">
        <w:rPr>
          <w:rFonts w:asciiTheme="minorHAnsi" w:hAnsiTheme="minorHAnsi" w:cstheme="minorBidi"/>
          <w:color w:val="000000"/>
        </w:rPr>
        <w:t>services to children with disabilities.</w:t>
      </w:r>
    </w:p>
    <w:p w14:paraId="02FA8126" w14:textId="77777777" w:rsidR="005C5246" w:rsidRPr="00717E13" w:rsidRDefault="005C5246">
      <w:pPr>
        <w:pStyle w:val="BodyText"/>
        <w:rPr>
          <w:rFonts w:asciiTheme="minorHAnsi" w:hAnsiTheme="minorHAnsi" w:cstheme="minorBidi"/>
          <w:color w:val="000000"/>
        </w:rPr>
      </w:pPr>
    </w:p>
    <w:p w14:paraId="39734B7E" w14:textId="7176C960" w:rsidR="006153D4" w:rsidRPr="0080083D" w:rsidRDefault="00C13CE7" w:rsidP="000A20AC">
      <w:pPr>
        <w:pStyle w:val="BodyText"/>
        <w:numPr>
          <w:ilvl w:val="0"/>
          <w:numId w:val="10"/>
        </w:numPr>
        <w:ind w:left="360"/>
        <w:rPr>
          <w:rFonts w:asciiTheme="minorHAnsi" w:hAnsiTheme="minorHAnsi" w:cstheme="minorHAnsi"/>
          <w:color w:val="000000" w:themeColor="text1"/>
        </w:rPr>
      </w:pPr>
      <w:bookmarkStart w:id="3" w:name="_Hlk118808039"/>
      <w:r w:rsidRPr="00657323">
        <w:rPr>
          <w:rFonts w:asciiTheme="minorHAnsi" w:hAnsiTheme="minorHAnsi" w:cstheme="minorBidi"/>
          <w:b/>
          <w:bCs/>
        </w:rPr>
        <w:t>Education Stabilization Fund (ESF)</w:t>
      </w:r>
      <w:r w:rsidR="00591AD7" w:rsidRPr="00D73DC6">
        <w:rPr>
          <w:rFonts w:asciiTheme="minorHAnsi" w:hAnsiTheme="minorHAnsi" w:cstheme="minorBidi"/>
          <w:i/>
          <w:iCs/>
        </w:rPr>
        <w:t xml:space="preserve"> (CFDA 84.425)</w:t>
      </w:r>
      <w:r w:rsidR="00591AD7" w:rsidRPr="00657323">
        <w:rPr>
          <w:rFonts w:asciiTheme="minorHAnsi" w:hAnsiTheme="minorHAnsi" w:cstheme="minorBidi"/>
        </w:rPr>
        <w:t xml:space="preserve"> </w:t>
      </w:r>
      <w:r w:rsidR="00FB1CCA">
        <w:rPr>
          <w:rFonts w:asciiTheme="minorHAnsi" w:hAnsiTheme="minorHAnsi" w:cstheme="minorBidi"/>
        </w:rPr>
        <w:t>–</w:t>
      </w:r>
      <w:r w:rsidR="0064330C" w:rsidRPr="000A20AC">
        <w:rPr>
          <w:rStyle w:val="normaltextrun"/>
          <w:rFonts w:asciiTheme="minorHAnsi" w:hAnsiTheme="minorHAnsi" w:cstheme="minorHAnsi"/>
          <w:color w:val="000000"/>
          <w:shd w:val="clear" w:color="auto" w:fill="FFFFFF"/>
        </w:rPr>
        <w:t>The ESF</w:t>
      </w:r>
      <w:r w:rsidR="0055013C">
        <w:rPr>
          <w:rStyle w:val="normaltextrun"/>
          <w:rFonts w:asciiTheme="minorHAnsi" w:hAnsiTheme="minorHAnsi" w:cstheme="minorHAnsi"/>
          <w:color w:val="000000"/>
          <w:shd w:val="clear" w:color="auto" w:fill="FFFFFF"/>
        </w:rPr>
        <w:t xml:space="preserve"> program</w:t>
      </w:r>
      <w:r w:rsidR="0064330C" w:rsidRPr="000A20AC">
        <w:rPr>
          <w:rStyle w:val="normaltextrun"/>
          <w:rFonts w:asciiTheme="minorHAnsi" w:hAnsiTheme="minorHAnsi" w:cstheme="minorHAnsi"/>
          <w:color w:val="000000"/>
          <w:shd w:val="clear" w:color="auto" w:fill="FFFFFF"/>
        </w:rPr>
        <w:t xml:space="preserve"> was established by the Coronavirus Aid, Relief, and Economic Security Act (CARES Act) in March 2020, with subsequent allocations to the Fund codified through the Coronavirus Response and Relief Supplemental </w:t>
      </w:r>
      <w:r w:rsidR="0064330C" w:rsidRPr="000A20AC">
        <w:rPr>
          <w:rStyle w:val="normaltextrun"/>
          <w:rFonts w:asciiTheme="minorHAnsi" w:hAnsiTheme="minorHAnsi" w:cstheme="minorHAnsi"/>
          <w:color w:val="000000"/>
          <w:shd w:val="clear" w:color="auto" w:fill="FFFFFF"/>
        </w:rPr>
        <w:lastRenderedPageBreak/>
        <w:t xml:space="preserve">Appropriations Act (CRRSA Act), and the American Rescue Plan (ARP Act). The ESF is an investment of over $263 billion and is composed of relief funds that support State and institutional efforts to prevent, prepare for, and respond to the coronavirus impacts on our nation’s students. Programs created under the ESF investment </w:t>
      </w:r>
      <w:proofErr w:type="gramStart"/>
      <w:r w:rsidR="0064330C" w:rsidRPr="000A20AC">
        <w:rPr>
          <w:rStyle w:val="contextualspellingandgrammarerror"/>
          <w:rFonts w:asciiTheme="minorHAnsi" w:hAnsiTheme="minorHAnsi" w:cstheme="minorHAnsi"/>
          <w:color w:val="000000"/>
          <w:shd w:val="clear" w:color="auto" w:fill="FFFFFF"/>
        </w:rPr>
        <w:t>include:</w:t>
      </w:r>
      <w:proofErr w:type="gramEnd"/>
      <w:r w:rsidR="0064330C" w:rsidRPr="000A20AC">
        <w:rPr>
          <w:rStyle w:val="normaltextrun"/>
          <w:rFonts w:asciiTheme="minorHAnsi" w:hAnsiTheme="minorHAnsi" w:cstheme="minorHAnsi"/>
          <w:color w:val="000000"/>
          <w:shd w:val="clear" w:color="auto" w:fill="FFFFFF"/>
        </w:rPr>
        <w:t xml:space="preserve"> Education Stabilization Fund Discretionary Grants; Governor’s Emergency Education Relief Fund; Elementary and Secondary School Emergency Relief Fund, Homeless Children and Youth, Emergency Assistance to Non-Public School, Outlying Areas, Bureau of Indian Education; and Higher Education Emergency Relief Fund.</w:t>
      </w:r>
      <w:r w:rsidR="0064330C">
        <w:rPr>
          <w:rStyle w:val="eop"/>
          <w:rFonts w:ascii="Adobe Garamond Pro" w:hAnsi="Adobe Garamond Pro"/>
          <w:color w:val="000000"/>
          <w:sz w:val="21"/>
          <w:szCs w:val="21"/>
          <w:shd w:val="clear" w:color="auto" w:fill="FFFFFF"/>
        </w:rPr>
        <w:t> </w:t>
      </w:r>
      <w:bookmarkEnd w:id="3"/>
    </w:p>
    <w:p w14:paraId="086148D3" w14:textId="77777777" w:rsidR="001E205C" w:rsidRPr="0080083D" w:rsidRDefault="001E205C" w:rsidP="00572055">
      <w:pPr>
        <w:pStyle w:val="BodyText"/>
        <w:rPr>
          <w:rFonts w:asciiTheme="minorHAnsi" w:hAnsiTheme="minorHAnsi" w:cstheme="minorHAnsi"/>
          <w:color w:val="000000" w:themeColor="text1"/>
        </w:rPr>
      </w:pPr>
      <w:bookmarkStart w:id="4" w:name="Statistically_Valid_and_Rigorous_Estimat"/>
      <w:bookmarkEnd w:id="4"/>
    </w:p>
    <w:p w14:paraId="16F9B42F" w14:textId="6D951174" w:rsidR="00B0266D" w:rsidRPr="00717E13" w:rsidRDefault="00AA6FE1" w:rsidP="000A072C">
      <w:pPr>
        <w:pStyle w:val="Heading2"/>
      </w:pPr>
      <w:r w:rsidRPr="00717E13">
        <w:t>Statistically Valid Estimation Method</w:t>
      </w:r>
    </w:p>
    <w:p w14:paraId="5E389F37" w14:textId="75BA4A0D" w:rsidR="00E9437B" w:rsidRPr="00D73DC6" w:rsidRDefault="2D08AFE8" w:rsidP="7DB89B23">
      <w:pPr>
        <w:pStyle w:val="BodyText"/>
        <w:rPr>
          <w:rFonts w:asciiTheme="minorHAnsi" w:hAnsiTheme="minorHAnsi" w:cstheme="minorBidi"/>
        </w:rPr>
      </w:pPr>
      <w:r w:rsidRPr="7DB89B23">
        <w:rPr>
          <w:rFonts w:asciiTheme="minorHAnsi" w:hAnsiTheme="minorHAnsi" w:cstheme="minorBidi"/>
        </w:rPr>
        <w:t>For each susceptible program, the Department designed a statistical</w:t>
      </w:r>
      <w:r w:rsidR="662FDBBA" w:rsidRPr="7DB89B23">
        <w:rPr>
          <w:rFonts w:asciiTheme="minorHAnsi" w:hAnsiTheme="minorHAnsi" w:cstheme="minorBidi"/>
        </w:rPr>
        <w:t xml:space="preserve">ly valid </w:t>
      </w:r>
      <w:r w:rsidRPr="7DB89B23">
        <w:rPr>
          <w:rFonts w:asciiTheme="minorHAnsi" w:hAnsiTheme="minorHAnsi" w:cstheme="minorBidi"/>
        </w:rPr>
        <w:t>sampling methodology and</w:t>
      </w:r>
      <w:r w:rsidR="7D2B78C2" w:rsidRPr="7DB89B23">
        <w:rPr>
          <w:rFonts w:asciiTheme="minorHAnsi" w:hAnsiTheme="minorHAnsi" w:cstheme="minorBidi"/>
        </w:rPr>
        <w:t xml:space="preserve"> tested</w:t>
      </w:r>
      <w:r w:rsidRPr="7DB89B23">
        <w:rPr>
          <w:rFonts w:asciiTheme="minorHAnsi" w:hAnsiTheme="minorHAnsi" w:cstheme="minorBidi"/>
        </w:rPr>
        <w:t xml:space="preserve"> select</w:t>
      </w:r>
      <w:r w:rsidR="01B7E45C" w:rsidRPr="7DB89B23">
        <w:rPr>
          <w:rFonts w:asciiTheme="minorHAnsi" w:hAnsiTheme="minorHAnsi" w:cstheme="minorBidi"/>
        </w:rPr>
        <w:t>ed</w:t>
      </w:r>
      <w:r w:rsidRPr="7DB89B23">
        <w:rPr>
          <w:rFonts w:asciiTheme="minorHAnsi" w:hAnsiTheme="minorHAnsi" w:cstheme="minorBidi"/>
        </w:rPr>
        <w:t xml:space="preserve"> payment samples </w:t>
      </w:r>
      <w:proofErr w:type="gramStart"/>
      <w:r w:rsidR="7D2B78C2" w:rsidRPr="7DB89B23">
        <w:rPr>
          <w:rFonts w:asciiTheme="minorHAnsi" w:hAnsiTheme="minorHAnsi" w:cstheme="minorBidi"/>
        </w:rPr>
        <w:t xml:space="preserve">in order </w:t>
      </w:r>
      <w:r w:rsidRPr="7DB89B23">
        <w:rPr>
          <w:rFonts w:asciiTheme="minorHAnsi" w:hAnsiTheme="minorHAnsi" w:cstheme="minorBidi"/>
        </w:rPr>
        <w:t>to</w:t>
      </w:r>
      <w:proofErr w:type="gramEnd"/>
      <w:r w:rsidRPr="7DB89B23">
        <w:rPr>
          <w:rFonts w:asciiTheme="minorHAnsi" w:hAnsiTheme="minorHAnsi" w:cstheme="minorBidi"/>
        </w:rPr>
        <w:t xml:space="preserve"> estimate the percentage and dollar value of improper payments. Payment sample testing that occurred in FY 202</w:t>
      </w:r>
      <w:r w:rsidR="551EB56A" w:rsidRPr="7DB89B23">
        <w:rPr>
          <w:rFonts w:asciiTheme="minorHAnsi" w:hAnsiTheme="minorHAnsi" w:cstheme="minorBidi"/>
        </w:rPr>
        <w:t>3</w:t>
      </w:r>
      <w:r w:rsidRPr="7DB89B23">
        <w:rPr>
          <w:rFonts w:asciiTheme="minorHAnsi" w:hAnsiTheme="minorHAnsi" w:cstheme="minorBidi"/>
        </w:rPr>
        <w:t xml:space="preserve"> was for the prior fiscal year (FY</w:t>
      </w:r>
      <w:r w:rsidR="551CB7DC" w:rsidRPr="7DB89B23">
        <w:rPr>
          <w:rFonts w:asciiTheme="minorHAnsi" w:hAnsiTheme="minorHAnsi" w:cstheme="minorBidi"/>
        </w:rPr>
        <w:t xml:space="preserve"> </w:t>
      </w:r>
      <w:r w:rsidRPr="7DB89B23">
        <w:rPr>
          <w:rFonts w:asciiTheme="minorHAnsi" w:hAnsiTheme="minorHAnsi" w:cstheme="minorBidi"/>
        </w:rPr>
        <w:t>20</w:t>
      </w:r>
      <w:r w:rsidR="1F69E2D3" w:rsidRPr="7DB89B23">
        <w:rPr>
          <w:rFonts w:asciiTheme="minorHAnsi" w:hAnsiTheme="minorHAnsi" w:cstheme="minorBidi"/>
        </w:rPr>
        <w:t>2</w:t>
      </w:r>
      <w:r w:rsidR="551EB56A" w:rsidRPr="7DB89B23">
        <w:rPr>
          <w:rFonts w:asciiTheme="minorHAnsi" w:hAnsiTheme="minorHAnsi" w:cstheme="minorBidi"/>
        </w:rPr>
        <w:t>2</w:t>
      </w:r>
      <w:r w:rsidRPr="7DB89B23">
        <w:rPr>
          <w:rFonts w:asciiTheme="minorHAnsi" w:hAnsiTheme="minorHAnsi" w:cstheme="minorBidi"/>
        </w:rPr>
        <w:t>) payment populations. The Department downloaded FY</w:t>
      </w:r>
      <w:r w:rsidR="551CB7DC" w:rsidRPr="7DB89B23">
        <w:rPr>
          <w:rFonts w:asciiTheme="minorHAnsi" w:hAnsiTheme="minorHAnsi" w:cstheme="minorBidi"/>
        </w:rPr>
        <w:t xml:space="preserve"> </w:t>
      </w:r>
      <w:r w:rsidRPr="7DB89B23">
        <w:rPr>
          <w:rFonts w:asciiTheme="minorHAnsi" w:hAnsiTheme="minorHAnsi" w:cstheme="minorBidi"/>
        </w:rPr>
        <w:t>20</w:t>
      </w:r>
      <w:r w:rsidR="1F69E2D3" w:rsidRPr="7DB89B23">
        <w:rPr>
          <w:rFonts w:asciiTheme="minorHAnsi" w:hAnsiTheme="minorHAnsi" w:cstheme="minorBidi"/>
        </w:rPr>
        <w:t>2</w:t>
      </w:r>
      <w:r w:rsidR="41CE297E" w:rsidRPr="7DB89B23">
        <w:rPr>
          <w:rFonts w:asciiTheme="minorHAnsi" w:hAnsiTheme="minorHAnsi" w:cstheme="minorBidi"/>
        </w:rPr>
        <w:t>2</w:t>
      </w:r>
      <w:r w:rsidRPr="7DB89B23">
        <w:rPr>
          <w:rFonts w:asciiTheme="minorHAnsi" w:hAnsiTheme="minorHAnsi" w:cstheme="minorBidi"/>
        </w:rPr>
        <w:t xml:space="preserve"> data for these</w:t>
      </w:r>
      <w:r w:rsidR="16B26102" w:rsidRPr="7DB89B23">
        <w:rPr>
          <w:rFonts w:asciiTheme="minorHAnsi" w:hAnsiTheme="minorHAnsi" w:cstheme="minorBidi"/>
        </w:rPr>
        <w:t xml:space="preserve"> programs from its grants management system (G5). The data </w:t>
      </w:r>
      <w:r w:rsidR="0D1A7E06" w:rsidRPr="7DB89B23">
        <w:rPr>
          <w:rFonts w:asciiTheme="minorHAnsi" w:hAnsiTheme="minorHAnsi" w:cstheme="minorBidi"/>
        </w:rPr>
        <w:t>were</w:t>
      </w:r>
      <w:r w:rsidR="16B26102" w:rsidRPr="7DB89B23">
        <w:rPr>
          <w:rFonts w:asciiTheme="minorHAnsi" w:hAnsiTheme="minorHAnsi" w:cstheme="minorBidi"/>
        </w:rPr>
        <w:t xml:space="preserve"> filtered by CFDA for payments greater than $0. </w:t>
      </w:r>
    </w:p>
    <w:p w14:paraId="7C201B92" w14:textId="77777777" w:rsidR="00E9437B" w:rsidRPr="00572055" w:rsidRDefault="00E9437B" w:rsidP="0080083D">
      <w:pPr>
        <w:pStyle w:val="BodyText"/>
        <w:rPr>
          <w:rFonts w:asciiTheme="minorHAnsi" w:hAnsiTheme="minorHAnsi" w:cstheme="minorHAnsi"/>
        </w:rPr>
      </w:pPr>
    </w:p>
    <w:p w14:paraId="39B472BF" w14:textId="08D8E7FF" w:rsidR="0066350C" w:rsidRPr="00D73DC6" w:rsidRDefault="00660A0A">
      <w:pPr>
        <w:pStyle w:val="BodyText"/>
        <w:numPr>
          <w:ilvl w:val="0"/>
          <w:numId w:val="7"/>
        </w:numPr>
        <w:rPr>
          <w:rFonts w:asciiTheme="minorHAnsi" w:hAnsiTheme="minorHAnsi" w:cstheme="minorBidi"/>
        </w:rPr>
      </w:pPr>
      <w:r w:rsidRPr="00657323">
        <w:rPr>
          <w:rFonts w:asciiTheme="minorHAnsi" w:hAnsiTheme="minorHAnsi" w:cstheme="minorBidi"/>
        </w:rPr>
        <w:t>For</w:t>
      </w:r>
      <w:r w:rsidR="00E9437B" w:rsidRPr="00657323">
        <w:rPr>
          <w:rFonts w:asciiTheme="minorHAnsi" w:hAnsiTheme="minorHAnsi" w:cstheme="minorBidi"/>
        </w:rPr>
        <w:t xml:space="preserve"> the </w:t>
      </w:r>
      <w:r w:rsidR="00374C99" w:rsidRPr="00657323">
        <w:rPr>
          <w:rFonts w:asciiTheme="minorHAnsi" w:hAnsiTheme="minorHAnsi" w:cstheme="minorBidi"/>
        </w:rPr>
        <w:t xml:space="preserve">Title I, IDEA, and </w:t>
      </w:r>
      <w:r w:rsidR="00C13CE7" w:rsidRPr="00657323">
        <w:rPr>
          <w:rFonts w:asciiTheme="minorHAnsi" w:hAnsiTheme="minorHAnsi" w:cstheme="minorBidi"/>
        </w:rPr>
        <w:t>ESF</w:t>
      </w:r>
      <w:r w:rsidR="00E9437B" w:rsidRPr="00657323">
        <w:rPr>
          <w:rFonts w:asciiTheme="minorHAnsi" w:hAnsiTheme="minorHAnsi" w:cstheme="minorBidi"/>
        </w:rPr>
        <w:t xml:space="preserve"> programs</w:t>
      </w:r>
      <w:r w:rsidR="0066350C" w:rsidRPr="00657323">
        <w:rPr>
          <w:rFonts w:asciiTheme="minorHAnsi" w:hAnsiTheme="minorHAnsi" w:cstheme="minorBidi"/>
        </w:rPr>
        <w:t xml:space="preserve">, </w:t>
      </w:r>
      <w:r w:rsidRPr="00657323">
        <w:rPr>
          <w:rFonts w:asciiTheme="minorHAnsi" w:hAnsiTheme="minorHAnsi" w:cstheme="minorBidi"/>
        </w:rPr>
        <w:t xml:space="preserve">the Department contacted </w:t>
      </w:r>
      <w:r w:rsidR="000B7554" w:rsidRPr="00657323">
        <w:rPr>
          <w:rFonts w:asciiTheme="minorHAnsi" w:hAnsiTheme="minorHAnsi" w:cstheme="minorBidi"/>
        </w:rPr>
        <w:t>each</w:t>
      </w:r>
      <w:r w:rsidRPr="00FE3D73">
        <w:rPr>
          <w:rFonts w:asciiTheme="minorHAnsi" w:hAnsiTheme="minorHAnsi" w:cstheme="minorBidi"/>
        </w:rPr>
        <w:t xml:space="preserve"> state</w:t>
      </w:r>
      <w:r w:rsidR="000B7554" w:rsidRPr="005E3A78">
        <w:rPr>
          <w:rFonts w:asciiTheme="minorHAnsi" w:hAnsiTheme="minorHAnsi" w:cstheme="minorBidi"/>
        </w:rPr>
        <w:t>’</w:t>
      </w:r>
      <w:r w:rsidRPr="00D73DC6">
        <w:rPr>
          <w:rFonts w:asciiTheme="minorHAnsi" w:hAnsiTheme="minorHAnsi" w:cstheme="minorBidi"/>
        </w:rPr>
        <w:t>s program director requesting FY</w:t>
      </w:r>
      <w:r w:rsidR="00C13CE7" w:rsidRPr="00D73DC6">
        <w:rPr>
          <w:rFonts w:asciiTheme="minorHAnsi" w:hAnsiTheme="minorHAnsi" w:cstheme="minorBidi"/>
        </w:rPr>
        <w:t xml:space="preserve"> </w:t>
      </w:r>
      <w:r w:rsidR="00B90DE4" w:rsidRPr="00D73DC6">
        <w:rPr>
          <w:rFonts w:asciiTheme="minorHAnsi" w:hAnsiTheme="minorHAnsi" w:cstheme="minorBidi"/>
        </w:rPr>
        <w:t>202</w:t>
      </w:r>
      <w:r w:rsidR="00F92F02">
        <w:rPr>
          <w:rFonts w:asciiTheme="minorHAnsi" w:hAnsiTheme="minorHAnsi" w:cstheme="minorBidi"/>
        </w:rPr>
        <w:t>2</w:t>
      </w:r>
      <w:r w:rsidRPr="00657323">
        <w:rPr>
          <w:rFonts w:asciiTheme="minorHAnsi" w:hAnsiTheme="minorHAnsi" w:cstheme="minorBidi"/>
        </w:rPr>
        <w:t xml:space="preserve"> disbursement data from </w:t>
      </w:r>
      <w:r w:rsidR="007D7685" w:rsidRPr="00D73DC6">
        <w:rPr>
          <w:rFonts w:asciiTheme="minorHAnsi" w:hAnsiTheme="minorHAnsi" w:cstheme="minorBidi"/>
        </w:rPr>
        <w:t>their state’s</w:t>
      </w:r>
      <w:r w:rsidRPr="00657323">
        <w:rPr>
          <w:rFonts w:asciiTheme="minorHAnsi" w:hAnsiTheme="minorHAnsi" w:cstheme="minorBidi"/>
        </w:rPr>
        <w:t xml:space="preserve"> financial management system. </w:t>
      </w:r>
      <w:r w:rsidR="0066350C" w:rsidRPr="00FE3D73">
        <w:rPr>
          <w:rFonts w:asciiTheme="minorHAnsi" w:hAnsiTheme="minorHAnsi" w:cstheme="minorBidi"/>
        </w:rPr>
        <w:t>Data was based on payment amounts distributed from the SEAs to the LEAs. For each state, the sampling frame represented the list of FY 202</w:t>
      </w:r>
      <w:r w:rsidR="00F92F02">
        <w:rPr>
          <w:rFonts w:asciiTheme="minorHAnsi" w:hAnsiTheme="minorHAnsi" w:cstheme="minorBidi"/>
        </w:rPr>
        <w:t>2</w:t>
      </w:r>
      <w:r w:rsidR="00331AB1" w:rsidRPr="00D73DC6">
        <w:rPr>
          <w:rFonts w:asciiTheme="minorHAnsi" w:hAnsiTheme="minorHAnsi" w:cstheme="minorBidi"/>
        </w:rPr>
        <w:t xml:space="preserve"> </w:t>
      </w:r>
      <w:r w:rsidR="0066350C" w:rsidRPr="00657323">
        <w:rPr>
          <w:rFonts w:asciiTheme="minorHAnsi" w:hAnsiTheme="minorHAnsi" w:cstheme="minorBidi"/>
        </w:rPr>
        <w:t>payments from which the statistical sample was selected.</w:t>
      </w:r>
    </w:p>
    <w:p w14:paraId="35E59A64" w14:textId="77777777" w:rsidR="0066350C" w:rsidRPr="00572055" w:rsidRDefault="0066350C" w:rsidP="0080083D">
      <w:pPr>
        <w:pStyle w:val="BodyText"/>
        <w:rPr>
          <w:rFonts w:asciiTheme="minorHAnsi" w:hAnsiTheme="minorHAnsi" w:cstheme="minorHAnsi"/>
        </w:rPr>
      </w:pPr>
    </w:p>
    <w:p w14:paraId="35C27AF5" w14:textId="0448E826" w:rsidR="005E3E0A" w:rsidRPr="00D73DC6" w:rsidRDefault="00381E6C">
      <w:pPr>
        <w:pStyle w:val="BodyText"/>
        <w:numPr>
          <w:ilvl w:val="0"/>
          <w:numId w:val="7"/>
        </w:numPr>
        <w:rPr>
          <w:rFonts w:asciiTheme="minorHAnsi" w:hAnsiTheme="minorHAnsi" w:cstheme="minorBidi"/>
        </w:rPr>
      </w:pPr>
      <w:r w:rsidRPr="00657323">
        <w:rPr>
          <w:rFonts w:asciiTheme="minorHAnsi" w:hAnsiTheme="minorHAnsi" w:cstheme="minorBidi"/>
        </w:rPr>
        <w:t xml:space="preserve">For the </w:t>
      </w:r>
      <w:r w:rsidR="00C13CE7" w:rsidRPr="00657323">
        <w:rPr>
          <w:rFonts w:asciiTheme="minorHAnsi" w:hAnsiTheme="minorHAnsi" w:cstheme="minorBidi"/>
        </w:rPr>
        <w:t>ESF</w:t>
      </w:r>
      <w:r w:rsidRPr="00657323">
        <w:rPr>
          <w:rFonts w:asciiTheme="minorHAnsi" w:hAnsiTheme="minorHAnsi" w:cstheme="minorBidi"/>
        </w:rPr>
        <w:t xml:space="preserve"> program, disbursement data were </w:t>
      </w:r>
      <w:r w:rsidR="007D7685">
        <w:rPr>
          <w:rFonts w:asciiTheme="minorHAnsi" w:hAnsiTheme="minorHAnsi" w:cstheme="minorBidi"/>
        </w:rPr>
        <w:t xml:space="preserve">also </w:t>
      </w:r>
      <w:r w:rsidRPr="00657323">
        <w:rPr>
          <w:rFonts w:asciiTheme="minorHAnsi" w:hAnsiTheme="minorHAnsi" w:cstheme="minorBidi"/>
        </w:rPr>
        <w:t xml:space="preserve">obtained from </w:t>
      </w:r>
      <w:r w:rsidR="007D7685">
        <w:rPr>
          <w:rFonts w:asciiTheme="minorHAnsi" w:hAnsiTheme="minorHAnsi" w:cstheme="minorBidi"/>
        </w:rPr>
        <w:t>Institutions of Higher Education (</w:t>
      </w:r>
      <w:r w:rsidRPr="00657323">
        <w:rPr>
          <w:rFonts w:asciiTheme="minorHAnsi" w:hAnsiTheme="minorHAnsi" w:cstheme="minorBidi"/>
        </w:rPr>
        <w:t>IHEs</w:t>
      </w:r>
      <w:r w:rsidR="007D7685">
        <w:rPr>
          <w:rFonts w:asciiTheme="minorHAnsi" w:hAnsiTheme="minorHAnsi" w:cstheme="minorBidi"/>
        </w:rPr>
        <w:t>)</w:t>
      </w:r>
      <w:r w:rsidRPr="00657323">
        <w:rPr>
          <w:rFonts w:asciiTheme="minorHAnsi" w:hAnsiTheme="minorHAnsi" w:cstheme="minorBidi"/>
        </w:rPr>
        <w:t xml:space="preserve">. </w:t>
      </w:r>
      <w:r w:rsidR="005E3E0A" w:rsidRPr="00657323">
        <w:rPr>
          <w:rFonts w:asciiTheme="minorHAnsi" w:hAnsiTheme="minorHAnsi" w:cstheme="minorBidi"/>
        </w:rPr>
        <w:t>Data was based on payment amounts distributed by the IHE and, for each IHE, the sampling frame represented the list of FY 202</w:t>
      </w:r>
      <w:r w:rsidR="00F92F02">
        <w:rPr>
          <w:rFonts w:asciiTheme="minorHAnsi" w:hAnsiTheme="minorHAnsi" w:cstheme="minorBidi"/>
        </w:rPr>
        <w:t>2</w:t>
      </w:r>
      <w:r w:rsidR="005E3E0A" w:rsidRPr="00657323">
        <w:rPr>
          <w:rFonts w:asciiTheme="minorHAnsi" w:hAnsiTheme="minorHAnsi" w:cstheme="minorBidi"/>
        </w:rPr>
        <w:t xml:space="preserve"> payments from which the statistical sample was selected.</w:t>
      </w:r>
    </w:p>
    <w:p w14:paraId="4F94AD20" w14:textId="15C28FA0" w:rsidR="005E3E0A" w:rsidRPr="00572055" w:rsidRDefault="005E3E0A" w:rsidP="0080083D">
      <w:pPr>
        <w:pStyle w:val="BodyText"/>
        <w:rPr>
          <w:rFonts w:asciiTheme="minorHAnsi" w:hAnsiTheme="minorHAnsi" w:cstheme="minorHAnsi"/>
        </w:rPr>
      </w:pPr>
    </w:p>
    <w:p w14:paraId="3C7054F9" w14:textId="1ADC5175" w:rsidR="00E51FF1" w:rsidRPr="00D73DC6" w:rsidRDefault="005E3E0A">
      <w:pPr>
        <w:pStyle w:val="BodyText"/>
        <w:rPr>
          <w:rFonts w:asciiTheme="minorHAnsi" w:hAnsiTheme="minorHAnsi" w:cstheme="minorBidi"/>
        </w:rPr>
      </w:pPr>
      <w:r w:rsidRPr="00657323">
        <w:rPr>
          <w:rFonts w:asciiTheme="minorHAnsi" w:hAnsiTheme="minorHAnsi" w:cstheme="minorBidi"/>
        </w:rPr>
        <w:t>The sample design for each program was developed in accordance with sampling guidance provided in the OMB Circular A-123, Appendix C</w:t>
      </w:r>
      <w:r w:rsidR="00C350E1" w:rsidRPr="00FE3D73">
        <w:rPr>
          <w:rFonts w:asciiTheme="minorHAnsi" w:hAnsiTheme="minorHAnsi" w:cstheme="minorBidi"/>
        </w:rPr>
        <w:t>, via transmittal memo</w:t>
      </w:r>
      <w:r w:rsidR="006C11CD" w:rsidRPr="005E3A78">
        <w:rPr>
          <w:rFonts w:asciiTheme="minorHAnsi" w:hAnsiTheme="minorHAnsi" w:cstheme="minorBidi"/>
        </w:rPr>
        <w:t xml:space="preserve"> M-21-19</w:t>
      </w:r>
      <w:r w:rsidR="00B2702D" w:rsidRPr="00D73DC6">
        <w:rPr>
          <w:rFonts w:asciiTheme="minorHAnsi" w:hAnsiTheme="minorHAnsi" w:cstheme="minorBidi"/>
        </w:rPr>
        <w:t xml:space="preserve">, with the goal of obtaining </w:t>
      </w:r>
      <w:r w:rsidR="006C3751" w:rsidRPr="00D73DC6">
        <w:rPr>
          <w:rFonts w:asciiTheme="minorHAnsi" w:hAnsiTheme="minorHAnsi" w:cstheme="minorBidi"/>
        </w:rPr>
        <w:t xml:space="preserve">a statistically valid estimate of the dollar amount and </w:t>
      </w:r>
      <w:r w:rsidRPr="00D73DC6">
        <w:rPr>
          <w:rFonts w:asciiTheme="minorHAnsi" w:hAnsiTheme="minorHAnsi" w:cstheme="minorBidi"/>
        </w:rPr>
        <w:t>percentage of improper payment</w:t>
      </w:r>
      <w:r w:rsidR="006C3751" w:rsidRPr="00D73DC6">
        <w:rPr>
          <w:rFonts w:asciiTheme="minorHAnsi" w:hAnsiTheme="minorHAnsi" w:cstheme="minorBidi"/>
        </w:rPr>
        <w:t>s.</w:t>
      </w:r>
      <w:r w:rsidR="00E51FF1" w:rsidRPr="00D73DC6">
        <w:rPr>
          <w:rFonts w:asciiTheme="minorHAnsi" w:hAnsiTheme="minorHAnsi" w:cstheme="minorBidi"/>
        </w:rPr>
        <w:t xml:space="preserve"> </w:t>
      </w:r>
    </w:p>
    <w:p w14:paraId="7CA3CCB3" w14:textId="77777777" w:rsidR="00E51FF1" w:rsidRPr="0080083D" w:rsidRDefault="00E51FF1" w:rsidP="0080083D">
      <w:pPr>
        <w:pStyle w:val="BodyText"/>
        <w:rPr>
          <w:rFonts w:asciiTheme="minorHAnsi" w:hAnsiTheme="minorHAnsi" w:cstheme="minorHAnsi"/>
        </w:rPr>
      </w:pPr>
    </w:p>
    <w:p w14:paraId="5BB5B056" w14:textId="2B614551" w:rsidR="005C5246" w:rsidRPr="00D73DC6" w:rsidRDefault="00660A0A">
      <w:pPr>
        <w:pStyle w:val="BodyText"/>
        <w:rPr>
          <w:rFonts w:asciiTheme="minorHAnsi" w:hAnsiTheme="minorHAnsi" w:cstheme="minorBidi"/>
        </w:rPr>
      </w:pPr>
      <w:r w:rsidRPr="00657323">
        <w:rPr>
          <w:rFonts w:asciiTheme="minorHAnsi" w:hAnsiTheme="minorHAnsi" w:cstheme="minorBidi"/>
        </w:rPr>
        <w:t xml:space="preserve">Once samples were selected, the Department obtained </w:t>
      </w:r>
      <w:r w:rsidR="00855A1B" w:rsidRPr="00657323">
        <w:rPr>
          <w:rFonts w:asciiTheme="minorHAnsi" w:hAnsiTheme="minorHAnsi" w:cstheme="minorBidi"/>
        </w:rPr>
        <w:t xml:space="preserve">and reviewed </w:t>
      </w:r>
      <w:r w:rsidRPr="00657323">
        <w:rPr>
          <w:rFonts w:asciiTheme="minorHAnsi" w:hAnsiTheme="minorHAnsi" w:cstheme="minorBidi"/>
        </w:rPr>
        <w:t>the supporting documentation for each payment</w:t>
      </w:r>
      <w:r w:rsidR="00150F44" w:rsidRPr="00FE3D73">
        <w:rPr>
          <w:rFonts w:asciiTheme="minorHAnsi" w:hAnsiTheme="minorHAnsi" w:cstheme="minorBidi"/>
        </w:rPr>
        <w:t xml:space="preserve"> at the expenditure level</w:t>
      </w:r>
      <w:r w:rsidRPr="005E3A78">
        <w:rPr>
          <w:rFonts w:asciiTheme="minorHAnsi" w:hAnsiTheme="minorHAnsi" w:cstheme="minorBidi"/>
        </w:rPr>
        <w:t xml:space="preserve">. </w:t>
      </w:r>
      <w:r w:rsidR="00150F44" w:rsidRPr="00D73DC6">
        <w:rPr>
          <w:rFonts w:asciiTheme="minorHAnsi" w:hAnsiTheme="minorHAnsi" w:cstheme="minorBidi"/>
        </w:rPr>
        <w:t>A</w:t>
      </w:r>
      <w:r w:rsidRPr="00D73DC6">
        <w:rPr>
          <w:rFonts w:asciiTheme="minorHAnsi" w:hAnsiTheme="minorHAnsi" w:cstheme="minorBidi"/>
        </w:rPr>
        <w:t xml:space="preserve"> determination was made whether there were any</w:t>
      </w:r>
      <w:r w:rsidR="002067A1" w:rsidRPr="00D73DC6">
        <w:rPr>
          <w:rFonts w:asciiTheme="minorHAnsi" w:hAnsiTheme="minorHAnsi" w:cstheme="minorBidi"/>
        </w:rPr>
        <w:t xml:space="preserve"> improper payments, noting</w:t>
      </w:r>
      <w:r w:rsidRPr="00D73DC6">
        <w:rPr>
          <w:rFonts w:asciiTheme="minorHAnsi" w:hAnsiTheme="minorHAnsi" w:cstheme="minorBidi"/>
        </w:rPr>
        <w:t xml:space="preserve"> overpayments </w:t>
      </w:r>
      <w:r w:rsidR="002067A1" w:rsidRPr="00D73DC6">
        <w:rPr>
          <w:rFonts w:asciiTheme="minorHAnsi" w:hAnsiTheme="minorHAnsi" w:cstheme="minorBidi"/>
        </w:rPr>
        <w:t>and</w:t>
      </w:r>
      <w:r w:rsidRPr="00D73DC6">
        <w:rPr>
          <w:rFonts w:asciiTheme="minorHAnsi" w:hAnsiTheme="minorHAnsi" w:cstheme="minorBidi"/>
        </w:rPr>
        <w:t xml:space="preserve"> underpayments</w:t>
      </w:r>
      <w:r w:rsidR="002067A1" w:rsidRPr="00D73DC6">
        <w:rPr>
          <w:rFonts w:asciiTheme="minorHAnsi" w:hAnsiTheme="minorHAnsi" w:cstheme="minorBidi"/>
        </w:rPr>
        <w:t xml:space="preserve"> as well as technically improper and unknown payments</w:t>
      </w:r>
      <w:r w:rsidRPr="00D73DC6">
        <w:rPr>
          <w:rFonts w:asciiTheme="minorHAnsi" w:hAnsiTheme="minorHAnsi" w:cstheme="minorBidi"/>
        </w:rPr>
        <w:t>. Results were analyzed by statisticians, who performed calculations from the sampled payments to produce a statistically valid estimated improper payment rate for each program, presented below.</w:t>
      </w:r>
    </w:p>
    <w:p w14:paraId="57A4743E" w14:textId="77777777" w:rsidR="00CE2536" w:rsidRDefault="00CE2536" w:rsidP="00717E13">
      <w:pPr>
        <w:pStyle w:val="BodyText"/>
      </w:pPr>
    </w:p>
    <w:p w14:paraId="00D7B0A9" w14:textId="185D51AA" w:rsidR="00374C99" w:rsidRPr="00572055" w:rsidRDefault="00374C99" w:rsidP="000A072C">
      <w:pPr>
        <w:pStyle w:val="Heading2"/>
        <w:rPr>
          <w:rFonts w:cstheme="minorHAnsi"/>
        </w:rPr>
      </w:pPr>
      <w:r w:rsidRPr="00717E13">
        <w:t>Title I</w:t>
      </w:r>
      <w:r w:rsidR="007D7685">
        <w:t>, Part A</w:t>
      </w:r>
      <w:r w:rsidRPr="00717E13">
        <w:t xml:space="preserve"> program</w:t>
      </w:r>
    </w:p>
    <w:p w14:paraId="36742BCB" w14:textId="47F7E17E" w:rsidR="00331AB1" w:rsidRPr="00D73DC6" w:rsidRDefault="15F4475D" w:rsidP="7DB89B23">
      <w:pPr>
        <w:rPr>
          <w:rFonts w:asciiTheme="minorHAnsi" w:hAnsiTheme="minorHAnsi" w:cstheme="minorBidi"/>
          <w:color w:val="000000" w:themeColor="text1"/>
        </w:rPr>
      </w:pPr>
      <w:r w:rsidRPr="7DB89B23">
        <w:rPr>
          <w:rFonts w:asciiTheme="minorHAnsi" w:hAnsiTheme="minorHAnsi" w:cstheme="minorBidi"/>
        </w:rPr>
        <w:t>Supporting documentation for Title I</w:t>
      </w:r>
      <w:r w:rsidR="01B7E45C" w:rsidRPr="7DB89B23">
        <w:rPr>
          <w:rFonts w:asciiTheme="minorHAnsi" w:hAnsiTheme="minorHAnsi" w:cstheme="minorBidi"/>
        </w:rPr>
        <w:t>, Part A</w:t>
      </w:r>
      <w:r w:rsidRPr="7DB89B23">
        <w:rPr>
          <w:rFonts w:asciiTheme="minorHAnsi" w:hAnsiTheme="minorHAnsi" w:cstheme="minorBidi"/>
        </w:rPr>
        <w:t xml:space="preserve"> payments varied from state to state but included payment vouchers and invoices. As a result of testing procedures, the Department identified improper payments</w:t>
      </w:r>
      <w:r w:rsidR="25B6ED46" w:rsidRPr="7DB89B23">
        <w:rPr>
          <w:rFonts w:asciiTheme="minorHAnsi" w:hAnsiTheme="minorHAnsi" w:cstheme="minorBidi"/>
        </w:rPr>
        <w:t xml:space="preserve"> </w:t>
      </w:r>
      <w:r w:rsidRPr="7DB89B23">
        <w:rPr>
          <w:rFonts w:asciiTheme="minorHAnsi" w:hAnsiTheme="minorHAnsi" w:cstheme="minorBidi"/>
        </w:rPr>
        <w:t>in the Title I</w:t>
      </w:r>
      <w:r w:rsidR="01B7E45C" w:rsidRPr="7DB89B23">
        <w:rPr>
          <w:rFonts w:asciiTheme="minorHAnsi" w:hAnsiTheme="minorHAnsi" w:cstheme="minorBidi"/>
        </w:rPr>
        <w:t>, Part A</w:t>
      </w:r>
      <w:r w:rsidRPr="7DB89B23">
        <w:rPr>
          <w:rFonts w:asciiTheme="minorHAnsi" w:hAnsiTheme="minorHAnsi" w:cstheme="minorBidi"/>
        </w:rPr>
        <w:t xml:space="preserve"> program. The </w:t>
      </w:r>
      <w:r w:rsidR="0A922B17" w:rsidRPr="7DB89B23">
        <w:rPr>
          <w:rFonts w:asciiTheme="minorHAnsi" w:hAnsiTheme="minorHAnsi" w:cstheme="minorBidi"/>
        </w:rPr>
        <w:t>FY 2</w:t>
      </w:r>
      <w:r w:rsidR="0A922B17" w:rsidRPr="7DB89B23">
        <w:rPr>
          <w:rFonts w:asciiTheme="minorHAnsi" w:hAnsiTheme="minorHAnsi" w:cstheme="minorBidi"/>
          <w:color w:val="000000" w:themeColor="text1"/>
        </w:rPr>
        <w:t>02</w:t>
      </w:r>
      <w:r w:rsidR="4D1CED93" w:rsidRPr="7DB89B23">
        <w:rPr>
          <w:rFonts w:asciiTheme="minorHAnsi" w:hAnsiTheme="minorHAnsi" w:cstheme="minorBidi"/>
          <w:color w:val="000000" w:themeColor="text1"/>
        </w:rPr>
        <w:t>3</w:t>
      </w:r>
      <w:r w:rsidR="0A922B17" w:rsidRPr="7DB89B23">
        <w:rPr>
          <w:rFonts w:asciiTheme="minorHAnsi" w:hAnsiTheme="minorHAnsi" w:cstheme="minorBidi"/>
          <w:color w:val="000000" w:themeColor="text1"/>
        </w:rPr>
        <w:t xml:space="preserve"> </w:t>
      </w:r>
      <w:r w:rsidRPr="7DB89B23">
        <w:rPr>
          <w:rFonts w:asciiTheme="minorHAnsi" w:hAnsiTheme="minorHAnsi" w:cstheme="minorBidi"/>
        </w:rPr>
        <w:t>Title I</w:t>
      </w:r>
      <w:r w:rsidR="01B7E45C" w:rsidRPr="7DB89B23">
        <w:rPr>
          <w:rFonts w:asciiTheme="minorHAnsi" w:hAnsiTheme="minorHAnsi" w:cstheme="minorBidi"/>
        </w:rPr>
        <w:t>, Part A</w:t>
      </w:r>
      <w:r w:rsidRPr="7DB89B23">
        <w:rPr>
          <w:rFonts w:asciiTheme="minorHAnsi" w:hAnsiTheme="minorHAnsi" w:cstheme="minorBidi"/>
        </w:rPr>
        <w:t xml:space="preserve"> payment error rate </w:t>
      </w:r>
      <w:r w:rsidR="0A922B17" w:rsidRPr="7DB89B23">
        <w:rPr>
          <w:rFonts w:asciiTheme="minorHAnsi" w:hAnsiTheme="minorHAnsi" w:cstheme="minorBidi"/>
          <w:color w:val="000000" w:themeColor="text1"/>
        </w:rPr>
        <w:t>i</w:t>
      </w:r>
      <w:r w:rsidRPr="7DB89B23">
        <w:rPr>
          <w:rFonts w:asciiTheme="minorHAnsi" w:hAnsiTheme="minorHAnsi" w:cstheme="minorBidi"/>
          <w:color w:val="000000" w:themeColor="text1"/>
        </w:rPr>
        <w:t xml:space="preserve">s </w:t>
      </w:r>
      <w:r w:rsidR="4FA5F6F7" w:rsidRPr="7DB89B23">
        <w:rPr>
          <w:rFonts w:asciiTheme="minorHAnsi" w:hAnsiTheme="minorHAnsi" w:cstheme="minorBidi"/>
          <w:b/>
          <w:bCs/>
          <w:color w:val="000000" w:themeColor="text1"/>
        </w:rPr>
        <w:t>0.00004</w:t>
      </w:r>
      <w:r w:rsidR="79617F05" w:rsidRPr="7DB89B23">
        <w:rPr>
          <w:rFonts w:asciiTheme="minorHAnsi" w:hAnsiTheme="minorHAnsi" w:cstheme="minorBidi"/>
          <w:b/>
          <w:bCs/>
          <w:color w:val="000000" w:themeColor="text1"/>
        </w:rPr>
        <w:t xml:space="preserve"> </w:t>
      </w:r>
      <w:r w:rsidRPr="7DB89B23">
        <w:rPr>
          <w:rFonts w:asciiTheme="minorHAnsi" w:hAnsiTheme="minorHAnsi" w:cstheme="minorBidi"/>
          <w:color w:val="000000" w:themeColor="text1"/>
        </w:rPr>
        <w:t xml:space="preserve">percent, or </w:t>
      </w:r>
      <w:r w:rsidRPr="7DB89B23">
        <w:rPr>
          <w:rFonts w:asciiTheme="minorHAnsi" w:hAnsiTheme="minorHAnsi" w:cstheme="minorBidi"/>
          <w:b/>
          <w:bCs/>
          <w:color w:val="000000" w:themeColor="text1"/>
        </w:rPr>
        <w:t>$</w:t>
      </w:r>
      <w:r w:rsidR="03F1802C" w:rsidRPr="7DB89B23">
        <w:rPr>
          <w:rFonts w:asciiTheme="minorHAnsi" w:hAnsiTheme="minorHAnsi" w:cstheme="minorBidi"/>
          <w:b/>
          <w:bCs/>
          <w:color w:val="000000" w:themeColor="text1"/>
        </w:rPr>
        <w:t>.006291</w:t>
      </w:r>
      <w:r w:rsidRPr="7DB89B23">
        <w:rPr>
          <w:rFonts w:asciiTheme="minorHAnsi" w:hAnsiTheme="minorHAnsi" w:cstheme="minorBidi"/>
          <w:b/>
          <w:bCs/>
          <w:color w:val="000000" w:themeColor="text1"/>
        </w:rPr>
        <w:t xml:space="preserve"> </w:t>
      </w:r>
      <w:r w:rsidRPr="7DB89B23">
        <w:rPr>
          <w:rFonts w:asciiTheme="minorHAnsi" w:hAnsiTheme="minorHAnsi" w:cstheme="minorBidi"/>
          <w:color w:val="000000" w:themeColor="text1"/>
        </w:rPr>
        <w:t>million.</w:t>
      </w:r>
      <w:r w:rsidR="25B6ED46" w:rsidRPr="7DB89B23">
        <w:rPr>
          <w:rFonts w:asciiTheme="minorHAnsi" w:hAnsiTheme="minorHAnsi" w:cstheme="minorBidi"/>
          <w:color w:val="000000" w:themeColor="text1"/>
        </w:rPr>
        <w:t xml:space="preserve"> </w:t>
      </w:r>
      <w:r w:rsidR="19244742" w:rsidRPr="7DB89B23">
        <w:rPr>
          <w:rFonts w:asciiTheme="minorHAnsi" w:hAnsiTheme="minorHAnsi" w:cstheme="minorBidi"/>
          <w:color w:val="000000" w:themeColor="text1"/>
        </w:rPr>
        <w:t xml:space="preserve">The program reported </w:t>
      </w:r>
      <w:proofErr w:type="gramStart"/>
      <w:r w:rsidR="19244742" w:rsidRPr="7DB89B23">
        <w:rPr>
          <w:rFonts w:asciiTheme="minorHAnsi" w:hAnsiTheme="minorHAnsi" w:cstheme="minorBidi"/>
          <w:color w:val="000000" w:themeColor="text1"/>
        </w:rPr>
        <w:t>no</w:t>
      </w:r>
      <w:proofErr w:type="gramEnd"/>
      <w:r w:rsidR="19244742" w:rsidRPr="7DB89B23">
        <w:rPr>
          <w:rFonts w:asciiTheme="minorHAnsi" w:hAnsiTheme="minorHAnsi" w:cstheme="minorBidi"/>
          <w:color w:val="000000" w:themeColor="text1"/>
        </w:rPr>
        <w:t xml:space="preserve"> </w:t>
      </w:r>
      <w:r w:rsidR="53AC914D" w:rsidRPr="7DB89B23">
        <w:rPr>
          <w:rFonts w:asciiTheme="minorHAnsi" w:hAnsiTheme="minorHAnsi" w:cstheme="minorBidi"/>
          <w:color w:val="000000" w:themeColor="text1"/>
        </w:rPr>
        <w:t xml:space="preserve">technically improper </w:t>
      </w:r>
      <w:r w:rsidR="2FF32002" w:rsidRPr="7DB89B23">
        <w:rPr>
          <w:rFonts w:asciiTheme="minorHAnsi" w:hAnsiTheme="minorHAnsi" w:cstheme="minorBidi"/>
          <w:color w:val="000000" w:themeColor="text1"/>
        </w:rPr>
        <w:t xml:space="preserve">or </w:t>
      </w:r>
      <w:r w:rsidR="19244742" w:rsidRPr="7DB89B23">
        <w:rPr>
          <w:rFonts w:asciiTheme="minorHAnsi" w:hAnsiTheme="minorHAnsi" w:cstheme="minorBidi"/>
          <w:color w:val="000000" w:themeColor="text1"/>
        </w:rPr>
        <w:t>unknown payments</w:t>
      </w:r>
      <w:r w:rsidR="4D1CED93" w:rsidRPr="7DB89B23">
        <w:rPr>
          <w:rFonts w:asciiTheme="minorHAnsi" w:hAnsiTheme="minorHAnsi" w:cstheme="minorBidi"/>
          <w:color w:val="000000" w:themeColor="text1"/>
        </w:rPr>
        <w:t xml:space="preserve"> in FY 2023</w:t>
      </w:r>
      <w:r w:rsidR="37304D49" w:rsidRPr="7DB89B23">
        <w:rPr>
          <w:rFonts w:asciiTheme="minorHAnsi" w:hAnsiTheme="minorHAnsi" w:cstheme="minorBidi"/>
          <w:color w:val="000000" w:themeColor="text1"/>
        </w:rPr>
        <w:t>.</w:t>
      </w:r>
    </w:p>
    <w:p w14:paraId="64D837F5" w14:textId="0F4CED37" w:rsidR="00331AB1" w:rsidRDefault="00331AB1" w:rsidP="00D73DC6">
      <w:pPr>
        <w:tabs>
          <w:tab w:val="left" w:pos="7830"/>
        </w:tabs>
        <w:spacing w:before="120" w:after="120"/>
        <w:rPr>
          <w:rFonts w:asciiTheme="minorHAnsi" w:hAnsiTheme="minorHAnsi" w:cstheme="minorHAnsi"/>
          <w:b/>
        </w:rPr>
      </w:pPr>
      <w:r>
        <w:rPr>
          <w:rFonts w:asciiTheme="minorHAnsi" w:hAnsiTheme="minorHAnsi" w:cstheme="minorHAnsi"/>
          <w:b/>
        </w:rPr>
        <w:lastRenderedPageBreak/>
        <w:tab/>
      </w:r>
    </w:p>
    <w:p w14:paraId="521D66D7" w14:textId="1AB6A0BF" w:rsidR="00374C99" w:rsidRPr="00717E13" w:rsidRDefault="00374C99" w:rsidP="00D73DC6">
      <w:pPr>
        <w:spacing w:before="120" w:after="120"/>
        <w:jc w:val="center"/>
        <w:rPr>
          <w:rFonts w:asciiTheme="minorHAnsi" w:hAnsiTheme="minorHAnsi" w:cstheme="minorBidi"/>
          <w:b/>
          <w:bCs/>
          <w:sz w:val="24"/>
          <w:szCs w:val="24"/>
        </w:rPr>
      </w:pPr>
      <w:r w:rsidRPr="00717E13">
        <w:rPr>
          <w:rFonts w:asciiTheme="minorHAnsi" w:hAnsiTheme="minorHAnsi" w:cstheme="minorBidi"/>
          <w:b/>
          <w:bCs/>
          <w:sz w:val="24"/>
          <w:szCs w:val="24"/>
        </w:rPr>
        <w:t>FY 202</w:t>
      </w:r>
      <w:r w:rsidR="003E4630">
        <w:rPr>
          <w:rFonts w:asciiTheme="minorHAnsi" w:hAnsiTheme="minorHAnsi" w:cstheme="minorBidi"/>
          <w:b/>
          <w:bCs/>
          <w:sz w:val="24"/>
          <w:szCs w:val="24"/>
        </w:rPr>
        <w:t>3</w:t>
      </w:r>
      <w:r w:rsidRPr="00717E13">
        <w:rPr>
          <w:rFonts w:asciiTheme="minorHAnsi" w:hAnsiTheme="minorHAnsi" w:cstheme="minorBidi"/>
          <w:b/>
          <w:bCs/>
          <w:sz w:val="24"/>
          <w:szCs w:val="24"/>
        </w:rPr>
        <w:t xml:space="preserve"> Title I</w:t>
      </w:r>
      <w:r w:rsidR="007D7685">
        <w:rPr>
          <w:rFonts w:asciiTheme="minorHAnsi" w:hAnsiTheme="minorHAnsi" w:cstheme="minorBidi"/>
          <w:b/>
          <w:bCs/>
          <w:sz w:val="24"/>
          <w:szCs w:val="24"/>
        </w:rPr>
        <w:t>, Part A</w:t>
      </w:r>
      <w:r w:rsidRPr="00717E13">
        <w:rPr>
          <w:rFonts w:asciiTheme="minorHAnsi" w:hAnsiTheme="minorHAnsi" w:cstheme="minorBidi"/>
          <w:b/>
          <w:bCs/>
          <w:sz w:val="24"/>
          <w:szCs w:val="24"/>
        </w:rPr>
        <w:t xml:space="preserve"> Estimate</w:t>
      </w:r>
    </w:p>
    <w:tbl>
      <w:tblPr>
        <w:tblW w:w="9821" w:type="dxa"/>
        <w:tblInd w:w="-5" w:type="dxa"/>
        <w:tblLook w:val="04A0" w:firstRow="1" w:lastRow="0" w:firstColumn="1" w:lastColumn="0" w:noHBand="0" w:noVBand="1"/>
      </w:tblPr>
      <w:tblGrid>
        <w:gridCol w:w="1403"/>
        <w:gridCol w:w="1403"/>
        <w:gridCol w:w="1403"/>
        <w:gridCol w:w="1403"/>
        <w:gridCol w:w="1403"/>
        <w:gridCol w:w="1403"/>
        <w:gridCol w:w="1403"/>
      </w:tblGrid>
      <w:tr w:rsidR="00AC3B19" w:rsidRPr="00A418AD" w14:paraId="0F0B1F8F" w14:textId="77777777" w:rsidTr="0024636D">
        <w:trPr>
          <w:trHeight w:val="1352"/>
        </w:trPr>
        <w:tc>
          <w:tcPr>
            <w:tcW w:w="1403"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4CFF2EC8" w14:textId="77777777" w:rsidR="00591AD7" w:rsidRPr="00A418AD" w:rsidRDefault="00591AD7" w:rsidP="00AC3B19">
            <w:pPr>
              <w:widowControl/>
              <w:autoSpaceDE/>
              <w:autoSpaceDN/>
              <w:jc w:val="center"/>
              <w:rPr>
                <w:rFonts w:eastAsia="Times New Roman"/>
                <w:color w:val="000000"/>
              </w:rPr>
            </w:pPr>
            <w:r w:rsidRPr="00A418AD">
              <w:rPr>
                <w:rFonts w:eastAsia="Times New Roman"/>
                <w:color w:val="000000"/>
              </w:rPr>
              <w:t>Point Estimate of Improper Payment</w:t>
            </w:r>
            <w:r w:rsidRPr="00A418AD">
              <w:rPr>
                <w:rFonts w:eastAsia="Times New Roman"/>
                <w:color w:val="000000"/>
              </w:rPr>
              <w:br/>
            </w:r>
            <w:r w:rsidRPr="63438141">
              <w:rPr>
                <w:rFonts w:eastAsia="Times New Roman"/>
                <w:i/>
                <w:iCs/>
                <w:color w:val="000000"/>
              </w:rPr>
              <w:t>(in millions)</w:t>
            </w:r>
          </w:p>
        </w:tc>
        <w:tc>
          <w:tcPr>
            <w:tcW w:w="1403" w:type="dxa"/>
            <w:tcBorders>
              <w:top w:val="single" w:sz="4" w:space="0" w:color="auto"/>
              <w:left w:val="nil"/>
              <w:bottom w:val="single" w:sz="4" w:space="0" w:color="auto"/>
              <w:right w:val="single" w:sz="4" w:space="0" w:color="auto"/>
            </w:tcBorders>
            <w:shd w:val="clear" w:color="auto" w:fill="F1F1F1"/>
            <w:vAlign w:val="center"/>
            <w:hideMark/>
          </w:tcPr>
          <w:p w14:paraId="74B27EFA" w14:textId="77777777" w:rsidR="00591AD7" w:rsidRPr="00A418AD" w:rsidRDefault="00591AD7" w:rsidP="00AC3B19">
            <w:pPr>
              <w:widowControl/>
              <w:autoSpaceDE/>
              <w:autoSpaceDN/>
              <w:jc w:val="center"/>
              <w:rPr>
                <w:rFonts w:eastAsia="Times New Roman"/>
                <w:color w:val="000000"/>
              </w:rPr>
            </w:pPr>
            <w:r w:rsidRPr="00A418AD">
              <w:rPr>
                <w:rFonts w:eastAsia="Times New Roman"/>
                <w:color w:val="000000"/>
              </w:rPr>
              <w:t>Over-Payment Improper Payment Estimate</w:t>
            </w:r>
            <w:r w:rsidRPr="00A418AD">
              <w:rPr>
                <w:rFonts w:eastAsia="Times New Roman"/>
                <w:color w:val="000000"/>
              </w:rPr>
              <w:br/>
            </w:r>
            <w:r w:rsidRPr="63438141">
              <w:rPr>
                <w:rFonts w:eastAsia="Times New Roman"/>
                <w:i/>
                <w:iCs/>
                <w:color w:val="000000"/>
              </w:rPr>
              <w:t>(in millions)</w:t>
            </w:r>
          </w:p>
        </w:tc>
        <w:tc>
          <w:tcPr>
            <w:tcW w:w="1403" w:type="dxa"/>
            <w:tcBorders>
              <w:top w:val="single" w:sz="4" w:space="0" w:color="auto"/>
              <w:left w:val="nil"/>
              <w:bottom w:val="single" w:sz="4" w:space="0" w:color="auto"/>
              <w:right w:val="single" w:sz="4" w:space="0" w:color="auto"/>
            </w:tcBorders>
            <w:shd w:val="clear" w:color="auto" w:fill="F1F1F1"/>
            <w:vAlign w:val="center"/>
            <w:hideMark/>
          </w:tcPr>
          <w:p w14:paraId="7EBE323B" w14:textId="77777777" w:rsidR="00591AD7" w:rsidRPr="00A418AD" w:rsidRDefault="00591AD7" w:rsidP="00AC3B19">
            <w:pPr>
              <w:widowControl/>
              <w:autoSpaceDE/>
              <w:autoSpaceDN/>
              <w:jc w:val="center"/>
              <w:rPr>
                <w:rFonts w:eastAsia="Times New Roman"/>
                <w:color w:val="000000"/>
              </w:rPr>
            </w:pPr>
            <w:r w:rsidRPr="00A418AD">
              <w:rPr>
                <w:rFonts w:eastAsia="Times New Roman"/>
                <w:color w:val="000000"/>
              </w:rPr>
              <w:t>Under-Payment Improper Payment Estimate</w:t>
            </w:r>
            <w:r w:rsidRPr="00A418AD">
              <w:rPr>
                <w:rFonts w:eastAsia="Times New Roman"/>
                <w:color w:val="000000"/>
              </w:rPr>
              <w:br/>
              <w:t>(</w:t>
            </w:r>
            <w:r w:rsidRPr="00D73DC6">
              <w:rPr>
                <w:rFonts w:eastAsia="Times New Roman"/>
                <w:i/>
                <w:iCs/>
                <w:color w:val="000000"/>
              </w:rPr>
              <w:t>in millions</w:t>
            </w:r>
            <w:r w:rsidRPr="00A418AD">
              <w:rPr>
                <w:rFonts w:eastAsia="Times New Roman"/>
                <w:color w:val="000000"/>
              </w:rPr>
              <w:t>)</w:t>
            </w:r>
          </w:p>
        </w:tc>
        <w:tc>
          <w:tcPr>
            <w:tcW w:w="1403" w:type="dxa"/>
            <w:tcBorders>
              <w:top w:val="single" w:sz="4" w:space="0" w:color="auto"/>
              <w:left w:val="nil"/>
              <w:bottom w:val="single" w:sz="4" w:space="0" w:color="auto"/>
              <w:right w:val="single" w:sz="4" w:space="0" w:color="auto"/>
            </w:tcBorders>
            <w:shd w:val="clear" w:color="auto" w:fill="F1F1F1"/>
          </w:tcPr>
          <w:p w14:paraId="579969E3" w14:textId="77777777" w:rsidR="00591AD7" w:rsidRPr="00D73DC6" w:rsidRDefault="00591AD7" w:rsidP="00AC3B19">
            <w:pPr>
              <w:widowControl/>
              <w:autoSpaceDE/>
              <w:autoSpaceDN/>
              <w:jc w:val="center"/>
              <w:rPr>
                <w:rFonts w:eastAsia="Times New Roman"/>
                <w:color w:val="000000"/>
                <w:sz w:val="10"/>
                <w:szCs w:val="10"/>
              </w:rPr>
            </w:pPr>
          </w:p>
          <w:p w14:paraId="05B5E55D" w14:textId="02A38E5E" w:rsidR="00591AD7" w:rsidRPr="00A418AD" w:rsidRDefault="00591AD7" w:rsidP="00AC3B19">
            <w:pPr>
              <w:widowControl/>
              <w:autoSpaceDE/>
              <w:autoSpaceDN/>
              <w:jc w:val="center"/>
              <w:rPr>
                <w:rFonts w:eastAsia="Times New Roman"/>
                <w:color w:val="000000"/>
              </w:rPr>
            </w:pPr>
            <w:r>
              <w:rPr>
                <w:rFonts w:eastAsia="Times New Roman"/>
                <w:color w:val="000000"/>
              </w:rPr>
              <w:t>Technically Improper</w:t>
            </w:r>
            <w:r w:rsidRPr="00A418AD">
              <w:rPr>
                <w:rFonts w:eastAsia="Times New Roman"/>
                <w:color w:val="000000"/>
              </w:rPr>
              <w:t xml:space="preserve"> Payment Estimate</w:t>
            </w:r>
            <w:r w:rsidRPr="00A418AD">
              <w:rPr>
                <w:rFonts w:eastAsia="Times New Roman"/>
                <w:color w:val="000000"/>
              </w:rPr>
              <w:br/>
              <w:t>(</w:t>
            </w:r>
            <w:r w:rsidRPr="63438141">
              <w:rPr>
                <w:rFonts w:eastAsia="Times New Roman"/>
                <w:i/>
                <w:iCs/>
                <w:color w:val="000000"/>
              </w:rPr>
              <w:t>in millions</w:t>
            </w:r>
            <w:r w:rsidRPr="00A418AD">
              <w:rPr>
                <w:rFonts w:eastAsia="Times New Roman"/>
                <w:color w:val="000000"/>
              </w:rPr>
              <w:t>)</w:t>
            </w:r>
          </w:p>
        </w:tc>
        <w:tc>
          <w:tcPr>
            <w:tcW w:w="1403"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6199F38C" w14:textId="42E27BD8" w:rsidR="00591AD7" w:rsidRPr="00A418AD" w:rsidRDefault="00591AD7" w:rsidP="00AC3B19">
            <w:pPr>
              <w:widowControl/>
              <w:autoSpaceDE/>
              <w:autoSpaceDN/>
              <w:jc w:val="center"/>
              <w:rPr>
                <w:rFonts w:eastAsia="Times New Roman"/>
                <w:color w:val="000000"/>
              </w:rPr>
            </w:pPr>
            <w:r w:rsidRPr="00A418AD">
              <w:rPr>
                <w:rFonts w:eastAsia="Times New Roman"/>
                <w:color w:val="000000"/>
              </w:rPr>
              <w:t>Unknown Improper Payment Estimate</w:t>
            </w:r>
            <w:r w:rsidRPr="00A418AD">
              <w:rPr>
                <w:rFonts w:eastAsia="Times New Roman"/>
                <w:color w:val="000000"/>
              </w:rPr>
              <w:br/>
            </w:r>
            <w:r w:rsidRPr="63438141">
              <w:rPr>
                <w:rFonts w:eastAsia="Times New Roman"/>
                <w:i/>
                <w:iCs/>
                <w:color w:val="000000"/>
              </w:rPr>
              <w:t>(in millions)</w:t>
            </w:r>
          </w:p>
        </w:tc>
        <w:tc>
          <w:tcPr>
            <w:tcW w:w="1403" w:type="dxa"/>
            <w:tcBorders>
              <w:top w:val="single" w:sz="4" w:space="0" w:color="auto"/>
              <w:left w:val="nil"/>
              <w:bottom w:val="single" w:sz="4" w:space="0" w:color="auto"/>
              <w:right w:val="single" w:sz="4" w:space="0" w:color="auto"/>
            </w:tcBorders>
            <w:shd w:val="clear" w:color="auto" w:fill="F1F1F1"/>
            <w:vAlign w:val="center"/>
            <w:hideMark/>
          </w:tcPr>
          <w:p w14:paraId="6A213446" w14:textId="77777777" w:rsidR="00591AD7" w:rsidRPr="00A418AD" w:rsidRDefault="00591AD7" w:rsidP="00AC3B19">
            <w:pPr>
              <w:widowControl/>
              <w:autoSpaceDE/>
              <w:autoSpaceDN/>
              <w:jc w:val="center"/>
              <w:rPr>
                <w:rFonts w:eastAsia="Times New Roman"/>
                <w:color w:val="000000"/>
              </w:rPr>
            </w:pPr>
            <w:r w:rsidRPr="00A418AD">
              <w:rPr>
                <w:rFonts w:eastAsia="Times New Roman"/>
                <w:color w:val="000000"/>
              </w:rPr>
              <w:t>Point Estimate</w:t>
            </w:r>
            <w:r w:rsidRPr="00A418AD">
              <w:rPr>
                <w:rFonts w:eastAsia="Times New Roman"/>
                <w:color w:val="000000"/>
              </w:rPr>
              <w:br/>
            </w:r>
            <w:r w:rsidRPr="63438141">
              <w:rPr>
                <w:rFonts w:eastAsia="Times New Roman"/>
                <w:i/>
                <w:iCs/>
                <w:color w:val="000000"/>
              </w:rPr>
              <w:t>(as % of Population Total)</w:t>
            </w:r>
          </w:p>
        </w:tc>
        <w:tc>
          <w:tcPr>
            <w:tcW w:w="1403" w:type="dxa"/>
            <w:tcBorders>
              <w:top w:val="single" w:sz="4" w:space="0" w:color="auto"/>
              <w:left w:val="nil"/>
              <w:bottom w:val="single" w:sz="4" w:space="0" w:color="auto"/>
              <w:right w:val="single" w:sz="4" w:space="0" w:color="auto"/>
            </w:tcBorders>
            <w:shd w:val="clear" w:color="auto" w:fill="F1F1F1"/>
            <w:vAlign w:val="center"/>
            <w:hideMark/>
          </w:tcPr>
          <w:p w14:paraId="16DF4948" w14:textId="4E9E9E91" w:rsidR="00591AD7" w:rsidRPr="00A418AD" w:rsidRDefault="00591AD7" w:rsidP="00AC3B19">
            <w:pPr>
              <w:widowControl/>
              <w:autoSpaceDE/>
              <w:autoSpaceDN/>
              <w:jc w:val="center"/>
              <w:rPr>
                <w:rFonts w:eastAsia="Times New Roman"/>
                <w:color w:val="000000"/>
              </w:rPr>
            </w:pPr>
            <w:r w:rsidRPr="00A418AD">
              <w:rPr>
                <w:rFonts w:eastAsia="Times New Roman"/>
                <w:color w:val="000000"/>
              </w:rPr>
              <w:t xml:space="preserve">Precision Rate </w:t>
            </w:r>
            <w:r w:rsidRPr="63438141">
              <w:rPr>
                <w:rFonts w:eastAsia="Times New Roman"/>
                <w:i/>
                <w:iCs/>
                <w:color w:val="000000"/>
              </w:rPr>
              <w:t xml:space="preserve">(as a % of Population Total) </w:t>
            </w:r>
            <w:r w:rsidRPr="00A418AD">
              <w:rPr>
                <w:rFonts w:eastAsia="Times New Roman"/>
                <w:color w:val="000000"/>
              </w:rPr>
              <w:t>based on 9</w:t>
            </w:r>
            <w:r w:rsidR="00665625">
              <w:rPr>
                <w:rFonts w:eastAsia="Times New Roman"/>
                <w:color w:val="000000"/>
              </w:rPr>
              <w:t>0</w:t>
            </w:r>
            <w:r w:rsidRPr="00A418AD">
              <w:rPr>
                <w:rFonts w:eastAsia="Times New Roman"/>
                <w:color w:val="000000"/>
              </w:rPr>
              <w:t>% Confidence Interval</w:t>
            </w:r>
          </w:p>
        </w:tc>
      </w:tr>
      <w:tr w:rsidR="00BD706A" w:rsidRPr="0080083D" w14:paraId="5A9088E7" w14:textId="77777777" w:rsidTr="0024636D">
        <w:trPr>
          <w:trHeight w:val="269"/>
        </w:trPr>
        <w:tc>
          <w:tcPr>
            <w:tcW w:w="1403" w:type="dxa"/>
            <w:tcBorders>
              <w:top w:val="nil"/>
              <w:left w:val="single" w:sz="4" w:space="0" w:color="auto"/>
              <w:bottom w:val="single" w:sz="4" w:space="0" w:color="auto"/>
              <w:right w:val="single" w:sz="4" w:space="0" w:color="auto"/>
            </w:tcBorders>
            <w:shd w:val="clear" w:color="auto" w:fill="auto"/>
            <w:vAlign w:val="center"/>
          </w:tcPr>
          <w:p w14:paraId="38C6609B" w14:textId="057E325F" w:rsidR="00591AD7" w:rsidRPr="00D73DC6" w:rsidRDefault="00591AD7">
            <w:pPr>
              <w:widowControl/>
              <w:autoSpaceDE/>
              <w:autoSpaceDN/>
              <w:jc w:val="center"/>
              <w:rPr>
                <w:rFonts w:eastAsia="Times New Roman"/>
                <w:color w:val="000000" w:themeColor="text1"/>
              </w:rPr>
            </w:pPr>
            <w:r w:rsidRPr="00657323">
              <w:rPr>
                <w:rFonts w:asciiTheme="minorHAnsi" w:hAnsiTheme="minorHAnsi" w:cstheme="minorBidi"/>
                <w:color w:val="000000" w:themeColor="text1"/>
              </w:rPr>
              <w:t>$</w:t>
            </w:r>
            <w:r w:rsidR="003F7716">
              <w:rPr>
                <w:rFonts w:asciiTheme="minorHAnsi" w:hAnsiTheme="minorHAnsi" w:cstheme="minorBidi"/>
                <w:color w:val="000000" w:themeColor="text1"/>
              </w:rPr>
              <w:t>0.006291</w:t>
            </w:r>
          </w:p>
        </w:tc>
        <w:tc>
          <w:tcPr>
            <w:tcW w:w="1403" w:type="dxa"/>
            <w:tcBorders>
              <w:top w:val="nil"/>
              <w:left w:val="nil"/>
              <w:bottom w:val="single" w:sz="4" w:space="0" w:color="auto"/>
              <w:right w:val="single" w:sz="4" w:space="0" w:color="auto"/>
            </w:tcBorders>
            <w:shd w:val="clear" w:color="auto" w:fill="auto"/>
            <w:vAlign w:val="center"/>
          </w:tcPr>
          <w:p w14:paraId="2D74E1DE" w14:textId="0D355FD2" w:rsidR="00591AD7" w:rsidRPr="00D73DC6" w:rsidRDefault="00591AD7">
            <w:pPr>
              <w:widowControl/>
              <w:autoSpaceDE/>
              <w:autoSpaceDN/>
              <w:jc w:val="center"/>
              <w:rPr>
                <w:rFonts w:eastAsia="Times New Roman"/>
                <w:color w:val="000000" w:themeColor="text1"/>
              </w:rPr>
            </w:pPr>
            <w:r w:rsidRPr="00657323">
              <w:rPr>
                <w:rFonts w:asciiTheme="minorHAnsi" w:hAnsiTheme="minorHAnsi" w:cstheme="minorBidi"/>
                <w:color w:val="000000" w:themeColor="text1"/>
              </w:rPr>
              <w:t>$</w:t>
            </w:r>
            <w:r w:rsidR="004129AD">
              <w:rPr>
                <w:rFonts w:asciiTheme="minorHAnsi" w:hAnsiTheme="minorHAnsi" w:cstheme="minorBidi"/>
                <w:color w:val="000000" w:themeColor="text1"/>
              </w:rPr>
              <w:t>0.00</w:t>
            </w:r>
            <w:r w:rsidR="00402412">
              <w:rPr>
                <w:rFonts w:asciiTheme="minorHAnsi" w:hAnsiTheme="minorHAnsi" w:cstheme="minorBidi"/>
                <w:color w:val="000000" w:themeColor="text1"/>
              </w:rPr>
              <w:t>6227</w:t>
            </w:r>
          </w:p>
        </w:tc>
        <w:tc>
          <w:tcPr>
            <w:tcW w:w="1403" w:type="dxa"/>
            <w:tcBorders>
              <w:top w:val="nil"/>
              <w:left w:val="nil"/>
              <w:bottom w:val="single" w:sz="4" w:space="0" w:color="auto"/>
              <w:right w:val="single" w:sz="4" w:space="0" w:color="auto"/>
            </w:tcBorders>
            <w:shd w:val="clear" w:color="auto" w:fill="auto"/>
            <w:vAlign w:val="center"/>
          </w:tcPr>
          <w:p w14:paraId="7809C707" w14:textId="5A12E9C0" w:rsidR="00591AD7" w:rsidRPr="00EC3704" w:rsidRDefault="00591AD7" w:rsidP="00AC3B19">
            <w:pPr>
              <w:widowControl/>
              <w:autoSpaceDE/>
              <w:autoSpaceDN/>
              <w:jc w:val="center"/>
              <w:rPr>
                <w:rFonts w:eastAsia="Times New Roman"/>
                <w:color w:val="000000" w:themeColor="text1"/>
              </w:rPr>
            </w:pPr>
            <w:r w:rsidRPr="00EC3704">
              <w:rPr>
                <w:rFonts w:eastAsia="Times New Roman"/>
                <w:color w:val="000000" w:themeColor="text1"/>
              </w:rPr>
              <w:t>$0.</w:t>
            </w:r>
            <w:r w:rsidR="00BD706A" w:rsidRPr="00EC3704">
              <w:rPr>
                <w:rFonts w:eastAsia="Times New Roman"/>
                <w:color w:val="000000" w:themeColor="text1"/>
              </w:rPr>
              <w:t>0</w:t>
            </w:r>
            <w:r w:rsidR="000E71F6">
              <w:rPr>
                <w:rFonts w:eastAsia="Times New Roman"/>
                <w:color w:val="000000" w:themeColor="text1"/>
              </w:rPr>
              <w:t>0</w:t>
            </w:r>
            <w:r w:rsidR="00402412">
              <w:rPr>
                <w:rFonts w:eastAsia="Times New Roman"/>
                <w:color w:val="000000" w:themeColor="text1"/>
              </w:rPr>
              <w:t>0064</w:t>
            </w:r>
          </w:p>
        </w:tc>
        <w:tc>
          <w:tcPr>
            <w:tcW w:w="1403" w:type="dxa"/>
            <w:tcBorders>
              <w:top w:val="single" w:sz="4" w:space="0" w:color="auto"/>
              <w:left w:val="nil"/>
              <w:bottom w:val="single" w:sz="4" w:space="0" w:color="auto"/>
              <w:right w:val="single" w:sz="4" w:space="0" w:color="auto"/>
            </w:tcBorders>
          </w:tcPr>
          <w:p w14:paraId="46F10F9A" w14:textId="2002C5F8" w:rsidR="00591AD7" w:rsidRPr="00EC3704" w:rsidRDefault="007D7685" w:rsidP="00AC3B19">
            <w:pPr>
              <w:widowControl/>
              <w:autoSpaceDE/>
              <w:autoSpaceDN/>
              <w:jc w:val="center"/>
              <w:rPr>
                <w:rFonts w:eastAsia="Times New Roman"/>
                <w:color w:val="000000" w:themeColor="text1"/>
              </w:rPr>
            </w:pPr>
            <w:r>
              <w:rPr>
                <w:color w:val="000000" w:themeColor="text1"/>
              </w:rPr>
              <w:t>$</w:t>
            </w:r>
            <w:r w:rsidR="00F65A42">
              <w:rPr>
                <w:color w:val="000000" w:themeColor="text1"/>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A255F64" w14:textId="25717624" w:rsidR="00591AD7" w:rsidRPr="00EC3704" w:rsidRDefault="00591AD7" w:rsidP="00AC3B19">
            <w:pPr>
              <w:widowControl/>
              <w:autoSpaceDE/>
              <w:autoSpaceDN/>
              <w:jc w:val="center"/>
              <w:rPr>
                <w:rFonts w:eastAsia="Times New Roman"/>
                <w:color w:val="000000" w:themeColor="text1"/>
              </w:rPr>
            </w:pPr>
            <w:r w:rsidRPr="00EC3704">
              <w:rPr>
                <w:rFonts w:eastAsia="Times New Roman"/>
                <w:color w:val="000000" w:themeColor="text1"/>
              </w:rPr>
              <w:t>$</w:t>
            </w:r>
            <w:r w:rsidR="00F65A42">
              <w:rPr>
                <w:rFonts w:eastAsia="Times New Roman"/>
                <w:color w:val="000000" w:themeColor="text1"/>
              </w:rPr>
              <w:t>0.00</w:t>
            </w:r>
          </w:p>
        </w:tc>
        <w:tc>
          <w:tcPr>
            <w:tcW w:w="1403" w:type="dxa"/>
            <w:tcBorders>
              <w:top w:val="nil"/>
              <w:left w:val="nil"/>
              <w:bottom w:val="single" w:sz="4" w:space="0" w:color="auto"/>
              <w:right w:val="single" w:sz="4" w:space="0" w:color="auto"/>
            </w:tcBorders>
            <w:shd w:val="clear" w:color="auto" w:fill="auto"/>
            <w:vAlign w:val="center"/>
          </w:tcPr>
          <w:p w14:paraId="76C93EF0" w14:textId="0CCDFBA7" w:rsidR="00591AD7" w:rsidRPr="00EC3704" w:rsidRDefault="00F65A42" w:rsidP="00AC3B19">
            <w:pPr>
              <w:widowControl/>
              <w:autoSpaceDE/>
              <w:autoSpaceDN/>
              <w:jc w:val="center"/>
              <w:rPr>
                <w:rFonts w:eastAsia="Times New Roman"/>
                <w:color w:val="000000" w:themeColor="text1"/>
              </w:rPr>
            </w:pPr>
            <w:r>
              <w:rPr>
                <w:rFonts w:eastAsia="Times New Roman"/>
                <w:color w:val="000000" w:themeColor="text1"/>
              </w:rPr>
              <w:t>0.00004</w:t>
            </w:r>
            <w:r w:rsidR="00591AD7" w:rsidRPr="00EC3704">
              <w:rPr>
                <w:rFonts w:eastAsia="Times New Roman"/>
                <w:color w:val="000000" w:themeColor="text1"/>
              </w:rPr>
              <w:t>%</w:t>
            </w:r>
          </w:p>
        </w:tc>
        <w:tc>
          <w:tcPr>
            <w:tcW w:w="1403" w:type="dxa"/>
            <w:tcBorders>
              <w:top w:val="nil"/>
              <w:left w:val="nil"/>
              <w:bottom w:val="single" w:sz="4" w:space="0" w:color="auto"/>
              <w:right w:val="single" w:sz="4" w:space="0" w:color="auto"/>
            </w:tcBorders>
            <w:shd w:val="clear" w:color="auto" w:fill="auto"/>
            <w:vAlign w:val="center"/>
          </w:tcPr>
          <w:p w14:paraId="2180858F" w14:textId="553BEE76" w:rsidR="00591AD7" w:rsidRPr="00EC3704" w:rsidRDefault="00F166E7" w:rsidP="00AC3B19">
            <w:pPr>
              <w:widowControl/>
              <w:autoSpaceDE/>
              <w:autoSpaceDN/>
              <w:jc w:val="center"/>
              <w:rPr>
                <w:rFonts w:eastAsia="Times New Roman"/>
                <w:color w:val="000000" w:themeColor="text1"/>
              </w:rPr>
            </w:pPr>
            <w:r>
              <w:rPr>
                <w:rFonts w:eastAsia="Times New Roman"/>
                <w:color w:val="000000" w:themeColor="text1"/>
              </w:rPr>
              <w:t>5.00</w:t>
            </w:r>
            <w:r w:rsidR="00591AD7" w:rsidRPr="00EC3704">
              <w:rPr>
                <w:rFonts w:eastAsia="Times New Roman"/>
                <w:color w:val="000000" w:themeColor="text1"/>
              </w:rPr>
              <w:t>%</w:t>
            </w:r>
          </w:p>
        </w:tc>
      </w:tr>
    </w:tbl>
    <w:p w14:paraId="4B0A46B5" w14:textId="5B0C583F" w:rsidR="001E205C" w:rsidRDefault="001E205C" w:rsidP="00331AB1">
      <w:pPr>
        <w:spacing w:before="120" w:after="120" w:line="293" w:lineRule="exact"/>
        <w:jc w:val="both"/>
        <w:rPr>
          <w:rFonts w:asciiTheme="minorHAnsi" w:hAnsiTheme="minorHAnsi" w:cstheme="minorHAnsi"/>
          <w:b/>
          <w:color w:val="365E92"/>
        </w:rPr>
      </w:pPr>
    </w:p>
    <w:p w14:paraId="03A24E0B" w14:textId="77777777" w:rsidR="00CE2536" w:rsidRDefault="00CE2536" w:rsidP="00331AB1">
      <w:pPr>
        <w:spacing w:before="120" w:after="120" w:line="293" w:lineRule="exact"/>
        <w:jc w:val="both"/>
        <w:rPr>
          <w:rFonts w:asciiTheme="minorHAnsi" w:hAnsiTheme="minorHAnsi" w:cstheme="minorHAnsi"/>
          <w:b/>
          <w:color w:val="365E92"/>
        </w:rPr>
      </w:pPr>
    </w:p>
    <w:p w14:paraId="4E90F86C" w14:textId="42596BAD" w:rsidR="00331AB1" w:rsidRPr="00717E13" w:rsidRDefault="00331AB1" w:rsidP="000A072C">
      <w:pPr>
        <w:pStyle w:val="Heading2"/>
      </w:pPr>
      <w:r w:rsidRPr="00717E13">
        <w:t>IDEA program</w:t>
      </w:r>
    </w:p>
    <w:p w14:paraId="72DFA702" w14:textId="27297B14" w:rsidR="00331AB1" w:rsidRPr="00CE2536" w:rsidRDefault="35EF6CCC" w:rsidP="00331AB1">
      <w:pPr>
        <w:rPr>
          <w:rFonts w:asciiTheme="minorHAnsi" w:hAnsiTheme="minorHAnsi" w:cstheme="minorBidi"/>
          <w:color w:val="000000" w:themeColor="text1"/>
        </w:rPr>
      </w:pPr>
      <w:r w:rsidRPr="7DB89B23">
        <w:rPr>
          <w:rFonts w:asciiTheme="minorHAnsi" w:hAnsiTheme="minorHAnsi" w:cstheme="minorBidi"/>
        </w:rPr>
        <w:t xml:space="preserve">Supporting documentation for IDEA payments varied from state to state but included payment vouchers and invoices. As a result of testing procedures, the Department identified improper payments in the IDEA program. The </w:t>
      </w:r>
      <w:r w:rsidR="0A922B17" w:rsidRPr="7DB89B23">
        <w:rPr>
          <w:rFonts w:asciiTheme="minorHAnsi" w:hAnsiTheme="minorHAnsi" w:cstheme="minorBidi"/>
        </w:rPr>
        <w:t>FY 2</w:t>
      </w:r>
      <w:r w:rsidR="0A922B17" w:rsidRPr="7DB89B23">
        <w:rPr>
          <w:rFonts w:asciiTheme="minorHAnsi" w:hAnsiTheme="minorHAnsi" w:cstheme="minorBidi"/>
          <w:color w:val="000000" w:themeColor="text1"/>
        </w:rPr>
        <w:t>02</w:t>
      </w:r>
      <w:r w:rsidR="48E17BFC" w:rsidRPr="7DB89B23">
        <w:rPr>
          <w:rFonts w:asciiTheme="minorHAnsi" w:hAnsiTheme="minorHAnsi" w:cstheme="minorBidi"/>
          <w:color w:val="000000" w:themeColor="text1"/>
        </w:rPr>
        <w:t>3</w:t>
      </w:r>
      <w:r w:rsidR="0A922B17" w:rsidRPr="7DB89B23">
        <w:rPr>
          <w:rFonts w:asciiTheme="minorHAnsi" w:hAnsiTheme="minorHAnsi" w:cstheme="minorBidi"/>
          <w:color w:val="000000" w:themeColor="text1"/>
        </w:rPr>
        <w:t xml:space="preserve"> </w:t>
      </w:r>
      <w:r w:rsidRPr="7DB89B23">
        <w:rPr>
          <w:rFonts w:asciiTheme="minorHAnsi" w:hAnsiTheme="minorHAnsi" w:cstheme="minorBidi"/>
        </w:rPr>
        <w:t xml:space="preserve">IDEA payment error rate </w:t>
      </w:r>
      <w:r w:rsidR="0A922B17" w:rsidRPr="7DB89B23">
        <w:rPr>
          <w:rFonts w:asciiTheme="minorHAnsi" w:hAnsiTheme="minorHAnsi" w:cstheme="minorBidi"/>
          <w:color w:val="000000" w:themeColor="text1"/>
        </w:rPr>
        <w:t>i</w:t>
      </w:r>
      <w:r w:rsidRPr="7DB89B23">
        <w:rPr>
          <w:rFonts w:asciiTheme="minorHAnsi" w:hAnsiTheme="minorHAnsi" w:cstheme="minorBidi"/>
          <w:color w:val="000000" w:themeColor="text1"/>
        </w:rPr>
        <w:t xml:space="preserve">s </w:t>
      </w:r>
      <w:r w:rsidR="14863348" w:rsidRPr="7DB89B23">
        <w:rPr>
          <w:rFonts w:asciiTheme="minorHAnsi" w:hAnsiTheme="minorHAnsi" w:cstheme="minorBidi"/>
          <w:b/>
          <w:bCs/>
          <w:color w:val="000000" w:themeColor="text1"/>
        </w:rPr>
        <w:t>.00001</w:t>
      </w:r>
      <w:r w:rsidR="17D6284A" w:rsidRPr="7DB89B23">
        <w:rPr>
          <w:rFonts w:asciiTheme="minorHAnsi" w:hAnsiTheme="minorHAnsi" w:cstheme="minorBidi"/>
          <w:b/>
          <w:bCs/>
          <w:color w:val="000000" w:themeColor="text1"/>
        </w:rPr>
        <w:t xml:space="preserve"> </w:t>
      </w:r>
      <w:r w:rsidRPr="7DB89B23">
        <w:rPr>
          <w:rFonts w:asciiTheme="minorHAnsi" w:hAnsiTheme="minorHAnsi" w:cstheme="minorBidi"/>
          <w:color w:val="000000" w:themeColor="text1"/>
        </w:rPr>
        <w:t xml:space="preserve">percent, or </w:t>
      </w:r>
      <w:r w:rsidRPr="7DB89B23">
        <w:rPr>
          <w:rFonts w:asciiTheme="minorHAnsi" w:hAnsiTheme="minorHAnsi" w:cstheme="minorBidi"/>
          <w:b/>
          <w:bCs/>
          <w:color w:val="000000" w:themeColor="text1"/>
        </w:rPr>
        <w:t>$</w:t>
      </w:r>
      <w:r w:rsidR="54431A57" w:rsidRPr="7DB89B23">
        <w:rPr>
          <w:rFonts w:asciiTheme="minorHAnsi" w:hAnsiTheme="minorHAnsi" w:cstheme="minorBidi"/>
          <w:b/>
          <w:bCs/>
          <w:color w:val="000000" w:themeColor="text1"/>
        </w:rPr>
        <w:t>.001350</w:t>
      </w:r>
      <w:r w:rsidRPr="7DB89B23">
        <w:rPr>
          <w:rFonts w:asciiTheme="minorHAnsi" w:hAnsiTheme="minorHAnsi" w:cstheme="minorBidi"/>
          <w:b/>
          <w:bCs/>
          <w:color w:val="000000" w:themeColor="text1"/>
        </w:rPr>
        <w:t xml:space="preserve"> </w:t>
      </w:r>
      <w:r w:rsidRPr="7DB89B23">
        <w:rPr>
          <w:rFonts w:asciiTheme="minorHAnsi" w:hAnsiTheme="minorHAnsi" w:cstheme="minorBidi"/>
          <w:color w:val="000000" w:themeColor="text1"/>
        </w:rPr>
        <w:t>million.</w:t>
      </w:r>
      <w:r w:rsidR="66285501" w:rsidRPr="7DB89B23">
        <w:rPr>
          <w:rFonts w:asciiTheme="minorHAnsi" w:hAnsiTheme="minorHAnsi" w:cstheme="minorBidi"/>
          <w:color w:val="000000" w:themeColor="text1"/>
        </w:rPr>
        <w:t xml:space="preserve"> The program reported no</w:t>
      </w:r>
      <w:r w:rsidR="0FDC1373" w:rsidRPr="7DB89B23">
        <w:rPr>
          <w:rFonts w:asciiTheme="minorHAnsi" w:hAnsiTheme="minorHAnsi" w:cstheme="minorBidi"/>
          <w:color w:val="000000" w:themeColor="text1"/>
        </w:rPr>
        <w:t xml:space="preserve"> underpayments, technically improper or</w:t>
      </w:r>
      <w:r w:rsidR="66285501" w:rsidRPr="7DB89B23">
        <w:rPr>
          <w:rFonts w:asciiTheme="minorHAnsi" w:hAnsiTheme="minorHAnsi" w:cstheme="minorBidi"/>
          <w:color w:val="000000" w:themeColor="text1"/>
        </w:rPr>
        <w:t xml:space="preserve"> unknown payments</w:t>
      </w:r>
      <w:r w:rsidR="4D1CED93" w:rsidRPr="7DB89B23">
        <w:rPr>
          <w:rFonts w:asciiTheme="minorHAnsi" w:hAnsiTheme="minorHAnsi" w:cstheme="minorBidi"/>
          <w:color w:val="000000" w:themeColor="text1"/>
        </w:rPr>
        <w:t xml:space="preserve"> in FY 2023</w:t>
      </w:r>
      <w:r w:rsidR="66285501" w:rsidRPr="7DB89B23">
        <w:rPr>
          <w:rFonts w:asciiTheme="minorHAnsi" w:hAnsiTheme="minorHAnsi" w:cstheme="minorBidi"/>
          <w:color w:val="000000" w:themeColor="text1"/>
        </w:rPr>
        <w:t>.</w:t>
      </w:r>
    </w:p>
    <w:p w14:paraId="71CCB866" w14:textId="77777777" w:rsidR="00CE2536" w:rsidRDefault="00CE2536" w:rsidP="00D73DC6">
      <w:pPr>
        <w:spacing w:before="120" w:after="120"/>
        <w:jc w:val="center"/>
        <w:rPr>
          <w:rFonts w:asciiTheme="minorHAnsi" w:hAnsiTheme="minorHAnsi" w:cstheme="minorBidi"/>
          <w:b/>
          <w:bCs/>
          <w:sz w:val="24"/>
          <w:szCs w:val="24"/>
        </w:rPr>
      </w:pPr>
    </w:p>
    <w:p w14:paraId="02416E90" w14:textId="0498B7B8" w:rsidR="00331AB1" w:rsidRPr="00717E13" w:rsidRDefault="00331AB1" w:rsidP="00D73DC6">
      <w:pPr>
        <w:spacing w:before="120" w:after="120"/>
        <w:jc w:val="center"/>
        <w:rPr>
          <w:rFonts w:asciiTheme="minorHAnsi" w:hAnsiTheme="minorHAnsi" w:cstheme="minorBidi"/>
          <w:b/>
          <w:bCs/>
          <w:sz w:val="24"/>
          <w:szCs w:val="24"/>
        </w:rPr>
      </w:pPr>
      <w:r w:rsidRPr="00717E13">
        <w:rPr>
          <w:rFonts w:asciiTheme="minorHAnsi" w:hAnsiTheme="minorHAnsi" w:cstheme="minorBidi"/>
          <w:b/>
          <w:bCs/>
          <w:sz w:val="24"/>
          <w:szCs w:val="24"/>
        </w:rPr>
        <w:t>FY 202</w:t>
      </w:r>
      <w:r w:rsidR="003E4630">
        <w:rPr>
          <w:rFonts w:asciiTheme="minorHAnsi" w:hAnsiTheme="minorHAnsi" w:cstheme="minorBidi"/>
          <w:b/>
          <w:bCs/>
          <w:sz w:val="24"/>
          <w:szCs w:val="24"/>
        </w:rPr>
        <w:t>3</w:t>
      </w:r>
      <w:r w:rsidRPr="00717E13">
        <w:rPr>
          <w:rFonts w:asciiTheme="minorHAnsi" w:hAnsiTheme="minorHAnsi" w:cstheme="minorBidi"/>
          <w:b/>
          <w:bCs/>
          <w:sz w:val="24"/>
          <w:szCs w:val="24"/>
        </w:rPr>
        <w:t xml:space="preserve"> IDEA Estimate</w:t>
      </w:r>
    </w:p>
    <w:tbl>
      <w:tblPr>
        <w:tblW w:w="9828" w:type="dxa"/>
        <w:tblInd w:w="-5" w:type="dxa"/>
        <w:tblLook w:val="04A0" w:firstRow="1" w:lastRow="0" w:firstColumn="1" w:lastColumn="0" w:noHBand="0" w:noVBand="1"/>
      </w:tblPr>
      <w:tblGrid>
        <w:gridCol w:w="1404"/>
        <w:gridCol w:w="1404"/>
        <w:gridCol w:w="1404"/>
        <w:gridCol w:w="1404"/>
        <w:gridCol w:w="1404"/>
        <w:gridCol w:w="1404"/>
        <w:gridCol w:w="1404"/>
      </w:tblGrid>
      <w:tr w:rsidR="00490EA4" w:rsidRPr="00A418AD" w14:paraId="56E36692" w14:textId="77777777" w:rsidTr="00841F4B">
        <w:trPr>
          <w:trHeight w:val="1615"/>
        </w:trPr>
        <w:tc>
          <w:tcPr>
            <w:tcW w:w="1404"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233B35B3" w14:textId="77777777" w:rsidR="009D153B" w:rsidRPr="00A418AD" w:rsidRDefault="009D153B" w:rsidP="009D153B">
            <w:pPr>
              <w:widowControl/>
              <w:autoSpaceDE/>
              <w:autoSpaceDN/>
              <w:jc w:val="center"/>
              <w:rPr>
                <w:rFonts w:eastAsia="Times New Roman"/>
                <w:color w:val="000000"/>
              </w:rPr>
            </w:pPr>
            <w:r w:rsidRPr="00A418AD">
              <w:rPr>
                <w:rFonts w:eastAsia="Times New Roman"/>
                <w:color w:val="000000"/>
              </w:rPr>
              <w:t>Point Estimate of Improper Payment</w:t>
            </w:r>
            <w:r w:rsidRPr="00A418AD">
              <w:rPr>
                <w:rFonts w:eastAsia="Times New Roman"/>
                <w:color w:val="000000"/>
              </w:rPr>
              <w:br/>
            </w:r>
            <w:r w:rsidRPr="63438141">
              <w:rPr>
                <w:rFonts w:eastAsia="Times New Roman"/>
                <w:i/>
                <w:iCs/>
                <w:color w:val="000000"/>
              </w:rPr>
              <w:t>(in millions)</w:t>
            </w:r>
          </w:p>
        </w:tc>
        <w:tc>
          <w:tcPr>
            <w:tcW w:w="1404" w:type="dxa"/>
            <w:tcBorders>
              <w:top w:val="single" w:sz="4" w:space="0" w:color="auto"/>
              <w:left w:val="nil"/>
              <w:bottom w:val="single" w:sz="4" w:space="0" w:color="auto"/>
              <w:right w:val="single" w:sz="4" w:space="0" w:color="auto"/>
            </w:tcBorders>
            <w:shd w:val="clear" w:color="auto" w:fill="F1F1F1"/>
            <w:vAlign w:val="center"/>
            <w:hideMark/>
          </w:tcPr>
          <w:p w14:paraId="3187CE07" w14:textId="77777777" w:rsidR="009D153B" w:rsidRPr="00A418AD" w:rsidRDefault="009D153B" w:rsidP="009D153B">
            <w:pPr>
              <w:widowControl/>
              <w:autoSpaceDE/>
              <w:autoSpaceDN/>
              <w:jc w:val="center"/>
              <w:rPr>
                <w:rFonts w:eastAsia="Times New Roman"/>
                <w:color w:val="000000"/>
              </w:rPr>
            </w:pPr>
            <w:r w:rsidRPr="00A418AD">
              <w:rPr>
                <w:rFonts w:eastAsia="Times New Roman"/>
                <w:color w:val="000000"/>
              </w:rPr>
              <w:t>Over-Payment Improper Payment Estimate</w:t>
            </w:r>
            <w:r w:rsidRPr="00A418AD">
              <w:rPr>
                <w:rFonts w:eastAsia="Times New Roman"/>
                <w:color w:val="000000"/>
              </w:rPr>
              <w:br/>
            </w:r>
            <w:r w:rsidRPr="63438141">
              <w:rPr>
                <w:rFonts w:eastAsia="Times New Roman"/>
                <w:i/>
                <w:iCs/>
                <w:color w:val="000000"/>
              </w:rPr>
              <w:t>(in millions)</w:t>
            </w:r>
          </w:p>
        </w:tc>
        <w:tc>
          <w:tcPr>
            <w:tcW w:w="1404" w:type="dxa"/>
            <w:tcBorders>
              <w:top w:val="single" w:sz="4" w:space="0" w:color="auto"/>
              <w:left w:val="nil"/>
              <w:bottom w:val="single" w:sz="4" w:space="0" w:color="auto"/>
              <w:right w:val="single" w:sz="4" w:space="0" w:color="auto"/>
            </w:tcBorders>
            <w:shd w:val="clear" w:color="auto" w:fill="F1F1F1"/>
            <w:vAlign w:val="center"/>
            <w:hideMark/>
          </w:tcPr>
          <w:p w14:paraId="41F79D49" w14:textId="77777777" w:rsidR="009D153B" w:rsidRPr="00A418AD" w:rsidRDefault="009D153B" w:rsidP="009D153B">
            <w:pPr>
              <w:widowControl/>
              <w:autoSpaceDE/>
              <w:autoSpaceDN/>
              <w:jc w:val="center"/>
              <w:rPr>
                <w:rFonts w:eastAsia="Times New Roman"/>
                <w:color w:val="000000"/>
              </w:rPr>
            </w:pPr>
            <w:r w:rsidRPr="00A418AD">
              <w:rPr>
                <w:rFonts w:eastAsia="Times New Roman"/>
                <w:color w:val="000000"/>
              </w:rPr>
              <w:t>Under-Payment Improper Payment Estimate</w:t>
            </w:r>
            <w:r w:rsidRPr="00A418AD">
              <w:rPr>
                <w:rFonts w:eastAsia="Times New Roman"/>
                <w:color w:val="000000"/>
              </w:rPr>
              <w:br/>
              <w:t>(in millions)</w:t>
            </w:r>
          </w:p>
        </w:tc>
        <w:tc>
          <w:tcPr>
            <w:tcW w:w="1404" w:type="dxa"/>
            <w:tcBorders>
              <w:top w:val="single" w:sz="4" w:space="0" w:color="auto"/>
              <w:left w:val="nil"/>
              <w:bottom w:val="single" w:sz="4" w:space="0" w:color="auto"/>
              <w:right w:val="single" w:sz="4" w:space="0" w:color="auto"/>
            </w:tcBorders>
            <w:shd w:val="clear" w:color="auto" w:fill="F1F1F1"/>
            <w:vAlign w:val="center"/>
          </w:tcPr>
          <w:p w14:paraId="58A91EF7" w14:textId="54284289" w:rsidR="009D153B" w:rsidRPr="00A418AD" w:rsidRDefault="009D153B" w:rsidP="009D153B">
            <w:pPr>
              <w:widowControl/>
              <w:autoSpaceDE/>
              <w:autoSpaceDN/>
              <w:jc w:val="center"/>
              <w:rPr>
                <w:rFonts w:eastAsia="Times New Roman"/>
                <w:color w:val="000000"/>
              </w:rPr>
            </w:pPr>
            <w:r>
              <w:rPr>
                <w:rFonts w:eastAsia="Times New Roman"/>
                <w:color w:val="000000"/>
              </w:rPr>
              <w:t>Technically Improper</w:t>
            </w:r>
            <w:r w:rsidRPr="00A418AD">
              <w:rPr>
                <w:rFonts w:eastAsia="Times New Roman"/>
                <w:color w:val="000000"/>
              </w:rPr>
              <w:t xml:space="preserve"> Payment Estimate</w:t>
            </w:r>
            <w:r w:rsidRPr="00A418AD">
              <w:rPr>
                <w:rFonts w:eastAsia="Times New Roman"/>
                <w:color w:val="000000"/>
              </w:rPr>
              <w:br/>
              <w:t>(</w:t>
            </w:r>
            <w:r w:rsidRPr="00D73DC6">
              <w:rPr>
                <w:rFonts w:eastAsia="Times New Roman"/>
                <w:i/>
                <w:iCs/>
                <w:color w:val="000000"/>
              </w:rPr>
              <w:t>in millions</w:t>
            </w:r>
            <w:r w:rsidRPr="00A418AD">
              <w:rPr>
                <w:rFonts w:eastAsia="Times New Roman"/>
                <w:color w:val="000000"/>
              </w:rPr>
              <w:t>)</w:t>
            </w:r>
          </w:p>
        </w:tc>
        <w:tc>
          <w:tcPr>
            <w:tcW w:w="1404" w:type="dxa"/>
            <w:tcBorders>
              <w:top w:val="single" w:sz="4" w:space="0" w:color="auto"/>
              <w:left w:val="single" w:sz="4" w:space="0" w:color="auto"/>
              <w:bottom w:val="single" w:sz="4" w:space="0" w:color="auto"/>
              <w:right w:val="single" w:sz="4" w:space="0" w:color="auto"/>
            </w:tcBorders>
            <w:shd w:val="clear" w:color="auto" w:fill="F1F1F1"/>
            <w:vAlign w:val="center"/>
            <w:hideMark/>
          </w:tcPr>
          <w:p w14:paraId="5359E2F1" w14:textId="7C18A61A" w:rsidR="009D153B" w:rsidRPr="00A418AD" w:rsidRDefault="009D153B" w:rsidP="009D153B">
            <w:pPr>
              <w:widowControl/>
              <w:autoSpaceDE/>
              <w:autoSpaceDN/>
              <w:jc w:val="center"/>
              <w:rPr>
                <w:rFonts w:eastAsia="Times New Roman"/>
                <w:color w:val="000000"/>
              </w:rPr>
            </w:pPr>
            <w:r w:rsidRPr="00A418AD">
              <w:rPr>
                <w:rFonts w:eastAsia="Times New Roman"/>
                <w:color w:val="000000"/>
              </w:rPr>
              <w:t>Unknown Improper Payment Estimate</w:t>
            </w:r>
            <w:r w:rsidRPr="00A418AD">
              <w:rPr>
                <w:rFonts w:eastAsia="Times New Roman"/>
                <w:color w:val="000000"/>
              </w:rPr>
              <w:br/>
            </w:r>
            <w:r w:rsidRPr="63438141">
              <w:rPr>
                <w:rFonts w:eastAsia="Times New Roman"/>
                <w:i/>
                <w:iCs/>
                <w:color w:val="000000"/>
              </w:rPr>
              <w:t>(in millions)</w:t>
            </w:r>
          </w:p>
        </w:tc>
        <w:tc>
          <w:tcPr>
            <w:tcW w:w="1404" w:type="dxa"/>
            <w:tcBorders>
              <w:top w:val="single" w:sz="4" w:space="0" w:color="auto"/>
              <w:left w:val="nil"/>
              <w:bottom w:val="single" w:sz="4" w:space="0" w:color="auto"/>
              <w:right w:val="single" w:sz="4" w:space="0" w:color="auto"/>
            </w:tcBorders>
            <w:shd w:val="clear" w:color="auto" w:fill="F1F1F1"/>
            <w:vAlign w:val="center"/>
            <w:hideMark/>
          </w:tcPr>
          <w:p w14:paraId="3A642732" w14:textId="77777777" w:rsidR="009D153B" w:rsidRPr="00A418AD" w:rsidRDefault="009D153B" w:rsidP="009D153B">
            <w:pPr>
              <w:widowControl/>
              <w:autoSpaceDE/>
              <w:autoSpaceDN/>
              <w:jc w:val="center"/>
              <w:rPr>
                <w:rFonts w:eastAsia="Times New Roman"/>
                <w:color w:val="000000"/>
              </w:rPr>
            </w:pPr>
            <w:r w:rsidRPr="00A418AD">
              <w:rPr>
                <w:rFonts w:eastAsia="Times New Roman"/>
                <w:color w:val="000000"/>
              </w:rPr>
              <w:t>Point Estimate</w:t>
            </w:r>
            <w:r w:rsidRPr="00A418AD">
              <w:rPr>
                <w:rFonts w:eastAsia="Times New Roman"/>
                <w:color w:val="000000"/>
              </w:rPr>
              <w:br/>
            </w:r>
            <w:r w:rsidRPr="63438141">
              <w:rPr>
                <w:rFonts w:eastAsia="Times New Roman"/>
                <w:i/>
                <w:iCs/>
                <w:color w:val="000000"/>
              </w:rPr>
              <w:t>(as % of Population Total)</w:t>
            </w:r>
          </w:p>
        </w:tc>
        <w:tc>
          <w:tcPr>
            <w:tcW w:w="1404" w:type="dxa"/>
            <w:tcBorders>
              <w:top w:val="single" w:sz="4" w:space="0" w:color="auto"/>
              <w:left w:val="nil"/>
              <w:bottom w:val="single" w:sz="4" w:space="0" w:color="auto"/>
              <w:right w:val="single" w:sz="4" w:space="0" w:color="auto"/>
            </w:tcBorders>
            <w:shd w:val="clear" w:color="auto" w:fill="F1F1F1"/>
            <w:vAlign w:val="center"/>
            <w:hideMark/>
          </w:tcPr>
          <w:p w14:paraId="2F40755E" w14:textId="36360920" w:rsidR="009D153B" w:rsidRPr="00A418AD" w:rsidRDefault="009D153B" w:rsidP="009D153B">
            <w:pPr>
              <w:widowControl/>
              <w:autoSpaceDE/>
              <w:autoSpaceDN/>
              <w:jc w:val="center"/>
              <w:rPr>
                <w:rFonts w:eastAsia="Times New Roman"/>
                <w:color w:val="000000"/>
              </w:rPr>
            </w:pPr>
            <w:r w:rsidRPr="00A418AD">
              <w:rPr>
                <w:rFonts w:eastAsia="Times New Roman"/>
                <w:color w:val="000000"/>
              </w:rPr>
              <w:t xml:space="preserve">Precision Rate </w:t>
            </w:r>
            <w:r w:rsidRPr="63438141">
              <w:rPr>
                <w:rFonts w:eastAsia="Times New Roman"/>
                <w:i/>
                <w:iCs/>
                <w:color w:val="000000"/>
              </w:rPr>
              <w:t xml:space="preserve">(as a % of Population Total) </w:t>
            </w:r>
            <w:r w:rsidRPr="00A418AD">
              <w:rPr>
                <w:rFonts w:eastAsia="Times New Roman"/>
                <w:color w:val="000000"/>
              </w:rPr>
              <w:t>based on 9</w:t>
            </w:r>
            <w:r w:rsidR="00665625">
              <w:rPr>
                <w:rFonts w:eastAsia="Times New Roman"/>
                <w:color w:val="000000"/>
              </w:rPr>
              <w:t>0</w:t>
            </w:r>
            <w:r w:rsidRPr="00A418AD">
              <w:rPr>
                <w:rFonts w:eastAsia="Times New Roman"/>
                <w:color w:val="000000"/>
              </w:rPr>
              <w:t>% Confidence Interval</w:t>
            </w:r>
          </w:p>
        </w:tc>
      </w:tr>
      <w:tr w:rsidR="00490EA4" w:rsidRPr="00A418AD" w14:paraId="56422384" w14:textId="77777777" w:rsidTr="00841F4B">
        <w:trPr>
          <w:trHeight w:val="321"/>
        </w:trPr>
        <w:tc>
          <w:tcPr>
            <w:tcW w:w="1404" w:type="dxa"/>
            <w:tcBorders>
              <w:top w:val="nil"/>
              <w:left w:val="single" w:sz="4" w:space="0" w:color="auto"/>
              <w:bottom w:val="single" w:sz="4" w:space="0" w:color="auto"/>
              <w:right w:val="single" w:sz="4" w:space="0" w:color="auto"/>
            </w:tcBorders>
            <w:shd w:val="clear" w:color="auto" w:fill="auto"/>
            <w:vAlign w:val="center"/>
            <w:hideMark/>
          </w:tcPr>
          <w:p w14:paraId="6CE2DD8E" w14:textId="1E1887F3" w:rsidR="009D153B" w:rsidRPr="0080083D" w:rsidRDefault="009D153B" w:rsidP="009D153B">
            <w:pPr>
              <w:widowControl/>
              <w:autoSpaceDE/>
              <w:autoSpaceDN/>
              <w:jc w:val="center"/>
              <w:rPr>
                <w:rFonts w:eastAsia="Times New Roman"/>
                <w:color w:val="000000" w:themeColor="text1"/>
              </w:rPr>
            </w:pPr>
            <w:r w:rsidRPr="0080083D">
              <w:rPr>
                <w:color w:val="000000" w:themeColor="text1"/>
              </w:rPr>
              <w:t>$</w:t>
            </w:r>
            <w:r w:rsidR="00CD2384">
              <w:rPr>
                <w:color w:val="000000" w:themeColor="text1"/>
              </w:rPr>
              <w:t>.001350</w:t>
            </w:r>
          </w:p>
        </w:tc>
        <w:tc>
          <w:tcPr>
            <w:tcW w:w="1404" w:type="dxa"/>
            <w:tcBorders>
              <w:top w:val="nil"/>
              <w:left w:val="nil"/>
              <w:bottom w:val="single" w:sz="4" w:space="0" w:color="auto"/>
              <w:right w:val="single" w:sz="4" w:space="0" w:color="auto"/>
            </w:tcBorders>
            <w:shd w:val="clear" w:color="auto" w:fill="auto"/>
            <w:vAlign w:val="center"/>
            <w:hideMark/>
          </w:tcPr>
          <w:p w14:paraId="565A8DB7" w14:textId="3B986D28" w:rsidR="009D153B" w:rsidRPr="0080083D" w:rsidRDefault="009D153B" w:rsidP="009D153B">
            <w:pPr>
              <w:widowControl/>
              <w:autoSpaceDE/>
              <w:autoSpaceDN/>
              <w:jc w:val="center"/>
              <w:rPr>
                <w:rFonts w:eastAsia="Times New Roman"/>
                <w:color w:val="000000" w:themeColor="text1"/>
              </w:rPr>
            </w:pPr>
            <w:r w:rsidRPr="0080083D">
              <w:rPr>
                <w:color w:val="000000" w:themeColor="text1"/>
              </w:rPr>
              <w:t>$</w:t>
            </w:r>
            <w:r w:rsidR="00FA720E">
              <w:rPr>
                <w:color w:val="000000" w:themeColor="text1"/>
              </w:rPr>
              <w:t>.001350</w:t>
            </w:r>
          </w:p>
        </w:tc>
        <w:tc>
          <w:tcPr>
            <w:tcW w:w="1404" w:type="dxa"/>
            <w:tcBorders>
              <w:top w:val="nil"/>
              <w:left w:val="nil"/>
              <w:bottom w:val="single" w:sz="4" w:space="0" w:color="auto"/>
              <w:right w:val="single" w:sz="4" w:space="0" w:color="auto"/>
            </w:tcBorders>
            <w:shd w:val="clear" w:color="auto" w:fill="auto"/>
            <w:vAlign w:val="center"/>
            <w:hideMark/>
          </w:tcPr>
          <w:p w14:paraId="6AFB8C81" w14:textId="25A5ADFC" w:rsidR="009D153B" w:rsidRPr="0080083D" w:rsidRDefault="009D153B" w:rsidP="009D153B">
            <w:pPr>
              <w:widowControl/>
              <w:autoSpaceDE/>
              <w:autoSpaceDN/>
              <w:jc w:val="center"/>
              <w:rPr>
                <w:rFonts w:eastAsia="Times New Roman"/>
                <w:color w:val="000000" w:themeColor="text1"/>
              </w:rPr>
            </w:pPr>
            <w:r w:rsidRPr="0080083D">
              <w:rPr>
                <w:color w:val="000000" w:themeColor="text1"/>
              </w:rPr>
              <w:t>$0.00</w:t>
            </w:r>
            <w:r w:rsidR="00D616DA">
              <w:rPr>
                <w:color w:val="000000" w:themeColor="text1"/>
              </w:rPr>
              <w:t>0</w:t>
            </w:r>
          </w:p>
        </w:tc>
        <w:tc>
          <w:tcPr>
            <w:tcW w:w="1404" w:type="dxa"/>
            <w:tcBorders>
              <w:top w:val="single" w:sz="4" w:space="0" w:color="auto"/>
              <w:left w:val="nil"/>
              <w:bottom w:val="single" w:sz="4" w:space="0" w:color="auto"/>
              <w:right w:val="single" w:sz="4" w:space="0" w:color="auto"/>
            </w:tcBorders>
          </w:tcPr>
          <w:p w14:paraId="4BE92152" w14:textId="1B57394C" w:rsidR="009D153B" w:rsidRDefault="009D153B" w:rsidP="009D153B">
            <w:pPr>
              <w:widowControl/>
              <w:autoSpaceDE/>
              <w:autoSpaceDN/>
              <w:jc w:val="center"/>
              <w:rPr>
                <w:color w:val="000000" w:themeColor="text1"/>
              </w:rPr>
            </w:pPr>
            <w:r>
              <w:rPr>
                <w:color w:val="000000" w:themeColor="text1"/>
              </w:rPr>
              <w:t>$0.00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A27B3" w14:textId="6E1CB95D" w:rsidR="009D153B" w:rsidRPr="0080083D" w:rsidRDefault="009D153B" w:rsidP="009D153B">
            <w:pPr>
              <w:widowControl/>
              <w:autoSpaceDE/>
              <w:autoSpaceDN/>
              <w:jc w:val="center"/>
              <w:rPr>
                <w:rFonts w:eastAsia="Times New Roman"/>
                <w:color w:val="000000" w:themeColor="text1"/>
              </w:rPr>
            </w:pPr>
            <w:r>
              <w:rPr>
                <w:color w:val="000000" w:themeColor="text1"/>
              </w:rPr>
              <w:t>$</w:t>
            </w:r>
            <w:r w:rsidR="00A42BE8">
              <w:rPr>
                <w:color w:val="000000" w:themeColor="text1"/>
              </w:rPr>
              <w:t>0.00</w:t>
            </w:r>
          </w:p>
        </w:tc>
        <w:tc>
          <w:tcPr>
            <w:tcW w:w="1404" w:type="dxa"/>
            <w:tcBorders>
              <w:top w:val="nil"/>
              <w:left w:val="nil"/>
              <w:bottom w:val="single" w:sz="4" w:space="0" w:color="auto"/>
              <w:right w:val="single" w:sz="4" w:space="0" w:color="auto"/>
            </w:tcBorders>
            <w:shd w:val="clear" w:color="auto" w:fill="auto"/>
            <w:vAlign w:val="center"/>
            <w:hideMark/>
          </w:tcPr>
          <w:p w14:paraId="6AE1DB29" w14:textId="5F002356" w:rsidR="009D153B" w:rsidRPr="0080083D" w:rsidRDefault="00B87BEC" w:rsidP="009D153B">
            <w:pPr>
              <w:widowControl/>
              <w:autoSpaceDE/>
              <w:autoSpaceDN/>
              <w:jc w:val="center"/>
              <w:rPr>
                <w:rFonts w:eastAsia="Times New Roman"/>
                <w:color w:val="000000" w:themeColor="text1"/>
              </w:rPr>
            </w:pPr>
            <w:r>
              <w:rPr>
                <w:color w:val="000000" w:themeColor="text1"/>
              </w:rPr>
              <w:t>0.00001</w:t>
            </w:r>
            <w:r w:rsidR="009D153B" w:rsidRPr="0080083D">
              <w:rPr>
                <w:color w:val="000000" w:themeColor="text1"/>
              </w:rPr>
              <w:t>%</w:t>
            </w:r>
          </w:p>
        </w:tc>
        <w:tc>
          <w:tcPr>
            <w:tcW w:w="1404" w:type="dxa"/>
            <w:tcBorders>
              <w:top w:val="nil"/>
              <w:left w:val="nil"/>
              <w:bottom w:val="single" w:sz="4" w:space="0" w:color="auto"/>
              <w:right w:val="single" w:sz="4" w:space="0" w:color="auto"/>
            </w:tcBorders>
            <w:shd w:val="clear" w:color="auto" w:fill="auto"/>
            <w:vAlign w:val="center"/>
            <w:hideMark/>
          </w:tcPr>
          <w:p w14:paraId="75A1ABA1" w14:textId="61A075A4" w:rsidR="009D153B" w:rsidRPr="0080083D" w:rsidRDefault="009D153B" w:rsidP="009D153B">
            <w:pPr>
              <w:widowControl/>
              <w:autoSpaceDE/>
              <w:autoSpaceDN/>
              <w:jc w:val="center"/>
              <w:rPr>
                <w:rFonts w:eastAsia="Times New Roman"/>
                <w:color w:val="000000" w:themeColor="text1"/>
              </w:rPr>
            </w:pPr>
            <w:r w:rsidRPr="0080083D">
              <w:rPr>
                <w:color w:val="000000" w:themeColor="text1"/>
              </w:rPr>
              <w:t xml:space="preserve">+/- </w:t>
            </w:r>
            <w:r w:rsidR="00277CCE">
              <w:rPr>
                <w:color w:val="000000" w:themeColor="text1"/>
              </w:rPr>
              <w:t>5</w:t>
            </w:r>
            <w:r w:rsidR="008D3343">
              <w:rPr>
                <w:color w:val="000000" w:themeColor="text1"/>
              </w:rPr>
              <w:t>.00</w:t>
            </w:r>
            <w:r w:rsidRPr="0080083D">
              <w:rPr>
                <w:color w:val="000000" w:themeColor="text1"/>
              </w:rPr>
              <w:t>%</w:t>
            </w:r>
          </w:p>
        </w:tc>
      </w:tr>
    </w:tbl>
    <w:p w14:paraId="209AB832" w14:textId="7D638268" w:rsidR="001E205C" w:rsidRDefault="001E205C" w:rsidP="00D73DC6">
      <w:pPr>
        <w:spacing w:before="120" w:after="120" w:line="293" w:lineRule="exact"/>
        <w:jc w:val="both"/>
        <w:rPr>
          <w:rFonts w:asciiTheme="minorHAnsi" w:hAnsiTheme="minorHAnsi" w:cstheme="minorBidi"/>
          <w:b/>
          <w:bCs/>
          <w:color w:val="365E92"/>
          <w:sz w:val="24"/>
          <w:szCs w:val="24"/>
        </w:rPr>
      </w:pPr>
    </w:p>
    <w:p w14:paraId="6D8ECF4F" w14:textId="77777777" w:rsidR="00CE2536" w:rsidRDefault="00CE2536" w:rsidP="00D73DC6">
      <w:pPr>
        <w:spacing w:before="120" w:after="120" w:line="293" w:lineRule="exact"/>
        <w:jc w:val="both"/>
        <w:rPr>
          <w:rFonts w:asciiTheme="minorHAnsi" w:hAnsiTheme="minorHAnsi" w:cstheme="minorBidi"/>
          <w:b/>
          <w:bCs/>
          <w:color w:val="365E92"/>
          <w:sz w:val="24"/>
          <w:szCs w:val="24"/>
        </w:rPr>
      </w:pPr>
    </w:p>
    <w:p w14:paraId="0F4D62F8" w14:textId="3D825193" w:rsidR="00300369" w:rsidRPr="00D73DC6" w:rsidRDefault="00C13CE7" w:rsidP="000A072C">
      <w:pPr>
        <w:pStyle w:val="Heading2"/>
      </w:pPr>
      <w:r w:rsidRPr="00717E13">
        <w:t>ESF program</w:t>
      </w:r>
    </w:p>
    <w:p w14:paraId="6062DB3D" w14:textId="1CC88A0D" w:rsidR="00300369" w:rsidRPr="00D73DC6" w:rsidRDefault="1D4BD1A8" w:rsidP="7DB89B23">
      <w:pPr>
        <w:rPr>
          <w:rFonts w:asciiTheme="minorHAnsi" w:hAnsiTheme="minorHAnsi" w:cstheme="minorBidi"/>
          <w:color w:val="000000" w:themeColor="text1"/>
        </w:rPr>
      </w:pPr>
      <w:bookmarkStart w:id="5" w:name="_Hlk118808066"/>
      <w:r>
        <w:t xml:space="preserve">Supporting documentation for ESF payments to </w:t>
      </w:r>
      <w:r w:rsidR="4E587B40">
        <w:t>the grantees in</w:t>
      </w:r>
      <w:r w:rsidR="5DADAFD4">
        <w:t xml:space="preserve"> </w:t>
      </w:r>
      <w:r w:rsidR="4E587B40">
        <w:t>this population</w:t>
      </w:r>
      <w:r w:rsidR="5134B41A">
        <w:t>,</w:t>
      </w:r>
      <w:r w:rsidR="4E587B40">
        <w:t xml:space="preserve"> </w:t>
      </w:r>
      <w:r w:rsidR="5134B41A">
        <w:t>which</w:t>
      </w:r>
      <w:r w:rsidR="4E587B40">
        <w:t xml:space="preserve"> </w:t>
      </w:r>
      <w:r w:rsidR="5134B41A">
        <w:t xml:space="preserve">consists of </w:t>
      </w:r>
      <w:r w:rsidR="4E587B40">
        <w:t>Institutes of Higher Education (IHEs), State Education Agencies (SEAs), Governors, and State Workforce Boards (SWBs)</w:t>
      </w:r>
      <w:r w:rsidR="5134B41A">
        <w:t>, included payment vouchers and invoices.</w:t>
      </w:r>
      <w:r w:rsidR="4E587B40" w:rsidRPr="7DB89B23">
        <w:rPr>
          <w:rFonts w:asciiTheme="minorHAnsi" w:hAnsiTheme="minorHAnsi" w:cstheme="minorBidi"/>
        </w:rPr>
        <w:t xml:space="preserve"> </w:t>
      </w:r>
      <w:r w:rsidR="7FACA04A" w:rsidRPr="7DB89B23">
        <w:rPr>
          <w:rFonts w:asciiTheme="minorHAnsi" w:hAnsiTheme="minorHAnsi" w:cstheme="minorBidi"/>
        </w:rPr>
        <w:t xml:space="preserve">As a result of testing procedures, the Department identified improper payments in the ESF program. </w:t>
      </w:r>
      <w:r w:rsidR="7FACA04A">
        <w:t>T</w:t>
      </w:r>
      <w:r>
        <w:t xml:space="preserve">he </w:t>
      </w:r>
      <w:r w:rsidR="0A922B17">
        <w:t>FY 202</w:t>
      </w:r>
      <w:r w:rsidR="1EAE2617">
        <w:t>3</w:t>
      </w:r>
      <w:r w:rsidR="0A922B17">
        <w:t xml:space="preserve"> </w:t>
      </w:r>
      <w:r>
        <w:t xml:space="preserve">ESF payment error rate </w:t>
      </w:r>
      <w:r w:rsidR="0A922B17">
        <w:t>i</w:t>
      </w:r>
      <w:r>
        <w:t xml:space="preserve">s </w:t>
      </w:r>
      <w:r w:rsidR="1EAE2617" w:rsidRPr="7DB89B23">
        <w:rPr>
          <w:b/>
          <w:bCs/>
        </w:rPr>
        <w:t>0.0002</w:t>
      </w:r>
      <w:r w:rsidRPr="7DB89B23">
        <w:rPr>
          <w:b/>
          <w:bCs/>
        </w:rPr>
        <w:t xml:space="preserve"> </w:t>
      </w:r>
      <w:r>
        <w:t xml:space="preserve">percent, or </w:t>
      </w:r>
      <w:r w:rsidRPr="7DB89B23">
        <w:rPr>
          <w:b/>
          <w:bCs/>
        </w:rPr>
        <w:t>$</w:t>
      </w:r>
      <w:r w:rsidR="1EAE2617" w:rsidRPr="7DB89B23">
        <w:rPr>
          <w:b/>
          <w:bCs/>
        </w:rPr>
        <w:t>.14</w:t>
      </w:r>
      <w:r>
        <w:t xml:space="preserve"> million.</w:t>
      </w:r>
      <w:r w:rsidR="4D1CED93" w:rsidRPr="7DB89B23">
        <w:rPr>
          <w:rFonts w:asciiTheme="minorHAnsi" w:hAnsiTheme="minorHAnsi" w:cstheme="minorBidi"/>
          <w:color w:val="000000" w:themeColor="text1"/>
        </w:rPr>
        <w:t xml:space="preserve"> The program reported </w:t>
      </w:r>
      <w:proofErr w:type="gramStart"/>
      <w:r w:rsidR="4D1CED93" w:rsidRPr="7DB89B23">
        <w:rPr>
          <w:rFonts w:asciiTheme="minorHAnsi" w:hAnsiTheme="minorHAnsi" w:cstheme="minorBidi"/>
          <w:color w:val="000000" w:themeColor="text1"/>
        </w:rPr>
        <w:t>no</w:t>
      </w:r>
      <w:proofErr w:type="gramEnd"/>
      <w:r w:rsidR="4D1CED93" w:rsidRPr="7DB89B23">
        <w:rPr>
          <w:rFonts w:asciiTheme="minorHAnsi" w:hAnsiTheme="minorHAnsi" w:cstheme="minorBidi"/>
          <w:color w:val="000000" w:themeColor="text1"/>
        </w:rPr>
        <w:t xml:space="preserve"> </w:t>
      </w:r>
      <w:r w:rsidR="0FDC1373" w:rsidRPr="7DB89B23">
        <w:rPr>
          <w:rFonts w:asciiTheme="minorHAnsi" w:hAnsiTheme="minorHAnsi" w:cstheme="minorBidi"/>
          <w:color w:val="000000" w:themeColor="text1"/>
        </w:rPr>
        <w:t xml:space="preserve">technically improper or </w:t>
      </w:r>
      <w:r w:rsidR="4D1CED93" w:rsidRPr="7DB89B23">
        <w:rPr>
          <w:rFonts w:asciiTheme="minorHAnsi" w:hAnsiTheme="minorHAnsi" w:cstheme="minorBidi"/>
          <w:color w:val="000000" w:themeColor="text1"/>
        </w:rPr>
        <w:t xml:space="preserve">unknown payments in </w:t>
      </w:r>
      <w:r w:rsidR="4D1CED93" w:rsidRPr="7DB89B23">
        <w:rPr>
          <w:rFonts w:asciiTheme="minorHAnsi" w:hAnsiTheme="minorHAnsi" w:cstheme="minorBidi"/>
          <w:color w:val="000000" w:themeColor="text1"/>
        </w:rPr>
        <w:lastRenderedPageBreak/>
        <w:t>FY 2023.</w:t>
      </w:r>
    </w:p>
    <w:bookmarkEnd w:id="5"/>
    <w:p w14:paraId="0CD2CFEF" w14:textId="77777777" w:rsidR="00CE2536" w:rsidRDefault="00CE2536" w:rsidP="00C13CE7">
      <w:pPr>
        <w:rPr>
          <w:rFonts w:asciiTheme="minorHAnsi" w:hAnsiTheme="minorHAnsi" w:cstheme="minorHAnsi"/>
        </w:rPr>
      </w:pPr>
    </w:p>
    <w:p w14:paraId="35FBFB2C" w14:textId="7E606CE8" w:rsidR="00331AB1" w:rsidRPr="00717E13" w:rsidRDefault="00591AD7" w:rsidP="00D73DC6">
      <w:pPr>
        <w:spacing w:before="120" w:after="120"/>
        <w:jc w:val="center"/>
        <w:rPr>
          <w:rFonts w:asciiTheme="minorHAnsi" w:hAnsiTheme="minorHAnsi" w:cstheme="minorBidi"/>
          <w:b/>
          <w:bCs/>
          <w:sz w:val="24"/>
          <w:szCs w:val="24"/>
        </w:rPr>
      </w:pPr>
      <w:r w:rsidRPr="00717E13">
        <w:rPr>
          <w:rFonts w:asciiTheme="minorHAnsi" w:hAnsiTheme="minorHAnsi" w:cstheme="minorBidi"/>
          <w:b/>
          <w:bCs/>
          <w:sz w:val="24"/>
          <w:szCs w:val="24"/>
        </w:rPr>
        <w:t>FY 202</w:t>
      </w:r>
      <w:r w:rsidR="00B10DA9">
        <w:rPr>
          <w:rFonts w:asciiTheme="minorHAnsi" w:hAnsiTheme="minorHAnsi" w:cstheme="minorBidi"/>
          <w:b/>
          <w:bCs/>
          <w:sz w:val="24"/>
          <w:szCs w:val="24"/>
        </w:rPr>
        <w:t>3</w:t>
      </w:r>
      <w:r w:rsidRPr="00717E13">
        <w:rPr>
          <w:rFonts w:asciiTheme="minorHAnsi" w:hAnsiTheme="minorHAnsi" w:cstheme="minorBidi"/>
          <w:b/>
          <w:bCs/>
          <w:sz w:val="24"/>
          <w:szCs w:val="24"/>
        </w:rPr>
        <w:t xml:space="preserve"> ESF Estimate</w:t>
      </w:r>
    </w:p>
    <w:tbl>
      <w:tblPr>
        <w:tblpPr w:leftFromText="180" w:rightFromText="180" w:vertAnchor="text" w:horzAnchor="margin" w:tblpY="249"/>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88"/>
        <w:gridCol w:w="1388"/>
        <w:gridCol w:w="1388"/>
        <w:gridCol w:w="1388"/>
        <w:gridCol w:w="1388"/>
        <w:gridCol w:w="1388"/>
      </w:tblGrid>
      <w:tr w:rsidR="00AC3B19" w:rsidRPr="00A418AD" w14:paraId="520494E6" w14:textId="77777777" w:rsidTr="0024636D">
        <w:trPr>
          <w:trHeight w:val="1490"/>
        </w:trPr>
        <w:tc>
          <w:tcPr>
            <w:tcW w:w="1388" w:type="dxa"/>
            <w:shd w:val="clear" w:color="auto" w:fill="F1F1F1"/>
            <w:vAlign w:val="center"/>
            <w:hideMark/>
          </w:tcPr>
          <w:p w14:paraId="258EC2B0" w14:textId="77777777" w:rsidR="00591AD7" w:rsidRPr="00A418AD" w:rsidRDefault="00591AD7" w:rsidP="00591AD7">
            <w:pPr>
              <w:widowControl/>
              <w:autoSpaceDE/>
              <w:autoSpaceDN/>
              <w:jc w:val="center"/>
              <w:rPr>
                <w:rFonts w:eastAsia="Times New Roman"/>
                <w:color w:val="000000"/>
              </w:rPr>
            </w:pPr>
            <w:r w:rsidRPr="00A418AD">
              <w:rPr>
                <w:rFonts w:eastAsia="Times New Roman"/>
                <w:color w:val="000000"/>
              </w:rPr>
              <w:t>Point Estimate of Improper Payment</w:t>
            </w:r>
            <w:r w:rsidRPr="00A418AD">
              <w:rPr>
                <w:rFonts w:eastAsia="Times New Roman"/>
                <w:color w:val="000000"/>
              </w:rPr>
              <w:br/>
            </w:r>
            <w:r w:rsidRPr="63438141">
              <w:rPr>
                <w:rFonts w:eastAsia="Times New Roman"/>
                <w:i/>
                <w:iCs/>
                <w:color w:val="000000"/>
              </w:rPr>
              <w:t>(in millions)</w:t>
            </w:r>
          </w:p>
        </w:tc>
        <w:tc>
          <w:tcPr>
            <w:tcW w:w="1388" w:type="dxa"/>
            <w:shd w:val="clear" w:color="auto" w:fill="F1F1F1"/>
            <w:vAlign w:val="center"/>
            <w:hideMark/>
          </w:tcPr>
          <w:p w14:paraId="70CF9F8B" w14:textId="77777777" w:rsidR="00591AD7" w:rsidRPr="00A418AD" w:rsidRDefault="00591AD7" w:rsidP="00591AD7">
            <w:pPr>
              <w:widowControl/>
              <w:autoSpaceDE/>
              <w:autoSpaceDN/>
              <w:jc w:val="center"/>
              <w:rPr>
                <w:rFonts w:eastAsia="Times New Roman"/>
                <w:color w:val="000000"/>
              </w:rPr>
            </w:pPr>
            <w:r w:rsidRPr="00A418AD">
              <w:rPr>
                <w:rFonts w:eastAsia="Times New Roman"/>
                <w:color w:val="000000"/>
              </w:rPr>
              <w:t>Over-Payment Improper Payment Estimate</w:t>
            </w:r>
            <w:r w:rsidRPr="00A418AD">
              <w:rPr>
                <w:rFonts w:eastAsia="Times New Roman"/>
                <w:color w:val="000000"/>
              </w:rPr>
              <w:br/>
            </w:r>
            <w:r w:rsidRPr="63438141">
              <w:rPr>
                <w:rFonts w:eastAsia="Times New Roman"/>
                <w:i/>
                <w:iCs/>
                <w:color w:val="000000"/>
              </w:rPr>
              <w:t>(in millions)</w:t>
            </w:r>
          </w:p>
        </w:tc>
        <w:tc>
          <w:tcPr>
            <w:tcW w:w="1388" w:type="dxa"/>
            <w:shd w:val="clear" w:color="auto" w:fill="F1F1F1"/>
            <w:vAlign w:val="center"/>
            <w:hideMark/>
          </w:tcPr>
          <w:p w14:paraId="68288DE1" w14:textId="77777777" w:rsidR="00591AD7" w:rsidRPr="00A418AD" w:rsidRDefault="00591AD7" w:rsidP="00591AD7">
            <w:pPr>
              <w:widowControl/>
              <w:autoSpaceDE/>
              <w:autoSpaceDN/>
              <w:jc w:val="center"/>
              <w:rPr>
                <w:rFonts w:eastAsia="Times New Roman"/>
                <w:color w:val="000000"/>
              </w:rPr>
            </w:pPr>
            <w:r w:rsidRPr="00A418AD">
              <w:rPr>
                <w:rFonts w:eastAsia="Times New Roman"/>
                <w:color w:val="000000"/>
              </w:rPr>
              <w:t>Under-Payment Improper Payment Estimate</w:t>
            </w:r>
            <w:r w:rsidRPr="00A418AD">
              <w:rPr>
                <w:rFonts w:eastAsia="Times New Roman"/>
                <w:color w:val="000000"/>
              </w:rPr>
              <w:br/>
              <w:t>(</w:t>
            </w:r>
            <w:r w:rsidRPr="00D73DC6">
              <w:rPr>
                <w:rFonts w:eastAsia="Times New Roman"/>
                <w:i/>
                <w:iCs/>
                <w:color w:val="000000"/>
              </w:rPr>
              <w:t>in millions</w:t>
            </w:r>
            <w:r w:rsidRPr="00A418AD">
              <w:rPr>
                <w:rFonts w:eastAsia="Times New Roman"/>
                <w:color w:val="000000"/>
              </w:rPr>
              <w:t>)</w:t>
            </w:r>
          </w:p>
        </w:tc>
        <w:tc>
          <w:tcPr>
            <w:tcW w:w="1388" w:type="dxa"/>
            <w:shd w:val="clear" w:color="auto" w:fill="F1F1F1"/>
          </w:tcPr>
          <w:p w14:paraId="76D7F0A3" w14:textId="77777777" w:rsidR="00591AD7" w:rsidRPr="00983762" w:rsidRDefault="00591AD7" w:rsidP="00591AD7">
            <w:pPr>
              <w:widowControl/>
              <w:autoSpaceDE/>
              <w:autoSpaceDN/>
              <w:jc w:val="center"/>
              <w:rPr>
                <w:rFonts w:eastAsia="Times New Roman"/>
                <w:color w:val="000000"/>
                <w:sz w:val="12"/>
                <w:szCs w:val="12"/>
              </w:rPr>
            </w:pPr>
          </w:p>
          <w:p w14:paraId="55379FBD" w14:textId="77777777" w:rsidR="00591AD7" w:rsidRPr="00A418AD" w:rsidRDefault="00591AD7" w:rsidP="00591AD7">
            <w:pPr>
              <w:widowControl/>
              <w:autoSpaceDE/>
              <w:autoSpaceDN/>
              <w:jc w:val="center"/>
              <w:rPr>
                <w:rFonts w:eastAsia="Times New Roman"/>
                <w:color w:val="000000"/>
              </w:rPr>
            </w:pPr>
            <w:r>
              <w:rPr>
                <w:rFonts w:eastAsia="Times New Roman"/>
                <w:color w:val="000000"/>
              </w:rPr>
              <w:t>Technically Improper</w:t>
            </w:r>
            <w:r w:rsidRPr="00A418AD">
              <w:rPr>
                <w:rFonts w:eastAsia="Times New Roman"/>
                <w:color w:val="000000"/>
              </w:rPr>
              <w:t xml:space="preserve"> Payment Estimate</w:t>
            </w:r>
            <w:r w:rsidRPr="00A418AD">
              <w:rPr>
                <w:rFonts w:eastAsia="Times New Roman"/>
                <w:color w:val="000000"/>
              </w:rPr>
              <w:br/>
              <w:t>(</w:t>
            </w:r>
            <w:r w:rsidRPr="63438141">
              <w:rPr>
                <w:rFonts w:eastAsia="Times New Roman"/>
                <w:i/>
                <w:iCs/>
                <w:color w:val="000000"/>
              </w:rPr>
              <w:t>in millions</w:t>
            </w:r>
            <w:r w:rsidRPr="00A418AD">
              <w:rPr>
                <w:rFonts w:eastAsia="Times New Roman"/>
                <w:color w:val="000000"/>
              </w:rPr>
              <w:t>)</w:t>
            </w:r>
          </w:p>
        </w:tc>
        <w:tc>
          <w:tcPr>
            <w:tcW w:w="1388" w:type="dxa"/>
            <w:shd w:val="clear" w:color="auto" w:fill="F1F1F1"/>
            <w:vAlign w:val="center"/>
            <w:hideMark/>
          </w:tcPr>
          <w:p w14:paraId="51F7FFAF" w14:textId="77777777" w:rsidR="00591AD7" w:rsidRPr="00A418AD" w:rsidRDefault="00591AD7" w:rsidP="00591AD7">
            <w:pPr>
              <w:widowControl/>
              <w:autoSpaceDE/>
              <w:autoSpaceDN/>
              <w:jc w:val="center"/>
              <w:rPr>
                <w:rFonts w:eastAsia="Times New Roman"/>
                <w:color w:val="000000"/>
              </w:rPr>
            </w:pPr>
            <w:r w:rsidRPr="00A418AD">
              <w:rPr>
                <w:rFonts w:eastAsia="Times New Roman"/>
                <w:color w:val="000000"/>
              </w:rPr>
              <w:t>Unknown Improper Payment Estimate</w:t>
            </w:r>
            <w:r w:rsidRPr="00A418AD">
              <w:rPr>
                <w:rFonts w:eastAsia="Times New Roman"/>
                <w:color w:val="000000"/>
              </w:rPr>
              <w:br/>
            </w:r>
            <w:r w:rsidRPr="63438141">
              <w:rPr>
                <w:rFonts w:eastAsia="Times New Roman"/>
                <w:i/>
                <w:iCs/>
                <w:color w:val="000000"/>
              </w:rPr>
              <w:t>(in millions)</w:t>
            </w:r>
          </w:p>
        </w:tc>
        <w:tc>
          <w:tcPr>
            <w:tcW w:w="1388" w:type="dxa"/>
            <w:shd w:val="clear" w:color="auto" w:fill="F1F1F1"/>
            <w:vAlign w:val="center"/>
            <w:hideMark/>
          </w:tcPr>
          <w:p w14:paraId="3218B73D" w14:textId="77777777" w:rsidR="00591AD7" w:rsidRPr="00A418AD" w:rsidRDefault="00591AD7" w:rsidP="00591AD7">
            <w:pPr>
              <w:widowControl/>
              <w:autoSpaceDE/>
              <w:autoSpaceDN/>
              <w:jc w:val="center"/>
              <w:rPr>
                <w:rFonts w:eastAsia="Times New Roman"/>
                <w:color w:val="000000"/>
              </w:rPr>
            </w:pPr>
            <w:r w:rsidRPr="00A418AD">
              <w:rPr>
                <w:rFonts w:eastAsia="Times New Roman"/>
                <w:color w:val="000000"/>
              </w:rPr>
              <w:t>Point Estimate</w:t>
            </w:r>
            <w:r w:rsidRPr="00A418AD">
              <w:rPr>
                <w:rFonts w:eastAsia="Times New Roman"/>
                <w:color w:val="000000"/>
              </w:rPr>
              <w:br/>
            </w:r>
            <w:r w:rsidRPr="63438141">
              <w:rPr>
                <w:rFonts w:eastAsia="Times New Roman"/>
                <w:i/>
                <w:iCs/>
                <w:color w:val="000000"/>
              </w:rPr>
              <w:t>(as % of Population Total)</w:t>
            </w:r>
          </w:p>
        </w:tc>
        <w:tc>
          <w:tcPr>
            <w:tcW w:w="1388" w:type="dxa"/>
            <w:shd w:val="clear" w:color="auto" w:fill="F1F1F1"/>
            <w:vAlign w:val="center"/>
            <w:hideMark/>
          </w:tcPr>
          <w:p w14:paraId="793A70C1" w14:textId="77777777" w:rsidR="00591AD7" w:rsidRPr="00A418AD" w:rsidRDefault="00591AD7" w:rsidP="00591AD7">
            <w:pPr>
              <w:widowControl/>
              <w:autoSpaceDE/>
              <w:autoSpaceDN/>
              <w:jc w:val="center"/>
              <w:rPr>
                <w:rFonts w:eastAsia="Times New Roman"/>
                <w:color w:val="000000"/>
              </w:rPr>
            </w:pPr>
            <w:r w:rsidRPr="00A418AD">
              <w:rPr>
                <w:rFonts w:eastAsia="Times New Roman"/>
                <w:color w:val="000000"/>
              </w:rPr>
              <w:t xml:space="preserve">Precision Rate </w:t>
            </w:r>
            <w:r w:rsidRPr="63438141">
              <w:rPr>
                <w:rFonts w:eastAsia="Times New Roman"/>
                <w:i/>
                <w:iCs/>
                <w:color w:val="000000"/>
              </w:rPr>
              <w:t xml:space="preserve">(as a % of Population Total) </w:t>
            </w:r>
            <w:r w:rsidRPr="00A418AD">
              <w:rPr>
                <w:rFonts w:eastAsia="Times New Roman"/>
                <w:color w:val="000000"/>
              </w:rPr>
              <w:t>based on 95% Confidence Interval</w:t>
            </w:r>
          </w:p>
        </w:tc>
      </w:tr>
      <w:tr w:rsidR="00591AD7" w:rsidRPr="00A418AD" w14:paraId="22174D20" w14:textId="77777777" w:rsidTr="0024636D">
        <w:trPr>
          <w:trHeight w:val="296"/>
        </w:trPr>
        <w:tc>
          <w:tcPr>
            <w:tcW w:w="1388" w:type="dxa"/>
            <w:shd w:val="clear" w:color="auto" w:fill="auto"/>
            <w:vAlign w:val="center"/>
            <w:hideMark/>
          </w:tcPr>
          <w:p w14:paraId="14D10DE7" w14:textId="6EE4BA16" w:rsidR="00591AD7" w:rsidRPr="0080083D" w:rsidRDefault="00591AD7" w:rsidP="00591AD7">
            <w:pPr>
              <w:widowControl/>
              <w:autoSpaceDE/>
              <w:autoSpaceDN/>
              <w:jc w:val="center"/>
              <w:rPr>
                <w:rFonts w:eastAsia="Times New Roman"/>
                <w:color w:val="000000" w:themeColor="text1"/>
              </w:rPr>
            </w:pPr>
            <w:r w:rsidRPr="0080083D">
              <w:rPr>
                <w:color w:val="000000" w:themeColor="text1"/>
              </w:rPr>
              <w:t>$</w:t>
            </w:r>
            <w:r w:rsidR="0056311F">
              <w:rPr>
                <w:color w:val="000000" w:themeColor="text1"/>
              </w:rPr>
              <w:t>.14</w:t>
            </w:r>
            <w:r w:rsidRPr="0080083D">
              <w:rPr>
                <w:color w:val="000000" w:themeColor="text1"/>
              </w:rPr>
              <w:t xml:space="preserve"> </w:t>
            </w:r>
          </w:p>
        </w:tc>
        <w:tc>
          <w:tcPr>
            <w:tcW w:w="1388" w:type="dxa"/>
            <w:shd w:val="clear" w:color="auto" w:fill="auto"/>
            <w:vAlign w:val="center"/>
            <w:hideMark/>
          </w:tcPr>
          <w:p w14:paraId="330F224C" w14:textId="57C3C6D1" w:rsidR="00591AD7" w:rsidRPr="0080083D" w:rsidRDefault="00591AD7" w:rsidP="00591AD7">
            <w:pPr>
              <w:widowControl/>
              <w:autoSpaceDE/>
              <w:autoSpaceDN/>
              <w:jc w:val="center"/>
              <w:rPr>
                <w:rFonts w:eastAsia="Times New Roman"/>
                <w:color w:val="000000" w:themeColor="text1"/>
              </w:rPr>
            </w:pPr>
            <w:r w:rsidRPr="0080083D">
              <w:rPr>
                <w:color w:val="000000" w:themeColor="text1"/>
              </w:rPr>
              <w:t>$0.</w:t>
            </w:r>
            <w:r w:rsidR="00D83BF6">
              <w:rPr>
                <w:color w:val="000000" w:themeColor="text1"/>
              </w:rPr>
              <w:t>136454</w:t>
            </w:r>
          </w:p>
        </w:tc>
        <w:tc>
          <w:tcPr>
            <w:tcW w:w="1388" w:type="dxa"/>
            <w:shd w:val="clear" w:color="auto" w:fill="auto"/>
            <w:vAlign w:val="center"/>
            <w:hideMark/>
          </w:tcPr>
          <w:p w14:paraId="66A38D1B" w14:textId="4109C075" w:rsidR="00591AD7" w:rsidRPr="0080083D" w:rsidRDefault="00591AD7" w:rsidP="00591AD7">
            <w:pPr>
              <w:widowControl/>
              <w:autoSpaceDE/>
              <w:autoSpaceDN/>
              <w:jc w:val="center"/>
              <w:rPr>
                <w:rFonts w:eastAsia="Times New Roman"/>
                <w:color w:val="000000" w:themeColor="text1"/>
              </w:rPr>
            </w:pPr>
            <w:r w:rsidRPr="0080083D">
              <w:rPr>
                <w:color w:val="000000" w:themeColor="text1"/>
              </w:rPr>
              <w:t>$0.00</w:t>
            </w:r>
            <w:r w:rsidR="000E7BB1">
              <w:rPr>
                <w:color w:val="000000" w:themeColor="text1"/>
              </w:rPr>
              <w:t>38</w:t>
            </w:r>
            <w:r w:rsidR="00932669">
              <w:rPr>
                <w:color w:val="000000" w:themeColor="text1"/>
              </w:rPr>
              <w:t>11</w:t>
            </w:r>
          </w:p>
        </w:tc>
        <w:tc>
          <w:tcPr>
            <w:tcW w:w="1388" w:type="dxa"/>
          </w:tcPr>
          <w:p w14:paraId="2B693A4C" w14:textId="1F1E0A5E" w:rsidR="00591AD7" w:rsidRPr="0080083D" w:rsidRDefault="0016786F" w:rsidP="00591AD7">
            <w:pPr>
              <w:widowControl/>
              <w:autoSpaceDE/>
              <w:autoSpaceDN/>
              <w:jc w:val="center"/>
              <w:rPr>
                <w:color w:val="000000" w:themeColor="text1"/>
              </w:rPr>
            </w:pPr>
            <w:r>
              <w:rPr>
                <w:color w:val="000000" w:themeColor="text1"/>
              </w:rPr>
              <w:t>$0</w:t>
            </w:r>
          </w:p>
        </w:tc>
        <w:tc>
          <w:tcPr>
            <w:tcW w:w="1388" w:type="dxa"/>
            <w:shd w:val="clear" w:color="auto" w:fill="auto"/>
            <w:vAlign w:val="center"/>
            <w:hideMark/>
          </w:tcPr>
          <w:p w14:paraId="7EEE4840" w14:textId="5E80737D" w:rsidR="00591AD7" w:rsidRPr="0080083D" w:rsidRDefault="00591AD7" w:rsidP="00591AD7">
            <w:pPr>
              <w:widowControl/>
              <w:autoSpaceDE/>
              <w:autoSpaceDN/>
              <w:jc w:val="center"/>
              <w:rPr>
                <w:rFonts w:eastAsia="Times New Roman"/>
                <w:color w:val="000000" w:themeColor="text1"/>
              </w:rPr>
            </w:pPr>
            <w:r w:rsidRPr="0080083D">
              <w:rPr>
                <w:color w:val="000000" w:themeColor="text1"/>
              </w:rPr>
              <w:t>$</w:t>
            </w:r>
            <w:r w:rsidR="0016786F">
              <w:rPr>
                <w:color w:val="000000" w:themeColor="text1"/>
              </w:rPr>
              <w:t>0</w:t>
            </w:r>
            <w:r w:rsidRPr="0080083D">
              <w:rPr>
                <w:color w:val="000000" w:themeColor="text1"/>
              </w:rPr>
              <w:t xml:space="preserve"> </w:t>
            </w:r>
          </w:p>
        </w:tc>
        <w:tc>
          <w:tcPr>
            <w:tcW w:w="1388" w:type="dxa"/>
            <w:shd w:val="clear" w:color="auto" w:fill="auto"/>
            <w:vAlign w:val="center"/>
            <w:hideMark/>
          </w:tcPr>
          <w:p w14:paraId="1656CCDE" w14:textId="77124D34" w:rsidR="00591AD7" w:rsidRPr="0080083D" w:rsidRDefault="00216794" w:rsidP="00591AD7">
            <w:pPr>
              <w:widowControl/>
              <w:autoSpaceDE/>
              <w:autoSpaceDN/>
              <w:jc w:val="center"/>
              <w:rPr>
                <w:rFonts w:eastAsia="Times New Roman"/>
                <w:color w:val="000000" w:themeColor="text1"/>
              </w:rPr>
            </w:pPr>
            <w:r>
              <w:rPr>
                <w:color w:val="000000" w:themeColor="text1"/>
              </w:rPr>
              <w:t>0.0002</w:t>
            </w:r>
            <w:r w:rsidR="00591AD7" w:rsidRPr="0080083D">
              <w:rPr>
                <w:color w:val="000000" w:themeColor="text1"/>
              </w:rPr>
              <w:t>%</w:t>
            </w:r>
          </w:p>
        </w:tc>
        <w:tc>
          <w:tcPr>
            <w:tcW w:w="1388" w:type="dxa"/>
            <w:shd w:val="clear" w:color="auto" w:fill="auto"/>
            <w:vAlign w:val="center"/>
            <w:hideMark/>
          </w:tcPr>
          <w:p w14:paraId="1AFE1FD1" w14:textId="1428A899" w:rsidR="00591AD7" w:rsidRPr="00D73DC6" w:rsidRDefault="00591AD7">
            <w:pPr>
              <w:widowControl/>
              <w:autoSpaceDE/>
              <w:autoSpaceDN/>
              <w:jc w:val="center"/>
              <w:rPr>
                <w:color w:val="000000" w:themeColor="text1"/>
              </w:rPr>
            </w:pPr>
            <w:r w:rsidRPr="0080083D">
              <w:rPr>
                <w:color w:val="000000" w:themeColor="text1"/>
              </w:rPr>
              <w:t xml:space="preserve">+/- </w:t>
            </w:r>
            <w:r w:rsidR="00B10DA9">
              <w:rPr>
                <w:color w:val="000000" w:themeColor="text1"/>
              </w:rPr>
              <w:t>5</w:t>
            </w:r>
            <w:r w:rsidR="6AE87CB7" w:rsidRPr="0080083D">
              <w:rPr>
                <w:color w:val="000000" w:themeColor="text1"/>
              </w:rPr>
              <w:t>%</w:t>
            </w:r>
          </w:p>
        </w:tc>
      </w:tr>
    </w:tbl>
    <w:p w14:paraId="12070459" w14:textId="20AE0543" w:rsidR="00D05A5E" w:rsidRPr="00D73DC6" w:rsidRDefault="00D05A5E">
      <w:pPr>
        <w:jc w:val="center"/>
        <w:rPr>
          <w:rFonts w:asciiTheme="minorHAnsi" w:hAnsiTheme="minorHAnsi" w:cstheme="minorBidi"/>
          <w:b/>
          <w:bCs/>
        </w:rPr>
      </w:pPr>
    </w:p>
    <w:p w14:paraId="16F9B485" w14:textId="76D8ADDA" w:rsidR="00AA6FE1" w:rsidRPr="00BD706A" w:rsidRDefault="00111629" w:rsidP="00D73DC6">
      <w:pPr>
        <w:pStyle w:val="NormalWeb"/>
        <w:rPr>
          <w:rFonts w:asciiTheme="minorHAnsi" w:hAnsiTheme="minorHAnsi" w:cstheme="minorHAnsi"/>
          <w:sz w:val="22"/>
          <w:szCs w:val="22"/>
        </w:rPr>
      </w:pPr>
      <w:r w:rsidRPr="00C61E6A">
        <w:rPr>
          <w:rFonts w:asciiTheme="minorHAnsi" w:hAnsiTheme="minorHAnsi" w:cstheme="minorHAnsi"/>
          <w:color w:val="000000"/>
          <w:sz w:val="22"/>
          <w:szCs w:val="22"/>
        </w:rPr>
        <w:t xml:space="preserve">For detailed information on </w:t>
      </w:r>
      <w:r w:rsidR="00374C99" w:rsidRPr="00BD706A">
        <w:rPr>
          <w:rFonts w:asciiTheme="minorHAnsi" w:hAnsiTheme="minorHAnsi" w:cstheme="minorHAnsi"/>
          <w:color w:val="000000"/>
          <w:sz w:val="22"/>
          <w:szCs w:val="22"/>
        </w:rPr>
        <w:t>Title</w:t>
      </w:r>
      <w:r w:rsidR="007D7685" w:rsidRPr="00BD706A">
        <w:rPr>
          <w:rFonts w:asciiTheme="minorHAnsi" w:hAnsiTheme="minorHAnsi" w:cstheme="minorHAnsi"/>
          <w:color w:val="000000"/>
          <w:sz w:val="22"/>
          <w:szCs w:val="22"/>
        </w:rPr>
        <w:t xml:space="preserve"> I, Part A</w:t>
      </w:r>
      <w:r w:rsidR="00374C99" w:rsidRPr="00BD706A">
        <w:rPr>
          <w:rFonts w:asciiTheme="minorHAnsi" w:hAnsiTheme="minorHAnsi" w:cstheme="minorHAnsi"/>
          <w:color w:val="000000"/>
          <w:sz w:val="22"/>
          <w:szCs w:val="22"/>
        </w:rPr>
        <w:t xml:space="preserve">, </w:t>
      </w:r>
      <w:r w:rsidR="00C13CE7" w:rsidRPr="00BD706A">
        <w:rPr>
          <w:rFonts w:asciiTheme="minorHAnsi" w:hAnsiTheme="minorHAnsi" w:cstheme="minorHAnsi"/>
          <w:color w:val="000000"/>
          <w:sz w:val="22"/>
          <w:szCs w:val="22"/>
        </w:rPr>
        <w:t>IDEA</w:t>
      </w:r>
      <w:r w:rsidRPr="00BD706A">
        <w:rPr>
          <w:rFonts w:asciiTheme="minorHAnsi" w:hAnsiTheme="minorHAnsi" w:cstheme="minorHAnsi"/>
          <w:color w:val="000000"/>
          <w:sz w:val="22"/>
          <w:szCs w:val="22"/>
        </w:rPr>
        <w:t xml:space="preserve">, and </w:t>
      </w:r>
      <w:r w:rsidR="00374C99" w:rsidRPr="00BD706A">
        <w:rPr>
          <w:rFonts w:asciiTheme="minorHAnsi" w:hAnsiTheme="minorHAnsi" w:cstheme="minorHAnsi"/>
          <w:color w:val="000000"/>
          <w:sz w:val="22"/>
          <w:szCs w:val="22"/>
        </w:rPr>
        <w:t>ESF</w:t>
      </w:r>
      <w:r w:rsidRPr="00BD706A">
        <w:rPr>
          <w:rFonts w:asciiTheme="minorHAnsi" w:hAnsiTheme="minorHAnsi" w:cstheme="minorHAnsi"/>
          <w:color w:val="000000"/>
          <w:sz w:val="22"/>
          <w:szCs w:val="22"/>
        </w:rPr>
        <w:t xml:space="preserve"> improper payment estimates in FY 202</w:t>
      </w:r>
      <w:r w:rsidR="00991BCF">
        <w:rPr>
          <w:rFonts w:asciiTheme="minorHAnsi" w:hAnsiTheme="minorHAnsi" w:cstheme="minorHAnsi"/>
          <w:color w:val="000000"/>
          <w:sz w:val="22"/>
          <w:szCs w:val="22"/>
        </w:rPr>
        <w:t>3</w:t>
      </w:r>
      <w:r w:rsidRPr="00BD706A">
        <w:rPr>
          <w:rFonts w:asciiTheme="minorHAnsi" w:hAnsiTheme="minorHAnsi" w:cstheme="minorHAnsi"/>
          <w:color w:val="000000"/>
          <w:sz w:val="22"/>
          <w:szCs w:val="22"/>
        </w:rPr>
        <w:t xml:space="preserve"> and prior years, please visit </w:t>
      </w:r>
      <w:hyperlink r:id="rId13" w:history="1">
        <w:r w:rsidRPr="0024636D">
          <w:rPr>
            <w:rStyle w:val="Hyperlink"/>
            <w:rFonts w:asciiTheme="minorHAnsi" w:hAnsiTheme="minorHAnsi" w:cstheme="minorHAnsi"/>
            <w:sz w:val="22"/>
            <w:szCs w:val="22"/>
          </w:rPr>
          <w:t>https://paymentaccuracy.gov</w:t>
        </w:r>
      </w:hyperlink>
      <w:r w:rsidRPr="00C61E6A">
        <w:rPr>
          <w:rFonts w:asciiTheme="minorHAnsi" w:hAnsiTheme="minorHAnsi" w:cstheme="minorHAnsi"/>
          <w:color w:val="000000"/>
          <w:sz w:val="22"/>
          <w:szCs w:val="22"/>
        </w:rPr>
        <w:t>.</w:t>
      </w:r>
      <w:bookmarkStart w:id="6" w:name="Immediate_Aid_to_Restart_School_Operatio"/>
      <w:bookmarkStart w:id="7" w:name="Temporary_Emergency_Impact_Aid_for_Displ"/>
      <w:bookmarkStart w:id="8" w:name="Emergency_Assistance_to_Institutions_of_"/>
      <w:bookmarkEnd w:id="6"/>
      <w:bookmarkEnd w:id="7"/>
      <w:bookmarkEnd w:id="8"/>
    </w:p>
    <w:sectPr w:rsidR="00AA6FE1" w:rsidRPr="00BD706A" w:rsidSect="001E205C">
      <w:footerReference w:type="default" r:id="rId14"/>
      <w:type w:val="continuous"/>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7111" w14:textId="77777777" w:rsidR="00EA4187" w:rsidRDefault="00EA4187">
      <w:r>
        <w:separator/>
      </w:r>
    </w:p>
  </w:endnote>
  <w:endnote w:type="continuationSeparator" w:id="0">
    <w:p w14:paraId="685B6A1B" w14:textId="77777777" w:rsidR="00EA4187" w:rsidRDefault="00EA4187">
      <w:r>
        <w:continuationSeparator/>
      </w:r>
    </w:p>
  </w:endnote>
  <w:endnote w:type="continuationNotice" w:id="1">
    <w:p w14:paraId="7732073F" w14:textId="77777777" w:rsidR="00EA4187" w:rsidRDefault="00EA4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Cambria"/>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2358" w14:textId="1FA92D6D" w:rsidR="005E3A78" w:rsidRDefault="005E3A78">
    <w:pPr>
      <w:pStyle w:val="NormalWeb"/>
      <w:spacing w:line="14" w:lineRule="auto"/>
      <w:rPr>
        <w:rFonts w:asciiTheme="minorHAnsi" w:hAnsiTheme="minorHAnsi" w:cstheme="minorBidi"/>
        <w:color w:val="000000" w:themeColor="text1"/>
        <w:sz w:val="22"/>
        <w:szCs w:val="22"/>
      </w:rPr>
    </w:pPr>
  </w:p>
  <w:p w14:paraId="11CA367C" w14:textId="77777777" w:rsidR="005E3A78" w:rsidRDefault="005E3A78">
    <w:pPr>
      <w:pStyle w:val="NormalWeb"/>
      <w:spacing w:line="14" w:lineRule="auto"/>
      <w:rPr>
        <w:rFonts w:asciiTheme="minorHAnsi" w:hAnsiTheme="minorHAnsi" w:cstheme="minorBidi"/>
        <w:color w:val="000000" w:themeColor="text1"/>
        <w:sz w:val="22"/>
        <w:szCs w:val="22"/>
      </w:rPr>
    </w:pPr>
  </w:p>
  <w:p w14:paraId="29A4A841" w14:textId="77777777" w:rsidR="005E3A78" w:rsidRDefault="005E3A78">
    <w:pPr>
      <w:pStyle w:val="NormalWeb"/>
      <w:spacing w:line="14" w:lineRule="auto"/>
      <w:rPr>
        <w:rFonts w:asciiTheme="minorHAnsi" w:hAnsiTheme="minorHAnsi" w:cstheme="minorBidi"/>
        <w:color w:val="000000" w:themeColor="text1"/>
        <w:sz w:val="22"/>
        <w:szCs w:val="22"/>
      </w:rPr>
    </w:pPr>
  </w:p>
  <w:p w14:paraId="635B415C" w14:textId="77777777" w:rsidR="005E3A78" w:rsidRDefault="005E3A78">
    <w:pPr>
      <w:pStyle w:val="NormalWeb"/>
      <w:spacing w:line="14" w:lineRule="auto"/>
      <w:rPr>
        <w:rFonts w:asciiTheme="minorHAnsi" w:hAnsiTheme="minorHAnsi" w:cstheme="minorBidi"/>
        <w:color w:val="000000" w:themeColor="text1"/>
        <w:sz w:val="22"/>
        <w:szCs w:val="22"/>
      </w:rPr>
    </w:pPr>
  </w:p>
  <w:p w14:paraId="4A7EE628" w14:textId="77777777" w:rsidR="005E3A78" w:rsidRDefault="005E3A78">
    <w:pPr>
      <w:pStyle w:val="NormalWeb"/>
      <w:spacing w:line="14" w:lineRule="auto"/>
      <w:rPr>
        <w:rFonts w:asciiTheme="minorHAnsi" w:hAnsiTheme="minorHAnsi" w:cstheme="minorBidi"/>
        <w:color w:val="000000" w:themeColor="text1"/>
        <w:sz w:val="22"/>
        <w:szCs w:val="22"/>
      </w:rPr>
    </w:pPr>
  </w:p>
  <w:p w14:paraId="037FC72E" w14:textId="77777777" w:rsidR="005E3A78" w:rsidRDefault="005E3A78">
    <w:pPr>
      <w:pStyle w:val="NormalWeb"/>
      <w:spacing w:line="14" w:lineRule="auto"/>
      <w:rPr>
        <w:rFonts w:asciiTheme="minorHAnsi" w:hAnsiTheme="minorHAnsi" w:cstheme="minorBidi"/>
        <w:color w:val="000000" w:themeColor="text1"/>
        <w:sz w:val="22"/>
        <w:szCs w:val="22"/>
      </w:rPr>
    </w:pPr>
  </w:p>
  <w:p w14:paraId="68AFDDB7" w14:textId="77777777" w:rsidR="005E3A78" w:rsidRDefault="005E3A78">
    <w:pPr>
      <w:pStyle w:val="NormalWeb"/>
      <w:spacing w:line="14" w:lineRule="auto"/>
      <w:rPr>
        <w:rFonts w:asciiTheme="minorHAnsi" w:hAnsiTheme="minorHAnsi" w:cstheme="minorBidi"/>
        <w:color w:val="000000" w:themeColor="text1"/>
        <w:sz w:val="22"/>
        <w:szCs w:val="22"/>
      </w:rPr>
    </w:pPr>
  </w:p>
  <w:p w14:paraId="16F9B485" w14:textId="01FEC479" w:rsidR="00B0266D" w:rsidRPr="00D73DC6" w:rsidRDefault="00B0266D" w:rsidP="00D73DC6">
    <w:pPr>
      <w:pStyle w:val="NormalWeb"/>
      <w:spacing w:line="14" w:lineRule="auto"/>
      <w:rPr>
        <w:rFonts w:ascii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B295" w14:textId="77777777" w:rsidR="00EA4187" w:rsidRDefault="00EA4187">
      <w:r>
        <w:separator/>
      </w:r>
    </w:p>
  </w:footnote>
  <w:footnote w:type="continuationSeparator" w:id="0">
    <w:p w14:paraId="64136BA8" w14:textId="77777777" w:rsidR="00EA4187" w:rsidRDefault="00EA4187">
      <w:r>
        <w:continuationSeparator/>
      </w:r>
    </w:p>
  </w:footnote>
  <w:footnote w:type="continuationNotice" w:id="1">
    <w:p w14:paraId="6072F062" w14:textId="77777777" w:rsidR="00EA4187" w:rsidRDefault="00EA41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704"/>
    <w:multiLevelType w:val="hybridMultilevel"/>
    <w:tmpl w:val="42FAFD06"/>
    <w:lvl w:ilvl="0" w:tplc="8732EEE6">
      <w:start w:val="1"/>
      <w:numFmt w:val="decimal"/>
      <w:lvlText w:val="%1."/>
      <w:lvlJc w:val="left"/>
      <w:pPr>
        <w:ind w:left="839" w:hanging="361"/>
      </w:pPr>
      <w:rPr>
        <w:rFonts w:ascii="Calibri" w:eastAsia="Calibri" w:hAnsi="Calibri" w:cs="Calibri" w:hint="default"/>
        <w:b w:val="0"/>
        <w:bCs w:val="0"/>
        <w:i w:val="0"/>
        <w:iCs w:val="0"/>
        <w:w w:val="99"/>
        <w:sz w:val="22"/>
        <w:szCs w:val="22"/>
        <w:lang w:val="en-US" w:eastAsia="en-US" w:bidi="ar-SA"/>
      </w:rPr>
    </w:lvl>
    <w:lvl w:ilvl="1" w:tplc="80E6708A">
      <w:numFmt w:val="bullet"/>
      <w:lvlText w:val="•"/>
      <w:lvlJc w:val="left"/>
      <w:pPr>
        <w:ind w:left="1858" w:hanging="361"/>
      </w:pPr>
      <w:rPr>
        <w:rFonts w:hint="default"/>
        <w:lang w:val="en-US" w:eastAsia="en-US" w:bidi="ar-SA"/>
      </w:rPr>
    </w:lvl>
    <w:lvl w:ilvl="2" w:tplc="CC2A18C6">
      <w:numFmt w:val="bullet"/>
      <w:lvlText w:val="•"/>
      <w:lvlJc w:val="left"/>
      <w:pPr>
        <w:ind w:left="2876" w:hanging="361"/>
      </w:pPr>
      <w:rPr>
        <w:rFonts w:hint="default"/>
        <w:lang w:val="en-US" w:eastAsia="en-US" w:bidi="ar-SA"/>
      </w:rPr>
    </w:lvl>
    <w:lvl w:ilvl="3" w:tplc="C512E0F0">
      <w:numFmt w:val="bullet"/>
      <w:lvlText w:val="•"/>
      <w:lvlJc w:val="left"/>
      <w:pPr>
        <w:ind w:left="3894" w:hanging="361"/>
      </w:pPr>
      <w:rPr>
        <w:rFonts w:hint="default"/>
        <w:lang w:val="en-US" w:eastAsia="en-US" w:bidi="ar-SA"/>
      </w:rPr>
    </w:lvl>
    <w:lvl w:ilvl="4" w:tplc="0C520D62">
      <w:numFmt w:val="bullet"/>
      <w:lvlText w:val="•"/>
      <w:lvlJc w:val="left"/>
      <w:pPr>
        <w:ind w:left="4912" w:hanging="361"/>
      </w:pPr>
      <w:rPr>
        <w:rFonts w:hint="default"/>
        <w:lang w:val="en-US" w:eastAsia="en-US" w:bidi="ar-SA"/>
      </w:rPr>
    </w:lvl>
    <w:lvl w:ilvl="5" w:tplc="C08C4ACE">
      <w:numFmt w:val="bullet"/>
      <w:lvlText w:val="•"/>
      <w:lvlJc w:val="left"/>
      <w:pPr>
        <w:ind w:left="5930" w:hanging="361"/>
      </w:pPr>
      <w:rPr>
        <w:rFonts w:hint="default"/>
        <w:lang w:val="en-US" w:eastAsia="en-US" w:bidi="ar-SA"/>
      </w:rPr>
    </w:lvl>
    <w:lvl w:ilvl="6" w:tplc="2D06AAFA">
      <w:numFmt w:val="bullet"/>
      <w:lvlText w:val="•"/>
      <w:lvlJc w:val="left"/>
      <w:pPr>
        <w:ind w:left="6948" w:hanging="361"/>
      </w:pPr>
      <w:rPr>
        <w:rFonts w:hint="default"/>
        <w:lang w:val="en-US" w:eastAsia="en-US" w:bidi="ar-SA"/>
      </w:rPr>
    </w:lvl>
    <w:lvl w:ilvl="7" w:tplc="CC128B02">
      <w:numFmt w:val="bullet"/>
      <w:lvlText w:val="•"/>
      <w:lvlJc w:val="left"/>
      <w:pPr>
        <w:ind w:left="7966" w:hanging="361"/>
      </w:pPr>
      <w:rPr>
        <w:rFonts w:hint="default"/>
        <w:lang w:val="en-US" w:eastAsia="en-US" w:bidi="ar-SA"/>
      </w:rPr>
    </w:lvl>
    <w:lvl w:ilvl="8" w:tplc="5BD0B92A">
      <w:numFmt w:val="bullet"/>
      <w:lvlText w:val="•"/>
      <w:lvlJc w:val="left"/>
      <w:pPr>
        <w:ind w:left="8984" w:hanging="361"/>
      </w:pPr>
      <w:rPr>
        <w:rFonts w:hint="default"/>
        <w:lang w:val="en-US" w:eastAsia="en-US" w:bidi="ar-SA"/>
      </w:rPr>
    </w:lvl>
  </w:abstractNum>
  <w:abstractNum w:abstractNumId="1" w15:restartNumberingAfterBreak="0">
    <w:nsid w:val="082C1EBF"/>
    <w:multiLevelType w:val="hybridMultilevel"/>
    <w:tmpl w:val="98E8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E3101"/>
    <w:multiLevelType w:val="hybridMultilevel"/>
    <w:tmpl w:val="5AD87BEC"/>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72FB7"/>
    <w:multiLevelType w:val="hybridMultilevel"/>
    <w:tmpl w:val="770C6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63819"/>
    <w:multiLevelType w:val="hybridMultilevel"/>
    <w:tmpl w:val="87647D4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7C0334"/>
    <w:multiLevelType w:val="hybridMultilevel"/>
    <w:tmpl w:val="38E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B3B06"/>
    <w:multiLevelType w:val="hybridMultilevel"/>
    <w:tmpl w:val="1CC6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80B3A"/>
    <w:multiLevelType w:val="hybridMultilevel"/>
    <w:tmpl w:val="C104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625AD"/>
    <w:multiLevelType w:val="hybridMultilevel"/>
    <w:tmpl w:val="10F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5675A"/>
    <w:multiLevelType w:val="hybridMultilevel"/>
    <w:tmpl w:val="42FAFD06"/>
    <w:lvl w:ilvl="0" w:tplc="FFFFFFFF">
      <w:start w:val="1"/>
      <w:numFmt w:val="decimal"/>
      <w:lvlText w:val="%1."/>
      <w:lvlJc w:val="left"/>
      <w:pPr>
        <w:ind w:left="839" w:hanging="361"/>
      </w:pPr>
      <w:rPr>
        <w:rFonts w:ascii="Calibri" w:eastAsia="Calibri" w:hAnsi="Calibri" w:cs="Calibri" w:hint="default"/>
        <w:b w:val="0"/>
        <w:bCs w:val="0"/>
        <w:i w:val="0"/>
        <w:iCs w:val="0"/>
        <w:w w:val="99"/>
        <w:sz w:val="22"/>
        <w:szCs w:val="22"/>
        <w:lang w:val="en-US" w:eastAsia="en-US" w:bidi="ar-SA"/>
      </w:rPr>
    </w:lvl>
    <w:lvl w:ilvl="1" w:tplc="FFFFFFFF">
      <w:numFmt w:val="bullet"/>
      <w:lvlText w:val="•"/>
      <w:lvlJc w:val="left"/>
      <w:pPr>
        <w:ind w:left="1858" w:hanging="361"/>
      </w:pPr>
      <w:rPr>
        <w:rFonts w:hint="default"/>
        <w:lang w:val="en-US" w:eastAsia="en-US" w:bidi="ar-SA"/>
      </w:rPr>
    </w:lvl>
    <w:lvl w:ilvl="2" w:tplc="FFFFFFFF">
      <w:numFmt w:val="bullet"/>
      <w:lvlText w:val="•"/>
      <w:lvlJc w:val="left"/>
      <w:pPr>
        <w:ind w:left="2876" w:hanging="361"/>
      </w:pPr>
      <w:rPr>
        <w:rFonts w:hint="default"/>
        <w:lang w:val="en-US" w:eastAsia="en-US" w:bidi="ar-SA"/>
      </w:rPr>
    </w:lvl>
    <w:lvl w:ilvl="3" w:tplc="FFFFFFFF">
      <w:numFmt w:val="bullet"/>
      <w:lvlText w:val="•"/>
      <w:lvlJc w:val="left"/>
      <w:pPr>
        <w:ind w:left="3894" w:hanging="361"/>
      </w:pPr>
      <w:rPr>
        <w:rFonts w:hint="default"/>
        <w:lang w:val="en-US" w:eastAsia="en-US" w:bidi="ar-SA"/>
      </w:rPr>
    </w:lvl>
    <w:lvl w:ilvl="4" w:tplc="FFFFFFFF">
      <w:numFmt w:val="bullet"/>
      <w:lvlText w:val="•"/>
      <w:lvlJc w:val="left"/>
      <w:pPr>
        <w:ind w:left="4912" w:hanging="361"/>
      </w:pPr>
      <w:rPr>
        <w:rFonts w:hint="default"/>
        <w:lang w:val="en-US" w:eastAsia="en-US" w:bidi="ar-SA"/>
      </w:rPr>
    </w:lvl>
    <w:lvl w:ilvl="5" w:tplc="FFFFFFFF">
      <w:numFmt w:val="bullet"/>
      <w:lvlText w:val="•"/>
      <w:lvlJc w:val="left"/>
      <w:pPr>
        <w:ind w:left="5930" w:hanging="361"/>
      </w:pPr>
      <w:rPr>
        <w:rFonts w:hint="default"/>
        <w:lang w:val="en-US" w:eastAsia="en-US" w:bidi="ar-SA"/>
      </w:rPr>
    </w:lvl>
    <w:lvl w:ilvl="6" w:tplc="FFFFFFFF">
      <w:numFmt w:val="bullet"/>
      <w:lvlText w:val="•"/>
      <w:lvlJc w:val="left"/>
      <w:pPr>
        <w:ind w:left="6948" w:hanging="361"/>
      </w:pPr>
      <w:rPr>
        <w:rFonts w:hint="default"/>
        <w:lang w:val="en-US" w:eastAsia="en-US" w:bidi="ar-SA"/>
      </w:rPr>
    </w:lvl>
    <w:lvl w:ilvl="7" w:tplc="FFFFFFFF">
      <w:numFmt w:val="bullet"/>
      <w:lvlText w:val="•"/>
      <w:lvlJc w:val="left"/>
      <w:pPr>
        <w:ind w:left="7966" w:hanging="361"/>
      </w:pPr>
      <w:rPr>
        <w:rFonts w:hint="default"/>
        <w:lang w:val="en-US" w:eastAsia="en-US" w:bidi="ar-SA"/>
      </w:rPr>
    </w:lvl>
    <w:lvl w:ilvl="8" w:tplc="FFFFFFFF">
      <w:numFmt w:val="bullet"/>
      <w:lvlText w:val="•"/>
      <w:lvlJc w:val="left"/>
      <w:pPr>
        <w:ind w:left="8984" w:hanging="361"/>
      </w:pPr>
      <w:rPr>
        <w:rFonts w:hint="default"/>
        <w:lang w:val="en-US" w:eastAsia="en-US" w:bidi="ar-SA"/>
      </w:rPr>
    </w:lvl>
  </w:abstractNum>
  <w:num w:numId="1" w16cid:durableId="2129733393">
    <w:abstractNumId w:val="0"/>
  </w:num>
  <w:num w:numId="2" w16cid:durableId="1802384860">
    <w:abstractNumId w:val="9"/>
  </w:num>
  <w:num w:numId="3" w16cid:durableId="465658063">
    <w:abstractNumId w:val="7"/>
  </w:num>
  <w:num w:numId="4" w16cid:durableId="1913273485">
    <w:abstractNumId w:val="1"/>
  </w:num>
  <w:num w:numId="5" w16cid:durableId="952979443">
    <w:abstractNumId w:val="3"/>
  </w:num>
  <w:num w:numId="6" w16cid:durableId="1573008341">
    <w:abstractNumId w:val="5"/>
  </w:num>
  <w:num w:numId="7" w16cid:durableId="70741347">
    <w:abstractNumId w:val="8"/>
  </w:num>
  <w:num w:numId="8" w16cid:durableId="1421414094">
    <w:abstractNumId w:val="4"/>
  </w:num>
  <w:num w:numId="9" w16cid:durableId="1748377713">
    <w:abstractNumId w:val="6"/>
  </w:num>
  <w:num w:numId="10" w16cid:durableId="1268536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6D"/>
    <w:rsid w:val="000042E0"/>
    <w:rsid w:val="0000590A"/>
    <w:rsid w:val="0001602E"/>
    <w:rsid w:val="00051877"/>
    <w:rsid w:val="00060F93"/>
    <w:rsid w:val="0006229F"/>
    <w:rsid w:val="0007417F"/>
    <w:rsid w:val="00094845"/>
    <w:rsid w:val="000A072C"/>
    <w:rsid w:val="000A20AC"/>
    <w:rsid w:val="000B7554"/>
    <w:rsid w:val="000C21EE"/>
    <w:rsid w:val="000E71F6"/>
    <w:rsid w:val="000E7BB1"/>
    <w:rsid w:val="00111629"/>
    <w:rsid w:val="0013116B"/>
    <w:rsid w:val="0013404B"/>
    <w:rsid w:val="00146F1D"/>
    <w:rsid w:val="00150F44"/>
    <w:rsid w:val="00152137"/>
    <w:rsid w:val="00161F98"/>
    <w:rsid w:val="00166EDE"/>
    <w:rsid w:val="00167793"/>
    <w:rsid w:val="0016786F"/>
    <w:rsid w:val="00170196"/>
    <w:rsid w:val="001C4248"/>
    <w:rsid w:val="001D1907"/>
    <w:rsid w:val="001D47D1"/>
    <w:rsid w:val="001E205C"/>
    <w:rsid w:val="002067A1"/>
    <w:rsid w:val="0021500E"/>
    <w:rsid w:val="00216794"/>
    <w:rsid w:val="002201C1"/>
    <w:rsid w:val="00235658"/>
    <w:rsid w:val="002434BE"/>
    <w:rsid w:val="0024636D"/>
    <w:rsid w:val="00247AD4"/>
    <w:rsid w:val="00250C38"/>
    <w:rsid w:val="00277CCE"/>
    <w:rsid w:val="002B0AFB"/>
    <w:rsid w:val="002B4122"/>
    <w:rsid w:val="002C7703"/>
    <w:rsid w:val="002D38A2"/>
    <w:rsid w:val="00300369"/>
    <w:rsid w:val="00331AB1"/>
    <w:rsid w:val="0034280A"/>
    <w:rsid w:val="00361CA7"/>
    <w:rsid w:val="00365816"/>
    <w:rsid w:val="00374C99"/>
    <w:rsid w:val="00381E6C"/>
    <w:rsid w:val="00391FA1"/>
    <w:rsid w:val="00397887"/>
    <w:rsid w:val="003A2689"/>
    <w:rsid w:val="003B38A5"/>
    <w:rsid w:val="003E4630"/>
    <w:rsid w:val="003F03E7"/>
    <w:rsid w:val="003F212D"/>
    <w:rsid w:val="003F546F"/>
    <w:rsid w:val="003F7716"/>
    <w:rsid w:val="004001C0"/>
    <w:rsid w:val="00402412"/>
    <w:rsid w:val="00402A2A"/>
    <w:rsid w:val="004129AD"/>
    <w:rsid w:val="004140CB"/>
    <w:rsid w:val="004270F6"/>
    <w:rsid w:val="00437BC0"/>
    <w:rsid w:val="004674CC"/>
    <w:rsid w:val="00490EA4"/>
    <w:rsid w:val="004B4B33"/>
    <w:rsid w:val="004C3791"/>
    <w:rsid w:val="004D6F0C"/>
    <w:rsid w:val="004E3088"/>
    <w:rsid w:val="004E45E2"/>
    <w:rsid w:val="004F5A34"/>
    <w:rsid w:val="00510A40"/>
    <w:rsid w:val="00536AD5"/>
    <w:rsid w:val="0053779D"/>
    <w:rsid w:val="00542525"/>
    <w:rsid w:val="00545E4A"/>
    <w:rsid w:val="0055013C"/>
    <w:rsid w:val="00552D4C"/>
    <w:rsid w:val="005611E6"/>
    <w:rsid w:val="0056311F"/>
    <w:rsid w:val="00563345"/>
    <w:rsid w:val="00564919"/>
    <w:rsid w:val="00572055"/>
    <w:rsid w:val="00573877"/>
    <w:rsid w:val="00590E74"/>
    <w:rsid w:val="00591AD7"/>
    <w:rsid w:val="00592E98"/>
    <w:rsid w:val="00593E05"/>
    <w:rsid w:val="005A4947"/>
    <w:rsid w:val="005C37B5"/>
    <w:rsid w:val="005C5246"/>
    <w:rsid w:val="005D5331"/>
    <w:rsid w:val="005E3A78"/>
    <w:rsid w:val="005E3E0A"/>
    <w:rsid w:val="006153D4"/>
    <w:rsid w:val="006315CF"/>
    <w:rsid w:val="00634FE9"/>
    <w:rsid w:val="00642BEB"/>
    <w:rsid w:val="0064330C"/>
    <w:rsid w:val="00657323"/>
    <w:rsid w:val="00660A0A"/>
    <w:rsid w:val="0066350C"/>
    <w:rsid w:val="00665625"/>
    <w:rsid w:val="00680447"/>
    <w:rsid w:val="006A4DF6"/>
    <w:rsid w:val="006C11CD"/>
    <w:rsid w:val="006C3751"/>
    <w:rsid w:val="006C6EF2"/>
    <w:rsid w:val="006E2698"/>
    <w:rsid w:val="007077F8"/>
    <w:rsid w:val="00716E73"/>
    <w:rsid w:val="00717E13"/>
    <w:rsid w:val="00717F5F"/>
    <w:rsid w:val="0072678D"/>
    <w:rsid w:val="00726D84"/>
    <w:rsid w:val="00751BF6"/>
    <w:rsid w:val="00765980"/>
    <w:rsid w:val="00771B93"/>
    <w:rsid w:val="00796B7B"/>
    <w:rsid w:val="007C7F97"/>
    <w:rsid w:val="007D7685"/>
    <w:rsid w:val="007F3E12"/>
    <w:rsid w:val="0080083D"/>
    <w:rsid w:val="00811C76"/>
    <w:rsid w:val="00812AEC"/>
    <w:rsid w:val="00813FDE"/>
    <w:rsid w:val="00831CB2"/>
    <w:rsid w:val="00841F4B"/>
    <w:rsid w:val="0084416E"/>
    <w:rsid w:val="00853F71"/>
    <w:rsid w:val="00854AC0"/>
    <w:rsid w:val="00855A1B"/>
    <w:rsid w:val="00871908"/>
    <w:rsid w:val="0087360C"/>
    <w:rsid w:val="008738EE"/>
    <w:rsid w:val="008945AB"/>
    <w:rsid w:val="0089591E"/>
    <w:rsid w:val="00897520"/>
    <w:rsid w:val="008D3343"/>
    <w:rsid w:val="008E78D5"/>
    <w:rsid w:val="00930AE9"/>
    <w:rsid w:val="00932669"/>
    <w:rsid w:val="009326C5"/>
    <w:rsid w:val="00972953"/>
    <w:rsid w:val="00991BCF"/>
    <w:rsid w:val="009D153B"/>
    <w:rsid w:val="009F7224"/>
    <w:rsid w:val="00A003CD"/>
    <w:rsid w:val="00A201E3"/>
    <w:rsid w:val="00A30755"/>
    <w:rsid w:val="00A33012"/>
    <w:rsid w:val="00A418AD"/>
    <w:rsid w:val="00A42BE8"/>
    <w:rsid w:val="00A6474A"/>
    <w:rsid w:val="00A70B41"/>
    <w:rsid w:val="00AA6FE1"/>
    <w:rsid w:val="00AB2312"/>
    <w:rsid w:val="00AB5079"/>
    <w:rsid w:val="00AC3B19"/>
    <w:rsid w:val="00AD6A55"/>
    <w:rsid w:val="00AE7F65"/>
    <w:rsid w:val="00B000A0"/>
    <w:rsid w:val="00B0266D"/>
    <w:rsid w:val="00B10DA9"/>
    <w:rsid w:val="00B17D3E"/>
    <w:rsid w:val="00B24B1A"/>
    <w:rsid w:val="00B25E2D"/>
    <w:rsid w:val="00B2702D"/>
    <w:rsid w:val="00B4268E"/>
    <w:rsid w:val="00B81AA6"/>
    <w:rsid w:val="00B87BEC"/>
    <w:rsid w:val="00B90DE4"/>
    <w:rsid w:val="00BD28DD"/>
    <w:rsid w:val="00BD706A"/>
    <w:rsid w:val="00BF4D5F"/>
    <w:rsid w:val="00C058BB"/>
    <w:rsid w:val="00C13CE7"/>
    <w:rsid w:val="00C229B4"/>
    <w:rsid w:val="00C350E1"/>
    <w:rsid w:val="00C36168"/>
    <w:rsid w:val="00C5019F"/>
    <w:rsid w:val="00C61E6A"/>
    <w:rsid w:val="00C7000A"/>
    <w:rsid w:val="00C84BCA"/>
    <w:rsid w:val="00C904E6"/>
    <w:rsid w:val="00C93F26"/>
    <w:rsid w:val="00CC7A41"/>
    <w:rsid w:val="00CD2384"/>
    <w:rsid w:val="00CD269C"/>
    <w:rsid w:val="00CE2536"/>
    <w:rsid w:val="00CE3337"/>
    <w:rsid w:val="00CE587E"/>
    <w:rsid w:val="00CE651A"/>
    <w:rsid w:val="00D05A5E"/>
    <w:rsid w:val="00D41E4B"/>
    <w:rsid w:val="00D41FCD"/>
    <w:rsid w:val="00D432E1"/>
    <w:rsid w:val="00D503E2"/>
    <w:rsid w:val="00D616DA"/>
    <w:rsid w:val="00D61D29"/>
    <w:rsid w:val="00D73DC6"/>
    <w:rsid w:val="00D810C1"/>
    <w:rsid w:val="00D83BF6"/>
    <w:rsid w:val="00D87F2F"/>
    <w:rsid w:val="00D964BB"/>
    <w:rsid w:val="00DB678B"/>
    <w:rsid w:val="00DF058E"/>
    <w:rsid w:val="00E25B1E"/>
    <w:rsid w:val="00E3479D"/>
    <w:rsid w:val="00E51FF1"/>
    <w:rsid w:val="00E83AFD"/>
    <w:rsid w:val="00E90578"/>
    <w:rsid w:val="00E9437B"/>
    <w:rsid w:val="00EA4187"/>
    <w:rsid w:val="00EB1A30"/>
    <w:rsid w:val="00EC3704"/>
    <w:rsid w:val="00EF627A"/>
    <w:rsid w:val="00F011CE"/>
    <w:rsid w:val="00F166E7"/>
    <w:rsid w:val="00F17FBF"/>
    <w:rsid w:val="00F314E4"/>
    <w:rsid w:val="00F506C1"/>
    <w:rsid w:val="00F52E7F"/>
    <w:rsid w:val="00F64546"/>
    <w:rsid w:val="00F65A42"/>
    <w:rsid w:val="00F92F02"/>
    <w:rsid w:val="00FA720E"/>
    <w:rsid w:val="00FB1CCA"/>
    <w:rsid w:val="00FC3EAD"/>
    <w:rsid w:val="00FD3F3B"/>
    <w:rsid w:val="00FE100F"/>
    <w:rsid w:val="00FE3D73"/>
    <w:rsid w:val="01B7E45C"/>
    <w:rsid w:val="03F1802C"/>
    <w:rsid w:val="062EE465"/>
    <w:rsid w:val="078A14A8"/>
    <w:rsid w:val="0A922B17"/>
    <w:rsid w:val="0CBA15CA"/>
    <w:rsid w:val="0CD32C19"/>
    <w:rsid w:val="0D1A7E06"/>
    <w:rsid w:val="0D53DCBE"/>
    <w:rsid w:val="0EA4B0D0"/>
    <w:rsid w:val="0F213CE1"/>
    <w:rsid w:val="0FDC1373"/>
    <w:rsid w:val="1304FE92"/>
    <w:rsid w:val="13D9F49B"/>
    <w:rsid w:val="14040073"/>
    <w:rsid w:val="1440A6DD"/>
    <w:rsid w:val="14863348"/>
    <w:rsid w:val="15CA463C"/>
    <w:rsid w:val="15F4475D"/>
    <w:rsid w:val="16B26102"/>
    <w:rsid w:val="17D6284A"/>
    <w:rsid w:val="19244742"/>
    <w:rsid w:val="1D4BD1A8"/>
    <w:rsid w:val="1EAE2617"/>
    <w:rsid w:val="1ED4E1F0"/>
    <w:rsid w:val="1F377172"/>
    <w:rsid w:val="1F69E2D3"/>
    <w:rsid w:val="1FE36B6F"/>
    <w:rsid w:val="20BEAF8B"/>
    <w:rsid w:val="22861BAD"/>
    <w:rsid w:val="23637DE2"/>
    <w:rsid w:val="23A0F2D2"/>
    <w:rsid w:val="25B6ED46"/>
    <w:rsid w:val="265B270F"/>
    <w:rsid w:val="27D0A23B"/>
    <w:rsid w:val="2A8B9EE7"/>
    <w:rsid w:val="2C1A66C7"/>
    <w:rsid w:val="2C371688"/>
    <w:rsid w:val="2D08AFE8"/>
    <w:rsid w:val="2EF1FF91"/>
    <w:rsid w:val="2FDE6406"/>
    <w:rsid w:val="2FF32002"/>
    <w:rsid w:val="3011C89F"/>
    <w:rsid w:val="30268FAE"/>
    <w:rsid w:val="327289E6"/>
    <w:rsid w:val="328D78AB"/>
    <w:rsid w:val="3362D831"/>
    <w:rsid w:val="342964B7"/>
    <w:rsid w:val="35B4106C"/>
    <w:rsid w:val="35EF6CCC"/>
    <w:rsid w:val="360F9F07"/>
    <w:rsid w:val="37304D49"/>
    <w:rsid w:val="3A5E7AD7"/>
    <w:rsid w:val="3BDEC4BD"/>
    <w:rsid w:val="3C508D29"/>
    <w:rsid w:val="3D18C706"/>
    <w:rsid w:val="3D8B82DF"/>
    <w:rsid w:val="3F96852A"/>
    <w:rsid w:val="3FF9E4A5"/>
    <w:rsid w:val="41CE297E"/>
    <w:rsid w:val="44005409"/>
    <w:rsid w:val="4482228B"/>
    <w:rsid w:val="45FE719B"/>
    <w:rsid w:val="46C9F1D1"/>
    <w:rsid w:val="46EDA107"/>
    <w:rsid w:val="47A1C9E0"/>
    <w:rsid w:val="47BB6B85"/>
    <w:rsid w:val="4842823B"/>
    <w:rsid w:val="48E17BFC"/>
    <w:rsid w:val="498AE35D"/>
    <w:rsid w:val="4A655916"/>
    <w:rsid w:val="4ACC73DB"/>
    <w:rsid w:val="4BDB2860"/>
    <w:rsid w:val="4C9DF892"/>
    <w:rsid w:val="4CC08565"/>
    <w:rsid w:val="4D1CED93"/>
    <w:rsid w:val="4E587B40"/>
    <w:rsid w:val="4E9504F5"/>
    <w:rsid w:val="4FA5F6F7"/>
    <w:rsid w:val="505E4DAA"/>
    <w:rsid w:val="5134B41A"/>
    <w:rsid w:val="5170D23D"/>
    <w:rsid w:val="51A7A91C"/>
    <w:rsid w:val="53AC914D"/>
    <w:rsid w:val="54431A57"/>
    <w:rsid w:val="54C35F99"/>
    <w:rsid w:val="551CB7DC"/>
    <w:rsid w:val="551EB56A"/>
    <w:rsid w:val="55E1DA84"/>
    <w:rsid w:val="56588BBA"/>
    <w:rsid w:val="56B954E5"/>
    <w:rsid w:val="572E48C8"/>
    <w:rsid w:val="57864B8E"/>
    <w:rsid w:val="579105A2"/>
    <w:rsid w:val="58E7A141"/>
    <w:rsid w:val="59A792EC"/>
    <w:rsid w:val="5A575B0F"/>
    <w:rsid w:val="5DADAFD4"/>
    <w:rsid w:val="5E1AC334"/>
    <w:rsid w:val="5EDE1D98"/>
    <w:rsid w:val="5F7EA018"/>
    <w:rsid w:val="6320AD67"/>
    <w:rsid w:val="63438141"/>
    <w:rsid w:val="63EFE040"/>
    <w:rsid w:val="64798E30"/>
    <w:rsid w:val="65C18528"/>
    <w:rsid w:val="66285501"/>
    <w:rsid w:val="662FDBBA"/>
    <w:rsid w:val="671D308C"/>
    <w:rsid w:val="6735D284"/>
    <w:rsid w:val="68643502"/>
    <w:rsid w:val="686D1992"/>
    <w:rsid w:val="6AE87CB7"/>
    <w:rsid w:val="6C3A94E6"/>
    <w:rsid w:val="6F58560E"/>
    <w:rsid w:val="710DCF1E"/>
    <w:rsid w:val="75B25109"/>
    <w:rsid w:val="761B2377"/>
    <w:rsid w:val="78FB261A"/>
    <w:rsid w:val="79617F05"/>
    <w:rsid w:val="7A77A7FB"/>
    <w:rsid w:val="7B276457"/>
    <w:rsid w:val="7C7BEE34"/>
    <w:rsid w:val="7D2B78C2"/>
    <w:rsid w:val="7DB89B23"/>
    <w:rsid w:val="7F26876A"/>
    <w:rsid w:val="7FACA0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9B41A"/>
  <w15:docId w15:val="{923378A6-0711-4B2F-B7DB-ADB02DFC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0A072C"/>
    <w:pPr>
      <w:spacing w:before="39"/>
      <w:jc w:val="center"/>
      <w:outlineLvl w:val="0"/>
    </w:pPr>
    <w:rPr>
      <w:rFonts w:asciiTheme="minorHAnsi" w:hAnsiTheme="minorHAnsi" w:cstheme="minorBidi"/>
      <w:b/>
      <w:bCs/>
      <w:sz w:val="24"/>
      <w:szCs w:val="24"/>
    </w:rPr>
  </w:style>
  <w:style w:type="paragraph" w:styleId="Heading2">
    <w:name w:val="heading 2"/>
    <w:basedOn w:val="Normal"/>
    <w:next w:val="Normal"/>
    <w:link w:val="Heading2Char"/>
    <w:uiPriority w:val="9"/>
    <w:unhideWhenUsed/>
    <w:qFormat/>
    <w:rsid w:val="000A072C"/>
    <w:pPr>
      <w:spacing w:before="120" w:after="120"/>
      <w:outlineLvl w:val="1"/>
    </w:pPr>
    <w:rPr>
      <w:rFonts w:asciiTheme="minorHAnsi" w:hAnsiTheme="minorHAnsi" w:cstheme="minorBidi"/>
      <w:b/>
      <w:bCs/>
      <w:color w:val="365E9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185" w:hanging="361"/>
    </w:pPr>
  </w:style>
  <w:style w:type="paragraph" w:customStyle="1" w:styleId="TableParagraph">
    <w:name w:val="Table Paragraph"/>
    <w:basedOn w:val="Normal"/>
    <w:uiPriority w:val="1"/>
    <w:qFormat/>
    <w:pPr>
      <w:ind w:left="154"/>
      <w:jc w:val="center"/>
    </w:pPr>
  </w:style>
  <w:style w:type="character" w:styleId="Hyperlink">
    <w:name w:val="Hyperlink"/>
    <w:basedOn w:val="DefaultParagraphFont"/>
    <w:uiPriority w:val="99"/>
    <w:unhideWhenUsed/>
    <w:rsid w:val="00CD269C"/>
    <w:rPr>
      <w:color w:val="0000FF" w:themeColor="hyperlink"/>
      <w:u w:val="single"/>
    </w:rPr>
  </w:style>
  <w:style w:type="character" w:styleId="UnresolvedMention">
    <w:name w:val="Unresolved Mention"/>
    <w:basedOn w:val="DefaultParagraphFont"/>
    <w:uiPriority w:val="99"/>
    <w:semiHidden/>
    <w:unhideWhenUsed/>
    <w:rsid w:val="00CD269C"/>
    <w:rPr>
      <w:color w:val="605E5C"/>
      <w:shd w:val="clear" w:color="auto" w:fill="E1DFDD"/>
    </w:rPr>
  </w:style>
  <w:style w:type="character" w:styleId="FollowedHyperlink">
    <w:name w:val="FollowedHyperlink"/>
    <w:basedOn w:val="DefaultParagraphFont"/>
    <w:uiPriority w:val="99"/>
    <w:semiHidden/>
    <w:unhideWhenUsed/>
    <w:rsid w:val="008945AB"/>
    <w:rPr>
      <w:color w:val="800080" w:themeColor="followedHyperlink"/>
      <w:u w:val="single"/>
    </w:rPr>
  </w:style>
  <w:style w:type="paragraph" w:styleId="NormalWeb">
    <w:name w:val="Normal (Web)"/>
    <w:basedOn w:val="Normal"/>
    <w:uiPriority w:val="99"/>
    <w:unhideWhenUsed/>
    <w:rsid w:val="004674C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14E4"/>
    <w:rPr>
      <w:sz w:val="16"/>
      <w:szCs w:val="16"/>
    </w:rPr>
  </w:style>
  <w:style w:type="paragraph" w:styleId="CommentText">
    <w:name w:val="annotation text"/>
    <w:basedOn w:val="Normal"/>
    <w:link w:val="CommentTextChar"/>
    <w:uiPriority w:val="99"/>
    <w:unhideWhenUsed/>
    <w:rsid w:val="00F314E4"/>
    <w:rPr>
      <w:sz w:val="20"/>
      <w:szCs w:val="20"/>
    </w:rPr>
  </w:style>
  <w:style w:type="character" w:customStyle="1" w:styleId="CommentTextChar">
    <w:name w:val="Comment Text Char"/>
    <w:basedOn w:val="DefaultParagraphFont"/>
    <w:link w:val="CommentText"/>
    <w:uiPriority w:val="99"/>
    <w:rsid w:val="00F314E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14E4"/>
    <w:rPr>
      <w:b/>
      <w:bCs/>
    </w:rPr>
  </w:style>
  <w:style w:type="character" w:customStyle="1" w:styleId="CommentSubjectChar">
    <w:name w:val="Comment Subject Char"/>
    <w:basedOn w:val="CommentTextChar"/>
    <w:link w:val="CommentSubject"/>
    <w:uiPriority w:val="99"/>
    <w:semiHidden/>
    <w:rsid w:val="00F314E4"/>
    <w:rPr>
      <w:rFonts w:ascii="Calibri" w:eastAsia="Calibri" w:hAnsi="Calibri" w:cs="Calibri"/>
      <w:b/>
      <w:bCs/>
      <w:sz w:val="20"/>
      <w:szCs w:val="20"/>
    </w:rPr>
  </w:style>
  <w:style w:type="paragraph" w:styleId="Revision">
    <w:name w:val="Revision"/>
    <w:hidden/>
    <w:uiPriority w:val="99"/>
    <w:semiHidden/>
    <w:rsid w:val="00F314E4"/>
    <w:pPr>
      <w:widowControl/>
      <w:autoSpaceDE/>
      <w:autoSpaceDN/>
    </w:pPr>
    <w:rPr>
      <w:rFonts w:ascii="Calibri" w:eastAsia="Calibri" w:hAnsi="Calibri" w:cs="Calibri"/>
    </w:rPr>
  </w:style>
  <w:style w:type="paragraph" w:styleId="Header">
    <w:name w:val="header"/>
    <w:basedOn w:val="Normal"/>
    <w:link w:val="HeaderChar"/>
    <w:uiPriority w:val="99"/>
    <w:unhideWhenUsed/>
    <w:rsid w:val="00C058BB"/>
    <w:pPr>
      <w:tabs>
        <w:tab w:val="center" w:pos="4680"/>
        <w:tab w:val="right" w:pos="9360"/>
      </w:tabs>
    </w:pPr>
  </w:style>
  <w:style w:type="character" w:customStyle="1" w:styleId="HeaderChar">
    <w:name w:val="Header Char"/>
    <w:basedOn w:val="DefaultParagraphFont"/>
    <w:link w:val="Header"/>
    <w:uiPriority w:val="99"/>
    <w:rsid w:val="00C058BB"/>
    <w:rPr>
      <w:rFonts w:ascii="Calibri" w:eastAsia="Calibri" w:hAnsi="Calibri" w:cs="Calibri"/>
    </w:rPr>
  </w:style>
  <w:style w:type="paragraph" w:styleId="Footer">
    <w:name w:val="footer"/>
    <w:basedOn w:val="Normal"/>
    <w:link w:val="FooterChar"/>
    <w:uiPriority w:val="99"/>
    <w:unhideWhenUsed/>
    <w:rsid w:val="00C058BB"/>
    <w:pPr>
      <w:tabs>
        <w:tab w:val="center" w:pos="4680"/>
        <w:tab w:val="right" w:pos="9360"/>
      </w:tabs>
    </w:pPr>
  </w:style>
  <w:style w:type="character" w:customStyle="1" w:styleId="FooterChar">
    <w:name w:val="Footer Char"/>
    <w:basedOn w:val="DefaultParagraphFont"/>
    <w:link w:val="Footer"/>
    <w:uiPriority w:val="99"/>
    <w:rsid w:val="00C058BB"/>
    <w:rPr>
      <w:rFonts w:ascii="Calibri" w:eastAsia="Calibri" w:hAnsi="Calibri" w:cs="Calibri"/>
    </w:rPr>
  </w:style>
  <w:style w:type="paragraph" w:customStyle="1" w:styleId="Body">
    <w:name w:val="Body"/>
    <w:basedOn w:val="Normal"/>
    <w:uiPriority w:val="99"/>
    <w:rsid w:val="00A33012"/>
    <w:pPr>
      <w:widowControl/>
      <w:suppressAutoHyphens/>
      <w:adjustRightInd w:val="0"/>
      <w:spacing w:after="180" w:line="255" w:lineRule="atLeast"/>
      <w:textAlignment w:val="center"/>
    </w:pPr>
    <w:rPr>
      <w:rFonts w:ascii="Adobe Garamond Pro" w:eastAsiaTheme="minorHAnsi" w:hAnsi="Adobe Garamond Pro" w:cs="Adobe Garamond Pro"/>
      <w:color w:val="000000"/>
      <w:sz w:val="21"/>
      <w:szCs w:val="21"/>
    </w:rPr>
  </w:style>
  <w:style w:type="character" w:customStyle="1" w:styleId="normaltextrun">
    <w:name w:val="normaltextrun"/>
    <w:basedOn w:val="DefaultParagraphFont"/>
    <w:rsid w:val="0064330C"/>
  </w:style>
  <w:style w:type="character" w:customStyle="1" w:styleId="contextualspellingandgrammarerror">
    <w:name w:val="contextualspellingandgrammarerror"/>
    <w:basedOn w:val="DefaultParagraphFont"/>
    <w:rsid w:val="0064330C"/>
  </w:style>
  <w:style w:type="character" w:customStyle="1" w:styleId="eop">
    <w:name w:val="eop"/>
    <w:basedOn w:val="DefaultParagraphFont"/>
    <w:rsid w:val="0064330C"/>
  </w:style>
  <w:style w:type="character" w:styleId="Mention">
    <w:name w:val="Mention"/>
    <w:basedOn w:val="DefaultParagraphFont"/>
    <w:uiPriority w:val="99"/>
    <w:unhideWhenUsed/>
    <w:rsid w:val="00592E98"/>
    <w:rPr>
      <w:color w:val="2B579A"/>
      <w:shd w:val="clear" w:color="auto" w:fill="E1DFDD"/>
    </w:rPr>
  </w:style>
  <w:style w:type="character" w:customStyle="1" w:styleId="Heading1Char">
    <w:name w:val="Heading 1 Char"/>
    <w:basedOn w:val="DefaultParagraphFont"/>
    <w:link w:val="Heading1"/>
    <w:uiPriority w:val="9"/>
    <w:rsid w:val="000A072C"/>
    <w:rPr>
      <w:rFonts w:eastAsia="Calibri"/>
      <w:b/>
      <w:bCs/>
      <w:sz w:val="24"/>
      <w:szCs w:val="24"/>
    </w:rPr>
  </w:style>
  <w:style w:type="character" w:customStyle="1" w:styleId="Heading2Char">
    <w:name w:val="Heading 2 Char"/>
    <w:basedOn w:val="DefaultParagraphFont"/>
    <w:link w:val="Heading2"/>
    <w:uiPriority w:val="9"/>
    <w:rsid w:val="000A072C"/>
    <w:rPr>
      <w:rFonts w:eastAsia="Calibri"/>
      <w:b/>
      <w:bCs/>
      <w:color w:val="365E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6744">
      <w:bodyDiv w:val="1"/>
      <w:marLeft w:val="0"/>
      <w:marRight w:val="0"/>
      <w:marTop w:val="0"/>
      <w:marBottom w:val="0"/>
      <w:divBdr>
        <w:top w:val="none" w:sz="0" w:space="0" w:color="auto"/>
        <w:left w:val="none" w:sz="0" w:space="0" w:color="auto"/>
        <w:bottom w:val="none" w:sz="0" w:space="0" w:color="auto"/>
        <w:right w:val="none" w:sz="0" w:space="0" w:color="auto"/>
      </w:divBdr>
    </w:div>
    <w:div w:id="282541242">
      <w:bodyDiv w:val="1"/>
      <w:marLeft w:val="0"/>
      <w:marRight w:val="0"/>
      <w:marTop w:val="0"/>
      <w:marBottom w:val="0"/>
      <w:divBdr>
        <w:top w:val="none" w:sz="0" w:space="0" w:color="auto"/>
        <w:left w:val="none" w:sz="0" w:space="0" w:color="auto"/>
        <w:bottom w:val="none" w:sz="0" w:space="0" w:color="auto"/>
        <w:right w:val="none" w:sz="0" w:space="0" w:color="auto"/>
      </w:divBdr>
    </w:div>
    <w:div w:id="373426771">
      <w:bodyDiv w:val="1"/>
      <w:marLeft w:val="0"/>
      <w:marRight w:val="0"/>
      <w:marTop w:val="0"/>
      <w:marBottom w:val="0"/>
      <w:divBdr>
        <w:top w:val="none" w:sz="0" w:space="0" w:color="auto"/>
        <w:left w:val="none" w:sz="0" w:space="0" w:color="auto"/>
        <w:bottom w:val="none" w:sz="0" w:space="0" w:color="auto"/>
        <w:right w:val="none" w:sz="0" w:space="0" w:color="auto"/>
      </w:divBdr>
    </w:div>
    <w:div w:id="384253841">
      <w:bodyDiv w:val="1"/>
      <w:marLeft w:val="0"/>
      <w:marRight w:val="0"/>
      <w:marTop w:val="0"/>
      <w:marBottom w:val="0"/>
      <w:divBdr>
        <w:top w:val="none" w:sz="0" w:space="0" w:color="auto"/>
        <w:left w:val="none" w:sz="0" w:space="0" w:color="auto"/>
        <w:bottom w:val="none" w:sz="0" w:space="0" w:color="auto"/>
        <w:right w:val="none" w:sz="0" w:space="0" w:color="auto"/>
      </w:divBdr>
    </w:div>
    <w:div w:id="744111494">
      <w:bodyDiv w:val="1"/>
      <w:marLeft w:val="0"/>
      <w:marRight w:val="0"/>
      <w:marTop w:val="0"/>
      <w:marBottom w:val="0"/>
      <w:divBdr>
        <w:top w:val="none" w:sz="0" w:space="0" w:color="auto"/>
        <w:left w:val="none" w:sz="0" w:space="0" w:color="auto"/>
        <w:bottom w:val="none" w:sz="0" w:space="0" w:color="auto"/>
        <w:right w:val="none" w:sz="0" w:space="0" w:color="auto"/>
      </w:divBdr>
    </w:div>
    <w:div w:id="1120689463">
      <w:bodyDiv w:val="1"/>
      <w:marLeft w:val="0"/>
      <w:marRight w:val="0"/>
      <w:marTop w:val="0"/>
      <w:marBottom w:val="0"/>
      <w:divBdr>
        <w:top w:val="none" w:sz="0" w:space="0" w:color="auto"/>
        <w:left w:val="none" w:sz="0" w:space="0" w:color="auto"/>
        <w:bottom w:val="none" w:sz="0" w:space="0" w:color="auto"/>
        <w:right w:val="none" w:sz="0" w:space="0" w:color="auto"/>
      </w:divBdr>
    </w:div>
    <w:div w:id="1479346260">
      <w:bodyDiv w:val="1"/>
      <w:marLeft w:val="0"/>
      <w:marRight w:val="0"/>
      <w:marTop w:val="0"/>
      <w:marBottom w:val="0"/>
      <w:divBdr>
        <w:top w:val="none" w:sz="0" w:space="0" w:color="auto"/>
        <w:left w:val="none" w:sz="0" w:space="0" w:color="auto"/>
        <w:bottom w:val="none" w:sz="0" w:space="0" w:color="auto"/>
        <w:right w:val="none" w:sz="0" w:space="0" w:color="auto"/>
      </w:divBdr>
    </w:div>
    <w:div w:id="1549026427">
      <w:bodyDiv w:val="1"/>
      <w:marLeft w:val="0"/>
      <w:marRight w:val="0"/>
      <w:marTop w:val="0"/>
      <w:marBottom w:val="0"/>
      <w:divBdr>
        <w:top w:val="none" w:sz="0" w:space="0" w:color="auto"/>
        <w:left w:val="none" w:sz="0" w:space="0" w:color="auto"/>
        <w:bottom w:val="none" w:sz="0" w:space="0" w:color="auto"/>
        <w:right w:val="none" w:sz="0" w:space="0" w:color="auto"/>
      </w:divBdr>
    </w:div>
    <w:div w:id="185422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ymentaccurac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wp-content/uploads/2021/03/M-21-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about/reports/annual/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B0D9A1F7A7E441A38BC07DCF6A72FD" ma:contentTypeVersion="12" ma:contentTypeDescription="Create a new document." ma:contentTypeScope="" ma:versionID="522c17ce1f9fcf2d4bee91ec3e3ab8df">
  <xsd:schema xmlns:xsd="http://www.w3.org/2001/XMLSchema" xmlns:xs="http://www.w3.org/2001/XMLSchema" xmlns:p="http://schemas.microsoft.com/office/2006/metadata/properties" xmlns:ns2="7201ae62-250e-4f4d-a816-671c273fd848" xmlns:ns3="a09865ef-fc60-4463-baa3-9c294bbd8cc0" targetNamespace="http://schemas.microsoft.com/office/2006/metadata/properties" ma:root="true" ma:fieldsID="f5ffad92c893ce9055ad5ce546f6d5b4" ns2:_="" ns3:_="">
    <xsd:import namespace="7201ae62-250e-4f4d-a816-671c273fd848"/>
    <xsd:import namespace="a09865ef-fc60-4463-baa3-9c294bbd8c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ae62-250e-4f4d-a816-671c273fd848"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865ef-fc60-4463-baa3-9c294bbd8c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FED53-EF41-49DA-8789-ECF5BDD6ED33}">
  <ds:schemaRefs>
    <ds:schemaRef ds:uri="http://schemas.openxmlformats.org/officeDocument/2006/bibliography"/>
  </ds:schemaRefs>
</ds:datastoreItem>
</file>

<file path=customXml/itemProps2.xml><?xml version="1.0" encoding="utf-8"?>
<ds:datastoreItem xmlns:ds="http://schemas.openxmlformats.org/officeDocument/2006/customXml" ds:itemID="{4C7F4473-9B40-4546-8C23-984DE93B312A}">
  <ds:schemaRefs>
    <ds:schemaRef ds:uri="http://schemas.microsoft.com/office/2006/documentManagement/types"/>
    <ds:schemaRef ds:uri="http://schemas.openxmlformats.org/package/2006/metadata/core-properties"/>
    <ds:schemaRef ds:uri="http://www.w3.org/XML/1998/namespace"/>
    <ds:schemaRef ds:uri="http://purl.org/dc/dcmitype/"/>
    <ds:schemaRef ds:uri="a09865ef-fc60-4463-baa3-9c294bbd8cc0"/>
    <ds:schemaRef ds:uri="http://schemas.microsoft.com/office/infopath/2007/PartnerControls"/>
    <ds:schemaRef ds:uri="http://purl.org/dc/elements/1.1/"/>
    <ds:schemaRef ds:uri="7201ae62-250e-4f4d-a816-671c273fd84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4768A0B-3EE4-461E-B869-CD788AE42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1ae62-250e-4f4d-a816-671c273fd848"/>
    <ds:schemaRef ds:uri="a09865ef-fc60-4463-baa3-9c294bbd8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9EF3F-47C9-4E61-9EB1-C0F00329B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DoED Department IP Estimation Methodologies and Results (PDF)</dc:title>
  <dc:subject/>
  <dc:creator>U.S. Department of Education</dc:creator>
  <cp:keywords>FY23 DoED Department IP Estimation Methodologies and Results</cp:keywords>
  <cp:lastModifiedBy>Jasmine Staton</cp:lastModifiedBy>
  <cp:revision>3</cp:revision>
  <dcterms:created xsi:type="dcterms:W3CDTF">2023-11-02T14:58:00Z</dcterms:created>
  <dcterms:modified xsi:type="dcterms:W3CDTF">2023-11-16T19:09:00Z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20 for Word</vt:lpwstr>
  </property>
  <property fmtid="{D5CDD505-2E9C-101B-9397-08002B2CF9AE}" pid="4" name="LastSaved">
    <vt:filetime>2021-11-08T00:00:00Z</vt:filetime>
  </property>
  <property fmtid="{D5CDD505-2E9C-101B-9397-08002B2CF9AE}" pid="5" name="ContentTypeId">
    <vt:lpwstr>0x01010094B0D9A1F7A7E441A38BC07DCF6A72FD</vt:lpwstr>
  </property>
  <property fmtid="{D5CDD505-2E9C-101B-9397-08002B2CF9AE}" pid="6" name="MediaServiceImageTags">
    <vt:lpwstr/>
  </property>
</Properties>
</file>