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B61A" w14:textId="77777777" w:rsidR="00A65540" w:rsidRPr="002B3C0C" w:rsidRDefault="00A65540" w:rsidP="00A65540">
      <w:pPr>
        <w:autoSpaceDE w:val="0"/>
        <w:autoSpaceDN w:val="0"/>
        <w:adjustRightInd w:val="0"/>
        <w:jc w:val="center"/>
        <w:rPr>
          <w:rFonts w:ascii="Arial" w:hAnsi="Arial"/>
          <w:color w:val="000000"/>
        </w:rPr>
      </w:pPr>
      <w:bookmarkStart w:id="0" w:name="_GoBack"/>
      <w:bookmarkEnd w:id="0"/>
      <w:r w:rsidRPr="002B3C0C">
        <w:rPr>
          <w:rFonts w:ascii="Arial" w:hAnsi="Arial"/>
          <w:b/>
          <w:color w:val="000000"/>
          <w:sz w:val="22"/>
        </w:rPr>
        <w:t>Federal Student Aid</w:t>
      </w:r>
    </w:p>
    <w:p w14:paraId="0CBCCADB" w14:textId="77777777" w:rsidR="00A65540" w:rsidRPr="002B3C0C" w:rsidRDefault="00A65540" w:rsidP="00A65540">
      <w:pPr>
        <w:autoSpaceDE w:val="0"/>
        <w:autoSpaceDN w:val="0"/>
        <w:adjustRightInd w:val="0"/>
        <w:jc w:val="center"/>
        <w:rPr>
          <w:rFonts w:ascii="Arial" w:hAnsi="Arial"/>
          <w:color w:val="000000"/>
        </w:rPr>
      </w:pPr>
      <w:r w:rsidRPr="002B3C0C">
        <w:rPr>
          <w:rFonts w:ascii="Arial" w:hAnsi="Arial"/>
          <w:b/>
          <w:color w:val="000000"/>
          <w:sz w:val="22"/>
        </w:rPr>
        <w:t xml:space="preserve">FY </w:t>
      </w:r>
      <w:r>
        <w:rPr>
          <w:rFonts w:ascii="Arial" w:hAnsi="Arial" w:cs="Arial"/>
          <w:b/>
          <w:bCs/>
          <w:color w:val="000000"/>
          <w:sz w:val="22"/>
        </w:rPr>
        <w:t>2019</w:t>
      </w:r>
      <w:r w:rsidRPr="002B3C0C">
        <w:rPr>
          <w:rFonts w:ascii="Arial" w:hAnsi="Arial"/>
          <w:b/>
          <w:color w:val="000000"/>
          <w:sz w:val="22"/>
        </w:rPr>
        <w:t xml:space="preserve"> </w:t>
      </w:r>
      <w:r>
        <w:rPr>
          <w:rFonts w:ascii="Arial" w:hAnsi="Arial"/>
          <w:b/>
          <w:color w:val="000000"/>
          <w:sz w:val="22"/>
        </w:rPr>
        <w:t xml:space="preserve">Statistically Valid and Rigorous </w:t>
      </w:r>
      <w:r w:rsidRPr="002B3C0C">
        <w:rPr>
          <w:rFonts w:ascii="Arial" w:hAnsi="Arial"/>
          <w:b/>
          <w:color w:val="000000"/>
          <w:sz w:val="22"/>
        </w:rPr>
        <w:t>Improper Payment Estimation Methodolog</w:t>
      </w:r>
      <w:r>
        <w:rPr>
          <w:rFonts w:ascii="Arial" w:hAnsi="Arial"/>
          <w:b/>
          <w:color w:val="000000"/>
          <w:sz w:val="22"/>
        </w:rPr>
        <w:t>y</w:t>
      </w:r>
    </w:p>
    <w:p w14:paraId="41BEEB01" w14:textId="77777777" w:rsidR="00A65540" w:rsidRPr="002B3C0C" w:rsidRDefault="00A65540" w:rsidP="00A65540">
      <w:pPr>
        <w:autoSpaceDE w:val="0"/>
        <w:autoSpaceDN w:val="0"/>
        <w:adjustRightInd w:val="0"/>
        <w:rPr>
          <w:rFonts w:ascii="Arial" w:hAnsi="Arial"/>
          <w:b/>
          <w:color w:val="365E92"/>
          <w:sz w:val="23"/>
        </w:rPr>
      </w:pPr>
    </w:p>
    <w:p w14:paraId="544A6F16" w14:textId="77777777" w:rsidR="00A65540" w:rsidRPr="002B3C0C" w:rsidRDefault="00A65540" w:rsidP="00A65540">
      <w:pPr>
        <w:autoSpaceDE w:val="0"/>
        <w:autoSpaceDN w:val="0"/>
        <w:adjustRightInd w:val="0"/>
        <w:rPr>
          <w:rFonts w:asciiTheme="minorHAnsi" w:hAnsiTheme="minorHAnsi" w:cstheme="minorHAnsi"/>
          <w:color w:val="365E92"/>
        </w:rPr>
      </w:pPr>
      <w:r w:rsidRPr="002B3C0C">
        <w:rPr>
          <w:rFonts w:asciiTheme="minorHAnsi" w:hAnsiTheme="minorHAnsi" w:cstheme="minorHAnsi"/>
          <w:b/>
          <w:color w:val="365E92"/>
          <w:sz w:val="23"/>
        </w:rPr>
        <w:t>Introduction</w:t>
      </w:r>
    </w:p>
    <w:p w14:paraId="275CCD1F" w14:textId="77777777" w:rsidR="00BC044F" w:rsidRDefault="00BC044F" w:rsidP="00A65540">
      <w:pPr>
        <w:autoSpaceDE w:val="0"/>
        <w:autoSpaceDN w:val="0"/>
        <w:adjustRightInd w:val="0"/>
        <w:rPr>
          <w:rFonts w:asciiTheme="minorHAnsi" w:hAnsiTheme="minorHAnsi" w:cstheme="minorHAnsi"/>
          <w:color w:val="000000"/>
          <w:sz w:val="22"/>
        </w:rPr>
      </w:pPr>
    </w:p>
    <w:p w14:paraId="3F84D5A8" w14:textId="24D75F84" w:rsidR="00A65540" w:rsidRPr="002B3C0C" w:rsidRDefault="00A65540" w:rsidP="00A65540">
      <w:pPr>
        <w:autoSpaceDE w:val="0"/>
        <w:autoSpaceDN w:val="0"/>
        <w:adjustRightInd w:val="0"/>
        <w:rPr>
          <w:rFonts w:asciiTheme="minorHAnsi" w:hAnsiTheme="minorHAnsi" w:cstheme="minorHAnsi"/>
          <w:color w:val="000000"/>
          <w:sz w:val="22"/>
        </w:rPr>
      </w:pPr>
      <w:r w:rsidRPr="002B3C0C">
        <w:rPr>
          <w:rFonts w:asciiTheme="minorHAnsi" w:hAnsiTheme="minorHAnsi" w:cstheme="minorHAnsi"/>
          <w:color w:val="000000"/>
          <w:sz w:val="22"/>
        </w:rPr>
        <w:t>Federal Student Aid (FSA) management is committed to improper payment prevention, mitigation, and reduction</w:t>
      </w:r>
      <w:r w:rsidR="00822E24">
        <w:rPr>
          <w:rFonts w:asciiTheme="minorHAnsi" w:hAnsiTheme="minorHAnsi" w:cstheme="minorHAnsi"/>
          <w:color w:val="000000"/>
          <w:sz w:val="22"/>
        </w:rPr>
        <w:t>.  FSA</w:t>
      </w:r>
      <w:r w:rsidRPr="002B3C0C">
        <w:rPr>
          <w:rFonts w:asciiTheme="minorHAnsi" w:hAnsiTheme="minorHAnsi" w:cstheme="minorHAnsi"/>
          <w:color w:val="000000"/>
          <w:sz w:val="22"/>
        </w:rPr>
        <w:t xml:space="preserve"> continues to strengthen improper payment controls, and develop and enhance estimation methodologies</w:t>
      </w:r>
      <w:r w:rsidR="00822E24">
        <w:rPr>
          <w:rFonts w:asciiTheme="minorHAnsi" w:hAnsiTheme="minorHAnsi" w:cstheme="minorHAnsi"/>
          <w:color w:val="000000"/>
          <w:sz w:val="22"/>
        </w:rPr>
        <w:t>,</w:t>
      </w:r>
      <w:r w:rsidRPr="002B3C0C">
        <w:rPr>
          <w:rFonts w:asciiTheme="minorHAnsi" w:hAnsiTheme="minorHAnsi" w:cstheme="minorHAnsi"/>
          <w:color w:val="000000"/>
          <w:sz w:val="22"/>
        </w:rPr>
        <w:t xml:space="preserve"> and analytics to monitor FSA programs. Accurate improper payment estimation is essential to achieving these objectives and will continue to inform root cause analysis and corrective actions, as described in </w:t>
      </w:r>
      <w:r w:rsidRPr="00E225BD">
        <w:rPr>
          <w:rFonts w:asciiTheme="minorHAnsi" w:hAnsiTheme="minorHAnsi" w:cstheme="minorHAnsi"/>
          <w:color w:val="000000"/>
          <w:sz w:val="22"/>
        </w:rPr>
        <w:t xml:space="preserve">part in the </w:t>
      </w:r>
      <w:hyperlink r:id="rId12" w:history="1">
        <w:r w:rsidRPr="00E225BD">
          <w:rPr>
            <w:rStyle w:val="Hyperlink"/>
            <w:rFonts w:asciiTheme="minorHAnsi" w:hAnsiTheme="minorHAnsi" w:cstheme="minorHAnsi"/>
            <w:sz w:val="22"/>
          </w:rPr>
          <w:t>Fiscal Year (FY) 201</w:t>
        </w:r>
        <w:r>
          <w:rPr>
            <w:rStyle w:val="Hyperlink"/>
            <w:rFonts w:asciiTheme="minorHAnsi" w:hAnsiTheme="minorHAnsi" w:cstheme="minorHAnsi"/>
            <w:sz w:val="22"/>
          </w:rPr>
          <w:t>9</w:t>
        </w:r>
        <w:r w:rsidRPr="00E225BD">
          <w:rPr>
            <w:rStyle w:val="Hyperlink"/>
            <w:rFonts w:asciiTheme="minorHAnsi" w:hAnsiTheme="minorHAnsi" w:cstheme="minorHAnsi"/>
            <w:sz w:val="22"/>
          </w:rPr>
          <w:t xml:space="preserve"> A</w:t>
        </w:r>
        <w:r w:rsidR="00323ED3">
          <w:rPr>
            <w:rStyle w:val="Hyperlink"/>
            <w:rFonts w:asciiTheme="minorHAnsi" w:hAnsiTheme="minorHAnsi" w:cstheme="minorHAnsi"/>
            <w:sz w:val="22"/>
          </w:rPr>
          <w:t>gency</w:t>
        </w:r>
        <w:r w:rsidRPr="00E225BD">
          <w:rPr>
            <w:rStyle w:val="Hyperlink"/>
            <w:rFonts w:asciiTheme="minorHAnsi" w:hAnsiTheme="minorHAnsi" w:cstheme="minorHAnsi"/>
            <w:sz w:val="22"/>
          </w:rPr>
          <w:t xml:space="preserve"> Financial Report (AFR)</w:t>
        </w:r>
      </w:hyperlink>
      <w:r w:rsidRPr="00E225BD">
        <w:rPr>
          <w:rFonts w:asciiTheme="minorHAnsi" w:hAnsiTheme="minorHAnsi" w:cstheme="minorHAnsi"/>
          <w:color w:val="0000FF"/>
          <w:sz w:val="22"/>
        </w:rPr>
        <w:t>.</w:t>
      </w:r>
    </w:p>
    <w:p w14:paraId="7F37645A" w14:textId="77777777" w:rsidR="00A65540" w:rsidRDefault="00A65540" w:rsidP="00A65540">
      <w:pPr>
        <w:autoSpaceDE w:val="0"/>
        <w:autoSpaceDN w:val="0"/>
        <w:adjustRightInd w:val="0"/>
        <w:rPr>
          <w:rFonts w:asciiTheme="minorHAnsi" w:hAnsiTheme="minorHAnsi" w:cstheme="minorHAnsi"/>
          <w:b/>
          <w:bCs/>
          <w:color w:val="365E92"/>
          <w:sz w:val="23"/>
          <w:szCs w:val="23"/>
        </w:rPr>
      </w:pPr>
    </w:p>
    <w:p w14:paraId="78CD836A" w14:textId="77777777" w:rsidR="00A65540" w:rsidRDefault="00A65540" w:rsidP="00A65540">
      <w:pPr>
        <w:autoSpaceDE w:val="0"/>
        <w:autoSpaceDN w:val="0"/>
        <w:adjustRightInd w:val="0"/>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FSA Programs Susceptible to Significant Improper Payment Risk</w:t>
      </w:r>
    </w:p>
    <w:p w14:paraId="6F36B65D" w14:textId="77777777" w:rsidR="00A65540" w:rsidRDefault="00A65540" w:rsidP="00A65540">
      <w:pPr>
        <w:autoSpaceDE w:val="0"/>
        <w:autoSpaceDN w:val="0"/>
        <w:adjustRightInd w:val="0"/>
        <w:rPr>
          <w:rFonts w:asciiTheme="minorHAnsi" w:hAnsiTheme="minorHAnsi" w:cstheme="minorHAnsi"/>
          <w:color w:val="000000"/>
          <w:sz w:val="22"/>
        </w:rPr>
      </w:pPr>
    </w:p>
    <w:p w14:paraId="3A411E5D" w14:textId="1A39E19B" w:rsidR="00A65540" w:rsidRPr="006F2F52" w:rsidRDefault="00A65540" w:rsidP="00A65540">
      <w:pPr>
        <w:autoSpaceDE w:val="0"/>
        <w:autoSpaceDN w:val="0"/>
        <w:adjustRightInd w:val="0"/>
        <w:rPr>
          <w:rFonts w:asciiTheme="minorHAnsi" w:hAnsiTheme="minorHAnsi"/>
          <w:color w:val="000000"/>
          <w:sz w:val="22"/>
        </w:rPr>
      </w:pPr>
      <w:r w:rsidRPr="006E0F83">
        <w:rPr>
          <w:rFonts w:asciiTheme="minorHAnsi" w:hAnsiTheme="minorHAnsi" w:cstheme="minorHAnsi"/>
          <w:color w:val="000000"/>
          <w:sz w:val="22"/>
        </w:rPr>
        <w:t>In FY 201</w:t>
      </w:r>
      <w:r>
        <w:rPr>
          <w:rFonts w:asciiTheme="minorHAnsi" w:hAnsiTheme="minorHAnsi" w:cstheme="minorHAnsi"/>
          <w:color w:val="000000"/>
          <w:sz w:val="22"/>
        </w:rPr>
        <w:t>9</w:t>
      </w:r>
      <w:r w:rsidRPr="006E0F83">
        <w:rPr>
          <w:rFonts w:asciiTheme="minorHAnsi" w:hAnsiTheme="minorHAnsi" w:cstheme="minorHAnsi"/>
          <w:color w:val="000000"/>
          <w:sz w:val="22"/>
        </w:rPr>
        <w:t xml:space="preserve">, the </w:t>
      </w:r>
      <w:r>
        <w:rPr>
          <w:rFonts w:asciiTheme="minorHAnsi" w:hAnsiTheme="minorHAnsi" w:cstheme="minorHAnsi"/>
          <w:color w:val="000000"/>
          <w:sz w:val="22"/>
        </w:rPr>
        <w:t>Pell Grant (Pell) and Direct Loan (DL)</w:t>
      </w:r>
      <w:r w:rsidRPr="006E0F83">
        <w:rPr>
          <w:rFonts w:asciiTheme="minorHAnsi" w:hAnsiTheme="minorHAnsi" w:cstheme="minorHAnsi"/>
          <w:color w:val="000000"/>
          <w:sz w:val="22"/>
        </w:rPr>
        <w:t xml:space="preserve"> programs</w:t>
      </w:r>
      <w:r w:rsidR="00822E24">
        <w:rPr>
          <w:rFonts w:asciiTheme="minorHAnsi" w:hAnsiTheme="minorHAnsi" w:cstheme="minorHAnsi"/>
          <w:color w:val="000000"/>
          <w:sz w:val="22"/>
        </w:rPr>
        <w:t xml:space="preserve"> are</w:t>
      </w:r>
      <w:r w:rsidRPr="006E0F83">
        <w:rPr>
          <w:rFonts w:asciiTheme="minorHAnsi" w:hAnsiTheme="minorHAnsi" w:cstheme="minorHAnsi"/>
          <w:color w:val="000000"/>
          <w:sz w:val="22"/>
        </w:rPr>
        <w:t xml:space="preserve"> the only FSA programs identified as susceptible to significant improper payment risk. </w:t>
      </w:r>
      <w:r w:rsidR="00822E24">
        <w:rPr>
          <w:rFonts w:asciiTheme="minorHAnsi" w:hAnsiTheme="minorHAnsi" w:cstheme="minorHAnsi"/>
          <w:color w:val="000000"/>
          <w:sz w:val="22"/>
        </w:rPr>
        <w:t xml:space="preserve"> As required by statute, a</w:t>
      </w:r>
      <w:r w:rsidRPr="006E0F83">
        <w:rPr>
          <w:rFonts w:asciiTheme="minorHAnsi" w:hAnsiTheme="minorHAnsi" w:cstheme="minorHAnsi"/>
          <w:color w:val="000000"/>
          <w:sz w:val="22"/>
        </w:rPr>
        <w:t xml:space="preserve"> risk assessment was performed on all FSA-managed programs, with the exception of the Pell and DL programs, in FY 2017</w:t>
      </w:r>
      <w:r w:rsidR="00822E24">
        <w:rPr>
          <w:rFonts w:asciiTheme="minorHAnsi" w:hAnsiTheme="minorHAnsi" w:cstheme="minorHAnsi"/>
          <w:color w:val="000000"/>
          <w:sz w:val="22"/>
        </w:rPr>
        <w:t xml:space="preserve">. </w:t>
      </w:r>
      <w:r>
        <w:rPr>
          <w:rFonts w:asciiTheme="minorHAnsi" w:hAnsiTheme="minorHAnsi" w:cstheme="minorHAnsi"/>
          <w:color w:val="000000"/>
          <w:sz w:val="22"/>
        </w:rPr>
        <w:t xml:space="preserve">  </w:t>
      </w:r>
      <w:r w:rsidR="00822E24">
        <w:rPr>
          <w:rFonts w:asciiTheme="minorHAnsi" w:hAnsiTheme="minorHAnsi" w:cstheme="minorHAnsi"/>
          <w:color w:val="000000"/>
          <w:sz w:val="22"/>
        </w:rPr>
        <w:t>FSA has</w:t>
      </w:r>
      <w:r w:rsidRPr="006E0F83">
        <w:rPr>
          <w:rFonts w:asciiTheme="minorHAnsi" w:hAnsiTheme="minorHAnsi" w:cstheme="minorHAnsi"/>
          <w:color w:val="000000"/>
          <w:sz w:val="22"/>
        </w:rPr>
        <w:t xml:space="preserve"> confi</w:t>
      </w:r>
      <w:r w:rsidR="009E007D">
        <w:rPr>
          <w:rFonts w:asciiTheme="minorHAnsi" w:hAnsiTheme="minorHAnsi" w:cstheme="minorHAnsi"/>
          <w:color w:val="000000"/>
          <w:sz w:val="22"/>
        </w:rPr>
        <w:t>rmed that there were</w:t>
      </w:r>
      <w:r w:rsidRPr="006E0F83">
        <w:rPr>
          <w:rFonts w:asciiTheme="minorHAnsi" w:hAnsiTheme="minorHAnsi" w:cstheme="minorHAnsi"/>
          <w:color w:val="000000"/>
          <w:sz w:val="22"/>
        </w:rPr>
        <w:t xml:space="preserve"> no new FS</w:t>
      </w:r>
      <w:r w:rsidR="009E007D">
        <w:rPr>
          <w:rFonts w:asciiTheme="minorHAnsi" w:hAnsiTheme="minorHAnsi" w:cstheme="minorHAnsi"/>
          <w:color w:val="000000"/>
          <w:sz w:val="22"/>
        </w:rPr>
        <w:t>A-managed programs and there were</w:t>
      </w:r>
      <w:r w:rsidRPr="006E0F83">
        <w:rPr>
          <w:rFonts w:asciiTheme="minorHAnsi" w:hAnsiTheme="minorHAnsi" w:cstheme="minorHAnsi"/>
          <w:color w:val="000000"/>
          <w:sz w:val="22"/>
        </w:rPr>
        <w:t xml:space="preserve"> neither significant changes in legislation nor significant changes in funding requiring additional risk assessments be perfor</w:t>
      </w:r>
      <w:r>
        <w:rPr>
          <w:rFonts w:asciiTheme="minorHAnsi" w:hAnsiTheme="minorHAnsi" w:cstheme="minorHAnsi"/>
          <w:color w:val="000000"/>
          <w:sz w:val="22"/>
        </w:rPr>
        <w:t xml:space="preserve">med. As a result, this </w:t>
      </w:r>
      <w:r w:rsidRPr="006E0F83">
        <w:rPr>
          <w:rFonts w:asciiTheme="minorHAnsi" w:hAnsiTheme="minorHAnsi" w:cstheme="minorHAnsi"/>
          <w:color w:val="000000"/>
          <w:sz w:val="22"/>
        </w:rPr>
        <w:t>estimation methodology covers the Pell and DL programs only</w:t>
      </w:r>
      <w:r>
        <w:rPr>
          <w:rFonts w:asciiTheme="minorHAnsi" w:hAnsiTheme="minorHAnsi" w:cstheme="minorHAnsi"/>
          <w:color w:val="000000"/>
          <w:sz w:val="22"/>
        </w:rPr>
        <w:t>.</w:t>
      </w:r>
    </w:p>
    <w:p w14:paraId="64338406" w14:textId="77777777" w:rsidR="00BC044F" w:rsidRDefault="00BC044F" w:rsidP="00792607">
      <w:pPr>
        <w:pStyle w:val="Heading3"/>
        <w:numPr>
          <w:ilvl w:val="0"/>
          <w:numId w:val="0"/>
        </w:numPr>
        <w:spacing w:before="0"/>
        <w:ind w:left="360" w:hanging="360"/>
        <w:rPr>
          <w:rFonts w:asciiTheme="minorHAnsi" w:hAnsiTheme="minorHAnsi" w:cstheme="minorHAnsi"/>
          <w:i w:val="0"/>
          <w:color w:val="365E92"/>
          <w:sz w:val="23"/>
          <w:szCs w:val="23"/>
        </w:rPr>
      </w:pPr>
    </w:p>
    <w:p w14:paraId="7F2EB33A" w14:textId="08E3D6BA" w:rsidR="00A65540" w:rsidRDefault="00A65540" w:rsidP="00792607">
      <w:pPr>
        <w:pStyle w:val="Heading3"/>
        <w:numPr>
          <w:ilvl w:val="0"/>
          <w:numId w:val="0"/>
        </w:numPr>
        <w:spacing w:before="0"/>
        <w:ind w:left="360" w:hanging="360"/>
        <w:rPr>
          <w:rFonts w:asciiTheme="minorHAnsi" w:hAnsiTheme="minorHAnsi" w:cstheme="minorHAnsi"/>
          <w:i w:val="0"/>
          <w:color w:val="365E92"/>
          <w:sz w:val="23"/>
          <w:szCs w:val="23"/>
        </w:rPr>
      </w:pPr>
      <w:r w:rsidRPr="00792607">
        <w:rPr>
          <w:rFonts w:asciiTheme="minorHAnsi" w:hAnsiTheme="minorHAnsi" w:cstheme="minorHAnsi"/>
          <w:i w:val="0"/>
          <w:color w:val="365E92"/>
          <w:sz w:val="23"/>
          <w:szCs w:val="23"/>
        </w:rPr>
        <w:t xml:space="preserve">Statistically Valid </w:t>
      </w:r>
      <w:r w:rsidR="009E007D">
        <w:rPr>
          <w:rFonts w:asciiTheme="minorHAnsi" w:hAnsiTheme="minorHAnsi" w:cstheme="minorHAnsi"/>
          <w:i w:val="0"/>
          <w:color w:val="365E92"/>
          <w:sz w:val="23"/>
          <w:szCs w:val="23"/>
        </w:rPr>
        <w:t xml:space="preserve">and Rigorous </w:t>
      </w:r>
      <w:r w:rsidRPr="00792607">
        <w:rPr>
          <w:rFonts w:asciiTheme="minorHAnsi" w:hAnsiTheme="minorHAnsi" w:cstheme="minorHAnsi"/>
          <w:i w:val="0"/>
          <w:color w:val="365E92"/>
          <w:sz w:val="23"/>
          <w:szCs w:val="23"/>
        </w:rPr>
        <w:t>Estimation Methodology</w:t>
      </w:r>
    </w:p>
    <w:p w14:paraId="239D8D62" w14:textId="77777777" w:rsidR="00A65540" w:rsidRDefault="00A65540" w:rsidP="00792607"/>
    <w:p w14:paraId="521CCA01" w14:textId="5CBCCD1E" w:rsidR="009E007D" w:rsidRPr="00792607" w:rsidRDefault="009E007D" w:rsidP="00792607">
      <w:pPr>
        <w:rPr>
          <w:rFonts w:asciiTheme="minorHAnsi" w:hAnsiTheme="minorHAnsi" w:cstheme="minorHAnsi"/>
          <w:color w:val="000000"/>
          <w:sz w:val="22"/>
        </w:rPr>
      </w:pPr>
      <w:r w:rsidRPr="00792607">
        <w:rPr>
          <w:rFonts w:asciiTheme="minorHAnsi" w:hAnsiTheme="minorHAnsi" w:cstheme="minorHAnsi"/>
          <w:color w:val="000000"/>
          <w:sz w:val="22"/>
        </w:rPr>
        <w:t xml:space="preserve">In FY 2018, </w:t>
      </w:r>
      <w:r>
        <w:rPr>
          <w:rFonts w:asciiTheme="minorHAnsi" w:hAnsiTheme="minorHAnsi" w:cstheme="minorHAnsi"/>
          <w:color w:val="000000"/>
          <w:sz w:val="22"/>
        </w:rPr>
        <w:t>FSA</w:t>
      </w:r>
      <w:r w:rsidRPr="00792607">
        <w:rPr>
          <w:rFonts w:asciiTheme="minorHAnsi" w:hAnsiTheme="minorHAnsi" w:cstheme="minorHAnsi"/>
          <w:color w:val="000000"/>
          <w:sz w:val="22"/>
        </w:rPr>
        <w:t xml:space="preserve"> </w:t>
      </w:r>
      <w:r w:rsidR="00822E24" w:rsidRPr="00792607">
        <w:rPr>
          <w:rFonts w:asciiTheme="minorHAnsi" w:hAnsiTheme="minorHAnsi" w:cstheme="minorHAnsi"/>
          <w:color w:val="000000"/>
          <w:sz w:val="22"/>
        </w:rPr>
        <w:t>identif</w:t>
      </w:r>
      <w:r w:rsidR="00822E24">
        <w:rPr>
          <w:rFonts w:asciiTheme="minorHAnsi" w:hAnsiTheme="minorHAnsi" w:cstheme="minorHAnsi"/>
          <w:color w:val="000000"/>
          <w:sz w:val="22"/>
        </w:rPr>
        <w:t>ied</w:t>
      </w:r>
      <w:r w:rsidR="00822E24" w:rsidRPr="00792607">
        <w:rPr>
          <w:rFonts w:asciiTheme="minorHAnsi" w:hAnsiTheme="minorHAnsi" w:cstheme="minorHAnsi"/>
          <w:color w:val="000000"/>
          <w:sz w:val="22"/>
        </w:rPr>
        <w:t xml:space="preserve"> </w:t>
      </w:r>
      <w:r w:rsidRPr="00792607">
        <w:rPr>
          <w:rFonts w:asciiTheme="minorHAnsi" w:hAnsiTheme="minorHAnsi" w:cstheme="minorHAnsi"/>
          <w:color w:val="000000"/>
          <w:sz w:val="22"/>
        </w:rPr>
        <w:t>an approach to overcome previously identified challenges with implementing a statistically valid estimation methodology</w:t>
      </w:r>
      <w:r w:rsidRPr="009E007D">
        <w:rPr>
          <w:rFonts w:asciiTheme="minorHAnsi" w:hAnsiTheme="minorHAnsi" w:cstheme="minorHAnsi"/>
          <w:color w:val="000000"/>
          <w:sz w:val="22"/>
        </w:rPr>
        <w:t xml:space="preserve"> for the Pell</w:t>
      </w:r>
      <w:r w:rsidRPr="00792607">
        <w:rPr>
          <w:rFonts w:asciiTheme="minorHAnsi" w:hAnsiTheme="minorHAnsi" w:cstheme="minorHAnsi"/>
          <w:color w:val="000000"/>
          <w:sz w:val="22"/>
        </w:rPr>
        <w:t xml:space="preserve"> and </w:t>
      </w:r>
      <w:r>
        <w:rPr>
          <w:rFonts w:asciiTheme="minorHAnsi" w:hAnsiTheme="minorHAnsi" w:cstheme="minorHAnsi"/>
          <w:color w:val="000000"/>
          <w:sz w:val="22"/>
        </w:rPr>
        <w:t>DL</w:t>
      </w:r>
      <w:r w:rsidRPr="00792607">
        <w:rPr>
          <w:rFonts w:asciiTheme="minorHAnsi" w:hAnsiTheme="minorHAnsi" w:cstheme="minorHAnsi"/>
          <w:color w:val="000000"/>
          <w:sz w:val="22"/>
        </w:rPr>
        <w:t xml:space="preserve"> programs</w:t>
      </w:r>
      <w:r w:rsidR="00822E24">
        <w:rPr>
          <w:rFonts w:asciiTheme="minorHAnsi" w:hAnsiTheme="minorHAnsi" w:cstheme="minorHAnsi"/>
          <w:color w:val="000000"/>
          <w:sz w:val="22"/>
        </w:rPr>
        <w:t>.</w:t>
      </w:r>
      <w:r w:rsidR="00A50682">
        <w:rPr>
          <w:rFonts w:asciiTheme="minorHAnsi" w:hAnsiTheme="minorHAnsi" w:cstheme="minorHAnsi"/>
          <w:color w:val="000000"/>
          <w:sz w:val="22"/>
        </w:rPr>
        <w:t xml:space="preserve"> </w:t>
      </w:r>
      <w:r w:rsidR="00822E24">
        <w:rPr>
          <w:rFonts w:asciiTheme="minorHAnsi" w:hAnsiTheme="minorHAnsi" w:cstheme="minorHAnsi"/>
          <w:color w:val="000000"/>
          <w:sz w:val="22"/>
        </w:rPr>
        <w:t>I</w:t>
      </w:r>
      <w:r w:rsidRPr="00792607">
        <w:rPr>
          <w:rFonts w:asciiTheme="minorHAnsi" w:hAnsiTheme="minorHAnsi" w:cstheme="minorHAnsi"/>
          <w:color w:val="000000"/>
          <w:sz w:val="22"/>
        </w:rPr>
        <w:t>n FY 2019, FSA implemented a new statistically valid and rigorous estimation methodology. This new methodology improves the accuracy of the improper payment estimates. The methodology is based on a larger, random sample of schools.</w:t>
      </w:r>
    </w:p>
    <w:p w14:paraId="4E33A36C" w14:textId="77777777" w:rsidR="009E007D" w:rsidRPr="00792607" w:rsidRDefault="009E007D" w:rsidP="00792607">
      <w:pPr>
        <w:rPr>
          <w:rFonts w:asciiTheme="minorHAnsi" w:hAnsiTheme="minorHAnsi" w:cstheme="minorHAnsi"/>
          <w:color w:val="000000"/>
          <w:sz w:val="22"/>
        </w:rPr>
      </w:pPr>
    </w:p>
    <w:p w14:paraId="48788999" w14:textId="0C4F606F" w:rsidR="003B4FF9" w:rsidRPr="00792607" w:rsidRDefault="00EA2262" w:rsidP="00792607">
      <w:pPr>
        <w:autoSpaceDE w:val="0"/>
        <w:autoSpaceDN w:val="0"/>
        <w:adjustRightInd w:val="0"/>
        <w:ind w:right="144"/>
        <w:rPr>
          <w:rFonts w:asciiTheme="minorHAnsi" w:hAnsiTheme="minorHAnsi"/>
          <w:sz w:val="22"/>
          <w:szCs w:val="22"/>
        </w:rPr>
      </w:pPr>
      <w:r w:rsidRPr="00792607">
        <w:rPr>
          <w:rFonts w:asciiTheme="minorHAnsi" w:hAnsiTheme="minorHAnsi" w:cstheme="minorHAnsi"/>
          <w:color w:val="000000"/>
          <w:sz w:val="22"/>
        </w:rPr>
        <w:t>FSA estimate</w:t>
      </w:r>
      <w:r w:rsidR="00A65540"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the annual amount of improper payments for t</w:t>
      </w:r>
      <w:r w:rsidR="00A65540" w:rsidRPr="00792607">
        <w:rPr>
          <w:rFonts w:asciiTheme="minorHAnsi" w:hAnsiTheme="minorHAnsi" w:cstheme="minorHAnsi"/>
          <w:color w:val="000000"/>
          <w:sz w:val="22"/>
        </w:rPr>
        <w:t>he Pell and DL</w:t>
      </w:r>
      <w:r w:rsidRPr="00792607">
        <w:rPr>
          <w:rFonts w:asciiTheme="minorHAnsi" w:hAnsiTheme="minorHAnsi" w:cstheme="minorHAnsi"/>
          <w:color w:val="000000"/>
          <w:sz w:val="22"/>
        </w:rPr>
        <w:t xml:space="preserve"> programs by reviewing the result</w:t>
      </w:r>
      <w:r w:rsidR="00CD0135" w:rsidRPr="00792607">
        <w:rPr>
          <w:rFonts w:asciiTheme="minorHAnsi" w:hAnsiTheme="minorHAnsi" w:cstheme="minorHAnsi"/>
          <w:color w:val="000000"/>
          <w:sz w:val="22"/>
        </w:rPr>
        <w:t>s</w:t>
      </w:r>
      <w:r w:rsidRPr="00792607">
        <w:rPr>
          <w:rFonts w:asciiTheme="minorHAnsi" w:hAnsiTheme="minorHAnsi" w:cstheme="minorHAnsi"/>
          <w:color w:val="000000"/>
          <w:sz w:val="22"/>
        </w:rPr>
        <w:t xml:space="preserve"> of </w:t>
      </w:r>
      <w:r w:rsidR="00A9584E" w:rsidRPr="00792607">
        <w:rPr>
          <w:rFonts w:asciiTheme="minorHAnsi" w:hAnsiTheme="minorHAnsi" w:cstheme="minorHAnsi"/>
          <w:color w:val="000000"/>
          <w:sz w:val="22"/>
        </w:rPr>
        <w:t xml:space="preserve">annual </w:t>
      </w:r>
      <w:r w:rsidRPr="00792607">
        <w:rPr>
          <w:rFonts w:asciiTheme="minorHAnsi" w:hAnsiTheme="minorHAnsi" w:cstheme="minorHAnsi"/>
          <w:color w:val="000000"/>
          <w:sz w:val="22"/>
        </w:rPr>
        <w:t>complian</w:t>
      </w:r>
      <w:r w:rsidR="00B53DAA" w:rsidRPr="00792607">
        <w:rPr>
          <w:rFonts w:asciiTheme="minorHAnsi" w:hAnsiTheme="minorHAnsi" w:cstheme="minorHAnsi"/>
          <w:color w:val="000000"/>
          <w:sz w:val="22"/>
        </w:rPr>
        <w:t xml:space="preserve">ce </w:t>
      </w:r>
      <w:r w:rsidR="00B53DAA" w:rsidRPr="00792607">
        <w:rPr>
          <w:rFonts w:asciiTheme="minorHAnsi" w:hAnsiTheme="minorHAnsi" w:cstheme="minorHAnsi"/>
          <w:color w:val="000000"/>
          <w:sz w:val="22"/>
          <w:szCs w:val="22"/>
        </w:rPr>
        <w:t>audits</w:t>
      </w:r>
      <w:r w:rsidRPr="00792607">
        <w:rPr>
          <w:rFonts w:asciiTheme="minorHAnsi" w:hAnsiTheme="minorHAnsi" w:cstheme="minorHAnsi"/>
          <w:color w:val="000000"/>
          <w:sz w:val="22"/>
          <w:szCs w:val="22"/>
        </w:rPr>
        <w:t xml:space="preserve">. </w:t>
      </w:r>
      <w:r w:rsidR="00350ADF" w:rsidRPr="00792607">
        <w:rPr>
          <w:rFonts w:asciiTheme="minorHAnsi" w:hAnsiTheme="minorHAnsi"/>
          <w:sz w:val="22"/>
          <w:szCs w:val="22"/>
        </w:rPr>
        <w:t xml:space="preserve">Most </w:t>
      </w:r>
      <w:r w:rsidR="00350ADF" w:rsidRPr="00792607">
        <w:rPr>
          <w:rFonts w:asciiTheme="minorHAnsi" w:hAnsiTheme="minorHAnsi" w:cstheme="minorHAnsi"/>
          <w:color w:val="000000"/>
          <w:sz w:val="22"/>
          <w:szCs w:val="22"/>
        </w:rPr>
        <w:t>schools</w:t>
      </w:r>
      <w:r w:rsidR="00350ADF" w:rsidRPr="00792607">
        <w:rPr>
          <w:rFonts w:asciiTheme="minorHAnsi" w:hAnsiTheme="minorHAnsi"/>
          <w:sz w:val="22"/>
          <w:szCs w:val="22"/>
        </w:rPr>
        <w:t xml:space="preserve"> that participate in a</w:t>
      </w:r>
      <w:r w:rsidR="00B95E97" w:rsidRPr="00792607">
        <w:rPr>
          <w:rFonts w:asciiTheme="minorHAnsi" w:hAnsiTheme="minorHAnsi"/>
          <w:sz w:val="22"/>
          <w:szCs w:val="22"/>
        </w:rPr>
        <w:t>n</w:t>
      </w:r>
      <w:r w:rsidR="00350ADF" w:rsidRPr="00792607">
        <w:rPr>
          <w:rFonts w:asciiTheme="minorHAnsi" w:hAnsiTheme="minorHAnsi"/>
          <w:sz w:val="22"/>
          <w:szCs w:val="22"/>
        </w:rPr>
        <w:t xml:space="preserve"> FSA program must have an independent auditor conduct an annual audit of the school’s compliance with the laws and regulations that are applicable to the </w:t>
      </w:r>
      <w:r w:rsidR="007B056E" w:rsidRPr="00792607">
        <w:rPr>
          <w:rFonts w:asciiTheme="minorHAnsi" w:hAnsiTheme="minorHAnsi"/>
          <w:sz w:val="22"/>
          <w:szCs w:val="22"/>
        </w:rPr>
        <w:t>Title IV</w:t>
      </w:r>
      <w:r w:rsidR="00350ADF" w:rsidRPr="00792607">
        <w:rPr>
          <w:rFonts w:asciiTheme="minorHAnsi" w:hAnsiTheme="minorHAnsi"/>
          <w:sz w:val="22"/>
          <w:szCs w:val="22"/>
        </w:rPr>
        <w:t xml:space="preserve"> programs in which the school participates (a compliance audit). </w:t>
      </w:r>
      <w:r w:rsidR="002A2EA7" w:rsidRPr="00792607">
        <w:rPr>
          <w:rFonts w:asciiTheme="minorHAnsi" w:hAnsiTheme="minorHAnsi"/>
          <w:sz w:val="22"/>
          <w:szCs w:val="22"/>
        </w:rPr>
        <w:t>Section 487(c) of the Higher Education Act of 1965</w:t>
      </w:r>
      <w:r w:rsidR="00392651" w:rsidRPr="00792607">
        <w:rPr>
          <w:rFonts w:asciiTheme="minorHAnsi" w:hAnsiTheme="minorHAnsi"/>
          <w:sz w:val="22"/>
          <w:szCs w:val="22"/>
        </w:rPr>
        <w:t xml:space="preserve"> (HEA)</w:t>
      </w:r>
      <w:r w:rsidR="002A2EA7" w:rsidRPr="00792607">
        <w:rPr>
          <w:rFonts w:asciiTheme="minorHAnsi" w:hAnsiTheme="minorHAnsi"/>
          <w:sz w:val="22"/>
          <w:szCs w:val="22"/>
        </w:rPr>
        <w:t xml:space="preserve"> </w:t>
      </w:r>
      <w:r w:rsidR="00350ADF" w:rsidRPr="00792607">
        <w:rPr>
          <w:rFonts w:asciiTheme="minorHAnsi" w:hAnsiTheme="minorHAnsi"/>
          <w:sz w:val="22"/>
          <w:szCs w:val="22"/>
        </w:rPr>
        <w:t xml:space="preserve">requires each Title IV participating institution to submit to the Department a compliance audit and a financial audit “on at least an annual basis.” This statutory provision provides that the audit requirements can be met by submission of either an audit conducted under the </w:t>
      </w:r>
      <w:r w:rsidR="007B056E" w:rsidRPr="00792607">
        <w:rPr>
          <w:rFonts w:asciiTheme="minorHAnsi" w:hAnsiTheme="minorHAnsi"/>
          <w:i/>
          <w:sz w:val="22"/>
          <w:szCs w:val="22"/>
        </w:rPr>
        <w:t>Guide for Audits of Proprietary Schools and For Compliance Attestation Engagements of Third-Party Servicers Administering Title IV Programs</w:t>
      </w:r>
      <w:r w:rsidR="00FA23BF" w:rsidRPr="00792607">
        <w:rPr>
          <w:rFonts w:asciiTheme="minorHAnsi" w:hAnsiTheme="minorHAnsi"/>
          <w:i/>
          <w:sz w:val="22"/>
          <w:szCs w:val="22"/>
        </w:rPr>
        <w:t xml:space="preserve"> </w:t>
      </w:r>
      <w:r w:rsidR="00350ADF" w:rsidRPr="00792607">
        <w:rPr>
          <w:rFonts w:asciiTheme="minorHAnsi" w:hAnsiTheme="minorHAnsi"/>
          <w:sz w:val="22"/>
          <w:szCs w:val="22"/>
        </w:rPr>
        <w:t xml:space="preserve">issued by the Department’s Office of the Inspector General (OIG) </w:t>
      </w:r>
      <w:r w:rsidR="00145F08">
        <w:rPr>
          <w:rFonts w:asciiTheme="minorHAnsi" w:hAnsiTheme="minorHAnsi"/>
          <w:sz w:val="22"/>
          <w:szCs w:val="22"/>
        </w:rPr>
        <w:t xml:space="preserve">(i.e., the “OIG Audit Guide”) </w:t>
      </w:r>
      <w:r w:rsidR="007B056E" w:rsidRPr="00792607">
        <w:rPr>
          <w:rFonts w:asciiTheme="minorHAnsi" w:hAnsiTheme="minorHAnsi"/>
          <w:sz w:val="22"/>
          <w:szCs w:val="22"/>
        </w:rPr>
        <w:t>or by</w:t>
      </w:r>
      <w:r w:rsidR="00350ADF" w:rsidRPr="00792607">
        <w:rPr>
          <w:rFonts w:asciiTheme="minorHAnsi" w:hAnsiTheme="minorHAnsi"/>
          <w:sz w:val="22"/>
          <w:szCs w:val="22"/>
        </w:rPr>
        <w:t xml:space="preserve"> submission of the results of an audit of the institution conducted under the </w:t>
      </w:r>
      <w:r w:rsidR="002A2EA7" w:rsidRPr="00792607">
        <w:rPr>
          <w:rFonts w:asciiTheme="minorHAnsi" w:hAnsiTheme="minorHAnsi"/>
          <w:sz w:val="22"/>
          <w:szCs w:val="22"/>
        </w:rPr>
        <w:t>Single Audit Act of 1984</w:t>
      </w:r>
      <w:r w:rsidR="001C507B" w:rsidRPr="00792607">
        <w:rPr>
          <w:rFonts w:asciiTheme="minorHAnsi" w:hAnsiTheme="minorHAnsi"/>
          <w:sz w:val="22"/>
          <w:szCs w:val="22"/>
        </w:rPr>
        <w:t xml:space="preserve"> (Single Audit Act)</w:t>
      </w:r>
      <w:r w:rsidR="00350ADF" w:rsidRPr="00792607">
        <w:rPr>
          <w:rFonts w:asciiTheme="minorHAnsi" w:hAnsiTheme="minorHAnsi"/>
          <w:sz w:val="22"/>
          <w:szCs w:val="22"/>
        </w:rPr>
        <w:t xml:space="preserve">, </w:t>
      </w:r>
      <w:r w:rsidR="002A2EA7" w:rsidRPr="00792607">
        <w:rPr>
          <w:rFonts w:asciiTheme="minorHAnsi" w:hAnsiTheme="minorHAnsi"/>
          <w:sz w:val="22"/>
          <w:szCs w:val="22"/>
        </w:rPr>
        <w:t>as amended in 1996</w:t>
      </w:r>
      <w:r w:rsidR="00D65464" w:rsidRPr="00792607">
        <w:rPr>
          <w:rFonts w:asciiTheme="minorHAnsi" w:hAnsiTheme="minorHAnsi"/>
          <w:sz w:val="22"/>
          <w:szCs w:val="22"/>
        </w:rPr>
        <w:t xml:space="preserve">. </w:t>
      </w:r>
      <w:r w:rsidR="00A4073E" w:rsidRPr="00792607">
        <w:rPr>
          <w:rFonts w:asciiTheme="minorHAnsi" w:hAnsiTheme="minorHAnsi"/>
          <w:sz w:val="22"/>
          <w:szCs w:val="22"/>
        </w:rPr>
        <w:t>Compliance audits must be conducted in accordance with the</w:t>
      </w:r>
      <w:r w:rsidR="00234D60" w:rsidRPr="00792607">
        <w:rPr>
          <w:rFonts w:asciiTheme="minorHAnsi" w:hAnsiTheme="minorHAnsi"/>
          <w:sz w:val="22"/>
          <w:szCs w:val="22"/>
        </w:rPr>
        <w:t xml:space="preserve"> </w:t>
      </w:r>
      <w:r w:rsidR="00A4073E" w:rsidRPr="00792607">
        <w:rPr>
          <w:rFonts w:asciiTheme="minorHAnsi" w:hAnsiTheme="minorHAnsi"/>
          <w:sz w:val="22"/>
          <w:szCs w:val="22"/>
        </w:rPr>
        <w:t xml:space="preserve">standards contained in the </w:t>
      </w:r>
      <w:hyperlink r:id="rId13" w:history="1">
        <w:r w:rsidR="00A4073E" w:rsidRPr="00792607">
          <w:rPr>
            <w:rFonts w:asciiTheme="minorHAnsi" w:hAnsiTheme="minorHAnsi"/>
            <w:sz w:val="22"/>
            <w:szCs w:val="22"/>
          </w:rPr>
          <w:t xml:space="preserve">U.S. </w:t>
        </w:r>
        <w:r w:rsidR="003D3854" w:rsidRPr="00792607">
          <w:rPr>
            <w:rFonts w:asciiTheme="minorHAnsi" w:hAnsiTheme="minorHAnsi"/>
            <w:sz w:val="22"/>
            <w:szCs w:val="22"/>
          </w:rPr>
          <w:t xml:space="preserve">Government </w:t>
        </w:r>
        <w:r w:rsidR="00A4073E" w:rsidRPr="00792607">
          <w:rPr>
            <w:rFonts w:asciiTheme="minorHAnsi" w:hAnsiTheme="minorHAnsi"/>
            <w:sz w:val="22"/>
            <w:szCs w:val="22"/>
          </w:rPr>
          <w:t>Accountability Office (GAO) Government Auditing Standards</w:t>
        </w:r>
      </w:hyperlink>
      <w:r w:rsidR="00A4073E" w:rsidRPr="00792607">
        <w:rPr>
          <w:rFonts w:asciiTheme="minorHAnsi" w:hAnsiTheme="minorHAnsi"/>
          <w:sz w:val="22"/>
          <w:szCs w:val="22"/>
        </w:rPr>
        <w:t>. The type of compliance audit a school must undergo depends on what type of entity it is: for-profit, public, or nonprofit</w:t>
      </w:r>
      <w:r w:rsidR="003B4FF9" w:rsidRPr="00792607">
        <w:rPr>
          <w:rFonts w:asciiTheme="minorHAnsi" w:hAnsiTheme="minorHAnsi"/>
          <w:sz w:val="22"/>
          <w:szCs w:val="22"/>
        </w:rPr>
        <w:t>.</w:t>
      </w:r>
    </w:p>
    <w:p w14:paraId="3062D746" w14:textId="77777777" w:rsidR="00BC044F" w:rsidRDefault="00BC044F" w:rsidP="00792607">
      <w:pPr>
        <w:autoSpaceDE w:val="0"/>
        <w:autoSpaceDN w:val="0"/>
        <w:adjustRightInd w:val="0"/>
        <w:ind w:right="144"/>
        <w:rPr>
          <w:rFonts w:asciiTheme="minorHAnsi" w:hAnsiTheme="minorHAnsi"/>
          <w:bCs/>
          <w:sz w:val="22"/>
          <w:szCs w:val="22"/>
        </w:rPr>
      </w:pPr>
    </w:p>
    <w:p w14:paraId="050892F8" w14:textId="1AE7C0DE" w:rsidR="00E50DDD" w:rsidRPr="00792607" w:rsidRDefault="00350ADF" w:rsidP="00792607">
      <w:pPr>
        <w:autoSpaceDE w:val="0"/>
        <w:autoSpaceDN w:val="0"/>
        <w:adjustRightInd w:val="0"/>
        <w:spacing w:after="120"/>
        <w:ind w:right="144"/>
        <w:rPr>
          <w:rFonts w:asciiTheme="minorHAnsi" w:hAnsiTheme="minorHAnsi"/>
          <w:sz w:val="22"/>
          <w:szCs w:val="22"/>
        </w:rPr>
      </w:pPr>
      <w:r w:rsidRPr="00792607">
        <w:rPr>
          <w:rFonts w:asciiTheme="minorHAnsi" w:hAnsiTheme="minorHAnsi"/>
          <w:bCs/>
          <w:sz w:val="22"/>
          <w:szCs w:val="22"/>
        </w:rPr>
        <w:t xml:space="preserve">For-profit schools must have a compliance audit conducted under the </w:t>
      </w:r>
      <w:r w:rsidR="00A4073E" w:rsidRPr="00792607">
        <w:rPr>
          <w:rFonts w:asciiTheme="minorHAnsi" w:hAnsiTheme="minorHAnsi"/>
          <w:bCs/>
          <w:sz w:val="22"/>
          <w:szCs w:val="22"/>
        </w:rPr>
        <w:t>OIG</w:t>
      </w:r>
      <w:r w:rsidRPr="00792607">
        <w:rPr>
          <w:rFonts w:asciiTheme="minorHAnsi" w:hAnsiTheme="minorHAnsi"/>
          <w:bCs/>
          <w:sz w:val="22"/>
          <w:szCs w:val="22"/>
        </w:rPr>
        <w:t xml:space="preserve">’s </w:t>
      </w:r>
      <w:r w:rsidR="002A2EA7" w:rsidRPr="00792607">
        <w:rPr>
          <w:rFonts w:asciiTheme="minorHAnsi" w:hAnsiTheme="minorHAnsi"/>
          <w:bCs/>
          <w:sz w:val="22"/>
          <w:szCs w:val="22"/>
        </w:rPr>
        <w:t xml:space="preserve">Audit </w:t>
      </w:r>
      <w:r w:rsidR="00B11A22" w:rsidRPr="00792607">
        <w:rPr>
          <w:rFonts w:asciiTheme="minorHAnsi" w:hAnsiTheme="minorHAnsi"/>
          <w:bCs/>
          <w:sz w:val="22"/>
          <w:szCs w:val="22"/>
        </w:rPr>
        <w:t>Guide</w:t>
      </w:r>
      <w:r w:rsidR="00464453" w:rsidRPr="00792607">
        <w:rPr>
          <w:rFonts w:asciiTheme="minorHAnsi" w:hAnsiTheme="minorHAnsi"/>
          <w:bCs/>
          <w:sz w:val="22"/>
          <w:szCs w:val="22"/>
        </w:rPr>
        <w:t>.</w:t>
      </w:r>
      <w:r w:rsidR="00BE65A2" w:rsidRPr="00792607">
        <w:rPr>
          <w:rStyle w:val="FootnoteReference"/>
          <w:rFonts w:asciiTheme="minorHAnsi" w:hAnsiTheme="minorHAnsi"/>
          <w:sz w:val="22"/>
          <w:szCs w:val="22"/>
        </w:rPr>
        <w:footnoteReference w:id="2"/>
      </w:r>
      <w:r w:rsidR="00342549" w:rsidRPr="00792607">
        <w:rPr>
          <w:rFonts w:asciiTheme="minorHAnsi" w:hAnsiTheme="minorHAnsi"/>
          <w:sz w:val="22"/>
          <w:szCs w:val="22"/>
        </w:rPr>
        <w:t xml:space="preserve"> </w:t>
      </w:r>
      <w:r w:rsidR="00E50DDD" w:rsidRPr="00792607">
        <w:rPr>
          <w:rFonts w:asciiTheme="minorHAnsi" w:hAnsiTheme="minorHAnsi"/>
          <w:sz w:val="22"/>
          <w:szCs w:val="22"/>
        </w:rPr>
        <w:t xml:space="preserve">Public and nonprofit schools must comply with the Single Audit Act. The Single Audit Act requires these schools to </w:t>
      </w:r>
      <w:r w:rsidR="00E50DDD" w:rsidRPr="00792607">
        <w:rPr>
          <w:rFonts w:asciiTheme="minorHAnsi" w:hAnsiTheme="minorHAnsi"/>
          <w:sz w:val="22"/>
          <w:szCs w:val="22"/>
        </w:rPr>
        <w:lastRenderedPageBreak/>
        <w:t>have an audit conducted in accordance with the Uniform Guidance, Subpart F, previously OMB Circular A-133, and Appendix XI, commonly known as the OMB Compliance Supplement. The Uniform Guidance</w:t>
      </w:r>
      <w:r w:rsidR="00E50DDD" w:rsidRPr="00792607" w:rsidDel="00401289">
        <w:rPr>
          <w:rFonts w:asciiTheme="minorHAnsi" w:hAnsiTheme="minorHAnsi"/>
          <w:sz w:val="22"/>
          <w:szCs w:val="22"/>
        </w:rPr>
        <w:t xml:space="preserve"> </w:t>
      </w:r>
      <w:r w:rsidR="00E50DDD" w:rsidRPr="00792607">
        <w:rPr>
          <w:rFonts w:asciiTheme="minorHAnsi" w:hAnsiTheme="minorHAnsi"/>
          <w:sz w:val="22"/>
          <w:szCs w:val="22"/>
        </w:rPr>
        <w:t xml:space="preserve">allows a compliance audit under the criteria of the </w:t>
      </w:r>
      <w:r w:rsidR="00E50DDD" w:rsidRPr="00792607">
        <w:rPr>
          <w:rFonts w:asciiTheme="minorHAnsi" w:hAnsiTheme="minorHAnsi"/>
          <w:iCs/>
          <w:sz w:val="22"/>
          <w:szCs w:val="22"/>
        </w:rPr>
        <w:t>Audit Guide</w:t>
      </w:r>
      <w:r w:rsidR="00E50DDD" w:rsidRPr="00792607">
        <w:rPr>
          <w:rFonts w:asciiTheme="minorHAnsi" w:hAnsiTheme="minorHAnsi"/>
          <w:i/>
          <w:iCs/>
          <w:sz w:val="22"/>
          <w:szCs w:val="22"/>
        </w:rPr>
        <w:t xml:space="preserve"> </w:t>
      </w:r>
      <w:r w:rsidR="00E50DDD" w:rsidRPr="00792607">
        <w:rPr>
          <w:rFonts w:asciiTheme="minorHAnsi" w:hAnsiTheme="minorHAnsi"/>
          <w:sz w:val="22"/>
          <w:szCs w:val="22"/>
        </w:rPr>
        <w:t>under limited circumstances.</w:t>
      </w:r>
    </w:p>
    <w:p w14:paraId="761D1C53" w14:textId="422DD5BF" w:rsidR="00BC044F" w:rsidRDefault="00E50DDD"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 xml:space="preserve">For both types of audits, </w:t>
      </w:r>
      <w:r w:rsidR="009E007D">
        <w:rPr>
          <w:rFonts w:asciiTheme="minorHAnsi" w:hAnsiTheme="minorHAnsi"/>
          <w:sz w:val="22"/>
          <w:szCs w:val="22"/>
        </w:rPr>
        <w:t>the</w:t>
      </w:r>
      <w:r w:rsidR="00342549" w:rsidRPr="00792607">
        <w:rPr>
          <w:rFonts w:asciiTheme="minorHAnsi" w:hAnsiTheme="minorHAnsi"/>
          <w:sz w:val="22"/>
          <w:szCs w:val="22"/>
        </w:rPr>
        <w:t xml:space="preserve"> population of students who received Title IV program funds during the engagement period (fiscal year) is randomly sampled according to the guidelines set forth in the </w:t>
      </w:r>
      <w:r w:rsidRPr="00792607">
        <w:rPr>
          <w:rFonts w:asciiTheme="minorHAnsi" w:hAnsiTheme="minorHAnsi"/>
          <w:sz w:val="22"/>
          <w:szCs w:val="22"/>
        </w:rPr>
        <w:t>a</w:t>
      </w:r>
      <w:r w:rsidR="00342549" w:rsidRPr="00792607">
        <w:rPr>
          <w:rFonts w:asciiTheme="minorHAnsi" w:hAnsiTheme="minorHAnsi"/>
          <w:sz w:val="22"/>
          <w:szCs w:val="22"/>
        </w:rPr>
        <w:t xml:space="preserve">udit </w:t>
      </w:r>
      <w:r w:rsidRPr="00792607">
        <w:rPr>
          <w:rFonts w:asciiTheme="minorHAnsi" w:hAnsiTheme="minorHAnsi"/>
          <w:sz w:val="22"/>
          <w:szCs w:val="22"/>
        </w:rPr>
        <w:t>g</w:t>
      </w:r>
      <w:r w:rsidR="00342549" w:rsidRPr="00792607">
        <w:rPr>
          <w:rFonts w:asciiTheme="minorHAnsi" w:hAnsiTheme="minorHAnsi"/>
          <w:sz w:val="22"/>
          <w:szCs w:val="22"/>
        </w:rPr>
        <w:t>uid</w:t>
      </w:r>
      <w:r w:rsidRPr="00792607">
        <w:rPr>
          <w:rFonts w:asciiTheme="minorHAnsi" w:hAnsiTheme="minorHAnsi"/>
          <w:sz w:val="22"/>
          <w:szCs w:val="22"/>
        </w:rPr>
        <w:t>ance</w:t>
      </w:r>
      <w:r w:rsidR="00342549" w:rsidRPr="00792607">
        <w:rPr>
          <w:rFonts w:asciiTheme="minorHAnsi" w:hAnsiTheme="minorHAnsi"/>
          <w:sz w:val="22"/>
          <w:szCs w:val="22"/>
        </w:rPr>
        <w:t xml:space="preserve">. The selected samples are tested for reporting, student eligibility, disbursements, and, if appropriate, withdrawal calculations. </w:t>
      </w:r>
      <w:r w:rsidR="004D7913" w:rsidRPr="00792607">
        <w:rPr>
          <w:rFonts w:asciiTheme="minorHAnsi" w:hAnsiTheme="minorHAnsi"/>
          <w:sz w:val="22"/>
          <w:szCs w:val="22"/>
        </w:rPr>
        <w:t>I</w:t>
      </w:r>
      <w:r w:rsidR="00342549" w:rsidRPr="00792607">
        <w:rPr>
          <w:rFonts w:asciiTheme="minorHAnsi" w:hAnsiTheme="minorHAnsi"/>
          <w:sz w:val="22"/>
          <w:szCs w:val="22"/>
        </w:rPr>
        <w:t xml:space="preserve">nstances of noncompliance </w:t>
      </w:r>
      <w:r w:rsidR="00E83BCA" w:rsidRPr="00792607">
        <w:rPr>
          <w:rFonts w:asciiTheme="minorHAnsi" w:hAnsiTheme="minorHAnsi"/>
          <w:sz w:val="22"/>
          <w:szCs w:val="22"/>
        </w:rPr>
        <w:t xml:space="preserve">identified as part of </w:t>
      </w:r>
      <w:r w:rsidRPr="00792607">
        <w:rPr>
          <w:rFonts w:asciiTheme="minorHAnsi" w:hAnsiTheme="minorHAnsi"/>
          <w:sz w:val="22"/>
          <w:szCs w:val="22"/>
        </w:rPr>
        <w:t xml:space="preserve">the </w:t>
      </w:r>
      <w:r w:rsidR="00E83BCA" w:rsidRPr="00792607">
        <w:rPr>
          <w:rFonts w:asciiTheme="minorHAnsi" w:hAnsiTheme="minorHAnsi"/>
          <w:sz w:val="22"/>
          <w:szCs w:val="22"/>
        </w:rPr>
        <w:t xml:space="preserve">compliance audits </w:t>
      </w:r>
      <w:r w:rsidR="00342549" w:rsidRPr="00792607">
        <w:rPr>
          <w:rFonts w:asciiTheme="minorHAnsi" w:hAnsiTheme="minorHAnsi"/>
          <w:sz w:val="22"/>
          <w:szCs w:val="22"/>
        </w:rPr>
        <w:t>are reported as findings</w:t>
      </w:r>
      <w:r w:rsidR="00A40EF2">
        <w:rPr>
          <w:rStyle w:val="FootnoteReference"/>
          <w:rFonts w:asciiTheme="minorHAnsi" w:hAnsiTheme="minorHAnsi"/>
          <w:sz w:val="22"/>
          <w:szCs w:val="22"/>
        </w:rPr>
        <w:footnoteReference w:id="3"/>
      </w:r>
      <w:r w:rsidR="00342549" w:rsidRPr="00792607">
        <w:rPr>
          <w:rFonts w:asciiTheme="minorHAnsi" w:hAnsiTheme="minorHAnsi"/>
          <w:sz w:val="22"/>
          <w:szCs w:val="22"/>
        </w:rPr>
        <w:t>, even when corrective action has already been taken by the school</w:t>
      </w:r>
      <w:r w:rsidR="00464453" w:rsidRPr="00792607">
        <w:rPr>
          <w:rFonts w:asciiTheme="minorHAnsi" w:hAnsiTheme="minorHAnsi"/>
          <w:sz w:val="22"/>
          <w:szCs w:val="22"/>
        </w:rPr>
        <w:t>.</w:t>
      </w:r>
      <w:r w:rsidR="007B465A" w:rsidRPr="00792607">
        <w:rPr>
          <w:rFonts w:asciiTheme="minorHAnsi" w:hAnsiTheme="minorHAnsi"/>
          <w:sz w:val="22"/>
          <w:szCs w:val="22"/>
        </w:rPr>
        <w:t xml:space="preserve"> </w:t>
      </w:r>
      <w:r w:rsidR="008F415E">
        <w:rPr>
          <w:rFonts w:asciiTheme="minorHAnsi" w:hAnsiTheme="minorHAnsi"/>
          <w:sz w:val="22"/>
          <w:szCs w:val="22"/>
        </w:rPr>
        <w:t xml:space="preserve"> </w:t>
      </w:r>
    </w:p>
    <w:p w14:paraId="60401196" w14:textId="2CC41F46" w:rsidR="00A65540" w:rsidRPr="00792607" w:rsidRDefault="006A767A" w:rsidP="00792607">
      <w:pPr>
        <w:autoSpaceDE w:val="0"/>
        <w:autoSpaceDN w:val="0"/>
        <w:adjustRightInd w:val="0"/>
        <w:ind w:right="144"/>
        <w:rPr>
          <w:rFonts w:asciiTheme="minorHAnsi" w:hAnsiTheme="minorHAnsi"/>
          <w:sz w:val="22"/>
          <w:szCs w:val="22"/>
        </w:rPr>
      </w:pPr>
      <w:r w:rsidRPr="00792607">
        <w:rPr>
          <w:rFonts w:asciiTheme="minorHAnsi" w:hAnsiTheme="minorHAnsi"/>
          <w:sz w:val="22"/>
          <w:szCs w:val="22"/>
        </w:rPr>
        <w:t xml:space="preserve">A small population of public and nonprofit schools </w:t>
      </w:r>
      <w:r w:rsidR="007B47D6" w:rsidRPr="00792607">
        <w:rPr>
          <w:rFonts w:asciiTheme="minorHAnsi" w:hAnsiTheme="minorHAnsi"/>
          <w:sz w:val="22"/>
          <w:szCs w:val="22"/>
        </w:rPr>
        <w:t xml:space="preserve">may </w:t>
      </w:r>
      <w:r w:rsidRPr="00792607">
        <w:rPr>
          <w:rFonts w:asciiTheme="minorHAnsi" w:hAnsiTheme="minorHAnsi"/>
          <w:sz w:val="22"/>
          <w:szCs w:val="22"/>
        </w:rPr>
        <w:t>appl</w:t>
      </w:r>
      <w:r w:rsidR="007B47D6" w:rsidRPr="00792607">
        <w:rPr>
          <w:rFonts w:asciiTheme="minorHAnsi" w:hAnsiTheme="minorHAnsi"/>
          <w:sz w:val="22"/>
          <w:szCs w:val="22"/>
        </w:rPr>
        <w:t>y</w:t>
      </w:r>
      <w:r w:rsidRPr="00792607">
        <w:rPr>
          <w:rFonts w:asciiTheme="minorHAnsi" w:hAnsiTheme="minorHAnsi"/>
          <w:sz w:val="22"/>
          <w:szCs w:val="22"/>
        </w:rPr>
        <w:t xml:space="preserve"> for and receive</w:t>
      </w:r>
      <w:r w:rsidR="0054653D">
        <w:rPr>
          <w:rFonts w:asciiTheme="minorHAnsi" w:hAnsiTheme="minorHAnsi"/>
          <w:sz w:val="22"/>
          <w:szCs w:val="22"/>
        </w:rPr>
        <w:t xml:space="preserve"> an</w:t>
      </w:r>
      <w:r w:rsidRPr="00792607">
        <w:rPr>
          <w:rFonts w:asciiTheme="minorHAnsi" w:hAnsiTheme="minorHAnsi"/>
          <w:sz w:val="22"/>
          <w:szCs w:val="22"/>
        </w:rPr>
        <w:t xml:space="preserve"> exemption</w:t>
      </w:r>
      <w:r w:rsidR="007B47D6" w:rsidRPr="00792607">
        <w:rPr>
          <w:rFonts w:asciiTheme="minorHAnsi" w:hAnsiTheme="minorHAnsi"/>
          <w:sz w:val="22"/>
          <w:szCs w:val="22"/>
        </w:rPr>
        <w:t xml:space="preserve"> from the</w:t>
      </w:r>
      <w:r w:rsidRPr="00792607">
        <w:rPr>
          <w:rFonts w:asciiTheme="minorHAnsi" w:hAnsiTheme="minorHAnsi"/>
          <w:sz w:val="22"/>
          <w:szCs w:val="22"/>
        </w:rPr>
        <w:t xml:space="preserve"> compliance audit</w:t>
      </w:r>
      <w:r w:rsidR="007B47D6" w:rsidRPr="00792607">
        <w:rPr>
          <w:rFonts w:asciiTheme="minorHAnsi" w:hAnsiTheme="minorHAnsi"/>
          <w:sz w:val="22"/>
          <w:szCs w:val="22"/>
        </w:rPr>
        <w:t xml:space="preserve"> requirement</w:t>
      </w:r>
      <w:r w:rsidRPr="00792607">
        <w:rPr>
          <w:rFonts w:asciiTheme="minorHAnsi" w:hAnsiTheme="minorHAnsi"/>
          <w:sz w:val="22"/>
          <w:szCs w:val="22"/>
        </w:rPr>
        <w:t>. For-profit schools may likewise apply for a waiver</w:t>
      </w:r>
      <w:r w:rsidR="007B47D6" w:rsidRPr="00792607">
        <w:rPr>
          <w:rFonts w:asciiTheme="minorHAnsi" w:hAnsiTheme="minorHAnsi"/>
          <w:sz w:val="22"/>
          <w:szCs w:val="22"/>
        </w:rPr>
        <w:t xml:space="preserve"> from</w:t>
      </w:r>
      <w:r w:rsidRPr="00792607">
        <w:rPr>
          <w:rFonts w:asciiTheme="minorHAnsi" w:hAnsiTheme="minorHAnsi"/>
          <w:sz w:val="22"/>
          <w:szCs w:val="22"/>
        </w:rPr>
        <w:t xml:space="preserve"> submitting a compliance audit or financial statements for a period of up to three years. </w:t>
      </w:r>
      <w:r w:rsidR="00A65540" w:rsidRPr="00792607">
        <w:rPr>
          <w:rFonts w:asciiTheme="minorHAnsi" w:hAnsiTheme="minorHAnsi"/>
          <w:sz w:val="22"/>
          <w:szCs w:val="22"/>
        </w:rPr>
        <w:t xml:space="preserve">Schools which receive waivers and exemptions comprise a very small fraction of the total disbursement amount across both programs. FSA accounts for these disbursements </w:t>
      </w:r>
      <w:r w:rsidR="0054653D">
        <w:rPr>
          <w:rFonts w:asciiTheme="minorHAnsi" w:hAnsiTheme="minorHAnsi"/>
          <w:sz w:val="22"/>
          <w:szCs w:val="22"/>
        </w:rPr>
        <w:t xml:space="preserve">by including them in the </w:t>
      </w:r>
      <w:r w:rsidR="00A65540" w:rsidRPr="00792607">
        <w:rPr>
          <w:rFonts w:asciiTheme="minorHAnsi" w:hAnsiTheme="minorHAnsi"/>
          <w:sz w:val="22"/>
          <w:szCs w:val="22"/>
        </w:rPr>
        <w:t>statistically valid sampling</w:t>
      </w:r>
      <w:r w:rsidR="0054653D">
        <w:rPr>
          <w:rFonts w:asciiTheme="minorHAnsi" w:hAnsiTheme="minorHAnsi"/>
          <w:sz w:val="22"/>
          <w:szCs w:val="22"/>
        </w:rPr>
        <w:t>.</w:t>
      </w:r>
      <w:r w:rsidR="00A65540" w:rsidRPr="00792607">
        <w:rPr>
          <w:rFonts w:asciiTheme="minorHAnsi" w:hAnsiTheme="minorHAnsi"/>
          <w:sz w:val="22"/>
          <w:szCs w:val="22"/>
        </w:rPr>
        <w:t xml:space="preserve"> </w:t>
      </w:r>
    </w:p>
    <w:p w14:paraId="34EA2470" w14:textId="77777777" w:rsidR="00BC044F" w:rsidRDefault="00BC044F" w:rsidP="0000326F">
      <w:pPr>
        <w:autoSpaceDE w:val="0"/>
        <w:autoSpaceDN w:val="0"/>
        <w:adjustRightInd w:val="0"/>
        <w:rPr>
          <w:rFonts w:asciiTheme="minorHAnsi" w:hAnsiTheme="minorHAnsi" w:cstheme="minorHAnsi"/>
          <w:b/>
          <w:bCs/>
          <w:color w:val="000000"/>
          <w:sz w:val="22"/>
        </w:rPr>
      </w:pPr>
    </w:p>
    <w:p w14:paraId="3C6061C9" w14:textId="6ED67E0C" w:rsidR="0000326F" w:rsidRPr="00792607" w:rsidRDefault="0000326F" w:rsidP="0000326F">
      <w:pPr>
        <w:autoSpaceDE w:val="0"/>
        <w:autoSpaceDN w:val="0"/>
        <w:adjustRightInd w:val="0"/>
        <w:rPr>
          <w:rFonts w:asciiTheme="minorHAnsi" w:eastAsiaTheme="majorEastAsia" w:hAnsiTheme="minorHAnsi" w:cstheme="minorHAnsi"/>
          <w:b/>
          <w:bCs/>
          <w:iCs/>
          <w:color w:val="365E92"/>
          <w:sz w:val="23"/>
          <w:szCs w:val="23"/>
        </w:rPr>
      </w:pPr>
      <w:r w:rsidRPr="00792607">
        <w:rPr>
          <w:rFonts w:asciiTheme="minorHAnsi" w:eastAsiaTheme="majorEastAsia" w:hAnsiTheme="minorHAnsi" w:cstheme="minorHAnsi"/>
          <w:b/>
          <w:bCs/>
          <w:iCs/>
          <w:color w:val="365E92"/>
          <w:sz w:val="23"/>
          <w:szCs w:val="23"/>
        </w:rPr>
        <w:t>Pell Grant Program</w:t>
      </w:r>
    </w:p>
    <w:p w14:paraId="35AE91F7" w14:textId="77777777" w:rsidR="00BC044F" w:rsidRPr="002B3C0C" w:rsidRDefault="00BC044F" w:rsidP="0000326F">
      <w:pPr>
        <w:autoSpaceDE w:val="0"/>
        <w:autoSpaceDN w:val="0"/>
        <w:adjustRightInd w:val="0"/>
        <w:rPr>
          <w:rFonts w:asciiTheme="minorHAnsi" w:hAnsiTheme="minorHAnsi" w:cstheme="minorHAnsi"/>
          <w:b/>
          <w:bCs/>
          <w:color w:val="000000"/>
          <w:sz w:val="22"/>
        </w:rPr>
      </w:pPr>
    </w:p>
    <w:p w14:paraId="69756514" w14:textId="221F25DE" w:rsidR="00F064D2" w:rsidRDefault="00BC044F" w:rsidP="00792607">
      <w:pPr>
        <w:widowControl w:val="0"/>
        <w:rPr>
          <w:rFonts w:asciiTheme="minorHAnsi" w:hAnsiTheme="minorHAnsi" w:cstheme="minorHAnsi"/>
          <w:bCs/>
          <w:color w:val="000000"/>
          <w:sz w:val="22"/>
        </w:rPr>
      </w:pPr>
      <w:r>
        <w:rPr>
          <w:rFonts w:asciiTheme="minorHAnsi" w:hAnsiTheme="minorHAnsi" w:cstheme="minorHAnsi"/>
          <w:color w:val="000000"/>
          <w:sz w:val="22"/>
        </w:rPr>
        <w:t xml:space="preserve">For both the Pell and </w:t>
      </w:r>
      <w:r w:rsidRPr="00FC5ECC">
        <w:rPr>
          <w:rFonts w:asciiTheme="minorHAnsi" w:hAnsiTheme="minorHAnsi" w:cstheme="minorHAnsi"/>
          <w:color w:val="000000"/>
          <w:sz w:val="22"/>
        </w:rPr>
        <w:t xml:space="preserve">DL improper </w:t>
      </w:r>
      <w:r w:rsidRPr="009E007D">
        <w:rPr>
          <w:rFonts w:asciiTheme="minorHAnsi" w:hAnsiTheme="minorHAnsi" w:cstheme="minorHAnsi"/>
          <w:bCs/>
          <w:color w:val="000000"/>
          <w:sz w:val="22"/>
        </w:rPr>
        <w:t>payment estimates, FSA selects a statistically valid sample of schools. T</w:t>
      </w:r>
      <w:r w:rsidR="0000326F" w:rsidRPr="00792607">
        <w:rPr>
          <w:rFonts w:asciiTheme="minorHAnsi" w:hAnsiTheme="minorHAnsi" w:cstheme="minorHAnsi"/>
          <w:bCs/>
          <w:color w:val="000000"/>
          <w:sz w:val="22"/>
        </w:rPr>
        <w:t xml:space="preserve">he most recently completed corresponding compliance audit for </w:t>
      </w:r>
      <w:r w:rsidR="00F70703" w:rsidRPr="00F70703">
        <w:rPr>
          <w:rFonts w:asciiTheme="minorHAnsi" w:hAnsiTheme="minorHAnsi" w:cstheme="minorHAnsi"/>
          <w:bCs/>
          <w:color w:val="000000"/>
          <w:sz w:val="22"/>
        </w:rPr>
        <w:t xml:space="preserve">which the </w:t>
      </w:r>
      <w:r w:rsidR="00F70703">
        <w:rPr>
          <w:rFonts w:asciiTheme="minorHAnsi" w:hAnsiTheme="minorHAnsi" w:cstheme="minorHAnsi"/>
          <w:bCs/>
          <w:color w:val="000000"/>
          <w:sz w:val="22"/>
        </w:rPr>
        <w:t>Student Financial Assistance (</w:t>
      </w:r>
      <w:r w:rsidR="00F70703" w:rsidRPr="00F70703">
        <w:rPr>
          <w:rFonts w:asciiTheme="minorHAnsi" w:hAnsiTheme="minorHAnsi" w:cstheme="minorHAnsi"/>
          <w:bCs/>
          <w:color w:val="000000"/>
          <w:sz w:val="22"/>
        </w:rPr>
        <w:t>SFA</w:t>
      </w:r>
      <w:r w:rsidR="00F70703">
        <w:rPr>
          <w:rFonts w:asciiTheme="minorHAnsi" w:hAnsiTheme="minorHAnsi" w:cstheme="minorHAnsi"/>
          <w:bCs/>
          <w:color w:val="000000"/>
          <w:sz w:val="22"/>
        </w:rPr>
        <w:t>)</w:t>
      </w:r>
      <w:r w:rsidR="00F70703" w:rsidRPr="00F70703">
        <w:rPr>
          <w:rFonts w:asciiTheme="minorHAnsi" w:hAnsiTheme="minorHAnsi" w:cstheme="minorHAnsi"/>
          <w:bCs/>
          <w:color w:val="000000"/>
          <w:sz w:val="22"/>
        </w:rPr>
        <w:t xml:space="preserve"> Cluster is a major program </w:t>
      </w:r>
      <w:r w:rsidR="00F70703">
        <w:rPr>
          <w:rFonts w:asciiTheme="minorHAnsi" w:hAnsiTheme="minorHAnsi" w:cstheme="minorHAnsi"/>
          <w:bCs/>
          <w:color w:val="000000"/>
          <w:sz w:val="22"/>
        </w:rPr>
        <w:t>is</w:t>
      </w:r>
      <w:r w:rsidR="0000326F" w:rsidRPr="00792607">
        <w:rPr>
          <w:rFonts w:asciiTheme="minorHAnsi" w:hAnsiTheme="minorHAnsi" w:cstheme="minorHAnsi"/>
          <w:bCs/>
          <w:color w:val="000000"/>
          <w:sz w:val="22"/>
        </w:rPr>
        <w:t xml:space="preserve"> selected in the sample</w:t>
      </w:r>
      <w:r w:rsidR="001D5D83">
        <w:rPr>
          <w:rFonts w:asciiTheme="minorHAnsi" w:hAnsiTheme="minorHAnsi" w:cstheme="minorHAnsi"/>
          <w:bCs/>
          <w:color w:val="000000"/>
          <w:sz w:val="22"/>
        </w:rPr>
        <w:t xml:space="preserve"> and</w:t>
      </w:r>
      <w:r w:rsidR="00FC5ECC" w:rsidRPr="009E007D">
        <w:rPr>
          <w:rFonts w:asciiTheme="minorHAnsi" w:hAnsiTheme="minorHAnsi" w:cstheme="minorHAnsi"/>
          <w:bCs/>
          <w:color w:val="000000"/>
          <w:sz w:val="22"/>
        </w:rPr>
        <w:t xml:space="preserve"> reviewed</w:t>
      </w:r>
      <w:r w:rsidR="00F064D2">
        <w:rPr>
          <w:rFonts w:asciiTheme="minorHAnsi" w:hAnsiTheme="minorHAnsi" w:cstheme="minorHAnsi"/>
          <w:bCs/>
          <w:color w:val="000000"/>
          <w:sz w:val="22"/>
        </w:rPr>
        <w:t xml:space="preserve"> for improper payments</w:t>
      </w:r>
      <w:r w:rsidR="0000326F" w:rsidRPr="009E007D">
        <w:rPr>
          <w:rFonts w:asciiTheme="minorHAnsi" w:hAnsiTheme="minorHAnsi" w:cstheme="minorHAnsi"/>
          <w:bCs/>
          <w:color w:val="000000"/>
          <w:sz w:val="22"/>
        </w:rPr>
        <w:t xml:space="preserve">. </w:t>
      </w:r>
    </w:p>
    <w:p w14:paraId="20C29D15" w14:textId="77777777" w:rsidR="00F064D2" w:rsidRDefault="00F064D2" w:rsidP="00792607">
      <w:pPr>
        <w:widowControl w:val="0"/>
        <w:rPr>
          <w:rFonts w:asciiTheme="minorHAnsi" w:hAnsiTheme="minorHAnsi" w:cstheme="minorHAnsi"/>
          <w:bCs/>
          <w:color w:val="000000"/>
          <w:sz w:val="22"/>
        </w:rPr>
      </w:pPr>
    </w:p>
    <w:p w14:paraId="6124DC93" w14:textId="24C97354" w:rsidR="00FC5ECC" w:rsidRDefault="009F061C" w:rsidP="00792607">
      <w:pPr>
        <w:widowControl w:val="0"/>
        <w:rPr>
          <w:rFonts w:asciiTheme="minorHAnsi" w:hAnsiTheme="minorHAnsi" w:cstheme="minorHAnsi"/>
          <w:color w:val="000000"/>
          <w:sz w:val="22"/>
        </w:rPr>
      </w:pPr>
      <w:r w:rsidRPr="009E007D">
        <w:rPr>
          <w:rFonts w:asciiTheme="minorHAnsi" w:hAnsiTheme="minorHAnsi" w:cstheme="minorHAnsi"/>
          <w:bCs/>
          <w:color w:val="000000"/>
          <w:sz w:val="22"/>
        </w:rPr>
        <w:t xml:space="preserve">The Pell estimate is based </w:t>
      </w:r>
      <w:r w:rsidR="00145F08">
        <w:rPr>
          <w:rFonts w:asciiTheme="minorHAnsi" w:hAnsiTheme="minorHAnsi" w:cstheme="minorHAnsi"/>
          <w:bCs/>
          <w:color w:val="000000"/>
          <w:sz w:val="22"/>
        </w:rPr>
        <w:t xml:space="preserve">in part </w:t>
      </w:r>
      <w:r w:rsidRPr="009E007D">
        <w:rPr>
          <w:rFonts w:asciiTheme="minorHAnsi" w:hAnsiTheme="minorHAnsi" w:cstheme="minorHAnsi"/>
          <w:bCs/>
          <w:color w:val="000000"/>
          <w:sz w:val="22"/>
        </w:rPr>
        <w:t xml:space="preserve">on all improper payments identified by the auditor </w:t>
      </w:r>
      <w:r w:rsidR="00F064D2">
        <w:rPr>
          <w:rFonts w:asciiTheme="minorHAnsi" w:hAnsiTheme="minorHAnsi" w:cstheme="minorHAnsi"/>
          <w:bCs/>
          <w:color w:val="000000"/>
          <w:sz w:val="22"/>
        </w:rPr>
        <w:t>for each sampled school</w:t>
      </w:r>
      <w:r w:rsidRPr="009E007D">
        <w:rPr>
          <w:rFonts w:asciiTheme="minorHAnsi" w:hAnsiTheme="minorHAnsi" w:cstheme="minorHAnsi"/>
          <w:bCs/>
          <w:color w:val="000000"/>
          <w:sz w:val="22"/>
        </w:rPr>
        <w:t xml:space="preserve">. Additionally, the Pell estimate incorporates improper payment rates reported in the </w:t>
      </w:r>
      <w:r w:rsidR="00145F08">
        <w:rPr>
          <w:rFonts w:asciiTheme="minorHAnsi" w:hAnsiTheme="minorHAnsi" w:cstheme="minorHAnsi"/>
          <w:bCs/>
          <w:color w:val="000000"/>
          <w:sz w:val="22"/>
        </w:rPr>
        <w:t>Free Application for Federal Student Aid (</w:t>
      </w:r>
      <w:r w:rsidRPr="009E007D">
        <w:rPr>
          <w:rFonts w:asciiTheme="minorHAnsi" w:hAnsiTheme="minorHAnsi" w:cstheme="minorHAnsi"/>
          <w:bCs/>
          <w:color w:val="000000"/>
          <w:sz w:val="22"/>
        </w:rPr>
        <w:t>FAFSA</w:t>
      </w:r>
      <w:r w:rsidR="00145F08">
        <w:rPr>
          <w:rFonts w:asciiTheme="minorHAnsi" w:hAnsiTheme="minorHAnsi" w:cstheme="minorHAnsi"/>
          <w:bCs/>
          <w:color w:val="000000"/>
          <w:sz w:val="22"/>
        </w:rPr>
        <w:t xml:space="preserve">) </w:t>
      </w:r>
      <w:r w:rsidRPr="009E007D">
        <w:rPr>
          <w:rFonts w:asciiTheme="minorHAnsi" w:hAnsiTheme="minorHAnsi" w:cstheme="minorHAnsi"/>
          <w:bCs/>
          <w:color w:val="000000"/>
          <w:sz w:val="22"/>
        </w:rPr>
        <w:t>/</w:t>
      </w:r>
      <w:r w:rsidR="00145F08">
        <w:rPr>
          <w:rFonts w:asciiTheme="minorHAnsi" w:hAnsiTheme="minorHAnsi" w:cstheme="minorHAnsi"/>
          <w:bCs/>
          <w:color w:val="000000"/>
          <w:sz w:val="22"/>
        </w:rPr>
        <w:t xml:space="preserve"> Internal Revenue Service (</w:t>
      </w:r>
      <w:r w:rsidRPr="009E007D">
        <w:rPr>
          <w:rFonts w:asciiTheme="minorHAnsi" w:hAnsiTheme="minorHAnsi" w:cstheme="minorHAnsi"/>
          <w:bCs/>
          <w:color w:val="000000"/>
          <w:sz w:val="22"/>
        </w:rPr>
        <w:t>IRS</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 xml:space="preserve"> Data Statistical Study (</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Study</w:t>
      </w:r>
      <w:r w:rsidR="00145F08">
        <w:rPr>
          <w:rFonts w:asciiTheme="minorHAnsi" w:hAnsiTheme="minorHAnsi" w:cstheme="minorHAnsi"/>
          <w:bCs/>
          <w:color w:val="000000"/>
          <w:sz w:val="22"/>
        </w:rPr>
        <w:t>”</w:t>
      </w:r>
      <w:r w:rsidRPr="009E007D">
        <w:rPr>
          <w:rFonts w:asciiTheme="minorHAnsi" w:hAnsiTheme="minorHAnsi" w:cstheme="minorHAnsi"/>
          <w:bCs/>
          <w:color w:val="000000"/>
          <w:sz w:val="22"/>
        </w:rPr>
        <w:t>)</w:t>
      </w:r>
      <w:r>
        <w:rPr>
          <w:rFonts w:asciiTheme="minorHAnsi" w:hAnsiTheme="minorHAnsi" w:cstheme="minorHAnsi"/>
          <w:color w:val="000000"/>
          <w:sz w:val="22"/>
        </w:rPr>
        <w:t xml:space="preserve"> </w:t>
      </w:r>
      <w:r w:rsidRPr="00792607">
        <w:rPr>
          <w:rFonts w:asciiTheme="minorHAnsi" w:hAnsiTheme="minorHAnsi" w:cstheme="minorHAnsi"/>
          <w:color w:val="000000"/>
          <w:sz w:val="22"/>
        </w:rPr>
        <w:t>to account for improper payments associated with misreported income.</w:t>
      </w:r>
      <w:r>
        <w:rPr>
          <w:rFonts w:asciiTheme="minorHAnsi" w:hAnsiTheme="minorHAnsi" w:cstheme="minorHAnsi"/>
          <w:color w:val="000000"/>
          <w:sz w:val="22"/>
        </w:rPr>
        <w:t xml:space="preserve"> </w:t>
      </w:r>
      <w:r w:rsidRPr="00792607">
        <w:rPr>
          <w:rFonts w:asciiTheme="minorHAnsi" w:hAnsiTheme="minorHAnsi" w:cstheme="minorHAnsi"/>
          <w:color w:val="000000"/>
          <w:sz w:val="22"/>
        </w:rPr>
        <w:t>Improper payments identified in the compliance audits that relate to misreported income are excluded from the estimate as they should be accounted for by applying the Study rates to the sample disbursements. Also, to avoid double counting improper payments on one disbursement, the Study baseline overpayment error rate is not applied to those students whose entire Pell value was deemed improper through another procedure identified in the compliance audit.</w:t>
      </w:r>
      <w:r w:rsidRPr="009F061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The </w:t>
      </w:r>
      <w:r>
        <w:rPr>
          <w:rFonts w:asciiTheme="minorHAnsi" w:hAnsiTheme="minorHAnsi" w:cstheme="minorHAnsi"/>
          <w:color w:val="000000"/>
          <w:sz w:val="22"/>
        </w:rPr>
        <w:t xml:space="preserve">improper payments for each sampled school are </w:t>
      </w:r>
      <w:r w:rsidRPr="002B3C0C">
        <w:rPr>
          <w:rFonts w:asciiTheme="minorHAnsi" w:hAnsiTheme="minorHAnsi" w:cstheme="minorHAnsi"/>
          <w:color w:val="000000"/>
          <w:sz w:val="22"/>
        </w:rPr>
        <w:t xml:space="preserve">extrapolated to the population of </w:t>
      </w:r>
      <w:r>
        <w:rPr>
          <w:rFonts w:asciiTheme="minorHAnsi" w:hAnsiTheme="minorHAnsi" w:cstheme="minorHAnsi"/>
          <w:color w:val="000000"/>
          <w:sz w:val="22"/>
        </w:rPr>
        <w:t xml:space="preserve">Pell disbursing </w:t>
      </w:r>
      <w:r w:rsidRPr="002B3C0C">
        <w:rPr>
          <w:rFonts w:asciiTheme="minorHAnsi" w:hAnsiTheme="minorHAnsi" w:cstheme="minorHAnsi"/>
          <w:color w:val="000000"/>
          <w:sz w:val="22"/>
        </w:rPr>
        <w:t xml:space="preserve">schools </w:t>
      </w:r>
      <w:r w:rsidR="00BC044F">
        <w:rPr>
          <w:rFonts w:asciiTheme="minorHAnsi" w:hAnsiTheme="minorHAnsi" w:cstheme="minorHAnsi"/>
          <w:color w:val="000000"/>
          <w:sz w:val="22"/>
        </w:rPr>
        <w:t>to produce a</w:t>
      </w:r>
      <w:r>
        <w:rPr>
          <w:rFonts w:asciiTheme="minorHAnsi" w:hAnsiTheme="minorHAnsi" w:cstheme="minorHAnsi"/>
          <w:color w:val="000000"/>
          <w:sz w:val="22"/>
        </w:rPr>
        <w:t xml:space="preserve"> Pell improper payment estimate.</w:t>
      </w:r>
    </w:p>
    <w:p w14:paraId="2A942BA9" w14:textId="1EF38530" w:rsidR="006A767A" w:rsidRPr="00792607" w:rsidRDefault="006A767A" w:rsidP="00792607">
      <w:pPr>
        <w:widowControl w:val="0"/>
        <w:rPr>
          <w:rFonts w:asciiTheme="minorHAnsi" w:hAnsiTheme="minorHAnsi" w:cstheme="minorHAnsi"/>
          <w:color w:val="000000"/>
          <w:sz w:val="22"/>
        </w:rPr>
      </w:pPr>
    </w:p>
    <w:p w14:paraId="19502AA4" w14:textId="25C53299" w:rsidR="00BC044F" w:rsidRDefault="00BC044F" w:rsidP="00BC044F">
      <w:pPr>
        <w:pStyle w:val="CommentText"/>
        <w:rPr>
          <w:rFonts w:asciiTheme="minorHAnsi" w:hAnsiTheme="minorHAnsi" w:cstheme="minorHAnsi"/>
          <w:color w:val="000000"/>
          <w:sz w:val="22"/>
        </w:rPr>
      </w:pPr>
      <w:r w:rsidRPr="002B3C0C">
        <w:rPr>
          <w:rFonts w:asciiTheme="minorHAnsi" w:hAnsiTheme="minorHAnsi" w:cstheme="minorHAnsi"/>
          <w:color w:val="000000"/>
          <w:sz w:val="22"/>
        </w:rPr>
        <w:t>Based on this analysis, the Pell error rate for FY 201</w:t>
      </w:r>
      <w:r>
        <w:rPr>
          <w:rFonts w:asciiTheme="minorHAnsi" w:hAnsiTheme="minorHAnsi" w:cstheme="minorHAnsi"/>
          <w:color w:val="000000"/>
          <w:sz w:val="22"/>
        </w:rPr>
        <w:t>9</w:t>
      </w:r>
      <w:r w:rsidRPr="002B3C0C">
        <w:rPr>
          <w:rFonts w:asciiTheme="minorHAnsi" w:hAnsiTheme="minorHAnsi" w:cstheme="minorHAnsi"/>
          <w:color w:val="000000"/>
          <w:sz w:val="22"/>
        </w:rPr>
        <w:t xml:space="preserve"> was </w:t>
      </w:r>
      <w:r w:rsidR="00BD5880">
        <w:rPr>
          <w:rFonts w:asciiTheme="minorHAnsi" w:hAnsiTheme="minorHAnsi" w:cstheme="minorHAnsi"/>
          <w:b/>
          <w:color w:val="000000"/>
          <w:sz w:val="22"/>
        </w:rPr>
        <w:t>2.23</w:t>
      </w:r>
      <w:r w:rsidR="00FC5ECC">
        <w:rPr>
          <w:rFonts w:asciiTheme="minorHAnsi" w:hAnsiTheme="minorHAnsi" w:cstheme="minorHAnsi"/>
          <w:color w:val="000000"/>
          <w:sz w:val="22"/>
        </w:rPr>
        <w:t xml:space="preserve"> </w:t>
      </w:r>
      <w:r w:rsidRPr="002B3C0C">
        <w:rPr>
          <w:rFonts w:asciiTheme="minorHAnsi" w:hAnsiTheme="minorHAnsi" w:cstheme="minorHAnsi"/>
          <w:color w:val="000000"/>
          <w:sz w:val="22"/>
        </w:rPr>
        <w:t xml:space="preserve">percent or </w:t>
      </w:r>
      <w:r w:rsidR="00ED4DB3" w:rsidRPr="00332917">
        <w:rPr>
          <w:rFonts w:asciiTheme="minorHAnsi" w:hAnsiTheme="minorHAnsi" w:cstheme="minorHAnsi"/>
          <w:b/>
          <w:bCs/>
          <w:color w:val="000000"/>
          <w:sz w:val="22"/>
        </w:rPr>
        <w:t>$</w:t>
      </w:r>
      <w:r w:rsidR="00BD5880">
        <w:rPr>
          <w:rFonts w:asciiTheme="minorHAnsi" w:hAnsiTheme="minorHAnsi" w:cstheme="minorHAnsi"/>
          <w:b/>
          <w:color w:val="000000"/>
          <w:sz w:val="22"/>
        </w:rPr>
        <w:t>646.14</w:t>
      </w:r>
      <w:r w:rsidR="00FC5ECC">
        <w:rPr>
          <w:rFonts w:asciiTheme="minorHAnsi" w:hAnsiTheme="minorHAnsi" w:cstheme="minorHAnsi"/>
          <w:color w:val="000000"/>
          <w:sz w:val="22"/>
        </w:rPr>
        <w:t xml:space="preserve"> </w:t>
      </w:r>
      <w:r w:rsidRPr="002B3C0C">
        <w:rPr>
          <w:rFonts w:asciiTheme="minorHAnsi" w:hAnsiTheme="minorHAnsi" w:cstheme="minorHAnsi"/>
          <w:color w:val="000000"/>
          <w:sz w:val="22"/>
        </w:rPr>
        <w:t>million.</w:t>
      </w:r>
    </w:p>
    <w:p w14:paraId="65F7EB79" w14:textId="77777777" w:rsidR="00BD5880" w:rsidRDefault="00BD5880" w:rsidP="00BC044F">
      <w:pPr>
        <w:pStyle w:val="CommentText"/>
        <w:rPr>
          <w:rFonts w:asciiTheme="minorHAnsi" w:hAnsiTheme="minorHAnsi" w:cstheme="minorHAnsi"/>
          <w:color w:val="000000"/>
          <w:sz w:val="22"/>
        </w:rPr>
      </w:pPr>
    </w:p>
    <w:tbl>
      <w:tblPr>
        <w:tblStyle w:val="TableGrid"/>
        <w:tblW w:w="10368" w:type="dxa"/>
        <w:tblLayout w:type="fixed"/>
        <w:tblLook w:val="04A0" w:firstRow="1" w:lastRow="0" w:firstColumn="1" w:lastColumn="0" w:noHBand="0" w:noVBand="1"/>
      </w:tblPr>
      <w:tblGrid>
        <w:gridCol w:w="1728"/>
        <w:gridCol w:w="1728"/>
        <w:gridCol w:w="1728"/>
        <w:gridCol w:w="1728"/>
        <w:gridCol w:w="1728"/>
        <w:gridCol w:w="1728"/>
      </w:tblGrid>
      <w:tr w:rsidR="00BD5880" w:rsidRPr="007142C6" w14:paraId="4A4F641E" w14:textId="4EC2F5A8" w:rsidTr="00BD5880">
        <w:trPr>
          <w:trHeight w:val="512"/>
        </w:trPr>
        <w:tc>
          <w:tcPr>
            <w:tcW w:w="10368" w:type="dxa"/>
            <w:gridSpan w:val="6"/>
            <w:shd w:val="clear" w:color="auto" w:fill="D9D9D9" w:themeFill="background1" w:themeFillShade="D9"/>
          </w:tcPr>
          <w:p w14:paraId="1CC9EF30" w14:textId="77777777" w:rsidR="00BD5880" w:rsidRPr="00A9692C" w:rsidRDefault="00BD5880" w:rsidP="00BD5880">
            <w:pPr>
              <w:autoSpaceDE w:val="0"/>
              <w:autoSpaceDN w:val="0"/>
              <w:adjustRightInd w:val="0"/>
              <w:jc w:val="center"/>
              <w:rPr>
                <w:rFonts w:asciiTheme="minorHAnsi" w:hAnsiTheme="minorHAnsi"/>
                <w:b/>
                <w:sz w:val="22"/>
              </w:rPr>
            </w:pPr>
            <w:r w:rsidRPr="00A9692C">
              <w:rPr>
                <w:rFonts w:asciiTheme="minorHAnsi" w:hAnsiTheme="minorHAnsi"/>
                <w:b/>
                <w:sz w:val="22"/>
              </w:rPr>
              <w:t xml:space="preserve">FY </w:t>
            </w:r>
            <w:r w:rsidRPr="00A9692C">
              <w:rPr>
                <w:rFonts w:asciiTheme="minorHAnsi" w:hAnsiTheme="minorHAnsi" w:cs="Arial"/>
                <w:b/>
                <w:bCs/>
                <w:sz w:val="22"/>
              </w:rPr>
              <w:t>201</w:t>
            </w:r>
            <w:r>
              <w:rPr>
                <w:rFonts w:asciiTheme="minorHAnsi" w:hAnsiTheme="minorHAnsi" w:cs="Arial"/>
                <w:b/>
                <w:bCs/>
                <w:sz w:val="22"/>
              </w:rPr>
              <w:t>9</w:t>
            </w:r>
            <w:r w:rsidRPr="00A9692C">
              <w:rPr>
                <w:rFonts w:asciiTheme="minorHAnsi" w:hAnsiTheme="minorHAnsi"/>
                <w:b/>
                <w:sz w:val="22"/>
              </w:rPr>
              <w:t xml:space="preserve"> Pell Grant Estimate</w:t>
            </w:r>
          </w:p>
          <w:p w14:paraId="28571EE0" w14:textId="09E9D7FC" w:rsidR="00BD5880" w:rsidRPr="00A9692C" w:rsidRDefault="00BD5880" w:rsidP="00BD5880">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BD5880" w14:paraId="0957B813" w14:textId="31483FFB" w:rsidTr="00ED4DB3">
        <w:trPr>
          <w:trHeight w:val="512"/>
        </w:trPr>
        <w:tc>
          <w:tcPr>
            <w:tcW w:w="1728" w:type="dxa"/>
            <w:shd w:val="clear" w:color="auto" w:fill="F2F2F2" w:themeFill="background1" w:themeFillShade="F2"/>
            <w:vAlign w:val="center"/>
          </w:tcPr>
          <w:p w14:paraId="62C09FD9" w14:textId="77777777" w:rsidR="00BD5880" w:rsidRPr="00792607" w:rsidRDefault="00BD5880" w:rsidP="00ED4DB3">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Point Estimate of Improper Payment (in millions)</w:t>
            </w:r>
          </w:p>
        </w:tc>
        <w:tc>
          <w:tcPr>
            <w:tcW w:w="1728" w:type="dxa"/>
            <w:shd w:val="clear" w:color="auto" w:fill="F2F2F2" w:themeFill="background1" w:themeFillShade="F2"/>
            <w:vAlign w:val="center"/>
          </w:tcPr>
          <w:p w14:paraId="73552598" w14:textId="77777777" w:rsidR="00BD5880" w:rsidRDefault="00BD5880" w:rsidP="00ED4DB3">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Over-Payment Improper Payment Estimate</w:t>
            </w:r>
          </w:p>
          <w:p w14:paraId="12C13694" w14:textId="249036ED" w:rsidR="00BD5880" w:rsidRPr="00792607" w:rsidRDefault="00BD5880" w:rsidP="00ED4DB3">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(in millions)</w:t>
            </w:r>
          </w:p>
        </w:tc>
        <w:tc>
          <w:tcPr>
            <w:tcW w:w="1728" w:type="dxa"/>
            <w:shd w:val="clear" w:color="auto" w:fill="F2F2F2" w:themeFill="background1" w:themeFillShade="F2"/>
            <w:vAlign w:val="center"/>
          </w:tcPr>
          <w:p w14:paraId="1BCF2FBB" w14:textId="77777777" w:rsidR="00BD5880" w:rsidRDefault="00BD5880" w:rsidP="00332917">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Under-Payment Improper Payment Estimate</w:t>
            </w:r>
          </w:p>
          <w:p w14:paraId="19579114" w14:textId="7666DB8B" w:rsidR="00BD5880" w:rsidRPr="00792607" w:rsidRDefault="00BD5880" w:rsidP="00332917">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(in millions)</w:t>
            </w:r>
          </w:p>
        </w:tc>
        <w:tc>
          <w:tcPr>
            <w:tcW w:w="1728" w:type="dxa"/>
            <w:shd w:val="clear" w:color="auto" w:fill="F2F2F2" w:themeFill="background1" w:themeFillShade="F2"/>
            <w:vAlign w:val="center"/>
          </w:tcPr>
          <w:p w14:paraId="445B1E3B" w14:textId="77777777" w:rsidR="00BD5880" w:rsidRDefault="00BD5880" w:rsidP="00332917">
            <w:pPr>
              <w:autoSpaceDE w:val="0"/>
              <w:autoSpaceDN w:val="0"/>
              <w:adjustRightInd w:val="0"/>
              <w:jc w:val="center"/>
              <w:rPr>
                <w:rStyle w:val="qowt-font3-arial"/>
                <w:rFonts w:asciiTheme="minorHAnsi" w:hAnsiTheme="minorHAnsi"/>
                <w:sz w:val="22"/>
                <w:szCs w:val="22"/>
              </w:rPr>
            </w:pPr>
            <w:r>
              <w:rPr>
                <w:rStyle w:val="qowt-font3-arial"/>
                <w:rFonts w:asciiTheme="minorHAnsi" w:hAnsiTheme="minorHAnsi"/>
                <w:sz w:val="22"/>
                <w:szCs w:val="22"/>
              </w:rPr>
              <w:t>Unknown Improper Payment Estimate</w:t>
            </w:r>
          </w:p>
          <w:p w14:paraId="4F65606A" w14:textId="76A38A9B" w:rsidR="00BD5880" w:rsidRPr="00792607" w:rsidRDefault="00BD5880" w:rsidP="00332917">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(in millions)</w:t>
            </w:r>
          </w:p>
        </w:tc>
        <w:tc>
          <w:tcPr>
            <w:tcW w:w="1728" w:type="dxa"/>
            <w:shd w:val="clear" w:color="auto" w:fill="F2F2F2" w:themeFill="background1" w:themeFillShade="F2"/>
            <w:vAlign w:val="center"/>
          </w:tcPr>
          <w:p w14:paraId="7F30AC87" w14:textId="77777777" w:rsidR="00BD5880" w:rsidRPr="00792607" w:rsidRDefault="00BD5880">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Point Estimate (as % of Population Total)</w:t>
            </w:r>
          </w:p>
        </w:tc>
        <w:tc>
          <w:tcPr>
            <w:tcW w:w="1728" w:type="dxa"/>
            <w:shd w:val="clear" w:color="auto" w:fill="F2F2F2" w:themeFill="background1" w:themeFillShade="F2"/>
            <w:vAlign w:val="center"/>
          </w:tcPr>
          <w:p w14:paraId="3BCB5A66" w14:textId="68F71530" w:rsidR="00BD5880" w:rsidRPr="00792607" w:rsidRDefault="00BD5880">
            <w:pPr>
              <w:autoSpaceDE w:val="0"/>
              <w:autoSpaceDN w:val="0"/>
              <w:adjustRightInd w:val="0"/>
              <w:jc w:val="center"/>
              <w:rPr>
                <w:rStyle w:val="qowt-font3-arial"/>
                <w:rFonts w:asciiTheme="minorHAnsi" w:hAnsiTheme="minorHAnsi"/>
                <w:sz w:val="22"/>
                <w:szCs w:val="22"/>
                <w:lang w:eastAsia="en-US"/>
              </w:rPr>
            </w:pPr>
            <w:r>
              <w:rPr>
                <w:rStyle w:val="qowt-font3-arial"/>
                <w:rFonts w:asciiTheme="minorHAnsi" w:hAnsiTheme="minorHAnsi"/>
                <w:sz w:val="22"/>
                <w:szCs w:val="22"/>
              </w:rPr>
              <w:t xml:space="preserve">Precision Rate (as a % of Population Total) based on 95% Confidence </w:t>
            </w:r>
            <w:r w:rsidR="00ED4DB3">
              <w:rPr>
                <w:rStyle w:val="qowt-font3-arial"/>
                <w:rFonts w:asciiTheme="minorHAnsi" w:hAnsiTheme="minorHAnsi"/>
                <w:sz w:val="22"/>
                <w:szCs w:val="22"/>
              </w:rPr>
              <w:t>Interval</w:t>
            </w:r>
          </w:p>
        </w:tc>
      </w:tr>
      <w:tr w:rsidR="00BD5880" w:rsidRPr="008265FC" w14:paraId="1CB2E4EA" w14:textId="0357C935" w:rsidTr="00BD5880">
        <w:trPr>
          <w:trHeight w:val="242"/>
        </w:trPr>
        <w:tc>
          <w:tcPr>
            <w:tcW w:w="1728" w:type="dxa"/>
            <w:shd w:val="clear" w:color="auto" w:fill="auto"/>
            <w:vAlign w:val="center"/>
          </w:tcPr>
          <w:p w14:paraId="053D5C4A" w14:textId="65717140" w:rsidR="00BD5880" w:rsidRPr="00A9692C" w:rsidRDefault="00BD5880" w:rsidP="00CD22FB">
            <w:pPr>
              <w:autoSpaceDE w:val="0"/>
              <w:autoSpaceDN w:val="0"/>
              <w:adjustRightInd w:val="0"/>
              <w:jc w:val="center"/>
              <w:rPr>
                <w:rStyle w:val="qowt-font3-arial"/>
                <w:rFonts w:asciiTheme="minorHAnsi" w:hAnsiTheme="minorHAnsi" w:cstheme="minorHAnsi"/>
                <w:szCs w:val="20"/>
              </w:rPr>
            </w:pPr>
            <w:r>
              <w:rPr>
                <w:rStyle w:val="qowt-font3-arial"/>
                <w:rFonts w:asciiTheme="minorHAnsi" w:hAnsiTheme="minorHAnsi" w:cs="Arial"/>
                <w:szCs w:val="20"/>
              </w:rPr>
              <w:t>$646.14</w:t>
            </w:r>
          </w:p>
        </w:tc>
        <w:tc>
          <w:tcPr>
            <w:tcW w:w="1728" w:type="dxa"/>
            <w:shd w:val="clear" w:color="auto" w:fill="auto"/>
            <w:vAlign w:val="center"/>
          </w:tcPr>
          <w:p w14:paraId="1E0A3CE1" w14:textId="5887C1CA" w:rsidR="00BD5880" w:rsidRPr="00A9692C" w:rsidRDefault="00BD5880" w:rsidP="00CD22FB">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$380.04</w:t>
            </w:r>
          </w:p>
        </w:tc>
        <w:tc>
          <w:tcPr>
            <w:tcW w:w="1728" w:type="dxa"/>
            <w:shd w:val="clear" w:color="auto" w:fill="auto"/>
            <w:vAlign w:val="center"/>
          </w:tcPr>
          <w:p w14:paraId="09CE4DD9" w14:textId="370B10B6" w:rsidR="00BD5880" w:rsidRPr="005703DA" w:rsidRDefault="00BD5880" w:rsidP="00CD22FB">
            <w:pPr>
              <w:pStyle w:val="qowt-stl-normal"/>
              <w:spacing w:before="0" w:beforeAutospacing="0" w:after="0" w:afterAutospacing="0"/>
              <w:jc w:val="center"/>
              <w:rPr>
                <w:rStyle w:val="qowt-font3-arial"/>
                <w:rFonts w:asciiTheme="minorHAnsi" w:hAnsiTheme="minorHAnsi"/>
                <w:b/>
                <w:bCs/>
                <w:sz w:val="20"/>
                <w:szCs w:val="20"/>
              </w:rPr>
            </w:pPr>
            <w:r w:rsidRPr="00BD5880">
              <w:rPr>
                <w:rStyle w:val="qowt-font3-arial"/>
                <w:rFonts w:asciiTheme="minorHAnsi" w:eastAsiaTheme="minorEastAsia" w:hAnsiTheme="minorHAnsi"/>
                <w:szCs w:val="20"/>
              </w:rPr>
              <w:t>$211.18</w:t>
            </w:r>
          </w:p>
        </w:tc>
        <w:tc>
          <w:tcPr>
            <w:tcW w:w="1728" w:type="dxa"/>
          </w:tcPr>
          <w:p w14:paraId="4A8D2398" w14:textId="1B54961D" w:rsidR="00BD5880" w:rsidRDefault="00BD5880" w:rsidP="00CD22FB">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$54.92</w:t>
            </w:r>
          </w:p>
        </w:tc>
        <w:tc>
          <w:tcPr>
            <w:tcW w:w="1728" w:type="dxa"/>
            <w:shd w:val="clear" w:color="auto" w:fill="auto"/>
            <w:vAlign w:val="center"/>
          </w:tcPr>
          <w:p w14:paraId="239B6D0A" w14:textId="61529299" w:rsidR="00BD5880" w:rsidRPr="00A9692C" w:rsidRDefault="00BD5880" w:rsidP="00CD22FB">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2.23%</w:t>
            </w:r>
          </w:p>
        </w:tc>
        <w:tc>
          <w:tcPr>
            <w:tcW w:w="1728" w:type="dxa"/>
          </w:tcPr>
          <w:p w14:paraId="59CEBB09" w14:textId="6AD2AAD3" w:rsidR="00BD5880" w:rsidRDefault="00ED4DB3" w:rsidP="00CD22FB">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 xml:space="preserve">+/- </w:t>
            </w:r>
            <w:r w:rsidR="00BD5880">
              <w:rPr>
                <w:rStyle w:val="qowt-font3-arial"/>
                <w:rFonts w:asciiTheme="minorHAnsi" w:hAnsiTheme="minorHAnsi"/>
                <w:szCs w:val="20"/>
              </w:rPr>
              <w:t>0.51%</w:t>
            </w:r>
          </w:p>
        </w:tc>
      </w:tr>
    </w:tbl>
    <w:p w14:paraId="0E23830C" w14:textId="77777777" w:rsidR="00CD22FB" w:rsidRDefault="00CD22FB" w:rsidP="00792607">
      <w:pPr>
        <w:autoSpaceDE w:val="0"/>
        <w:autoSpaceDN w:val="0"/>
        <w:adjustRightInd w:val="0"/>
        <w:rPr>
          <w:rFonts w:asciiTheme="minorHAnsi" w:eastAsiaTheme="majorEastAsia" w:hAnsiTheme="minorHAnsi" w:cstheme="minorHAnsi"/>
          <w:b/>
          <w:bCs/>
          <w:iCs/>
          <w:color w:val="365E92"/>
          <w:sz w:val="23"/>
          <w:szCs w:val="23"/>
        </w:rPr>
      </w:pPr>
    </w:p>
    <w:p w14:paraId="0AC7146E" w14:textId="77777777" w:rsidR="00BC044F" w:rsidRPr="00792607" w:rsidRDefault="00BC044F" w:rsidP="00792607">
      <w:pPr>
        <w:autoSpaceDE w:val="0"/>
        <w:autoSpaceDN w:val="0"/>
        <w:adjustRightInd w:val="0"/>
        <w:rPr>
          <w:rFonts w:asciiTheme="minorHAnsi" w:eastAsiaTheme="majorEastAsia" w:hAnsiTheme="minorHAnsi" w:cstheme="minorHAnsi"/>
          <w:b/>
          <w:bCs/>
          <w:iCs/>
          <w:color w:val="365E92"/>
          <w:sz w:val="23"/>
          <w:szCs w:val="23"/>
        </w:rPr>
      </w:pPr>
      <w:r w:rsidRPr="00792607">
        <w:rPr>
          <w:rFonts w:asciiTheme="minorHAnsi" w:eastAsiaTheme="majorEastAsia" w:hAnsiTheme="minorHAnsi" w:cstheme="minorHAnsi"/>
          <w:b/>
          <w:bCs/>
          <w:iCs/>
          <w:color w:val="365E92"/>
          <w:sz w:val="23"/>
          <w:szCs w:val="23"/>
        </w:rPr>
        <w:lastRenderedPageBreak/>
        <w:t>Direct Loan Program</w:t>
      </w:r>
    </w:p>
    <w:p w14:paraId="44281DF8" w14:textId="77777777" w:rsidR="00F064D2" w:rsidRPr="002B3C0C" w:rsidRDefault="00F064D2" w:rsidP="00BC044F">
      <w:pPr>
        <w:pStyle w:val="CommentText"/>
        <w:rPr>
          <w:rFonts w:asciiTheme="minorHAnsi" w:hAnsiTheme="minorHAnsi" w:cstheme="minorHAnsi"/>
          <w:b/>
          <w:color w:val="000000"/>
          <w:sz w:val="22"/>
          <w:szCs w:val="22"/>
        </w:rPr>
      </w:pPr>
    </w:p>
    <w:p w14:paraId="75A2958F" w14:textId="37D5A083" w:rsidR="00992DDB" w:rsidRDefault="00992DDB">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The DL improper payment estimate includes three components:</w:t>
      </w:r>
    </w:p>
    <w:p w14:paraId="795077D8" w14:textId="6207908B"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T</w:t>
      </w:r>
      <w:r w:rsidRPr="002B3C0C">
        <w:rPr>
          <w:rFonts w:asciiTheme="minorHAnsi" w:hAnsiTheme="minorHAnsi" w:cstheme="minorHAnsi"/>
          <w:color w:val="000000"/>
          <w:sz w:val="22"/>
        </w:rPr>
        <w:t xml:space="preserve">he </w:t>
      </w:r>
      <w:r w:rsidRPr="00FC5ECC">
        <w:rPr>
          <w:rFonts w:asciiTheme="minorHAnsi" w:hAnsiTheme="minorHAnsi" w:cstheme="minorHAnsi"/>
          <w:color w:val="000000"/>
          <w:sz w:val="22"/>
        </w:rPr>
        <w:t xml:space="preserve">DL compliance audit </w:t>
      </w:r>
      <w:r w:rsidRPr="00792607">
        <w:rPr>
          <w:rFonts w:asciiTheme="minorHAnsi" w:hAnsiTheme="minorHAnsi" w:cstheme="minorHAnsi"/>
          <w:color w:val="000000"/>
          <w:sz w:val="22"/>
        </w:rPr>
        <w:t>estimate</w:t>
      </w:r>
      <w:r>
        <w:rPr>
          <w:rFonts w:asciiTheme="minorHAnsi" w:hAnsiTheme="minorHAnsi" w:cstheme="minorHAnsi"/>
          <w:color w:val="000000"/>
          <w:sz w:val="22"/>
        </w:rPr>
        <w:t>, which is calculated in a similar manner as the Pell compliance audit estimate;</w:t>
      </w:r>
    </w:p>
    <w:p w14:paraId="1673581A" w14:textId="63C8737E" w:rsid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An estimate </w:t>
      </w:r>
      <w:r w:rsidRPr="00792607">
        <w:rPr>
          <w:rFonts w:asciiTheme="minorHAnsi" w:hAnsiTheme="minorHAnsi" w:cstheme="minorHAnsi"/>
          <w:color w:val="000000"/>
          <w:sz w:val="22"/>
        </w:rPr>
        <w:t>derived from the sampling of loan consolidations</w:t>
      </w:r>
      <w:r>
        <w:rPr>
          <w:rFonts w:asciiTheme="minorHAnsi" w:hAnsiTheme="minorHAnsi" w:cstheme="minorHAnsi"/>
          <w:color w:val="000000"/>
          <w:sz w:val="22"/>
        </w:rPr>
        <w:t>; and,</w:t>
      </w:r>
    </w:p>
    <w:p w14:paraId="349218A6" w14:textId="1C0384CA" w:rsidR="00992DDB" w:rsidRPr="00992DDB" w:rsidRDefault="00992DDB" w:rsidP="00992DDB">
      <w:pPr>
        <w:pStyle w:val="ListParagraph"/>
        <w:numPr>
          <w:ilvl w:val="0"/>
          <w:numId w:val="48"/>
        </w:num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An estimate derived from the sampling of refund payments. </w:t>
      </w:r>
    </w:p>
    <w:p w14:paraId="580F8366" w14:textId="77777777" w:rsidR="00992DDB" w:rsidRDefault="00992DDB">
      <w:pPr>
        <w:autoSpaceDE w:val="0"/>
        <w:autoSpaceDN w:val="0"/>
        <w:adjustRightInd w:val="0"/>
        <w:rPr>
          <w:rFonts w:asciiTheme="minorHAnsi" w:hAnsiTheme="minorHAnsi" w:cstheme="minorHAnsi"/>
          <w:color w:val="000000"/>
          <w:sz w:val="22"/>
        </w:rPr>
      </w:pPr>
    </w:p>
    <w:p w14:paraId="2FD0A3F2" w14:textId="2F805467" w:rsidR="00A908D3" w:rsidRPr="00FC5ECC" w:rsidRDefault="00FC5ECC">
      <w:pPr>
        <w:autoSpaceDE w:val="0"/>
        <w:autoSpaceDN w:val="0"/>
        <w:adjustRightInd w:val="0"/>
        <w:rPr>
          <w:rFonts w:asciiTheme="minorHAnsi" w:hAnsiTheme="minorHAnsi" w:cstheme="minorHAnsi"/>
          <w:color w:val="000000"/>
          <w:sz w:val="22"/>
        </w:rPr>
      </w:pPr>
      <w:r w:rsidRPr="00792607">
        <w:rPr>
          <w:rFonts w:asciiTheme="minorHAnsi" w:hAnsiTheme="minorHAnsi" w:cstheme="minorHAnsi"/>
          <w:color w:val="000000"/>
          <w:sz w:val="22"/>
        </w:rPr>
        <w:t xml:space="preserve">To estimate </w:t>
      </w:r>
      <w:r w:rsidR="00992DDB">
        <w:rPr>
          <w:rFonts w:asciiTheme="minorHAnsi" w:hAnsiTheme="minorHAnsi" w:cstheme="minorHAnsi"/>
          <w:color w:val="000000"/>
          <w:sz w:val="22"/>
        </w:rPr>
        <w:t xml:space="preserve">overall </w:t>
      </w:r>
      <w:r w:rsidRPr="00792607">
        <w:rPr>
          <w:rFonts w:asciiTheme="minorHAnsi" w:hAnsiTheme="minorHAnsi" w:cstheme="minorHAnsi"/>
          <w:color w:val="000000"/>
          <w:sz w:val="22"/>
        </w:rPr>
        <w:t xml:space="preserve">DL improper payments, </w:t>
      </w:r>
      <w:r w:rsidR="00992DDB">
        <w:rPr>
          <w:rFonts w:asciiTheme="minorHAnsi" w:hAnsiTheme="minorHAnsi" w:cstheme="minorHAnsi"/>
          <w:color w:val="000000"/>
          <w:sz w:val="22"/>
        </w:rPr>
        <w:t xml:space="preserve">these three </w:t>
      </w:r>
      <w:r w:rsidR="00992DDB" w:rsidRPr="00792607">
        <w:rPr>
          <w:rFonts w:asciiTheme="minorHAnsi" w:hAnsiTheme="minorHAnsi" w:cstheme="minorHAnsi"/>
          <w:color w:val="000000"/>
          <w:sz w:val="22"/>
        </w:rPr>
        <w:t>independent statistical sample estimates</w:t>
      </w:r>
      <w:r w:rsidR="00992DDB" w:rsidDel="00992DDB">
        <w:rPr>
          <w:rFonts w:asciiTheme="minorHAnsi" w:hAnsiTheme="minorHAnsi" w:cstheme="minorHAnsi"/>
          <w:color w:val="000000"/>
          <w:sz w:val="22"/>
        </w:rPr>
        <w:t xml:space="preserve"> </w:t>
      </w:r>
      <w:r w:rsidR="00992DDB">
        <w:rPr>
          <w:rFonts w:asciiTheme="minorHAnsi" w:hAnsiTheme="minorHAnsi" w:cstheme="minorHAnsi"/>
          <w:color w:val="000000"/>
          <w:sz w:val="22"/>
        </w:rPr>
        <w:t>are combined.</w:t>
      </w:r>
    </w:p>
    <w:p w14:paraId="7AA0F21A" w14:textId="77777777" w:rsidR="00FC5ECC" w:rsidRDefault="00FC5ECC">
      <w:pPr>
        <w:autoSpaceDE w:val="0"/>
        <w:autoSpaceDN w:val="0"/>
        <w:adjustRightInd w:val="0"/>
        <w:rPr>
          <w:rFonts w:asciiTheme="minorHAnsi" w:hAnsiTheme="minorHAnsi" w:cstheme="minorHAnsi"/>
          <w:color w:val="000000"/>
          <w:sz w:val="22"/>
        </w:rPr>
      </w:pPr>
    </w:p>
    <w:p w14:paraId="326553AB" w14:textId="300E8830" w:rsidR="00FC5ECC" w:rsidRDefault="00FC5ECC" w:rsidP="00CD22FB">
      <w:pPr>
        <w:spacing w:after="180"/>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w:t>
      </w:r>
      <w:r w:rsidR="00F064D2">
        <w:rPr>
          <w:rFonts w:asciiTheme="minorHAnsi" w:hAnsiTheme="minorHAnsi" w:cstheme="minorHAnsi"/>
          <w:color w:val="000000"/>
          <w:sz w:val="22"/>
        </w:rPr>
        <w:t xml:space="preserve"> DL improper payment estimate i</w:t>
      </w:r>
      <w:r w:rsidRPr="002B3C0C">
        <w:rPr>
          <w:rFonts w:asciiTheme="minorHAnsi" w:hAnsiTheme="minorHAnsi" w:cstheme="minorHAnsi"/>
          <w:color w:val="000000"/>
          <w:sz w:val="22"/>
        </w:rPr>
        <w:t>s computed by sampling five overpayments and five underpayments from the universe of all underpayment and overpayment activities for each of the 12 months from July 201</w:t>
      </w:r>
      <w:r>
        <w:rPr>
          <w:rFonts w:asciiTheme="minorHAnsi" w:hAnsiTheme="minorHAnsi" w:cstheme="minorHAnsi"/>
          <w:color w:val="000000"/>
          <w:sz w:val="22"/>
        </w:rPr>
        <w:t>8</w:t>
      </w:r>
      <w:r w:rsidRPr="002B3C0C">
        <w:rPr>
          <w:rFonts w:asciiTheme="minorHAnsi" w:hAnsiTheme="minorHAnsi" w:cstheme="minorHAnsi"/>
          <w:color w:val="000000"/>
          <w:sz w:val="22"/>
        </w:rPr>
        <w:t xml:space="preserve"> through June 201</w:t>
      </w:r>
      <w:r>
        <w:rPr>
          <w:rFonts w:asciiTheme="minorHAnsi" w:hAnsiTheme="minorHAnsi" w:cstheme="minorHAnsi"/>
          <w:color w:val="000000"/>
          <w:sz w:val="22"/>
        </w:rPr>
        <w:t>9</w:t>
      </w:r>
      <w:r w:rsidRPr="002B3C0C">
        <w:rPr>
          <w:rFonts w:asciiTheme="minorHAnsi" w:hAnsiTheme="minorHAnsi" w:cstheme="minorHAnsi"/>
          <w:color w:val="000000"/>
          <w:sz w:val="22"/>
        </w:rPr>
        <w:t xml:space="preserve"> for a total sample size of 120. An independent sample of </w:t>
      </w:r>
      <w:r w:rsidR="00145F08">
        <w:rPr>
          <w:rFonts w:asciiTheme="minorHAnsi" w:hAnsiTheme="minorHAnsi" w:cstheme="minorHAnsi"/>
          <w:color w:val="000000"/>
          <w:sz w:val="22"/>
        </w:rPr>
        <w:t xml:space="preserve">Federal </w:t>
      </w:r>
      <w:r w:rsidR="00620CC7">
        <w:rPr>
          <w:rFonts w:asciiTheme="minorHAnsi" w:hAnsiTheme="minorHAnsi" w:cstheme="minorHAnsi"/>
          <w:color w:val="000000"/>
          <w:sz w:val="22"/>
        </w:rPr>
        <w:t>Family Education Loan (</w:t>
      </w:r>
      <w:r w:rsidRPr="002B3C0C">
        <w:rPr>
          <w:rFonts w:asciiTheme="minorHAnsi" w:hAnsiTheme="minorHAnsi" w:cstheme="minorHAnsi"/>
          <w:color w:val="000000"/>
          <w:sz w:val="22"/>
        </w:rPr>
        <w:t>FFEL</w:t>
      </w:r>
      <w:r w:rsidR="00620CC7">
        <w:rPr>
          <w:rFonts w:asciiTheme="minorHAnsi" w:hAnsiTheme="minorHAnsi" w:cstheme="minorHAnsi"/>
          <w:color w:val="000000"/>
          <w:sz w:val="22"/>
        </w:rPr>
        <w:t xml:space="preserve">) Program loan </w:t>
      </w:r>
      <w:r w:rsidRPr="002B3C0C">
        <w:rPr>
          <w:rFonts w:asciiTheme="minorHAnsi" w:hAnsiTheme="minorHAnsi" w:cstheme="minorHAnsi"/>
          <w:color w:val="000000"/>
          <w:sz w:val="22"/>
        </w:rPr>
        <w:t>to DL consolidation overpayme</w:t>
      </w:r>
      <w:r w:rsidR="00F064D2">
        <w:rPr>
          <w:rFonts w:asciiTheme="minorHAnsi" w:hAnsiTheme="minorHAnsi" w:cstheme="minorHAnsi"/>
          <w:color w:val="000000"/>
          <w:sz w:val="22"/>
        </w:rPr>
        <w:t>nt and underpayment activity is</w:t>
      </w:r>
      <w:r w:rsidRPr="002B3C0C">
        <w:rPr>
          <w:rFonts w:asciiTheme="minorHAnsi" w:hAnsiTheme="minorHAnsi" w:cstheme="minorHAnsi"/>
          <w:color w:val="000000"/>
          <w:sz w:val="22"/>
        </w:rPr>
        <w:t xml:space="preserve"> selected using a Probability Proportional to Size (PPS) technique based on dollar amount to draw the sample to reduce the probability that small DL consolidations are selected. After selecting the monthly samples, each</w:t>
      </w:r>
      <w:r w:rsidR="00F064D2">
        <w:rPr>
          <w:rFonts w:asciiTheme="minorHAnsi" w:hAnsiTheme="minorHAnsi" w:cstheme="minorHAnsi"/>
          <w:color w:val="000000"/>
          <w:sz w:val="22"/>
        </w:rPr>
        <w:t xml:space="preserve"> overpayment and underpayment i</w:t>
      </w:r>
      <w:r w:rsidRPr="002B3C0C">
        <w:rPr>
          <w:rFonts w:asciiTheme="minorHAnsi" w:hAnsiTheme="minorHAnsi" w:cstheme="minorHAnsi"/>
          <w:color w:val="000000"/>
          <w:sz w:val="22"/>
        </w:rPr>
        <w:t xml:space="preserve">s </w:t>
      </w:r>
      <w:r>
        <w:rPr>
          <w:rFonts w:asciiTheme="minorHAnsi" w:hAnsiTheme="minorHAnsi" w:cstheme="minorHAnsi"/>
          <w:color w:val="000000"/>
          <w:sz w:val="22"/>
        </w:rPr>
        <w:t>reviewed</w:t>
      </w:r>
      <w:r w:rsidRPr="002B3C0C">
        <w:rPr>
          <w:rFonts w:asciiTheme="minorHAnsi" w:hAnsiTheme="minorHAnsi" w:cstheme="minorHAnsi"/>
          <w:color w:val="000000"/>
          <w:sz w:val="22"/>
        </w:rPr>
        <w:t xml:space="preserve"> to determine which of these transactions are considered improper payments. Any improper p</w:t>
      </w:r>
      <w:r w:rsidR="00F064D2">
        <w:rPr>
          <w:rFonts w:asciiTheme="minorHAnsi" w:hAnsiTheme="minorHAnsi" w:cstheme="minorHAnsi"/>
          <w:color w:val="000000"/>
          <w:sz w:val="22"/>
        </w:rPr>
        <w:t>ayments found in the sample are</w:t>
      </w:r>
      <w:r w:rsidRPr="002B3C0C">
        <w:rPr>
          <w:rFonts w:asciiTheme="minorHAnsi" w:hAnsiTheme="minorHAnsi" w:cstheme="minorHAnsi"/>
          <w:color w:val="000000"/>
          <w:sz w:val="22"/>
        </w:rPr>
        <w:t xml:space="preserve"> extrapolated to create a 9</w:t>
      </w:r>
      <w:r>
        <w:rPr>
          <w:rFonts w:asciiTheme="minorHAnsi" w:hAnsiTheme="minorHAnsi" w:cstheme="minorHAnsi"/>
          <w:color w:val="000000"/>
          <w:sz w:val="22"/>
        </w:rPr>
        <w:t>5</w:t>
      </w:r>
      <w:r w:rsidRPr="002B3C0C">
        <w:rPr>
          <w:rFonts w:asciiTheme="minorHAnsi" w:hAnsiTheme="minorHAnsi" w:cstheme="minorHAnsi"/>
          <w:color w:val="000000"/>
          <w:sz w:val="22"/>
        </w:rPr>
        <w:t xml:space="preserve"> percent statistical confidence interval range of the overall improper payment rate for loan consolidation activity. The absolute value of improper payments divided by the aggregate absolute value of the samples comprises the baseline rate for DL consolidation.</w:t>
      </w:r>
    </w:p>
    <w:p w14:paraId="67D80950" w14:textId="3CBE6C39" w:rsidR="00F064D2" w:rsidRDefault="00F064D2" w:rsidP="00CD22FB">
      <w:pPr>
        <w:autoSpaceDE w:val="0"/>
        <w:autoSpaceDN w:val="0"/>
        <w:adjustRightInd w:val="0"/>
        <w:spacing w:after="180"/>
        <w:rPr>
          <w:rFonts w:asciiTheme="minorHAnsi" w:hAnsiTheme="minorHAnsi" w:cstheme="minorHAnsi"/>
          <w:color w:val="000000"/>
          <w:sz w:val="22"/>
        </w:rPr>
      </w:pPr>
      <w:r w:rsidRPr="002B3C0C">
        <w:rPr>
          <w:rFonts w:asciiTheme="minorHAnsi" w:hAnsiTheme="minorHAnsi" w:cstheme="minorHAnsi"/>
          <w:color w:val="000000"/>
          <w:sz w:val="22"/>
        </w:rPr>
        <w:t>The third component of the</w:t>
      </w:r>
      <w:r>
        <w:rPr>
          <w:rFonts w:asciiTheme="minorHAnsi" w:hAnsiTheme="minorHAnsi" w:cstheme="minorHAnsi"/>
          <w:color w:val="000000"/>
          <w:sz w:val="22"/>
        </w:rPr>
        <w:t xml:space="preserve"> DL improper payment estimate is DL</w:t>
      </w:r>
      <w:r w:rsidRPr="002B3C0C">
        <w:rPr>
          <w:rFonts w:asciiTheme="minorHAnsi" w:hAnsiTheme="minorHAnsi" w:cstheme="minorHAnsi"/>
          <w:color w:val="000000"/>
          <w:sz w:val="22"/>
        </w:rPr>
        <w:t xml:space="preserve"> refund activity. A refund on a borrower’s account can occur 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An independent</w:t>
      </w:r>
      <w:r>
        <w:rPr>
          <w:rFonts w:asciiTheme="minorHAnsi" w:hAnsiTheme="minorHAnsi" w:cstheme="minorHAnsi"/>
          <w:color w:val="000000"/>
          <w:sz w:val="22"/>
        </w:rPr>
        <w:t xml:space="preserve"> sample of DL refund activity i</w:t>
      </w:r>
      <w:r w:rsidRPr="002B3C0C">
        <w:rPr>
          <w:rFonts w:asciiTheme="minorHAnsi" w:hAnsiTheme="minorHAnsi" w:cstheme="minorHAnsi"/>
          <w:color w:val="000000"/>
          <w:sz w:val="22"/>
        </w:rPr>
        <w:t>s selected using a PPS technique to reduce the probability of selecting transactions that are deemed not material.</w:t>
      </w:r>
      <w:r>
        <w:rPr>
          <w:rFonts w:asciiTheme="minorHAnsi" w:hAnsiTheme="minorHAnsi" w:cstheme="minorHAnsi"/>
          <w:color w:val="000000"/>
          <w:sz w:val="22"/>
        </w:rPr>
        <w:t xml:space="preserve"> The PPS sample of DL refunds i</w:t>
      </w:r>
      <w:r w:rsidRPr="002B3C0C">
        <w:rPr>
          <w:rFonts w:asciiTheme="minorHAnsi" w:hAnsiTheme="minorHAnsi" w:cstheme="minorHAnsi"/>
          <w:color w:val="000000"/>
          <w:sz w:val="22"/>
        </w:rPr>
        <w:t>s based on samples of 10 refunds for each month from July 201</w:t>
      </w:r>
      <w:r>
        <w:rPr>
          <w:rFonts w:asciiTheme="minorHAnsi" w:hAnsiTheme="minorHAnsi" w:cstheme="minorHAnsi"/>
          <w:color w:val="000000"/>
          <w:sz w:val="22"/>
        </w:rPr>
        <w:t>8</w:t>
      </w:r>
      <w:r w:rsidRPr="002B3C0C">
        <w:rPr>
          <w:rFonts w:asciiTheme="minorHAnsi" w:hAnsiTheme="minorHAnsi" w:cstheme="minorHAnsi"/>
          <w:color w:val="000000"/>
          <w:sz w:val="22"/>
        </w:rPr>
        <w:t xml:space="preserve"> to June 201</w:t>
      </w:r>
      <w:r>
        <w:rPr>
          <w:rFonts w:asciiTheme="minorHAnsi" w:hAnsiTheme="minorHAnsi" w:cstheme="minorHAnsi"/>
          <w:color w:val="000000"/>
          <w:sz w:val="22"/>
        </w:rPr>
        <w:t>9</w:t>
      </w:r>
      <w:r w:rsidRPr="002B3C0C">
        <w:rPr>
          <w:rFonts w:asciiTheme="minorHAnsi" w:hAnsiTheme="minorHAnsi" w:cstheme="minorHAnsi"/>
          <w:color w:val="000000"/>
          <w:sz w:val="22"/>
        </w:rPr>
        <w:t xml:space="preserve"> for a total of 120 sample items. Once monthly samp</w:t>
      </w:r>
      <w:r>
        <w:rPr>
          <w:rFonts w:asciiTheme="minorHAnsi" w:hAnsiTheme="minorHAnsi" w:cstheme="minorHAnsi"/>
          <w:color w:val="000000"/>
          <w:sz w:val="22"/>
        </w:rPr>
        <w:t>les are selected, each refund i</w:t>
      </w:r>
      <w:r w:rsidRPr="002B3C0C">
        <w:rPr>
          <w:rFonts w:asciiTheme="minorHAnsi" w:hAnsiTheme="minorHAnsi" w:cstheme="minorHAnsi"/>
          <w:color w:val="000000"/>
          <w:sz w:val="22"/>
        </w:rPr>
        <w:t xml:space="preserve">s tested to determine if the samples </w:t>
      </w:r>
      <w:r>
        <w:rPr>
          <w:rFonts w:asciiTheme="minorHAnsi" w:hAnsiTheme="minorHAnsi" w:cstheme="minorHAnsi"/>
          <w:color w:val="000000"/>
          <w:sz w:val="22"/>
        </w:rPr>
        <w:t xml:space="preserve">are </w:t>
      </w:r>
      <w:r w:rsidRPr="002B3C0C">
        <w:rPr>
          <w:rFonts w:asciiTheme="minorHAnsi" w:hAnsiTheme="minorHAnsi" w:cstheme="minorHAnsi"/>
          <w:color w:val="000000"/>
          <w:sz w:val="22"/>
        </w:rPr>
        <w:t>improper payments. The value of improper payments divided by the aggregate value of the samples comprises the baseline rate for DL refunds.</w:t>
      </w:r>
    </w:p>
    <w:p w14:paraId="0B6B8827" w14:textId="4D142A82" w:rsidR="00FC5ECC" w:rsidRPr="000D03C6" w:rsidRDefault="00FC5ECC" w:rsidP="00FC5ECC">
      <w:pPr>
        <w:autoSpaceDE w:val="0"/>
        <w:autoSpaceDN w:val="0"/>
        <w:adjustRightInd w:val="0"/>
        <w:rPr>
          <w:rFonts w:asciiTheme="minorHAnsi" w:hAnsiTheme="minorHAnsi" w:cstheme="minorHAnsi"/>
          <w:color w:val="000000"/>
          <w:sz w:val="22"/>
        </w:rPr>
      </w:pPr>
      <w:r w:rsidRPr="000D03C6">
        <w:rPr>
          <w:rFonts w:asciiTheme="minorHAnsi" w:hAnsiTheme="minorHAnsi" w:cstheme="minorHAnsi"/>
          <w:color w:val="000000"/>
          <w:sz w:val="22"/>
        </w:rPr>
        <w:t xml:space="preserve">The </w:t>
      </w:r>
      <w:r w:rsidR="003926E2">
        <w:rPr>
          <w:rFonts w:asciiTheme="minorHAnsi" w:hAnsiTheme="minorHAnsi" w:cstheme="minorHAnsi"/>
          <w:color w:val="000000"/>
          <w:sz w:val="22"/>
        </w:rPr>
        <w:t>DL compliance audit</w:t>
      </w:r>
      <w:r w:rsidRPr="000D03C6">
        <w:rPr>
          <w:rFonts w:asciiTheme="minorHAnsi" w:hAnsiTheme="minorHAnsi" w:cstheme="minorHAnsi"/>
          <w:color w:val="000000"/>
          <w:sz w:val="22"/>
        </w:rPr>
        <w:t>, cons</w:t>
      </w:r>
      <w:r w:rsidR="00F064D2">
        <w:rPr>
          <w:rFonts w:asciiTheme="minorHAnsi" w:hAnsiTheme="minorHAnsi" w:cstheme="minorHAnsi"/>
          <w:color w:val="000000"/>
          <w:sz w:val="22"/>
        </w:rPr>
        <w:t>olidation, and refund rates are</w:t>
      </w:r>
      <w:r w:rsidRPr="000D03C6">
        <w:rPr>
          <w:rFonts w:asciiTheme="minorHAnsi" w:hAnsiTheme="minorHAnsi" w:cstheme="minorHAnsi"/>
          <w:color w:val="000000"/>
          <w:sz w:val="22"/>
        </w:rPr>
        <w:t xml:space="preserve"> then applied to their representative</w:t>
      </w:r>
    </w:p>
    <w:p w14:paraId="211F1C80" w14:textId="0367217B" w:rsidR="00CD22FB" w:rsidRPr="00CD22FB" w:rsidRDefault="00FC5ECC" w:rsidP="00CD22FB">
      <w:pPr>
        <w:autoSpaceDE w:val="0"/>
        <w:autoSpaceDN w:val="0"/>
        <w:adjustRightInd w:val="0"/>
        <w:spacing w:after="140"/>
        <w:rPr>
          <w:rFonts w:asciiTheme="minorHAnsi" w:hAnsiTheme="minorHAnsi" w:cs="Arial"/>
          <w:color w:val="000000"/>
          <w:sz w:val="22"/>
        </w:rPr>
      </w:pPr>
      <w:r w:rsidRPr="000D03C6">
        <w:rPr>
          <w:rFonts w:asciiTheme="minorHAnsi" w:hAnsiTheme="minorHAnsi" w:cs="Arial"/>
          <w:color w:val="000000"/>
          <w:sz w:val="22"/>
        </w:rPr>
        <w:t>FY 201</w:t>
      </w:r>
      <w:r>
        <w:rPr>
          <w:rFonts w:asciiTheme="minorHAnsi" w:hAnsiTheme="minorHAnsi" w:cs="Arial"/>
          <w:color w:val="000000"/>
          <w:sz w:val="22"/>
        </w:rPr>
        <w:t>9</w:t>
      </w:r>
      <w:r w:rsidRPr="000D03C6">
        <w:rPr>
          <w:rFonts w:asciiTheme="minorHAnsi" w:hAnsiTheme="minorHAnsi" w:cs="Arial"/>
          <w:color w:val="000000"/>
          <w:sz w:val="22"/>
        </w:rPr>
        <w:t xml:space="preserve"> </w:t>
      </w:r>
      <w:r w:rsidR="001C5FC1">
        <w:rPr>
          <w:rFonts w:asciiTheme="minorHAnsi" w:hAnsiTheme="minorHAnsi" w:cs="Arial"/>
          <w:color w:val="000000"/>
          <w:sz w:val="22"/>
        </w:rPr>
        <w:t>disbursements</w:t>
      </w:r>
      <w:r w:rsidRPr="000D03C6">
        <w:rPr>
          <w:rFonts w:asciiTheme="minorHAnsi" w:hAnsiTheme="minorHAnsi" w:cs="Arial"/>
          <w:color w:val="000000"/>
          <w:sz w:val="22"/>
        </w:rPr>
        <w:t xml:space="preserve">. The aggregate estimated improper payment amount for </w:t>
      </w:r>
      <w:r w:rsidR="00F064D2">
        <w:rPr>
          <w:rFonts w:asciiTheme="minorHAnsi" w:hAnsiTheme="minorHAnsi" w:cs="Arial"/>
          <w:color w:val="000000"/>
          <w:sz w:val="22"/>
        </w:rPr>
        <w:t>all three components i</w:t>
      </w:r>
      <w:r w:rsidRPr="000D03C6">
        <w:rPr>
          <w:rFonts w:asciiTheme="minorHAnsi" w:hAnsiTheme="minorHAnsi" w:cs="Arial"/>
          <w:color w:val="000000"/>
          <w:sz w:val="22"/>
        </w:rPr>
        <w:t xml:space="preserve">s then applied to the total disbursement activity for the Direct Loan program to determine the overall Direct Loan improper payment rate of </w:t>
      </w:r>
      <w:r w:rsidR="005703DA">
        <w:rPr>
          <w:rFonts w:asciiTheme="minorHAnsi" w:hAnsiTheme="minorHAnsi" w:cs="Arial"/>
          <w:b/>
          <w:color w:val="000000"/>
          <w:sz w:val="22"/>
        </w:rPr>
        <w:t>0.52</w:t>
      </w:r>
      <w:r>
        <w:rPr>
          <w:rFonts w:asciiTheme="minorHAnsi" w:hAnsiTheme="minorHAnsi" w:cs="Arial"/>
          <w:color w:val="000000"/>
          <w:sz w:val="22"/>
        </w:rPr>
        <w:t xml:space="preserve"> </w:t>
      </w:r>
      <w:r w:rsidRPr="000D03C6">
        <w:rPr>
          <w:rFonts w:asciiTheme="minorHAnsi" w:hAnsiTheme="minorHAnsi" w:cs="Arial"/>
          <w:color w:val="000000"/>
          <w:sz w:val="22"/>
        </w:rPr>
        <w:t xml:space="preserve">percent or </w:t>
      </w:r>
      <w:r w:rsidRPr="00332917">
        <w:rPr>
          <w:rFonts w:asciiTheme="minorHAnsi" w:hAnsiTheme="minorHAnsi" w:cs="Arial"/>
          <w:b/>
          <w:bCs/>
          <w:color w:val="000000"/>
          <w:sz w:val="22"/>
        </w:rPr>
        <w:t>$</w:t>
      </w:r>
      <w:r w:rsidR="005703DA">
        <w:rPr>
          <w:rFonts w:asciiTheme="minorHAnsi" w:hAnsiTheme="minorHAnsi" w:cs="Arial"/>
          <w:b/>
          <w:color w:val="000000"/>
          <w:sz w:val="22"/>
        </w:rPr>
        <w:t>483.14</w:t>
      </w:r>
      <w:r>
        <w:rPr>
          <w:rFonts w:asciiTheme="minorHAnsi" w:hAnsiTheme="minorHAnsi" w:cs="Arial"/>
          <w:color w:val="000000"/>
          <w:sz w:val="22"/>
        </w:rPr>
        <w:t xml:space="preserve"> </w:t>
      </w:r>
      <w:r w:rsidRPr="000D03C6">
        <w:rPr>
          <w:rFonts w:asciiTheme="minorHAnsi" w:hAnsiTheme="minorHAnsi" w:cs="Arial"/>
          <w:color w:val="000000"/>
          <w:sz w:val="22"/>
        </w:rPr>
        <w:t>million</w:t>
      </w:r>
      <w:r w:rsidRPr="00A910DA">
        <w:rPr>
          <w:rFonts w:asciiTheme="minorHAnsi" w:hAnsiTheme="minorHAnsi" w:cs="Arial"/>
          <w:color w:val="000000"/>
          <w:sz w:val="22"/>
        </w:rPr>
        <w:t>.</w:t>
      </w:r>
    </w:p>
    <w:tbl>
      <w:tblPr>
        <w:tblStyle w:val="TableGrid"/>
        <w:tblW w:w="10368" w:type="dxa"/>
        <w:tblLayout w:type="fixed"/>
        <w:tblLook w:val="04A0" w:firstRow="1" w:lastRow="0" w:firstColumn="1" w:lastColumn="0" w:noHBand="0" w:noVBand="1"/>
      </w:tblPr>
      <w:tblGrid>
        <w:gridCol w:w="1728"/>
        <w:gridCol w:w="1728"/>
        <w:gridCol w:w="1728"/>
        <w:gridCol w:w="1728"/>
        <w:gridCol w:w="1656"/>
        <w:gridCol w:w="1800"/>
      </w:tblGrid>
      <w:tr w:rsidR="00ED4DB3" w:rsidRPr="007142C6" w14:paraId="126F0F05" w14:textId="77777777" w:rsidTr="00CD22FB">
        <w:trPr>
          <w:trHeight w:val="287"/>
        </w:trPr>
        <w:tc>
          <w:tcPr>
            <w:tcW w:w="10368" w:type="dxa"/>
            <w:gridSpan w:val="6"/>
            <w:shd w:val="clear" w:color="auto" w:fill="D9D9D9" w:themeFill="background1" w:themeFillShade="D9"/>
          </w:tcPr>
          <w:p w14:paraId="206A141D" w14:textId="77777777" w:rsidR="00ED4DB3" w:rsidRPr="008041EE" w:rsidRDefault="00ED4DB3" w:rsidP="00ED4DB3">
            <w:pPr>
              <w:autoSpaceDE w:val="0"/>
              <w:autoSpaceDN w:val="0"/>
              <w:adjustRightInd w:val="0"/>
              <w:jc w:val="center"/>
              <w:rPr>
                <w:rFonts w:asciiTheme="minorHAnsi" w:hAnsiTheme="minorHAnsi"/>
                <w:b/>
                <w:sz w:val="22"/>
              </w:rPr>
            </w:pPr>
            <w:r w:rsidRPr="008041EE">
              <w:rPr>
                <w:rFonts w:asciiTheme="minorHAnsi" w:hAnsiTheme="minorHAnsi"/>
                <w:b/>
                <w:sz w:val="22"/>
              </w:rPr>
              <w:t xml:space="preserve">FY </w:t>
            </w:r>
            <w:r w:rsidRPr="008041EE">
              <w:rPr>
                <w:rFonts w:asciiTheme="minorHAnsi" w:hAnsiTheme="minorHAnsi" w:cs="Arial"/>
                <w:b/>
                <w:bCs/>
                <w:sz w:val="22"/>
              </w:rPr>
              <w:t>201</w:t>
            </w:r>
            <w:r>
              <w:rPr>
                <w:rFonts w:asciiTheme="minorHAnsi" w:hAnsiTheme="minorHAnsi" w:cs="Arial"/>
                <w:b/>
                <w:bCs/>
                <w:sz w:val="22"/>
              </w:rPr>
              <w:t>9</w:t>
            </w:r>
            <w:r w:rsidRPr="008041EE">
              <w:rPr>
                <w:rFonts w:asciiTheme="minorHAnsi" w:hAnsiTheme="minorHAnsi"/>
                <w:b/>
                <w:sz w:val="22"/>
              </w:rPr>
              <w:t xml:space="preserve"> </w:t>
            </w:r>
            <w:r w:rsidRPr="008041EE">
              <w:rPr>
                <w:rFonts w:asciiTheme="minorHAnsi" w:hAnsiTheme="minorHAnsi" w:cs="Arial"/>
                <w:b/>
                <w:bCs/>
                <w:sz w:val="22"/>
              </w:rPr>
              <w:t>Direct Loan Estimate</w:t>
            </w:r>
          </w:p>
          <w:p w14:paraId="3FE01414" w14:textId="77777777" w:rsidR="00ED4DB3" w:rsidRPr="00A9692C" w:rsidRDefault="00ED4DB3" w:rsidP="00CD22FB">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ED4DB3" w14:paraId="359DB621" w14:textId="77777777" w:rsidTr="00CD22FB">
        <w:trPr>
          <w:trHeight w:val="512"/>
        </w:trPr>
        <w:tc>
          <w:tcPr>
            <w:tcW w:w="1728" w:type="dxa"/>
            <w:shd w:val="clear" w:color="auto" w:fill="F2F2F2" w:themeFill="background1" w:themeFillShade="F2"/>
            <w:vAlign w:val="center"/>
          </w:tcPr>
          <w:p w14:paraId="499FFECB" w14:textId="77777777" w:rsidR="00ED4DB3" w:rsidRPr="00792607" w:rsidRDefault="00ED4DB3" w:rsidP="00ED4DB3">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Point Estimate of Improper Payment (in millions)</w:t>
            </w:r>
          </w:p>
        </w:tc>
        <w:tc>
          <w:tcPr>
            <w:tcW w:w="1728" w:type="dxa"/>
            <w:shd w:val="clear" w:color="auto" w:fill="F2F2F2" w:themeFill="background1" w:themeFillShade="F2"/>
            <w:vAlign w:val="center"/>
          </w:tcPr>
          <w:p w14:paraId="19FE92A2" w14:textId="77777777" w:rsidR="00ED4DB3" w:rsidRDefault="00ED4DB3" w:rsidP="00ED4DB3">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Over-Payment Improper Payment Estimate</w:t>
            </w:r>
          </w:p>
          <w:p w14:paraId="564BFF02" w14:textId="41781EFE" w:rsidR="00ED4DB3" w:rsidRPr="00792607" w:rsidRDefault="00332917" w:rsidP="00ED4DB3">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(in millions)</w:t>
            </w:r>
          </w:p>
        </w:tc>
        <w:tc>
          <w:tcPr>
            <w:tcW w:w="1728" w:type="dxa"/>
            <w:shd w:val="clear" w:color="auto" w:fill="F2F2F2" w:themeFill="background1" w:themeFillShade="F2"/>
            <w:vAlign w:val="center"/>
          </w:tcPr>
          <w:p w14:paraId="3C82C55F" w14:textId="77777777" w:rsidR="00ED4DB3" w:rsidRDefault="00ED4DB3" w:rsidP="00ED4DB3">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Under-Payment Improper Payment Estimate</w:t>
            </w:r>
          </w:p>
          <w:p w14:paraId="7FDA9896" w14:textId="501AC9FE" w:rsidR="00ED4DB3" w:rsidRPr="00792607" w:rsidRDefault="00332917" w:rsidP="00ED4DB3">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(in millions)</w:t>
            </w:r>
          </w:p>
        </w:tc>
        <w:tc>
          <w:tcPr>
            <w:tcW w:w="1728" w:type="dxa"/>
            <w:shd w:val="clear" w:color="auto" w:fill="F2F2F2" w:themeFill="background1" w:themeFillShade="F2"/>
            <w:vAlign w:val="center"/>
          </w:tcPr>
          <w:p w14:paraId="2BD461AD" w14:textId="77777777" w:rsidR="00ED4DB3" w:rsidRDefault="00ED4DB3" w:rsidP="00ED4DB3">
            <w:pPr>
              <w:autoSpaceDE w:val="0"/>
              <w:autoSpaceDN w:val="0"/>
              <w:adjustRightInd w:val="0"/>
              <w:jc w:val="center"/>
              <w:rPr>
                <w:rStyle w:val="qowt-font3-arial"/>
                <w:rFonts w:asciiTheme="minorHAnsi" w:hAnsiTheme="minorHAnsi"/>
                <w:sz w:val="22"/>
                <w:szCs w:val="22"/>
              </w:rPr>
            </w:pPr>
            <w:r>
              <w:rPr>
                <w:rStyle w:val="qowt-font3-arial"/>
                <w:rFonts w:asciiTheme="minorHAnsi" w:hAnsiTheme="minorHAnsi"/>
                <w:sz w:val="22"/>
                <w:szCs w:val="22"/>
              </w:rPr>
              <w:t>Unknown Improper Payment Estimate</w:t>
            </w:r>
          </w:p>
          <w:p w14:paraId="6805E826" w14:textId="0DB3F215" w:rsidR="00ED4DB3" w:rsidRPr="00792607" w:rsidRDefault="00ED4DB3" w:rsidP="00ED4DB3">
            <w:pPr>
              <w:autoSpaceDE w:val="0"/>
              <w:autoSpaceDN w:val="0"/>
              <w:adjustRightInd w:val="0"/>
              <w:jc w:val="center"/>
              <w:rPr>
                <w:rStyle w:val="qowt-font3-arial"/>
                <w:rFonts w:asciiTheme="minorHAnsi" w:hAnsiTheme="minorHAnsi"/>
                <w:sz w:val="22"/>
                <w:szCs w:val="22"/>
              </w:rPr>
            </w:pPr>
            <w:r w:rsidRPr="00792607">
              <w:rPr>
                <w:rStyle w:val="qowt-font3-arial"/>
                <w:rFonts w:asciiTheme="minorHAnsi" w:hAnsiTheme="minorHAnsi"/>
                <w:sz w:val="22"/>
                <w:szCs w:val="22"/>
              </w:rPr>
              <w:t>(in millions)</w:t>
            </w:r>
          </w:p>
        </w:tc>
        <w:tc>
          <w:tcPr>
            <w:tcW w:w="1656" w:type="dxa"/>
            <w:shd w:val="clear" w:color="auto" w:fill="F2F2F2" w:themeFill="background1" w:themeFillShade="F2"/>
            <w:vAlign w:val="center"/>
          </w:tcPr>
          <w:p w14:paraId="45A7F849" w14:textId="77777777" w:rsidR="00ED4DB3" w:rsidRPr="00792607" w:rsidRDefault="00ED4DB3" w:rsidP="00332917">
            <w:pPr>
              <w:autoSpaceDE w:val="0"/>
              <w:autoSpaceDN w:val="0"/>
              <w:adjustRightInd w:val="0"/>
              <w:jc w:val="center"/>
              <w:rPr>
                <w:rFonts w:asciiTheme="minorHAnsi" w:hAnsiTheme="minorHAnsi"/>
                <w:b/>
                <w:sz w:val="22"/>
                <w:szCs w:val="22"/>
              </w:rPr>
            </w:pPr>
            <w:r w:rsidRPr="00792607">
              <w:rPr>
                <w:rStyle w:val="qowt-font3-arial"/>
                <w:rFonts w:asciiTheme="minorHAnsi" w:hAnsiTheme="minorHAnsi"/>
                <w:sz w:val="22"/>
                <w:szCs w:val="22"/>
              </w:rPr>
              <w:t>Point Estimate (as % of Population Total)</w:t>
            </w:r>
          </w:p>
        </w:tc>
        <w:tc>
          <w:tcPr>
            <w:tcW w:w="1800" w:type="dxa"/>
            <w:shd w:val="clear" w:color="auto" w:fill="F2F2F2" w:themeFill="background1" w:themeFillShade="F2"/>
            <w:vAlign w:val="center"/>
          </w:tcPr>
          <w:p w14:paraId="57ECE1C2" w14:textId="55DCAE42" w:rsidR="00ED4DB3" w:rsidRPr="00792607" w:rsidRDefault="00ED4DB3" w:rsidP="00332917">
            <w:pPr>
              <w:autoSpaceDE w:val="0"/>
              <w:autoSpaceDN w:val="0"/>
              <w:adjustRightInd w:val="0"/>
              <w:jc w:val="center"/>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r>
      <w:tr w:rsidR="00ED4DB3" w:rsidRPr="008265FC" w14:paraId="2C1791E7" w14:textId="77777777" w:rsidTr="00CD22FB">
        <w:trPr>
          <w:trHeight w:val="242"/>
        </w:trPr>
        <w:tc>
          <w:tcPr>
            <w:tcW w:w="1728" w:type="dxa"/>
            <w:shd w:val="clear" w:color="auto" w:fill="auto"/>
            <w:vAlign w:val="center"/>
          </w:tcPr>
          <w:p w14:paraId="7E60E3FB" w14:textId="350BFCD1" w:rsidR="00ED4DB3" w:rsidRPr="00A9692C" w:rsidRDefault="00ED4DB3" w:rsidP="00ED4DB3">
            <w:pPr>
              <w:autoSpaceDE w:val="0"/>
              <w:autoSpaceDN w:val="0"/>
              <w:adjustRightInd w:val="0"/>
              <w:jc w:val="center"/>
              <w:rPr>
                <w:rStyle w:val="qowt-font3-arial"/>
                <w:rFonts w:asciiTheme="minorHAnsi" w:hAnsiTheme="minorHAnsi" w:cstheme="minorHAnsi"/>
                <w:szCs w:val="20"/>
              </w:rPr>
            </w:pPr>
            <w:r>
              <w:rPr>
                <w:rStyle w:val="qowt-font3-arial"/>
                <w:rFonts w:asciiTheme="minorHAnsi" w:hAnsiTheme="minorHAnsi" w:cstheme="minorHAnsi"/>
                <w:szCs w:val="20"/>
              </w:rPr>
              <w:t>$483.14</w:t>
            </w:r>
          </w:p>
        </w:tc>
        <w:tc>
          <w:tcPr>
            <w:tcW w:w="1728" w:type="dxa"/>
            <w:shd w:val="clear" w:color="auto" w:fill="auto"/>
            <w:vAlign w:val="center"/>
          </w:tcPr>
          <w:p w14:paraId="661705C6" w14:textId="0A2F8159" w:rsidR="00ED4DB3" w:rsidRPr="00A9692C" w:rsidRDefault="00ED4DB3" w:rsidP="00ED4DB3">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$199.34</w:t>
            </w:r>
          </w:p>
        </w:tc>
        <w:tc>
          <w:tcPr>
            <w:tcW w:w="1728" w:type="dxa"/>
            <w:shd w:val="clear" w:color="auto" w:fill="auto"/>
            <w:vAlign w:val="center"/>
          </w:tcPr>
          <w:p w14:paraId="1C4564DC" w14:textId="2077F0C5" w:rsidR="00ED4DB3" w:rsidRPr="005703DA" w:rsidRDefault="00ED4DB3" w:rsidP="00ED4DB3">
            <w:pPr>
              <w:pStyle w:val="qowt-stl-normal"/>
              <w:spacing w:before="0" w:beforeAutospacing="0" w:after="0" w:afterAutospacing="0"/>
              <w:jc w:val="center"/>
              <w:rPr>
                <w:rStyle w:val="qowt-font3-arial"/>
                <w:rFonts w:asciiTheme="minorHAnsi" w:hAnsiTheme="minorHAnsi"/>
                <w:b/>
                <w:bCs/>
                <w:sz w:val="20"/>
                <w:szCs w:val="20"/>
              </w:rPr>
            </w:pPr>
            <w:r w:rsidRPr="005703DA">
              <w:rPr>
                <w:rStyle w:val="qowt-font3-arial"/>
                <w:rFonts w:asciiTheme="minorHAnsi" w:eastAsiaTheme="minorEastAsia" w:hAnsiTheme="minorHAnsi"/>
                <w:szCs w:val="20"/>
              </w:rPr>
              <w:t>$40.47</w:t>
            </w:r>
          </w:p>
        </w:tc>
        <w:tc>
          <w:tcPr>
            <w:tcW w:w="1728" w:type="dxa"/>
          </w:tcPr>
          <w:p w14:paraId="2D3AFCED" w14:textId="5D38A2FD" w:rsidR="00ED4DB3" w:rsidRDefault="00ED4DB3" w:rsidP="00ED4DB3">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$243.33</w:t>
            </w:r>
          </w:p>
        </w:tc>
        <w:tc>
          <w:tcPr>
            <w:tcW w:w="1656" w:type="dxa"/>
            <w:shd w:val="clear" w:color="auto" w:fill="auto"/>
            <w:vAlign w:val="center"/>
          </w:tcPr>
          <w:p w14:paraId="4B05E1FE" w14:textId="65109B3F" w:rsidR="00ED4DB3" w:rsidRPr="00A9692C" w:rsidRDefault="00ED4DB3" w:rsidP="00ED4DB3">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0.52%</w:t>
            </w:r>
          </w:p>
        </w:tc>
        <w:tc>
          <w:tcPr>
            <w:tcW w:w="1800" w:type="dxa"/>
          </w:tcPr>
          <w:p w14:paraId="3BBBBB92" w14:textId="0ED1DEFD" w:rsidR="00ED4DB3" w:rsidRDefault="00ED4DB3" w:rsidP="00ED4DB3">
            <w:pPr>
              <w:autoSpaceDE w:val="0"/>
              <w:autoSpaceDN w:val="0"/>
              <w:adjustRightInd w:val="0"/>
              <w:jc w:val="center"/>
              <w:rPr>
                <w:rStyle w:val="qowt-font3-arial"/>
                <w:rFonts w:asciiTheme="minorHAnsi" w:hAnsiTheme="minorHAnsi"/>
                <w:szCs w:val="20"/>
              </w:rPr>
            </w:pPr>
            <w:r>
              <w:rPr>
                <w:rStyle w:val="qowt-font3-arial"/>
                <w:rFonts w:asciiTheme="minorHAnsi" w:hAnsiTheme="minorHAnsi"/>
                <w:szCs w:val="20"/>
              </w:rPr>
              <w:t>+/- 0.56%</w:t>
            </w:r>
          </w:p>
        </w:tc>
      </w:tr>
    </w:tbl>
    <w:p w14:paraId="3C3DCCF2" w14:textId="6594FA47" w:rsidR="00C576B7" w:rsidRPr="00CD22FB" w:rsidRDefault="00C576B7" w:rsidP="00113F06">
      <w:pPr>
        <w:spacing w:after="200" w:line="276" w:lineRule="auto"/>
        <w:rPr>
          <w:rFonts w:eastAsia="Times New Roman"/>
          <w:color w:val="000000"/>
          <w:sz w:val="22"/>
          <w:szCs w:val="22"/>
        </w:rPr>
      </w:pPr>
    </w:p>
    <w:sectPr w:rsidR="00C576B7" w:rsidRPr="00CD22FB" w:rsidSect="00B23C17">
      <w:footerReference w:type="even" r:id="rId14"/>
      <w:footerReference w:type="defaul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41BF" w14:textId="77777777" w:rsidR="00CD22FB" w:rsidRDefault="00CD22FB" w:rsidP="00F50B6D">
      <w:r>
        <w:separator/>
      </w:r>
    </w:p>
  </w:endnote>
  <w:endnote w:type="continuationSeparator" w:id="0">
    <w:p w14:paraId="3AF22DC0" w14:textId="77777777" w:rsidR="00CD22FB" w:rsidRDefault="00CD22FB" w:rsidP="00F50B6D">
      <w:r>
        <w:continuationSeparator/>
      </w:r>
    </w:p>
  </w:endnote>
  <w:endnote w:type="continuationNotice" w:id="1">
    <w:p w14:paraId="499CF42C" w14:textId="77777777" w:rsidR="00CD22FB" w:rsidRDefault="00CD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F0AB" w14:textId="38ABCCA9" w:rsidR="00CD22FB" w:rsidRPr="000709E9" w:rsidRDefault="00CD22FB" w:rsidP="000709E9">
    <w:pPr>
      <w:pStyle w:val="Footer"/>
      <w:jc w:val="center"/>
    </w:pPr>
    <w:r>
      <w:rPr>
        <w:color w:val="000000"/>
      </w:rPr>
      <w:fldChar w:fldCharType="begin" w:fldLock="1"/>
    </w:r>
    <w:r>
      <w:rPr>
        <w:color w:val="000000"/>
      </w:rPr>
      <w:instrText xml:space="preserve"> DOCPROPERTY bjFooterEvenPageDocProperty \* MERGEFORMAT </w:instrText>
    </w:r>
    <w:r>
      <w:rPr>
        <w:color w:val="000000"/>
      </w:rPr>
      <w:fldChar w:fldCharType="separate"/>
    </w:r>
    <w:r w:rsidRPr="000709E9">
      <w:rPr>
        <w:color w:val="000000"/>
      </w:rPr>
      <w:t>Authorized Use Only</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35903"/>
      <w:docPartObj>
        <w:docPartGallery w:val="Page Numbers (Bottom of Page)"/>
        <w:docPartUnique/>
      </w:docPartObj>
    </w:sdtPr>
    <w:sdtEndPr>
      <w:rPr>
        <w:noProof/>
      </w:rPr>
    </w:sdtEndPr>
    <w:sdtContent>
      <w:p w14:paraId="22FC48CB" w14:textId="7D7D81E0" w:rsidR="00CD22FB" w:rsidRDefault="00CD22FB">
        <w:pPr>
          <w:pStyle w:val="Footer"/>
          <w:jc w:val="right"/>
        </w:pPr>
        <w:r>
          <w:fldChar w:fldCharType="begin"/>
        </w:r>
        <w:r>
          <w:instrText xml:space="preserve"> PAGE   \* MERGEFORMAT </w:instrText>
        </w:r>
        <w:r>
          <w:fldChar w:fldCharType="separate"/>
        </w:r>
        <w:r w:rsidR="006F112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C146" w14:textId="14506DF6" w:rsidR="00CD22FB" w:rsidRPr="000709E9" w:rsidRDefault="00CD22FB" w:rsidP="000709E9">
    <w:pPr>
      <w:pStyle w:val="Footer"/>
      <w:jc w:val="center"/>
    </w:pPr>
    <w:r>
      <w:rPr>
        <w:color w:val="000000"/>
      </w:rPr>
      <w:fldChar w:fldCharType="begin" w:fldLock="1"/>
    </w:r>
    <w:r>
      <w:rPr>
        <w:color w:val="000000"/>
      </w:rPr>
      <w:instrText xml:space="preserve"> DOCPROPERTY bjFooterFirstPageDocProperty \* MERGEFORMAT </w:instrText>
    </w:r>
    <w:r>
      <w:rPr>
        <w:color w:val="000000"/>
      </w:rPr>
      <w:fldChar w:fldCharType="separate"/>
    </w:r>
    <w:r w:rsidRPr="000709E9">
      <w:rPr>
        <w:color w:val="000000"/>
      </w:rPr>
      <w:t>Authorized Use Only</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34C0" w14:textId="77777777" w:rsidR="00CD22FB" w:rsidRDefault="00CD22FB" w:rsidP="00F50B6D">
      <w:r>
        <w:separator/>
      </w:r>
    </w:p>
  </w:footnote>
  <w:footnote w:type="continuationSeparator" w:id="0">
    <w:p w14:paraId="63DFC2F2" w14:textId="77777777" w:rsidR="00CD22FB" w:rsidRDefault="00CD22FB" w:rsidP="00F50B6D">
      <w:r>
        <w:continuationSeparator/>
      </w:r>
    </w:p>
  </w:footnote>
  <w:footnote w:type="continuationNotice" w:id="1">
    <w:p w14:paraId="252C6B44" w14:textId="77777777" w:rsidR="00CD22FB" w:rsidRDefault="00CD22FB"/>
  </w:footnote>
  <w:footnote w:id="2">
    <w:p w14:paraId="65159C9B" w14:textId="580E4469" w:rsidR="00CD22FB" w:rsidRPr="00C576B7" w:rsidRDefault="00CD22FB">
      <w:pPr>
        <w:pStyle w:val="FootnoteText"/>
        <w:rPr>
          <w:sz w:val="16"/>
          <w:szCs w:val="16"/>
        </w:rPr>
      </w:pPr>
      <w:r w:rsidRPr="00C576B7">
        <w:rPr>
          <w:rStyle w:val="FootnoteReference"/>
          <w:sz w:val="16"/>
          <w:szCs w:val="16"/>
        </w:rPr>
        <w:footnoteRef/>
      </w:r>
      <w:r w:rsidRPr="00C576B7">
        <w:rPr>
          <w:sz w:val="16"/>
          <w:szCs w:val="16"/>
        </w:rPr>
        <w:t xml:space="preserve"> https://www2.ed.gov/about/offices/list/oig/nonfed/schoolservicerauditguide.pdf</w:t>
      </w:r>
    </w:p>
  </w:footnote>
  <w:footnote w:id="3">
    <w:p w14:paraId="5B3798ED" w14:textId="41950D14" w:rsidR="00CD22FB" w:rsidRPr="00CD22FB" w:rsidRDefault="00CD22FB" w:rsidP="00CD22FB">
      <w:pPr>
        <w:pStyle w:val="CommentText"/>
        <w:rPr>
          <w:sz w:val="16"/>
          <w:szCs w:val="16"/>
        </w:rPr>
      </w:pPr>
      <w:r w:rsidRPr="00A40EF2">
        <w:rPr>
          <w:sz w:val="16"/>
          <w:szCs w:val="16"/>
          <w:vertAlign w:val="superscript"/>
        </w:rPr>
        <w:footnoteRef/>
      </w:r>
      <w:r w:rsidRPr="00A40EF2">
        <w:rPr>
          <w:sz w:val="16"/>
          <w:szCs w:val="16"/>
        </w:rPr>
        <w:t xml:space="preserve"> Per the OMB Compliance Supplement, auditors are not required to report findings </w:t>
      </w:r>
      <w:r>
        <w:rPr>
          <w:sz w:val="16"/>
          <w:szCs w:val="16"/>
        </w:rPr>
        <w:t xml:space="preserve">within the audit reports </w:t>
      </w:r>
      <w:r w:rsidRPr="00A40EF2">
        <w:rPr>
          <w:sz w:val="16"/>
          <w:szCs w:val="16"/>
        </w:rPr>
        <w:t>for amounts below $25,000.</w:t>
      </w:r>
      <w:r>
        <w:rPr>
          <w:sz w:val="16"/>
          <w:szCs w:val="16"/>
        </w:rPr>
        <w:t xml:space="preserve"> As permitted by Uniform Guidance 2 CFR </w:t>
      </w:r>
      <w:r w:rsidRPr="00A40EF2">
        <w:rPr>
          <w:sz w:val="16"/>
          <w:szCs w:val="16"/>
        </w:rPr>
        <w:t>200.517(b) and Title IV regulations at 34 CFR 668.23</w:t>
      </w:r>
      <w:r>
        <w:rPr>
          <w:sz w:val="16"/>
          <w:szCs w:val="16"/>
        </w:rPr>
        <w:t xml:space="preserve">, this </w:t>
      </w:r>
      <w:r w:rsidRPr="00A40EF2">
        <w:rPr>
          <w:sz w:val="16"/>
          <w:szCs w:val="16"/>
        </w:rPr>
        <w:t xml:space="preserve">information </w:t>
      </w:r>
      <w:r>
        <w:rPr>
          <w:sz w:val="16"/>
          <w:szCs w:val="16"/>
        </w:rPr>
        <w:t>was separately obtained from the auditors.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97F"/>
    <w:multiLevelType w:val="multilevel"/>
    <w:tmpl w:val="06949F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1D4743"/>
    <w:multiLevelType w:val="hybridMultilevel"/>
    <w:tmpl w:val="A2FE7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767C5"/>
    <w:multiLevelType w:val="hybridMultilevel"/>
    <w:tmpl w:val="966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5284"/>
    <w:multiLevelType w:val="hybridMultilevel"/>
    <w:tmpl w:val="AC7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5F65"/>
    <w:multiLevelType w:val="hybridMultilevel"/>
    <w:tmpl w:val="CBF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142D"/>
    <w:multiLevelType w:val="hybridMultilevel"/>
    <w:tmpl w:val="59209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AC7"/>
    <w:multiLevelType w:val="hybridMultilevel"/>
    <w:tmpl w:val="9968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273ED"/>
    <w:multiLevelType w:val="hybridMultilevel"/>
    <w:tmpl w:val="9BD4B2D6"/>
    <w:lvl w:ilvl="0" w:tplc="4ECC8072">
      <w:start w:val="1"/>
      <w:numFmt w:val="decimal"/>
      <w:lvlText w:val="(%1)"/>
      <w:lvlJc w:val="left"/>
      <w:pPr>
        <w:ind w:left="405" w:hanging="360"/>
      </w:pPr>
      <w:rPr>
        <w:color w:val="00000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15:restartNumberingAfterBreak="0">
    <w:nsid w:val="18511B45"/>
    <w:multiLevelType w:val="hybridMultilevel"/>
    <w:tmpl w:val="AFF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C661F"/>
    <w:multiLevelType w:val="hybridMultilevel"/>
    <w:tmpl w:val="DCE87212"/>
    <w:lvl w:ilvl="0" w:tplc="C10A3906">
      <w:start w:val="1"/>
      <w:numFmt w:val="upperRoman"/>
      <w:lvlText w:val="%1."/>
      <w:lvlJc w:val="left"/>
      <w:pPr>
        <w:ind w:left="1440" w:hanging="720"/>
      </w:pPr>
      <w:rPr>
        <w:rFonts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B41B4"/>
    <w:multiLevelType w:val="hybridMultilevel"/>
    <w:tmpl w:val="98A0BDDE"/>
    <w:lvl w:ilvl="0" w:tplc="596E43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C4B21"/>
    <w:multiLevelType w:val="hybridMultilevel"/>
    <w:tmpl w:val="D9C0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29D"/>
    <w:multiLevelType w:val="hybridMultilevel"/>
    <w:tmpl w:val="73CE2B44"/>
    <w:lvl w:ilvl="0" w:tplc="3FECA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E4035"/>
    <w:multiLevelType w:val="hybridMultilevel"/>
    <w:tmpl w:val="E72E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D0F7E"/>
    <w:multiLevelType w:val="hybridMultilevel"/>
    <w:tmpl w:val="9E9A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97212"/>
    <w:multiLevelType w:val="hybridMultilevel"/>
    <w:tmpl w:val="E0ACEB18"/>
    <w:lvl w:ilvl="0" w:tplc="596E43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A0906"/>
    <w:multiLevelType w:val="hybridMultilevel"/>
    <w:tmpl w:val="D332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111ED"/>
    <w:multiLevelType w:val="hybridMultilevel"/>
    <w:tmpl w:val="6D9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6515B"/>
    <w:multiLevelType w:val="hybridMultilevel"/>
    <w:tmpl w:val="D2BC2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84A5B"/>
    <w:multiLevelType w:val="multilevel"/>
    <w:tmpl w:val="A0067EE2"/>
    <w:lvl w:ilvl="0">
      <w:start w:val="1"/>
      <w:numFmt w:val="decimal"/>
      <w:pStyle w:val="Heading3"/>
      <w:lvlText w:val="%1."/>
      <w:lvlJc w:val="left"/>
      <w:pPr>
        <w:ind w:left="360" w:hanging="360"/>
      </w:pPr>
      <w:rPr>
        <w:rFonts w:hint="default"/>
        <w:i/>
        <w:color w:val="auto"/>
        <w:sz w:val="22"/>
      </w:rPr>
    </w:lvl>
    <w:lvl w:ilvl="1">
      <w:start w:val="1"/>
      <w:numFmt w:val="upperRoman"/>
      <w:pStyle w:val="Heading4"/>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36221"/>
    <w:multiLevelType w:val="hybridMultilevel"/>
    <w:tmpl w:val="B1D23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65A75"/>
    <w:multiLevelType w:val="multilevel"/>
    <w:tmpl w:val="A0067EE2"/>
    <w:lvl w:ilvl="0">
      <w:start w:val="1"/>
      <w:numFmt w:val="decimal"/>
      <w:lvlText w:val="%1."/>
      <w:lvlJc w:val="left"/>
      <w:pPr>
        <w:ind w:left="360" w:hanging="360"/>
      </w:pPr>
      <w:rPr>
        <w:rFonts w:hint="default"/>
        <w:i/>
        <w:color w:val="auto"/>
        <w:sz w:val="22"/>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F641E3"/>
    <w:multiLevelType w:val="multilevel"/>
    <w:tmpl w:val="E1482280"/>
    <w:lvl w:ilvl="0">
      <w:start w:val="3"/>
      <w:numFmt w:val="decimal"/>
      <w:lvlText w:val="%1.0"/>
      <w:lvlJc w:val="left"/>
      <w:pPr>
        <w:ind w:left="360" w:hanging="360"/>
      </w:pPr>
      <w:rPr>
        <w:rFonts w:hint="default"/>
        <w:i w:val="0"/>
        <w:sz w:val="22"/>
      </w:rPr>
    </w:lvl>
    <w:lvl w:ilvl="1">
      <w:start w:val="1"/>
      <w:numFmt w:val="decimal"/>
      <w:lvlText w:val="%1.%2"/>
      <w:lvlJc w:val="left"/>
      <w:pPr>
        <w:ind w:left="1080" w:hanging="360"/>
      </w:pPr>
      <w:rPr>
        <w:rFonts w:hint="default"/>
        <w:i w:val="0"/>
        <w:sz w:val="22"/>
      </w:rPr>
    </w:lvl>
    <w:lvl w:ilvl="2">
      <w:start w:val="1"/>
      <w:numFmt w:val="decimal"/>
      <w:lvlText w:val="%1.%2.%3"/>
      <w:lvlJc w:val="left"/>
      <w:pPr>
        <w:ind w:left="2160" w:hanging="720"/>
      </w:pPr>
      <w:rPr>
        <w:rFonts w:hint="default"/>
        <w:i w:val="0"/>
        <w:sz w:val="22"/>
      </w:rPr>
    </w:lvl>
    <w:lvl w:ilvl="3">
      <w:start w:val="1"/>
      <w:numFmt w:val="decimal"/>
      <w:lvlText w:val="%1.%2.%3.%4"/>
      <w:lvlJc w:val="left"/>
      <w:pPr>
        <w:ind w:left="2880" w:hanging="720"/>
      </w:pPr>
      <w:rPr>
        <w:rFonts w:hint="default"/>
        <w:i w:val="0"/>
        <w:sz w:val="22"/>
      </w:rPr>
    </w:lvl>
    <w:lvl w:ilvl="4">
      <w:start w:val="1"/>
      <w:numFmt w:val="decimal"/>
      <w:lvlText w:val="%1.%2.%3.%4.%5"/>
      <w:lvlJc w:val="left"/>
      <w:pPr>
        <w:ind w:left="3960" w:hanging="1080"/>
      </w:pPr>
      <w:rPr>
        <w:rFonts w:hint="default"/>
        <w:i w:val="0"/>
        <w:sz w:val="22"/>
      </w:rPr>
    </w:lvl>
    <w:lvl w:ilvl="5">
      <w:start w:val="1"/>
      <w:numFmt w:val="decimal"/>
      <w:lvlText w:val="%1.%2.%3.%4.%5.%6"/>
      <w:lvlJc w:val="left"/>
      <w:pPr>
        <w:ind w:left="4680" w:hanging="1080"/>
      </w:pPr>
      <w:rPr>
        <w:rFonts w:hint="default"/>
        <w:i w:val="0"/>
        <w:sz w:val="22"/>
      </w:rPr>
    </w:lvl>
    <w:lvl w:ilvl="6">
      <w:start w:val="1"/>
      <w:numFmt w:val="decimal"/>
      <w:lvlText w:val="%1.%2.%3.%4.%5.%6.%7"/>
      <w:lvlJc w:val="left"/>
      <w:pPr>
        <w:ind w:left="5760" w:hanging="1440"/>
      </w:pPr>
      <w:rPr>
        <w:rFonts w:hint="default"/>
        <w:i w:val="0"/>
        <w:sz w:val="22"/>
      </w:rPr>
    </w:lvl>
    <w:lvl w:ilvl="7">
      <w:start w:val="1"/>
      <w:numFmt w:val="decimal"/>
      <w:lvlText w:val="%1.%2.%3.%4.%5.%6.%7.%8"/>
      <w:lvlJc w:val="left"/>
      <w:pPr>
        <w:ind w:left="6480" w:hanging="1440"/>
      </w:pPr>
      <w:rPr>
        <w:rFonts w:hint="default"/>
        <w:i w:val="0"/>
        <w:sz w:val="22"/>
      </w:rPr>
    </w:lvl>
    <w:lvl w:ilvl="8">
      <w:start w:val="1"/>
      <w:numFmt w:val="decimal"/>
      <w:lvlText w:val="%1.%2.%3.%4.%5.%6.%7.%8.%9"/>
      <w:lvlJc w:val="left"/>
      <w:pPr>
        <w:ind w:left="7200" w:hanging="1440"/>
      </w:pPr>
      <w:rPr>
        <w:rFonts w:hint="default"/>
        <w:i w:val="0"/>
        <w:sz w:val="22"/>
      </w:rPr>
    </w:lvl>
  </w:abstractNum>
  <w:abstractNum w:abstractNumId="25" w15:restartNumberingAfterBreak="0">
    <w:nsid w:val="61041B6C"/>
    <w:multiLevelType w:val="hybridMultilevel"/>
    <w:tmpl w:val="49D037EC"/>
    <w:lvl w:ilvl="0" w:tplc="C922A6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DF2BB8"/>
    <w:multiLevelType w:val="hybridMultilevel"/>
    <w:tmpl w:val="8E88A308"/>
    <w:lvl w:ilvl="0" w:tplc="8530E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E6B66"/>
    <w:multiLevelType w:val="hybridMultilevel"/>
    <w:tmpl w:val="109EC506"/>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CD0394C"/>
    <w:multiLevelType w:val="hybridMultilevel"/>
    <w:tmpl w:val="165E55BA"/>
    <w:lvl w:ilvl="0" w:tplc="329274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96C35"/>
    <w:multiLevelType w:val="hybridMultilevel"/>
    <w:tmpl w:val="E6920758"/>
    <w:lvl w:ilvl="0" w:tplc="7E6206A2">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1DD6FA0"/>
    <w:multiLevelType w:val="hybridMultilevel"/>
    <w:tmpl w:val="4B3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15F24"/>
    <w:multiLevelType w:val="hybridMultilevel"/>
    <w:tmpl w:val="78B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921B7"/>
    <w:multiLevelType w:val="hybridMultilevel"/>
    <w:tmpl w:val="516AAAA0"/>
    <w:lvl w:ilvl="0" w:tplc="44E09E22">
      <w:start w:val="1"/>
      <w:numFmt w:val="bullet"/>
      <w:lvlText w:val="-"/>
      <w:lvlJc w:val="left"/>
      <w:pPr>
        <w:ind w:left="810" w:hanging="360"/>
      </w:pPr>
      <w:rPr>
        <w:rFonts w:ascii="Courier New" w:hAnsi="Courier New" w:hint="default"/>
      </w:rPr>
    </w:lvl>
    <w:lvl w:ilvl="1" w:tplc="44E09E22">
      <w:start w:val="1"/>
      <w:numFmt w:val="bullet"/>
      <w:lvlText w:val="-"/>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D685BC3"/>
    <w:multiLevelType w:val="hybridMultilevel"/>
    <w:tmpl w:val="35A6AC00"/>
    <w:lvl w:ilvl="0" w:tplc="40F2F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5"/>
  </w:num>
  <w:num w:numId="4">
    <w:abstractNumId w:val="10"/>
  </w:num>
  <w:num w:numId="5">
    <w:abstractNumId w:val="17"/>
  </w:num>
  <w:num w:numId="6">
    <w:abstractNumId w:val="13"/>
  </w:num>
  <w:num w:numId="7">
    <w:abstractNumId w:val="21"/>
  </w:num>
  <w:num w:numId="8">
    <w:abstractNumId w:val="18"/>
  </w:num>
  <w:num w:numId="9">
    <w:abstractNumId w:val="5"/>
  </w:num>
  <w:num w:numId="10">
    <w:abstractNumId w:val="27"/>
  </w:num>
  <w:num w:numId="11">
    <w:abstractNumId w:val="15"/>
  </w:num>
  <w:num w:numId="12">
    <w:abstractNumId w:val="19"/>
  </w:num>
  <w:num w:numId="13">
    <w:abstractNumId w:val="32"/>
  </w:num>
  <w:num w:numId="14">
    <w:abstractNumId w:val="3"/>
  </w:num>
  <w:num w:numId="15">
    <w:abstractNumId w:val="9"/>
  </w:num>
  <w:num w:numId="16">
    <w:abstractNumId w:val="33"/>
  </w:num>
  <w:num w:numId="17">
    <w:abstractNumId w:val="1"/>
  </w:num>
  <w:num w:numId="18">
    <w:abstractNumId w:val="30"/>
  </w:num>
  <w:num w:numId="19">
    <w:abstractNumId w:val="20"/>
  </w:num>
  <w:num w:numId="20">
    <w:abstractNumId w:val="28"/>
  </w:num>
  <w:num w:numId="21">
    <w:abstractNumId w:val="31"/>
  </w:num>
  <w:num w:numId="22">
    <w:abstractNumId w:val="14"/>
  </w:num>
  <w:num w:numId="23">
    <w:abstractNumId w:val="2"/>
  </w:num>
  <w:num w:numId="24">
    <w:abstractNumId w:val="6"/>
  </w:num>
  <w:num w:numId="25">
    <w:abstractNumId w:val="11"/>
  </w:num>
  <w:num w:numId="26">
    <w:abstractNumId w:val="4"/>
  </w:num>
  <w:num w:numId="27">
    <w:abstractNumId w:val="22"/>
  </w:num>
  <w:num w:numId="28">
    <w:abstractNumId w:val="12"/>
  </w:num>
  <w:num w:numId="29">
    <w:abstractNumId w:val="26"/>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3"/>
  </w:num>
  <w:num w:numId="42">
    <w:abstractNumId w:val="21"/>
  </w:num>
  <w:num w:numId="43">
    <w:abstractNumId w:val="2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4"/>
  </w:num>
  <w:num w:numId="47">
    <w:abstractNumId w:val="21"/>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B6D"/>
    <w:rsid w:val="00000CC9"/>
    <w:rsid w:val="0000326F"/>
    <w:rsid w:val="00003384"/>
    <w:rsid w:val="00005D3D"/>
    <w:rsid w:val="000079DE"/>
    <w:rsid w:val="00012885"/>
    <w:rsid w:val="00012D4B"/>
    <w:rsid w:val="00016588"/>
    <w:rsid w:val="0001703E"/>
    <w:rsid w:val="000174B6"/>
    <w:rsid w:val="0001750C"/>
    <w:rsid w:val="0002012D"/>
    <w:rsid w:val="0002126D"/>
    <w:rsid w:val="00021788"/>
    <w:rsid w:val="00024C2F"/>
    <w:rsid w:val="00034330"/>
    <w:rsid w:val="000343C7"/>
    <w:rsid w:val="00036309"/>
    <w:rsid w:val="00036E95"/>
    <w:rsid w:val="00042380"/>
    <w:rsid w:val="00045D06"/>
    <w:rsid w:val="0005271B"/>
    <w:rsid w:val="00056321"/>
    <w:rsid w:val="00057EC7"/>
    <w:rsid w:val="0006499E"/>
    <w:rsid w:val="000709E9"/>
    <w:rsid w:val="00071101"/>
    <w:rsid w:val="0007522E"/>
    <w:rsid w:val="000752EC"/>
    <w:rsid w:val="00084704"/>
    <w:rsid w:val="0008741E"/>
    <w:rsid w:val="00092722"/>
    <w:rsid w:val="0009622D"/>
    <w:rsid w:val="000A0840"/>
    <w:rsid w:val="000B0356"/>
    <w:rsid w:val="000B52C0"/>
    <w:rsid w:val="000B6742"/>
    <w:rsid w:val="000D1370"/>
    <w:rsid w:val="000D323D"/>
    <w:rsid w:val="000D3A25"/>
    <w:rsid w:val="000E3607"/>
    <w:rsid w:val="000E3849"/>
    <w:rsid w:val="000E4D5C"/>
    <w:rsid w:val="000F5219"/>
    <w:rsid w:val="000F6338"/>
    <w:rsid w:val="00106760"/>
    <w:rsid w:val="001078C1"/>
    <w:rsid w:val="001107C8"/>
    <w:rsid w:val="00110A0C"/>
    <w:rsid w:val="0011148C"/>
    <w:rsid w:val="00113F06"/>
    <w:rsid w:val="001149DE"/>
    <w:rsid w:val="00115AEC"/>
    <w:rsid w:val="001234A6"/>
    <w:rsid w:val="0012401B"/>
    <w:rsid w:val="0012559F"/>
    <w:rsid w:val="001311DB"/>
    <w:rsid w:val="001340ED"/>
    <w:rsid w:val="00135503"/>
    <w:rsid w:val="00136331"/>
    <w:rsid w:val="00137247"/>
    <w:rsid w:val="0014027B"/>
    <w:rsid w:val="00141C25"/>
    <w:rsid w:val="00143C84"/>
    <w:rsid w:val="00145F08"/>
    <w:rsid w:val="00146790"/>
    <w:rsid w:val="001467D5"/>
    <w:rsid w:val="00150BF1"/>
    <w:rsid w:val="00154154"/>
    <w:rsid w:val="00162191"/>
    <w:rsid w:val="00163904"/>
    <w:rsid w:val="00166677"/>
    <w:rsid w:val="00166787"/>
    <w:rsid w:val="00166D96"/>
    <w:rsid w:val="00173234"/>
    <w:rsid w:val="00176123"/>
    <w:rsid w:val="00177489"/>
    <w:rsid w:val="001806C0"/>
    <w:rsid w:val="00183B64"/>
    <w:rsid w:val="0018589D"/>
    <w:rsid w:val="00192FCC"/>
    <w:rsid w:val="001946CB"/>
    <w:rsid w:val="001956AF"/>
    <w:rsid w:val="001A4168"/>
    <w:rsid w:val="001A70B0"/>
    <w:rsid w:val="001B2AA0"/>
    <w:rsid w:val="001B2C53"/>
    <w:rsid w:val="001B43BA"/>
    <w:rsid w:val="001B5905"/>
    <w:rsid w:val="001B5F20"/>
    <w:rsid w:val="001C10E6"/>
    <w:rsid w:val="001C507B"/>
    <w:rsid w:val="001C5FC1"/>
    <w:rsid w:val="001D0CE4"/>
    <w:rsid w:val="001D1532"/>
    <w:rsid w:val="001D228B"/>
    <w:rsid w:val="001D479F"/>
    <w:rsid w:val="001D5D83"/>
    <w:rsid w:val="001E0AC4"/>
    <w:rsid w:val="001E2110"/>
    <w:rsid w:val="001E2F0E"/>
    <w:rsid w:val="001E319A"/>
    <w:rsid w:val="001E4627"/>
    <w:rsid w:val="001E6095"/>
    <w:rsid w:val="001E783B"/>
    <w:rsid w:val="001F13DC"/>
    <w:rsid w:val="001F2FA6"/>
    <w:rsid w:val="001F30B3"/>
    <w:rsid w:val="001F315A"/>
    <w:rsid w:val="001F40D3"/>
    <w:rsid w:val="001F62C6"/>
    <w:rsid w:val="002053E1"/>
    <w:rsid w:val="00206522"/>
    <w:rsid w:val="002117D2"/>
    <w:rsid w:val="00211A15"/>
    <w:rsid w:val="00212EEF"/>
    <w:rsid w:val="002131E2"/>
    <w:rsid w:val="00214B5B"/>
    <w:rsid w:val="00216128"/>
    <w:rsid w:val="00216D7E"/>
    <w:rsid w:val="00220DF8"/>
    <w:rsid w:val="00225F98"/>
    <w:rsid w:val="00231BD7"/>
    <w:rsid w:val="00234D60"/>
    <w:rsid w:val="00236C51"/>
    <w:rsid w:val="00242C4B"/>
    <w:rsid w:val="00243194"/>
    <w:rsid w:val="00243B83"/>
    <w:rsid w:val="00244D0A"/>
    <w:rsid w:val="00253CD0"/>
    <w:rsid w:val="0025541A"/>
    <w:rsid w:val="00256A12"/>
    <w:rsid w:val="00271052"/>
    <w:rsid w:val="0027251F"/>
    <w:rsid w:val="00275C3A"/>
    <w:rsid w:val="00283519"/>
    <w:rsid w:val="00285D0D"/>
    <w:rsid w:val="002865B2"/>
    <w:rsid w:val="00287E3A"/>
    <w:rsid w:val="00290C4C"/>
    <w:rsid w:val="0029797E"/>
    <w:rsid w:val="002A1DEA"/>
    <w:rsid w:val="002A2B9B"/>
    <w:rsid w:val="002A2D9D"/>
    <w:rsid w:val="002A2EA7"/>
    <w:rsid w:val="002A43FD"/>
    <w:rsid w:val="002A7697"/>
    <w:rsid w:val="002B26D0"/>
    <w:rsid w:val="002B613D"/>
    <w:rsid w:val="002B6CDA"/>
    <w:rsid w:val="002C13F3"/>
    <w:rsid w:val="002C2DE9"/>
    <w:rsid w:val="002D0244"/>
    <w:rsid w:val="002E3809"/>
    <w:rsid w:val="002E490B"/>
    <w:rsid w:val="002E5A4B"/>
    <w:rsid w:val="002E763A"/>
    <w:rsid w:val="002F5EB1"/>
    <w:rsid w:val="002F7430"/>
    <w:rsid w:val="00300251"/>
    <w:rsid w:val="0030156B"/>
    <w:rsid w:val="003016C9"/>
    <w:rsid w:val="00303662"/>
    <w:rsid w:val="00306967"/>
    <w:rsid w:val="00313E42"/>
    <w:rsid w:val="00315906"/>
    <w:rsid w:val="003206C8"/>
    <w:rsid w:val="00322240"/>
    <w:rsid w:val="00322FB2"/>
    <w:rsid w:val="003238C8"/>
    <w:rsid w:val="00323ED3"/>
    <w:rsid w:val="00325887"/>
    <w:rsid w:val="0033185B"/>
    <w:rsid w:val="00332917"/>
    <w:rsid w:val="00335D83"/>
    <w:rsid w:val="00337E64"/>
    <w:rsid w:val="003412B3"/>
    <w:rsid w:val="00342549"/>
    <w:rsid w:val="0034657D"/>
    <w:rsid w:val="00350ADF"/>
    <w:rsid w:val="003524B0"/>
    <w:rsid w:val="00353493"/>
    <w:rsid w:val="00353692"/>
    <w:rsid w:val="00357A62"/>
    <w:rsid w:val="00357A81"/>
    <w:rsid w:val="00361D80"/>
    <w:rsid w:val="00364A6A"/>
    <w:rsid w:val="00366D9D"/>
    <w:rsid w:val="00367E2F"/>
    <w:rsid w:val="00370B86"/>
    <w:rsid w:val="00371D11"/>
    <w:rsid w:val="00371D55"/>
    <w:rsid w:val="00373628"/>
    <w:rsid w:val="0037517B"/>
    <w:rsid w:val="0038312B"/>
    <w:rsid w:val="00383B60"/>
    <w:rsid w:val="00384991"/>
    <w:rsid w:val="0038514E"/>
    <w:rsid w:val="00385C30"/>
    <w:rsid w:val="00391CEC"/>
    <w:rsid w:val="00392651"/>
    <w:rsid w:val="003926E2"/>
    <w:rsid w:val="003941E8"/>
    <w:rsid w:val="00394495"/>
    <w:rsid w:val="00397B3F"/>
    <w:rsid w:val="003A2273"/>
    <w:rsid w:val="003A23B2"/>
    <w:rsid w:val="003A464C"/>
    <w:rsid w:val="003B40AA"/>
    <w:rsid w:val="003B4FF9"/>
    <w:rsid w:val="003C39F2"/>
    <w:rsid w:val="003D2848"/>
    <w:rsid w:val="003D3854"/>
    <w:rsid w:val="003D7510"/>
    <w:rsid w:val="003D7E2D"/>
    <w:rsid w:val="003E1AD7"/>
    <w:rsid w:val="003E1E0A"/>
    <w:rsid w:val="003E7DDD"/>
    <w:rsid w:val="003F12E3"/>
    <w:rsid w:val="003F22CD"/>
    <w:rsid w:val="003F5073"/>
    <w:rsid w:val="003F658F"/>
    <w:rsid w:val="003F7A43"/>
    <w:rsid w:val="004001E3"/>
    <w:rsid w:val="00411953"/>
    <w:rsid w:val="0041339A"/>
    <w:rsid w:val="004167FE"/>
    <w:rsid w:val="00416CE7"/>
    <w:rsid w:val="00425A97"/>
    <w:rsid w:val="0042690D"/>
    <w:rsid w:val="00442E2F"/>
    <w:rsid w:val="004478F5"/>
    <w:rsid w:val="00447DF8"/>
    <w:rsid w:val="00450066"/>
    <w:rsid w:val="004504E5"/>
    <w:rsid w:val="004553FE"/>
    <w:rsid w:val="004559F2"/>
    <w:rsid w:val="00461D76"/>
    <w:rsid w:val="00462024"/>
    <w:rsid w:val="00464453"/>
    <w:rsid w:val="004709AC"/>
    <w:rsid w:val="00470B84"/>
    <w:rsid w:val="00471A52"/>
    <w:rsid w:val="004725F8"/>
    <w:rsid w:val="00480A73"/>
    <w:rsid w:val="00484A1D"/>
    <w:rsid w:val="004864AD"/>
    <w:rsid w:val="00496DDA"/>
    <w:rsid w:val="004A23C2"/>
    <w:rsid w:val="004A2E6A"/>
    <w:rsid w:val="004A3D01"/>
    <w:rsid w:val="004A4854"/>
    <w:rsid w:val="004A6F15"/>
    <w:rsid w:val="004B6B15"/>
    <w:rsid w:val="004B6C5B"/>
    <w:rsid w:val="004C2751"/>
    <w:rsid w:val="004C7C08"/>
    <w:rsid w:val="004D5920"/>
    <w:rsid w:val="004D6D5C"/>
    <w:rsid w:val="004D7913"/>
    <w:rsid w:val="004E353B"/>
    <w:rsid w:val="004E47EB"/>
    <w:rsid w:val="004E771C"/>
    <w:rsid w:val="004E7DB1"/>
    <w:rsid w:val="004F0A33"/>
    <w:rsid w:val="004F4707"/>
    <w:rsid w:val="00502524"/>
    <w:rsid w:val="005034D3"/>
    <w:rsid w:val="00503608"/>
    <w:rsid w:val="005039B6"/>
    <w:rsid w:val="005045CC"/>
    <w:rsid w:val="00504883"/>
    <w:rsid w:val="00505008"/>
    <w:rsid w:val="005061E1"/>
    <w:rsid w:val="00510093"/>
    <w:rsid w:val="0051617C"/>
    <w:rsid w:val="00517523"/>
    <w:rsid w:val="00524779"/>
    <w:rsid w:val="00527A16"/>
    <w:rsid w:val="00527A47"/>
    <w:rsid w:val="00531AAA"/>
    <w:rsid w:val="00532844"/>
    <w:rsid w:val="005330D2"/>
    <w:rsid w:val="00533E2B"/>
    <w:rsid w:val="005349C2"/>
    <w:rsid w:val="00534A13"/>
    <w:rsid w:val="00534E9A"/>
    <w:rsid w:val="005377A1"/>
    <w:rsid w:val="0054653D"/>
    <w:rsid w:val="00551D43"/>
    <w:rsid w:val="00554D88"/>
    <w:rsid w:val="005628F5"/>
    <w:rsid w:val="005666A1"/>
    <w:rsid w:val="005703DA"/>
    <w:rsid w:val="00570DCD"/>
    <w:rsid w:val="005710AD"/>
    <w:rsid w:val="005723A4"/>
    <w:rsid w:val="00584854"/>
    <w:rsid w:val="0059062F"/>
    <w:rsid w:val="0059244A"/>
    <w:rsid w:val="005A387A"/>
    <w:rsid w:val="005A470B"/>
    <w:rsid w:val="005B3487"/>
    <w:rsid w:val="005B604E"/>
    <w:rsid w:val="005B6F9A"/>
    <w:rsid w:val="005C0223"/>
    <w:rsid w:val="005C0A43"/>
    <w:rsid w:val="005C33E0"/>
    <w:rsid w:val="005C7904"/>
    <w:rsid w:val="005D025A"/>
    <w:rsid w:val="005D70EF"/>
    <w:rsid w:val="005E0EF1"/>
    <w:rsid w:val="005E15EC"/>
    <w:rsid w:val="005E2613"/>
    <w:rsid w:val="005F152A"/>
    <w:rsid w:val="005F342F"/>
    <w:rsid w:val="005F4E0A"/>
    <w:rsid w:val="00600422"/>
    <w:rsid w:val="00600C46"/>
    <w:rsid w:val="00606001"/>
    <w:rsid w:val="0060648E"/>
    <w:rsid w:val="00606F34"/>
    <w:rsid w:val="0061259A"/>
    <w:rsid w:val="00616F2F"/>
    <w:rsid w:val="00620CC7"/>
    <w:rsid w:val="00622300"/>
    <w:rsid w:val="00622384"/>
    <w:rsid w:val="006241C0"/>
    <w:rsid w:val="00624DAB"/>
    <w:rsid w:val="00631701"/>
    <w:rsid w:val="00631743"/>
    <w:rsid w:val="00631D83"/>
    <w:rsid w:val="0063353A"/>
    <w:rsid w:val="00634115"/>
    <w:rsid w:val="006355DD"/>
    <w:rsid w:val="006417A6"/>
    <w:rsid w:val="00642C51"/>
    <w:rsid w:val="0064628C"/>
    <w:rsid w:val="00647583"/>
    <w:rsid w:val="006523A6"/>
    <w:rsid w:val="00656D1B"/>
    <w:rsid w:val="00665420"/>
    <w:rsid w:val="006670A9"/>
    <w:rsid w:val="00667535"/>
    <w:rsid w:val="00673609"/>
    <w:rsid w:val="0067390F"/>
    <w:rsid w:val="0068300B"/>
    <w:rsid w:val="00684117"/>
    <w:rsid w:val="00685959"/>
    <w:rsid w:val="00686BAE"/>
    <w:rsid w:val="00692632"/>
    <w:rsid w:val="006942F1"/>
    <w:rsid w:val="00694D4A"/>
    <w:rsid w:val="006A0A9F"/>
    <w:rsid w:val="006A0F6E"/>
    <w:rsid w:val="006A1265"/>
    <w:rsid w:val="006A3067"/>
    <w:rsid w:val="006A67D7"/>
    <w:rsid w:val="006A767A"/>
    <w:rsid w:val="006B0522"/>
    <w:rsid w:val="006B18C0"/>
    <w:rsid w:val="006B595B"/>
    <w:rsid w:val="006B6FFB"/>
    <w:rsid w:val="006C3AF6"/>
    <w:rsid w:val="006C3C27"/>
    <w:rsid w:val="006C5998"/>
    <w:rsid w:val="006C78A0"/>
    <w:rsid w:val="006D04F6"/>
    <w:rsid w:val="006D0D49"/>
    <w:rsid w:val="006D20E4"/>
    <w:rsid w:val="006D20FB"/>
    <w:rsid w:val="006D48BF"/>
    <w:rsid w:val="006D4AE7"/>
    <w:rsid w:val="006D542B"/>
    <w:rsid w:val="006D6214"/>
    <w:rsid w:val="006D7FA5"/>
    <w:rsid w:val="006F1120"/>
    <w:rsid w:val="006F60AE"/>
    <w:rsid w:val="00700819"/>
    <w:rsid w:val="00706DEF"/>
    <w:rsid w:val="00712039"/>
    <w:rsid w:val="00712A93"/>
    <w:rsid w:val="00713D40"/>
    <w:rsid w:val="00717D0E"/>
    <w:rsid w:val="0072332D"/>
    <w:rsid w:val="00723753"/>
    <w:rsid w:val="007242A2"/>
    <w:rsid w:val="00737481"/>
    <w:rsid w:val="00742DC3"/>
    <w:rsid w:val="00743A87"/>
    <w:rsid w:val="00746386"/>
    <w:rsid w:val="007466A5"/>
    <w:rsid w:val="00747087"/>
    <w:rsid w:val="00747113"/>
    <w:rsid w:val="0075297A"/>
    <w:rsid w:val="007533C0"/>
    <w:rsid w:val="007534E7"/>
    <w:rsid w:val="007605AF"/>
    <w:rsid w:val="00764EC5"/>
    <w:rsid w:val="00770252"/>
    <w:rsid w:val="00770324"/>
    <w:rsid w:val="00771AE2"/>
    <w:rsid w:val="0077435F"/>
    <w:rsid w:val="007758D2"/>
    <w:rsid w:val="00777CD6"/>
    <w:rsid w:val="00781D48"/>
    <w:rsid w:val="00782D3F"/>
    <w:rsid w:val="0078402E"/>
    <w:rsid w:val="00784F32"/>
    <w:rsid w:val="00790794"/>
    <w:rsid w:val="00792607"/>
    <w:rsid w:val="007954B5"/>
    <w:rsid w:val="007A5CFC"/>
    <w:rsid w:val="007A5EEF"/>
    <w:rsid w:val="007B056E"/>
    <w:rsid w:val="007B465A"/>
    <w:rsid w:val="007B47D6"/>
    <w:rsid w:val="007B4B81"/>
    <w:rsid w:val="007B5069"/>
    <w:rsid w:val="007C7F6E"/>
    <w:rsid w:val="007D3A08"/>
    <w:rsid w:val="007D6657"/>
    <w:rsid w:val="007D69AF"/>
    <w:rsid w:val="007E18A1"/>
    <w:rsid w:val="007E351E"/>
    <w:rsid w:val="007E794D"/>
    <w:rsid w:val="007F0917"/>
    <w:rsid w:val="007F4253"/>
    <w:rsid w:val="007F59FF"/>
    <w:rsid w:val="007F7F5F"/>
    <w:rsid w:val="00802C21"/>
    <w:rsid w:val="00805EED"/>
    <w:rsid w:val="00810E83"/>
    <w:rsid w:val="00812F88"/>
    <w:rsid w:val="00814E9D"/>
    <w:rsid w:val="0081511A"/>
    <w:rsid w:val="00816341"/>
    <w:rsid w:val="00816D43"/>
    <w:rsid w:val="008173BA"/>
    <w:rsid w:val="00817BD9"/>
    <w:rsid w:val="008218E1"/>
    <w:rsid w:val="00822E24"/>
    <w:rsid w:val="00823D53"/>
    <w:rsid w:val="008248F2"/>
    <w:rsid w:val="00835261"/>
    <w:rsid w:val="00835C0D"/>
    <w:rsid w:val="00836C75"/>
    <w:rsid w:val="0083772A"/>
    <w:rsid w:val="008423D0"/>
    <w:rsid w:val="00842998"/>
    <w:rsid w:val="00846761"/>
    <w:rsid w:val="0085051E"/>
    <w:rsid w:val="00850975"/>
    <w:rsid w:val="0085146D"/>
    <w:rsid w:val="00852D84"/>
    <w:rsid w:val="00855955"/>
    <w:rsid w:val="008565A2"/>
    <w:rsid w:val="008609EF"/>
    <w:rsid w:val="0086443E"/>
    <w:rsid w:val="00871C54"/>
    <w:rsid w:val="00874B3E"/>
    <w:rsid w:val="00875DB0"/>
    <w:rsid w:val="00883226"/>
    <w:rsid w:val="008967D0"/>
    <w:rsid w:val="0089701B"/>
    <w:rsid w:val="008A5197"/>
    <w:rsid w:val="008A6EDC"/>
    <w:rsid w:val="008B4E8F"/>
    <w:rsid w:val="008C5048"/>
    <w:rsid w:val="008D2BDF"/>
    <w:rsid w:val="008D4876"/>
    <w:rsid w:val="008D584A"/>
    <w:rsid w:val="008E2688"/>
    <w:rsid w:val="008E4DCE"/>
    <w:rsid w:val="008E5AE7"/>
    <w:rsid w:val="008F2121"/>
    <w:rsid w:val="008F415E"/>
    <w:rsid w:val="008F7109"/>
    <w:rsid w:val="00900823"/>
    <w:rsid w:val="00900DE6"/>
    <w:rsid w:val="00907232"/>
    <w:rsid w:val="00911827"/>
    <w:rsid w:val="009168E3"/>
    <w:rsid w:val="00916D88"/>
    <w:rsid w:val="00917C87"/>
    <w:rsid w:val="00920155"/>
    <w:rsid w:val="0092087A"/>
    <w:rsid w:val="00927195"/>
    <w:rsid w:val="00933773"/>
    <w:rsid w:val="00934A86"/>
    <w:rsid w:val="00940587"/>
    <w:rsid w:val="009406B3"/>
    <w:rsid w:val="00941FBA"/>
    <w:rsid w:val="00951417"/>
    <w:rsid w:val="00951828"/>
    <w:rsid w:val="00953020"/>
    <w:rsid w:val="00953089"/>
    <w:rsid w:val="009730E4"/>
    <w:rsid w:val="00974C21"/>
    <w:rsid w:val="00975A25"/>
    <w:rsid w:val="00975D14"/>
    <w:rsid w:val="009763FC"/>
    <w:rsid w:val="0098015A"/>
    <w:rsid w:val="00985AD8"/>
    <w:rsid w:val="009866C6"/>
    <w:rsid w:val="009903E4"/>
    <w:rsid w:val="009905AD"/>
    <w:rsid w:val="0099072D"/>
    <w:rsid w:val="00991499"/>
    <w:rsid w:val="009915C9"/>
    <w:rsid w:val="00992DDB"/>
    <w:rsid w:val="00994C9E"/>
    <w:rsid w:val="00996686"/>
    <w:rsid w:val="009A20AD"/>
    <w:rsid w:val="009A6EC7"/>
    <w:rsid w:val="009B6E16"/>
    <w:rsid w:val="009C041B"/>
    <w:rsid w:val="009C053B"/>
    <w:rsid w:val="009C3DCA"/>
    <w:rsid w:val="009C7368"/>
    <w:rsid w:val="009D04C2"/>
    <w:rsid w:val="009D558C"/>
    <w:rsid w:val="009D5A1B"/>
    <w:rsid w:val="009E007D"/>
    <w:rsid w:val="009E272E"/>
    <w:rsid w:val="009E424E"/>
    <w:rsid w:val="009E45A9"/>
    <w:rsid w:val="009E71E4"/>
    <w:rsid w:val="009E7D3B"/>
    <w:rsid w:val="009F061C"/>
    <w:rsid w:val="009F1802"/>
    <w:rsid w:val="009F1849"/>
    <w:rsid w:val="00A02C16"/>
    <w:rsid w:val="00A079EC"/>
    <w:rsid w:val="00A11BAC"/>
    <w:rsid w:val="00A11C4F"/>
    <w:rsid w:val="00A13DEC"/>
    <w:rsid w:val="00A142C0"/>
    <w:rsid w:val="00A16126"/>
    <w:rsid w:val="00A20FC0"/>
    <w:rsid w:val="00A23F80"/>
    <w:rsid w:val="00A26E9B"/>
    <w:rsid w:val="00A26F79"/>
    <w:rsid w:val="00A271BA"/>
    <w:rsid w:val="00A31908"/>
    <w:rsid w:val="00A3407A"/>
    <w:rsid w:val="00A348D9"/>
    <w:rsid w:val="00A34D07"/>
    <w:rsid w:val="00A3635C"/>
    <w:rsid w:val="00A36AD6"/>
    <w:rsid w:val="00A4073E"/>
    <w:rsid w:val="00A40EF2"/>
    <w:rsid w:val="00A47C92"/>
    <w:rsid w:val="00A50682"/>
    <w:rsid w:val="00A56EB7"/>
    <w:rsid w:val="00A61919"/>
    <w:rsid w:val="00A62FAD"/>
    <w:rsid w:val="00A65540"/>
    <w:rsid w:val="00A65ADB"/>
    <w:rsid w:val="00A6776C"/>
    <w:rsid w:val="00A70B34"/>
    <w:rsid w:val="00A719DE"/>
    <w:rsid w:val="00A75EDB"/>
    <w:rsid w:val="00A75F0B"/>
    <w:rsid w:val="00A7718E"/>
    <w:rsid w:val="00A842B5"/>
    <w:rsid w:val="00A86FA0"/>
    <w:rsid w:val="00A8798B"/>
    <w:rsid w:val="00A908D3"/>
    <w:rsid w:val="00A9584E"/>
    <w:rsid w:val="00A969A5"/>
    <w:rsid w:val="00AA0306"/>
    <w:rsid w:val="00AA554D"/>
    <w:rsid w:val="00AB64FD"/>
    <w:rsid w:val="00AB7E25"/>
    <w:rsid w:val="00AC2988"/>
    <w:rsid w:val="00AC3552"/>
    <w:rsid w:val="00AC5A06"/>
    <w:rsid w:val="00AC75F6"/>
    <w:rsid w:val="00AC7D43"/>
    <w:rsid w:val="00AD56E4"/>
    <w:rsid w:val="00AD5A57"/>
    <w:rsid w:val="00AD6E93"/>
    <w:rsid w:val="00AD78DC"/>
    <w:rsid w:val="00AD7B7D"/>
    <w:rsid w:val="00AE2459"/>
    <w:rsid w:val="00AE31A4"/>
    <w:rsid w:val="00AE7AE6"/>
    <w:rsid w:val="00AF0C68"/>
    <w:rsid w:val="00AF5DD5"/>
    <w:rsid w:val="00AF7CE4"/>
    <w:rsid w:val="00B00BC5"/>
    <w:rsid w:val="00B06621"/>
    <w:rsid w:val="00B070F6"/>
    <w:rsid w:val="00B11A22"/>
    <w:rsid w:val="00B11B55"/>
    <w:rsid w:val="00B136EE"/>
    <w:rsid w:val="00B20B8C"/>
    <w:rsid w:val="00B23C17"/>
    <w:rsid w:val="00B30486"/>
    <w:rsid w:val="00B40742"/>
    <w:rsid w:val="00B40E90"/>
    <w:rsid w:val="00B413C4"/>
    <w:rsid w:val="00B424B1"/>
    <w:rsid w:val="00B427FD"/>
    <w:rsid w:val="00B43554"/>
    <w:rsid w:val="00B44FDF"/>
    <w:rsid w:val="00B46A0F"/>
    <w:rsid w:val="00B46BC6"/>
    <w:rsid w:val="00B47463"/>
    <w:rsid w:val="00B53DAA"/>
    <w:rsid w:val="00B53E40"/>
    <w:rsid w:val="00B54755"/>
    <w:rsid w:val="00B55667"/>
    <w:rsid w:val="00B62E7A"/>
    <w:rsid w:val="00B6300A"/>
    <w:rsid w:val="00B64088"/>
    <w:rsid w:val="00B64D4A"/>
    <w:rsid w:val="00B81265"/>
    <w:rsid w:val="00B82752"/>
    <w:rsid w:val="00B83446"/>
    <w:rsid w:val="00B83830"/>
    <w:rsid w:val="00B877A5"/>
    <w:rsid w:val="00B923A6"/>
    <w:rsid w:val="00B924DE"/>
    <w:rsid w:val="00B9284A"/>
    <w:rsid w:val="00B92A89"/>
    <w:rsid w:val="00B94AE8"/>
    <w:rsid w:val="00B95E97"/>
    <w:rsid w:val="00B9752B"/>
    <w:rsid w:val="00B9756B"/>
    <w:rsid w:val="00BA0A5B"/>
    <w:rsid w:val="00BA51C8"/>
    <w:rsid w:val="00BA5707"/>
    <w:rsid w:val="00BA6758"/>
    <w:rsid w:val="00BA7239"/>
    <w:rsid w:val="00BB3840"/>
    <w:rsid w:val="00BB503A"/>
    <w:rsid w:val="00BB7746"/>
    <w:rsid w:val="00BC044F"/>
    <w:rsid w:val="00BC057B"/>
    <w:rsid w:val="00BD0AB0"/>
    <w:rsid w:val="00BD5880"/>
    <w:rsid w:val="00BD6448"/>
    <w:rsid w:val="00BE2FD7"/>
    <w:rsid w:val="00BE5733"/>
    <w:rsid w:val="00BE65A2"/>
    <w:rsid w:val="00BE6799"/>
    <w:rsid w:val="00BE67E3"/>
    <w:rsid w:val="00BE6A55"/>
    <w:rsid w:val="00BE7A4B"/>
    <w:rsid w:val="00BF6779"/>
    <w:rsid w:val="00BF6CD9"/>
    <w:rsid w:val="00C03921"/>
    <w:rsid w:val="00C149F0"/>
    <w:rsid w:val="00C16639"/>
    <w:rsid w:val="00C233B2"/>
    <w:rsid w:val="00C2386F"/>
    <w:rsid w:val="00C33396"/>
    <w:rsid w:val="00C34347"/>
    <w:rsid w:val="00C44692"/>
    <w:rsid w:val="00C44735"/>
    <w:rsid w:val="00C44B5E"/>
    <w:rsid w:val="00C47C5B"/>
    <w:rsid w:val="00C51A2C"/>
    <w:rsid w:val="00C5281A"/>
    <w:rsid w:val="00C52BD2"/>
    <w:rsid w:val="00C53408"/>
    <w:rsid w:val="00C54C9C"/>
    <w:rsid w:val="00C576B7"/>
    <w:rsid w:val="00C62132"/>
    <w:rsid w:val="00C63C21"/>
    <w:rsid w:val="00C67BFD"/>
    <w:rsid w:val="00C711DB"/>
    <w:rsid w:val="00C75E02"/>
    <w:rsid w:val="00C82BAD"/>
    <w:rsid w:val="00C833BA"/>
    <w:rsid w:val="00C8422D"/>
    <w:rsid w:val="00C84C7E"/>
    <w:rsid w:val="00C869F3"/>
    <w:rsid w:val="00C92E44"/>
    <w:rsid w:val="00CA28FE"/>
    <w:rsid w:val="00CA3407"/>
    <w:rsid w:val="00CA72E8"/>
    <w:rsid w:val="00CA734A"/>
    <w:rsid w:val="00CB2B5F"/>
    <w:rsid w:val="00CB58BA"/>
    <w:rsid w:val="00CB7126"/>
    <w:rsid w:val="00CC2462"/>
    <w:rsid w:val="00CC2AB0"/>
    <w:rsid w:val="00CC2C78"/>
    <w:rsid w:val="00CD0135"/>
    <w:rsid w:val="00CD08FF"/>
    <w:rsid w:val="00CD22FB"/>
    <w:rsid w:val="00CD2397"/>
    <w:rsid w:val="00CD62B6"/>
    <w:rsid w:val="00CE242E"/>
    <w:rsid w:val="00CE72DB"/>
    <w:rsid w:val="00CF02CD"/>
    <w:rsid w:val="00CF1AA0"/>
    <w:rsid w:val="00CF6345"/>
    <w:rsid w:val="00D01718"/>
    <w:rsid w:val="00D026AB"/>
    <w:rsid w:val="00D04334"/>
    <w:rsid w:val="00D06E1C"/>
    <w:rsid w:val="00D10CBF"/>
    <w:rsid w:val="00D14425"/>
    <w:rsid w:val="00D159DE"/>
    <w:rsid w:val="00D15F35"/>
    <w:rsid w:val="00D1605C"/>
    <w:rsid w:val="00D16085"/>
    <w:rsid w:val="00D312FA"/>
    <w:rsid w:val="00D33A0E"/>
    <w:rsid w:val="00D371F9"/>
    <w:rsid w:val="00D422AA"/>
    <w:rsid w:val="00D423B3"/>
    <w:rsid w:val="00D4718A"/>
    <w:rsid w:val="00D51CFA"/>
    <w:rsid w:val="00D557FF"/>
    <w:rsid w:val="00D56F09"/>
    <w:rsid w:val="00D57646"/>
    <w:rsid w:val="00D6106C"/>
    <w:rsid w:val="00D61F85"/>
    <w:rsid w:val="00D633B2"/>
    <w:rsid w:val="00D63E8C"/>
    <w:rsid w:val="00D65464"/>
    <w:rsid w:val="00D6782B"/>
    <w:rsid w:val="00D67FF7"/>
    <w:rsid w:val="00D72E2C"/>
    <w:rsid w:val="00D72FCC"/>
    <w:rsid w:val="00D74B1E"/>
    <w:rsid w:val="00D77819"/>
    <w:rsid w:val="00D80F5B"/>
    <w:rsid w:val="00D86CE2"/>
    <w:rsid w:val="00D91CB9"/>
    <w:rsid w:val="00D9222F"/>
    <w:rsid w:val="00D94BED"/>
    <w:rsid w:val="00D96D66"/>
    <w:rsid w:val="00DA76F1"/>
    <w:rsid w:val="00DC215D"/>
    <w:rsid w:val="00DC33C4"/>
    <w:rsid w:val="00DC4079"/>
    <w:rsid w:val="00DC407E"/>
    <w:rsid w:val="00DD1EB2"/>
    <w:rsid w:val="00DD2703"/>
    <w:rsid w:val="00DD3D80"/>
    <w:rsid w:val="00DD539B"/>
    <w:rsid w:val="00DD72FF"/>
    <w:rsid w:val="00DD7C2F"/>
    <w:rsid w:val="00DE04A6"/>
    <w:rsid w:val="00DE0766"/>
    <w:rsid w:val="00DE2B9A"/>
    <w:rsid w:val="00DE5F32"/>
    <w:rsid w:val="00DF1DE2"/>
    <w:rsid w:val="00DF36C8"/>
    <w:rsid w:val="00DF7FF6"/>
    <w:rsid w:val="00E046DB"/>
    <w:rsid w:val="00E07B20"/>
    <w:rsid w:val="00E11588"/>
    <w:rsid w:val="00E12523"/>
    <w:rsid w:val="00E16155"/>
    <w:rsid w:val="00E16A1A"/>
    <w:rsid w:val="00E2000F"/>
    <w:rsid w:val="00E21AA8"/>
    <w:rsid w:val="00E21D38"/>
    <w:rsid w:val="00E31665"/>
    <w:rsid w:val="00E3365C"/>
    <w:rsid w:val="00E36476"/>
    <w:rsid w:val="00E36781"/>
    <w:rsid w:val="00E42031"/>
    <w:rsid w:val="00E4298E"/>
    <w:rsid w:val="00E4471E"/>
    <w:rsid w:val="00E44AF4"/>
    <w:rsid w:val="00E44E94"/>
    <w:rsid w:val="00E45F45"/>
    <w:rsid w:val="00E50DDD"/>
    <w:rsid w:val="00E54D84"/>
    <w:rsid w:val="00E57AA1"/>
    <w:rsid w:val="00E62CA2"/>
    <w:rsid w:val="00E6727E"/>
    <w:rsid w:val="00E72BCD"/>
    <w:rsid w:val="00E73683"/>
    <w:rsid w:val="00E73C0B"/>
    <w:rsid w:val="00E8133D"/>
    <w:rsid w:val="00E8225B"/>
    <w:rsid w:val="00E83BCA"/>
    <w:rsid w:val="00E92B60"/>
    <w:rsid w:val="00E974A3"/>
    <w:rsid w:val="00EA0C03"/>
    <w:rsid w:val="00EA1429"/>
    <w:rsid w:val="00EA1C09"/>
    <w:rsid w:val="00EA2221"/>
    <w:rsid w:val="00EA2262"/>
    <w:rsid w:val="00EA229F"/>
    <w:rsid w:val="00EA4465"/>
    <w:rsid w:val="00EA67CF"/>
    <w:rsid w:val="00EB0138"/>
    <w:rsid w:val="00EB01F0"/>
    <w:rsid w:val="00EB267E"/>
    <w:rsid w:val="00EB34E4"/>
    <w:rsid w:val="00EB3D16"/>
    <w:rsid w:val="00EB5BA7"/>
    <w:rsid w:val="00EC5ACC"/>
    <w:rsid w:val="00ED0D1F"/>
    <w:rsid w:val="00ED4DB3"/>
    <w:rsid w:val="00EE0DF0"/>
    <w:rsid w:val="00EE20F2"/>
    <w:rsid w:val="00EE3AF9"/>
    <w:rsid w:val="00EF381D"/>
    <w:rsid w:val="00EF6DBB"/>
    <w:rsid w:val="00F01955"/>
    <w:rsid w:val="00F01FC0"/>
    <w:rsid w:val="00F03ADA"/>
    <w:rsid w:val="00F064D2"/>
    <w:rsid w:val="00F079D5"/>
    <w:rsid w:val="00F112B5"/>
    <w:rsid w:val="00F135CD"/>
    <w:rsid w:val="00F14FAD"/>
    <w:rsid w:val="00F16C17"/>
    <w:rsid w:val="00F223C8"/>
    <w:rsid w:val="00F23591"/>
    <w:rsid w:val="00F23C92"/>
    <w:rsid w:val="00F24BE4"/>
    <w:rsid w:val="00F2502B"/>
    <w:rsid w:val="00F27BFB"/>
    <w:rsid w:val="00F3082E"/>
    <w:rsid w:val="00F330BD"/>
    <w:rsid w:val="00F41D5C"/>
    <w:rsid w:val="00F42D4A"/>
    <w:rsid w:val="00F42FC9"/>
    <w:rsid w:val="00F505F7"/>
    <w:rsid w:val="00F50B6D"/>
    <w:rsid w:val="00F52DA6"/>
    <w:rsid w:val="00F609D5"/>
    <w:rsid w:val="00F61CE7"/>
    <w:rsid w:val="00F62376"/>
    <w:rsid w:val="00F630AC"/>
    <w:rsid w:val="00F63119"/>
    <w:rsid w:val="00F659E0"/>
    <w:rsid w:val="00F70703"/>
    <w:rsid w:val="00F765D4"/>
    <w:rsid w:val="00F82925"/>
    <w:rsid w:val="00F85F6F"/>
    <w:rsid w:val="00F9497A"/>
    <w:rsid w:val="00FA168D"/>
    <w:rsid w:val="00FA23BF"/>
    <w:rsid w:val="00FA378A"/>
    <w:rsid w:val="00FA4D87"/>
    <w:rsid w:val="00FA548D"/>
    <w:rsid w:val="00FB6B41"/>
    <w:rsid w:val="00FC0DA1"/>
    <w:rsid w:val="00FC128B"/>
    <w:rsid w:val="00FC5ECC"/>
    <w:rsid w:val="00FC6A2A"/>
    <w:rsid w:val="00FC7F1B"/>
    <w:rsid w:val="00FD13A6"/>
    <w:rsid w:val="00FD17AB"/>
    <w:rsid w:val="00FD207B"/>
    <w:rsid w:val="00FD3574"/>
    <w:rsid w:val="00FD3B14"/>
    <w:rsid w:val="00FD5B1A"/>
    <w:rsid w:val="00FD7174"/>
    <w:rsid w:val="00FE264A"/>
    <w:rsid w:val="00FE62AC"/>
    <w:rsid w:val="00FE73C2"/>
    <w:rsid w:val="00FF2911"/>
    <w:rsid w:val="00FF51F2"/>
    <w:rsid w:val="00FF6899"/>
    <w:rsid w:val="00FF7334"/>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A6843"/>
  <w15:docId w15:val="{A15D38D9-E177-4BD9-8F8A-88B2085D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B6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F50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4"/>
    <w:next w:val="Normal"/>
    <w:link w:val="Heading3Char"/>
    <w:uiPriority w:val="9"/>
    <w:unhideWhenUsed/>
    <w:qFormat/>
    <w:rsid w:val="002A7697"/>
    <w:pPr>
      <w:numPr>
        <w:ilvl w:val="0"/>
      </w:numPr>
      <w:outlineLvl w:val="2"/>
    </w:pPr>
  </w:style>
  <w:style w:type="paragraph" w:styleId="Heading4">
    <w:name w:val="heading 4"/>
    <w:basedOn w:val="Normal"/>
    <w:next w:val="Normal"/>
    <w:link w:val="Heading4Char"/>
    <w:uiPriority w:val="9"/>
    <w:unhideWhenUsed/>
    <w:qFormat/>
    <w:rsid w:val="002A7697"/>
    <w:pPr>
      <w:keepNext/>
      <w:keepLines/>
      <w:numPr>
        <w:ilvl w:val="1"/>
        <w:numId w:val="7"/>
      </w:numPr>
      <w:spacing w:before="200"/>
      <w:outlineLvl w:val="3"/>
    </w:pPr>
    <w:rPr>
      <w:rFonts w:eastAsiaTheme="majorEastAs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0B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697"/>
    <w:rPr>
      <w:rFonts w:ascii="Times New Roman" w:eastAsiaTheme="majorEastAsia" w:hAnsi="Times New Roman" w:cs="Times New Roman"/>
      <w:b/>
      <w:bCs/>
      <w:i/>
      <w:iCs/>
    </w:rPr>
  </w:style>
  <w:style w:type="character" w:customStyle="1" w:styleId="Heading4Char">
    <w:name w:val="Heading 4 Char"/>
    <w:basedOn w:val="DefaultParagraphFont"/>
    <w:link w:val="Heading4"/>
    <w:uiPriority w:val="9"/>
    <w:rsid w:val="002A7697"/>
    <w:rPr>
      <w:rFonts w:ascii="Times New Roman" w:eastAsiaTheme="majorEastAsia" w:hAnsi="Times New Roman" w:cs="Times New Roman"/>
      <w:b/>
      <w:bCs/>
      <w:i/>
      <w:iCs/>
    </w:rPr>
  </w:style>
  <w:style w:type="paragraph" w:styleId="ListParagraph">
    <w:name w:val="List Paragraph"/>
    <w:basedOn w:val="Normal"/>
    <w:uiPriority w:val="34"/>
    <w:qFormat/>
    <w:rsid w:val="00F50B6D"/>
    <w:pPr>
      <w:ind w:left="720"/>
    </w:pPr>
    <w:rPr>
      <w:rFonts w:eastAsia="Times New Roman"/>
      <w:szCs w:val="20"/>
    </w:rPr>
  </w:style>
  <w:style w:type="character" w:styleId="CommentReference">
    <w:name w:val="annotation reference"/>
    <w:basedOn w:val="DefaultParagraphFont"/>
    <w:uiPriority w:val="99"/>
    <w:unhideWhenUsed/>
    <w:rsid w:val="00F50B6D"/>
    <w:rPr>
      <w:sz w:val="16"/>
      <w:szCs w:val="16"/>
    </w:rPr>
  </w:style>
  <w:style w:type="paragraph" w:styleId="CommentText">
    <w:name w:val="annotation text"/>
    <w:basedOn w:val="Normal"/>
    <w:link w:val="CommentTextChar"/>
    <w:uiPriority w:val="99"/>
    <w:unhideWhenUsed/>
    <w:rsid w:val="00F50B6D"/>
    <w:rPr>
      <w:sz w:val="20"/>
      <w:szCs w:val="20"/>
    </w:rPr>
  </w:style>
  <w:style w:type="character" w:customStyle="1" w:styleId="CommentTextChar">
    <w:name w:val="Comment Text Char"/>
    <w:basedOn w:val="DefaultParagraphFont"/>
    <w:link w:val="CommentText"/>
    <w:uiPriority w:val="99"/>
    <w:rsid w:val="00F50B6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B6D"/>
    <w:rPr>
      <w:b/>
      <w:bCs/>
    </w:rPr>
  </w:style>
  <w:style w:type="character" w:customStyle="1" w:styleId="CommentSubjectChar">
    <w:name w:val="Comment Subject Char"/>
    <w:basedOn w:val="CommentTextChar"/>
    <w:link w:val="CommentSubject"/>
    <w:uiPriority w:val="99"/>
    <w:semiHidden/>
    <w:rsid w:val="00F50B6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50B6D"/>
    <w:rPr>
      <w:rFonts w:ascii="Tahoma" w:hAnsi="Tahoma" w:cs="Tahoma"/>
      <w:sz w:val="16"/>
      <w:szCs w:val="16"/>
    </w:rPr>
  </w:style>
  <w:style w:type="character" w:customStyle="1" w:styleId="BalloonTextChar">
    <w:name w:val="Balloon Text Char"/>
    <w:basedOn w:val="DefaultParagraphFont"/>
    <w:link w:val="BalloonText"/>
    <w:uiPriority w:val="99"/>
    <w:semiHidden/>
    <w:rsid w:val="00F50B6D"/>
    <w:rPr>
      <w:rFonts w:ascii="Tahoma" w:eastAsiaTheme="minorEastAsia" w:hAnsi="Tahoma" w:cs="Tahoma"/>
      <w:sz w:val="16"/>
      <w:szCs w:val="16"/>
    </w:rPr>
  </w:style>
  <w:style w:type="paragraph" w:styleId="Revision">
    <w:name w:val="Revision"/>
    <w:hidden/>
    <w:uiPriority w:val="99"/>
    <w:semiHidden/>
    <w:rsid w:val="00F50B6D"/>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50B6D"/>
    <w:pPr>
      <w:spacing w:after="0" w:line="240" w:lineRule="auto"/>
    </w:pPr>
  </w:style>
  <w:style w:type="paragraph" w:styleId="BodyText">
    <w:name w:val="Body Text"/>
    <w:basedOn w:val="Normal"/>
    <w:link w:val="BodyTextChar"/>
    <w:uiPriority w:val="99"/>
    <w:unhideWhenUsed/>
    <w:rsid w:val="00F50B6D"/>
    <w:pPr>
      <w:spacing w:after="120"/>
    </w:pPr>
  </w:style>
  <w:style w:type="character" w:customStyle="1" w:styleId="BodyTextChar">
    <w:name w:val="Body Text Char"/>
    <w:basedOn w:val="DefaultParagraphFont"/>
    <w:link w:val="BodyText"/>
    <w:uiPriority w:val="99"/>
    <w:rsid w:val="00F50B6D"/>
    <w:rPr>
      <w:rFonts w:ascii="Times New Roman" w:eastAsiaTheme="minorEastAsia" w:hAnsi="Times New Roman" w:cs="Times New Roman"/>
      <w:sz w:val="24"/>
      <w:szCs w:val="24"/>
    </w:rPr>
  </w:style>
  <w:style w:type="table" w:styleId="TableGrid">
    <w:name w:val="Table Grid"/>
    <w:basedOn w:val="TableNormal"/>
    <w:uiPriority w:val="59"/>
    <w:rsid w:val="00F50B6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B6D"/>
    <w:pPr>
      <w:spacing w:before="100" w:beforeAutospacing="1" w:after="100" w:afterAutospacing="1"/>
    </w:pPr>
    <w:rPr>
      <w:lang w:eastAsia="ko-KR"/>
    </w:rPr>
  </w:style>
  <w:style w:type="paragraph" w:styleId="Header">
    <w:name w:val="header"/>
    <w:basedOn w:val="Normal"/>
    <w:link w:val="HeaderChar"/>
    <w:unhideWhenUsed/>
    <w:rsid w:val="00F50B6D"/>
    <w:pPr>
      <w:tabs>
        <w:tab w:val="center" w:pos="4680"/>
        <w:tab w:val="right" w:pos="9360"/>
      </w:tabs>
    </w:pPr>
  </w:style>
  <w:style w:type="character" w:customStyle="1" w:styleId="HeaderChar">
    <w:name w:val="Header Char"/>
    <w:basedOn w:val="DefaultParagraphFont"/>
    <w:link w:val="Header"/>
    <w:rsid w:val="00F50B6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50B6D"/>
    <w:pPr>
      <w:tabs>
        <w:tab w:val="center" w:pos="4680"/>
        <w:tab w:val="right" w:pos="9360"/>
      </w:tabs>
    </w:pPr>
  </w:style>
  <w:style w:type="character" w:customStyle="1" w:styleId="FooterChar">
    <w:name w:val="Footer Char"/>
    <w:basedOn w:val="DefaultParagraphFont"/>
    <w:link w:val="Footer"/>
    <w:uiPriority w:val="99"/>
    <w:rsid w:val="00F50B6D"/>
    <w:rPr>
      <w:rFonts w:ascii="Times New Roman" w:eastAsiaTheme="minorEastAsia" w:hAnsi="Times New Roman" w:cs="Times New Roman"/>
      <w:sz w:val="24"/>
      <w:szCs w:val="24"/>
    </w:rPr>
  </w:style>
  <w:style w:type="table" w:styleId="LightList-Accent1">
    <w:name w:val="Light List Accent 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F50B6D"/>
    <w:rPr>
      <w:sz w:val="20"/>
      <w:szCs w:val="20"/>
    </w:rPr>
  </w:style>
  <w:style w:type="character" w:customStyle="1" w:styleId="FootnoteTextChar">
    <w:name w:val="Footnote Text Char"/>
    <w:basedOn w:val="DefaultParagraphFont"/>
    <w:link w:val="FootnoteText"/>
    <w:uiPriority w:val="99"/>
    <w:rsid w:val="00F50B6D"/>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F50B6D"/>
    <w:rPr>
      <w:vertAlign w:val="superscript"/>
    </w:rPr>
  </w:style>
  <w:style w:type="table" w:customStyle="1" w:styleId="LightList1">
    <w:name w:val="Light List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50B6D"/>
    <w:rPr>
      <w:b/>
      <w:bCs/>
      <w:i w:val="0"/>
      <w:iCs w:val="0"/>
    </w:rPr>
  </w:style>
  <w:style w:type="character" w:customStyle="1" w:styleId="st">
    <w:name w:val="st"/>
    <w:basedOn w:val="DefaultParagraphFont"/>
    <w:rsid w:val="00F50B6D"/>
  </w:style>
  <w:style w:type="character" w:styleId="PlaceholderText">
    <w:name w:val="Placeholder Text"/>
    <w:basedOn w:val="DefaultParagraphFont"/>
    <w:uiPriority w:val="99"/>
    <w:semiHidden/>
    <w:rsid w:val="00F50B6D"/>
    <w:rPr>
      <w:color w:val="808080"/>
    </w:rPr>
  </w:style>
  <w:style w:type="character" w:styleId="Strong">
    <w:name w:val="Strong"/>
    <w:basedOn w:val="DefaultParagraphFont"/>
    <w:uiPriority w:val="22"/>
    <w:qFormat/>
    <w:rsid w:val="00F50B6D"/>
    <w:rPr>
      <w:b/>
      <w:bCs/>
    </w:rPr>
  </w:style>
  <w:style w:type="paragraph" w:styleId="PlainText">
    <w:name w:val="Plain Text"/>
    <w:basedOn w:val="Normal"/>
    <w:link w:val="PlainTextChar"/>
    <w:uiPriority w:val="99"/>
    <w:semiHidden/>
    <w:unhideWhenUsed/>
    <w:rsid w:val="00F50B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0B6D"/>
    <w:rPr>
      <w:rFonts w:ascii="Calibri" w:hAnsi="Calibri"/>
      <w:szCs w:val="21"/>
    </w:rPr>
  </w:style>
  <w:style w:type="paragraph" w:styleId="BodyTextIndent">
    <w:name w:val="Body Text Indent"/>
    <w:basedOn w:val="Normal"/>
    <w:link w:val="BodyTextIndentChar"/>
    <w:uiPriority w:val="99"/>
    <w:semiHidden/>
    <w:unhideWhenUsed/>
    <w:rsid w:val="00F50B6D"/>
    <w:pPr>
      <w:spacing w:after="120"/>
      <w:ind w:left="360"/>
    </w:pPr>
  </w:style>
  <w:style w:type="character" w:customStyle="1" w:styleId="BodyTextIndentChar">
    <w:name w:val="Body Text Indent Char"/>
    <w:basedOn w:val="DefaultParagraphFont"/>
    <w:link w:val="BodyTextIndent"/>
    <w:uiPriority w:val="99"/>
    <w:semiHidden/>
    <w:rsid w:val="00F50B6D"/>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50B6D"/>
    <w:rPr>
      <w:sz w:val="20"/>
      <w:szCs w:val="20"/>
    </w:rPr>
  </w:style>
  <w:style w:type="character" w:customStyle="1" w:styleId="EndnoteTextChar">
    <w:name w:val="Endnote Text Char"/>
    <w:basedOn w:val="DefaultParagraphFont"/>
    <w:link w:val="EndnoteText"/>
    <w:uiPriority w:val="99"/>
    <w:semiHidden/>
    <w:rsid w:val="00F50B6D"/>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F50B6D"/>
    <w:rPr>
      <w:vertAlign w:val="superscript"/>
    </w:rPr>
  </w:style>
  <w:style w:type="character" w:styleId="BookTitle">
    <w:name w:val="Book Title"/>
    <w:basedOn w:val="DefaultParagraphFont"/>
    <w:uiPriority w:val="33"/>
    <w:qFormat/>
    <w:rsid w:val="00F50B6D"/>
    <w:rPr>
      <w:b/>
      <w:bCs/>
      <w:smallCaps/>
      <w:spacing w:val="5"/>
    </w:rPr>
  </w:style>
  <w:style w:type="paragraph" w:styleId="Subtitle">
    <w:name w:val="Subtitle"/>
    <w:basedOn w:val="Normal"/>
    <w:next w:val="Normal"/>
    <w:link w:val="SubtitleChar"/>
    <w:qFormat/>
    <w:rsid w:val="00F50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B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F50B6D"/>
  </w:style>
  <w:style w:type="character" w:styleId="Hyperlink">
    <w:name w:val="Hyperlink"/>
    <w:basedOn w:val="DefaultParagraphFont"/>
    <w:uiPriority w:val="99"/>
    <w:unhideWhenUsed/>
    <w:rsid w:val="00F50B6D"/>
    <w:rPr>
      <w:color w:val="0000FF" w:themeColor="hyperlink"/>
      <w:u w:val="single"/>
    </w:rPr>
  </w:style>
  <w:style w:type="paragraph" w:customStyle="1" w:styleId="Default">
    <w:name w:val="Default"/>
    <w:rsid w:val="00F50B6D"/>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customStyle="1" w:styleId="WFPBodytext">
    <w:name w:val="WFP_Bodytext"/>
    <w:basedOn w:val="Normal"/>
    <w:link w:val="WFPBodytextChar"/>
    <w:rsid w:val="00F50B6D"/>
    <w:pPr>
      <w:spacing w:after="120"/>
    </w:pPr>
    <w:rPr>
      <w:rFonts w:ascii="Arial" w:eastAsia="Times New Roman" w:hAnsi="Arial"/>
      <w:noProof/>
      <w:color w:val="000000"/>
      <w:sz w:val="20"/>
      <w:szCs w:val="22"/>
    </w:rPr>
  </w:style>
  <w:style w:type="character" w:customStyle="1" w:styleId="WFPBodytextChar">
    <w:name w:val="WFP_Bodytext Char"/>
    <w:link w:val="WFPBodytext"/>
    <w:rsid w:val="00F50B6D"/>
    <w:rPr>
      <w:rFonts w:ascii="Arial" w:eastAsia="Times New Roman" w:hAnsi="Arial" w:cs="Times New Roman"/>
      <w:noProof/>
      <w:color w:val="000000"/>
      <w:sz w:val="20"/>
    </w:rPr>
  </w:style>
  <w:style w:type="character" w:customStyle="1" w:styleId="left">
    <w:name w:val="left"/>
    <w:basedOn w:val="DefaultParagraphFont"/>
    <w:rsid w:val="00F50B6D"/>
  </w:style>
  <w:style w:type="paragraph" w:customStyle="1" w:styleId="TableParagraph">
    <w:name w:val="Table Paragraph"/>
    <w:basedOn w:val="Normal"/>
    <w:uiPriority w:val="1"/>
    <w:qFormat/>
    <w:rsid w:val="00F50B6D"/>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65540"/>
    <w:rPr>
      <w:color w:val="800080" w:themeColor="followedHyperlink"/>
      <w:u w:val="single"/>
    </w:rPr>
  </w:style>
  <w:style w:type="character" w:customStyle="1" w:styleId="qowt-font3-arial">
    <w:name w:val="qowt-font3-arial"/>
    <w:basedOn w:val="DefaultParagraphFont"/>
    <w:rsid w:val="00BC044F"/>
  </w:style>
  <w:style w:type="paragraph" w:customStyle="1" w:styleId="qowt-stl-normal">
    <w:name w:val="qowt-stl-normal"/>
    <w:basedOn w:val="Normal"/>
    <w:rsid w:val="00FC5EC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0720">
      <w:bodyDiv w:val="1"/>
      <w:marLeft w:val="0"/>
      <w:marRight w:val="0"/>
      <w:marTop w:val="0"/>
      <w:marBottom w:val="0"/>
      <w:divBdr>
        <w:top w:val="none" w:sz="0" w:space="0" w:color="auto"/>
        <w:left w:val="none" w:sz="0" w:space="0" w:color="auto"/>
        <w:bottom w:val="none" w:sz="0" w:space="0" w:color="auto"/>
        <w:right w:val="none" w:sz="0" w:space="0" w:color="auto"/>
      </w:divBdr>
    </w:div>
    <w:div w:id="149643227">
      <w:bodyDiv w:val="1"/>
      <w:marLeft w:val="0"/>
      <w:marRight w:val="0"/>
      <w:marTop w:val="0"/>
      <w:marBottom w:val="0"/>
      <w:divBdr>
        <w:top w:val="none" w:sz="0" w:space="0" w:color="auto"/>
        <w:left w:val="none" w:sz="0" w:space="0" w:color="auto"/>
        <w:bottom w:val="none" w:sz="0" w:space="0" w:color="auto"/>
        <w:right w:val="none" w:sz="0" w:space="0" w:color="auto"/>
      </w:divBdr>
    </w:div>
    <w:div w:id="201794671">
      <w:bodyDiv w:val="1"/>
      <w:marLeft w:val="0"/>
      <w:marRight w:val="0"/>
      <w:marTop w:val="0"/>
      <w:marBottom w:val="0"/>
      <w:divBdr>
        <w:top w:val="none" w:sz="0" w:space="0" w:color="auto"/>
        <w:left w:val="none" w:sz="0" w:space="0" w:color="auto"/>
        <w:bottom w:val="none" w:sz="0" w:space="0" w:color="auto"/>
        <w:right w:val="none" w:sz="0" w:space="0" w:color="auto"/>
      </w:divBdr>
    </w:div>
    <w:div w:id="272179260">
      <w:bodyDiv w:val="1"/>
      <w:marLeft w:val="0"/>
      <w:marRight w:val="0"/>
      <w:marTop w:val="0"/>
      <w:marBottom w:val="0"/>
      <w:divBdr>
        <w:top w:val="none" w:sz="0" w:space="0" w:color="auto"/>
        <w:left w:val="none" w:sz="0" w:space="0" w:color="auto"/>
        <w:bottom w:val="none" w:sz="0" w:space="0" w:color="auto"/>
        <w:right w:val="none" w:sz="0" w:space="0" w:color="auto"/>
      </w:divBdr>
    </w:div>
    <w:div w:id="382759080">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84132677">
      <w:bodyDiv w:val="1"/>
      <w:marLeft w:val="0"/>
      <w:marRight w:val="0"/>
      <w:marTop w:val="0"/>
      <w:marBottom w:val="0"/>
      <w:divBdr>
        <w:top w:val="none" w:sz="0" w:space="0" w:color="auto"/>
        <w:left w:val="none" w:sz="0" w:space="0" w:color="auto"/>
        <w:bottom w:val="none" w:sz="0" w:space="0" w:color="auto"/>
        <w:right w:val="none" w:sz="0" w:space="0" w:color="auto"/>
      </w:divBdr>
    </w:div>
    <w:div w:id="551383687">
      <w:bodyDiv w:val="1"/>
      <w:marLeft w:val="0"/>
      <w:marRight w:val="0"/>
      <w:marTop w:val="0"/>
      <w:marBottom w:val="0"/>
      <w:divBdr>
        <w:top w:val="none" w:sz="0" w:space="0" w:color="auto"/>
        <w:left w:val="none" w:sz="0" w:space="0" w:color="auto"/>
        <w:bottom w:val="none" w:sz="0" w:space="0" w:color="auto"/>
        <w:right w:val="none" w:sz="0" w:space="0" w:color="auto"/>
      </w:divBdr>
    </w:div>
    <w:div w:id="688333772">
      <w:bodyDiv w:val="1"/>
      <w:marLeft w:val="0"/>
      <w:marRight w:val="0"/>
      <w:marTop w:val="0"/>
      <w:marBottom w:val="0"/>
      <w:divBdr>
        <w:top w:val="none" w:sz="0" w:space="0" w:color="auto"/>
        <w:left w:val="none" w:sz="0" w:space="0" w:color="auto"/>
        <w:bottom w:val="none" w:sz="0" w:space="0" w:color="auto"/>
        <w:right w:val="none" w:sz="0" w:space="0" w:color="auto"/>
      </w:divBdr>
    </w:div>
    <w:div w:id="1022392815">
      <w:bodyDiv w:val="1"/>
      <w:marLeft w:val="0"/>
      <w:marRight w:val="0"/>
      <w:marTop w:val="0"/>
      <w:marBottom w:val="0"/>
      <w:divBdr>
        <w:top w:val="none" w:sz="0" w:space="0" w:color="auto"/>
        <w:left w:val="none" w:sz="0" w:space="0" w:color="auto"/>
        <w:bottom w:val="none" w:sz="0" w:space="0" w:color="auto"/>
        <w:right w:val="none" w:sz="0" w:space="0" w:color="auto"/>
      </w:divBdr>
    </w:div>
    <w:div w:id="1248228859">
      <w:bodyDiv w:val="1"/>
      <w:marLeft w:val="0"/>
      <w:marRight w:val="0"/>
      <w:marTop w:val="0"/>
      <w:marBottom w:val="0"/>
      <w:divBdr>
        <w:top w:val="none" w:sz="0" w:space="0" w:color="auto"/>
        <w:left w:val="none" w:sz="0" w:space="0" w:color="auto"/>
        <w:bottom w:val="none" w:sz="0" w:space="0" w:color="auto"/>
        <w:right w:val="none" w:sz="0" w:space="0" w:color="auto"/>
      </w:divBdr>
    </w:div>
    <w:div w:id="1313868770">
      <w:bodyDiv w:val="1"/>
      <w:marLeft w:val="0"/>
      <w:marRight w:val="0"/>
      <w:marTop w:val="0"/>
      <w:marBottom w:val="0"/>
      <w:divBdr>
        <w:top w:val="none" w:sz="0" w:space="0" w:color="auto"/>
        <w:left w:val="none" w:sz="0" w:space="0" w:color="auto"/>
        <w:bottom w:val="none" w:sz="0" w:space="0" w:color="auto"/>
        <w:right w:val="none" w:sz="0" w:space="0" w:color="auto"/>
      </w:divBdr>
    </w:div>
    <w:div w:id="1326938554">
      <w:bodyDiv w:val="1"/>
      <w:marLeft w:val="0"/>
      <w:marRight w:val="0"/>
      <w:marTop w:val="0"/>
      <w:marBottom w:val="0"/>
      <w:divBdr>
        <w:top w:val="none" w:sz="0" w:space="0" w:color="auto"/>
        <w:left w:val="none" w:sz="0" w:space="0" w:color="auto"/>
        <w:bottom w:val="none" w:sz="0" w:space="0" w:color="auto"/>
        <w:right w:val="none" w:sz="0" w:space="0" w:color="auto"/>
      </w:divBdr>
    </w:div>
    <w:div w:id="1686592536">
      <w:bodyDiv w:val="1"/>
      <w:marLeft w:val="0"/>
      <w:marRight w:val="0"/>
      <w:marTop w:val="0"/>
      <w:marBottom w:val="0"/>
      <w:divBdr>
        <w:top w:val="none" w:sz="0" w:space="0" w:color="auto"/>
        <w:left w:val="none" w:sz="0" w:space="0" w:color="auto"/>
        <w:bottom w:val="none" w:sz="0" w:space="0" w:color="auto"/>
        <w:right w:val="none" w:sz="0" w:space="0" w:color="auto"/>
      </w:divBdr>
    </w:div>
    <w:div w:id="1732389639">
      <w:bodyDiv w:val="1"/>
      <w:marLeft w:val="0"/>
      <w:marRight w:val="0"/>
      <w:marTop w:val="0"/>
      <w:marBottom w:val="0"/>
      <w:divBdr>
        <w:top w:val="none" w:sz="0" w:space="0" w:color="auto"/>
        <w:left w:val="none" w:sz="0" w:space="0" w:color="auto"/>
        <w:bottom w:val="none" w:sz="0" w:space="0" w:color="auto"/>
        <w:right w:val="none" w:sz="0" w:space="0" w:color="auto"/>
      </w:divBdr>
    </w:div>
    <w:div w:id="1744640189">
      <w:bodyDiv w:val="1"/>
      <w:marLeft w:val="0"/>
      <w:marRight w:val="0"/>
      <w:marTop w:val="0"/>
      <w:marBottom w:val="0"/>
      <w:divBdr>
        <w:top w:val="none" w:sz="0" w:space="0" w:color="auto"/>
        <w:left w:val="none" w:sz="0" w:space="0" w:color="auto"/>
        <w:bottom w:val="none" w:sz="0" w:space="0" w:color="auto"/>
        <w:right w:val="none" w:sz="0" w:space="0" w:color="auto"/>
      </w:divBdr>
    </w:div>
    <w:div w:id="1785728573">
      <w:bodyDiv w:val="1"/>
      <w:marLeft w:val="0"/>
      <w:marRight w:val="0"/>
      <w:marTop w:val="0"/>
      <w:marBottom w:val="0"/>
      <w:divBdr>
        <w:top w:val="none" w:sz="0" w:space="0" w:color="auto"/>
        <w:left w:val="none" w:sz="0" w:space="0" w:color="auto"/>
        <w:bottom w:val="none" w:sz="0" w:space="0" w:color="auto"/>
        <w:right w:val="none" w:sz="0" w:space="0" w:color="auto"/>
      </w:divBdr>
    </w:div>
    <w:div w:id="1805661264">
      <w:bodyDiv w:val="1"/>
      <w:marLeft w:val="0"/>
      <w:marRight w:val="0"/>
      <w:marTop w:val="0"/>
      <w:marBottom w:val="0"/>
      <w:divBdr>
        <w:top w:val="none" w:sz="0" w:space="0" w:color="auto"/>
        <w:left w:val="none" w:sz="0" w:space="0" w:color="auto"/>
        <w:bottom w:val="none" w:sz="0" w:space="0" w:color="auto"/>
        <w:right w:val="none" w:sz="0" w:space="0" w:color="auto"/>
      </w:divBdr>
    </w:div>
    <w:div w:id="1950311451">
      <w:bodyDiv w:val="1"/>
      <w:marLeft w:val="0"/>
      <w:marRight w:val="0"/>
      <w:marTop w:val="0"/>
      <w:marBottom w:val="0"/>
      <w:divBdr>
        <w:top w:val="none" w:sz="0" w:space="0" w:color="auto"/>
        <w:left w:val="none" w:sz="0" w:space="0" w:color="auto"/>
        <w:bottom w:val="none" w:sz="0" w:space="0" w:color="auto"/>
        <w:right w:val="none" w:sz="0" w:space="0" w:color="auto"/>
      </w:divBdr>
    </w:div>
    <w:div w:id="2059474315">
      <w:bodyDiv w:val="1"/>
      <w:marLeft w:val="0"/>
      <w:marRight w:val="0"/>
      <w:marTop w:val="0"/>
      <w:marBottom w:val="0"/>
      <w:divBdr>
        <w:top w:val="none" w:sz="0" w:space="0" w:color="auto"/>
        <w:left w:val="none" w:sz="0" w:space="0" w:color="auto"/>
        <w:bottom w:val="none" w:sz="0" w:space="0" w:color="auto"/>
        <w:right w:val="none" w:sz="0" w:space="0" w:color="auto"/>
      </w:divBdr>
    </w:div>
    <w:div w:id="2087680312">
      <w:bodyDiv w:val="1"/>
      <w:marLeft w:val="0"/>
      <w:marRight w:val="0"/>
      <w:marTop w:val="0"/>
      <w:marBottom w:val="0"/>
      <w:divBdr>
        <w:top w:val="none" w:sz="0" w:space="0" w:color="auto"/>
        <w:left w:val="none" w:sz="0" w:space="0" w:color="auto"/>
        <w:bottom w:val="none" w:sz="0" w:space="0" w:color="auto"/>
        <w:right w:val="none" w:sz="0" w:space="0" w:color="auto"/>
      </w:divBdr>
    </w:div>
    <w:div w:id="21230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o.gov/yellowbook/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ed.gov/about/reports/annual/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c31f6d037a9170a50c66e617e8b53b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e4e32592e0fe6cd470e85c320ec0e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767C-28E0-4745-BE80-985003DBD97B}">
  <ds:schemaRefs>
    <ds:schemaRef ds:uri="f87c7b8b-c0e7-4b77-a067-2c707fd1239f"/>
    <ds:schemaRef ds:uri="http://purl.org/dc/dcmitype/"/>
    <ds:schemaRef ds:uri="http://schemas.microsoft.com/office/2006/metadata/properties"/>
    <ds:schemaRef ds:uri="02e41e38-1731-4866-b09a-6257d8bc047f"/>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9751C1-30E6-4C32-A6DB-1647317A3D5A}">
  <ds:schemaRefs>
    <ds:schemaRef ds:uri="http://schemas.microsoft.com/sharepoint/v3/contenttype/forms"/>
  </ds:schemaRefs>
</ds:datastoreItem>
</file>

<file path=customXml/itemProps3.xml><?xml version="1.0" encoding="utf-8"?>
<ds:datastoreItem xmlns:ds="http://schemas.openxmlformats.org/officeDocument/2006/customXml" ds:itemID="{06F0675D-610B-40BF-9152-38E27F40F6E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3F0AEBF-01E5-4974-86D1-ADA28E70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E102C-FE0C-4758-B8EC-F94B0BB2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A-123C Team</dc:creator>
  <cp:keywords>[AUOa:/b:/c:/d:/e:/f:/g:/h:/i:/j:/k:/l:/m:/n:/o:/p:/q:/r:/s:/t:/u:/v:/w:]</cp:keywords>
  <cp:lastModifiedBy>Mason, Chanel</cp:lastModifiedBy>
  <cp:revision>2</cp:revision>
  <cp:lastPrinted>2019-11-05T19:16:00Z</cp:lastPrinted>
  <dcterms:created xsi:type="dcterms:W3CDTF">2019-11-18T19:57:00Z</dcterms:created>
  <dcterms:modified xsi:type="dcterms:W3CDTF">2019-11-18T19:57:00Z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09857b30-0697-44f1-a32d-07c4680e765f</vt:lpwstr>
  </property>
  <property fmtid="{D5CDD505-2E9C-101B-9397-08002B2CF9AE}" pid="3" name="bjSaver">
    <vt:lpwstr>kzQhAHxNubwNr6EEXWr3bU45pMxsRlm8</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y fmtid="{D5CDD505-2E9C-101B-9397-08002B2CF9AE}" pid="10" name="ContentTypeId">
    <vt:lpwstr>0x01010057DC98171ABF41439B409D0A1DDFBE39</vt:lpwstr>
  </property>
</Properties>
</file>