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D0B98" w14:textId="77777777" w:rsidR="0058613C" w:rsidRPr="00322041" w:rsidRDefault="00872587" w:rsidP="00707BE6">
      <w:pPr>
        <w:pStyle w:val="Heading1"/>
        <w:rPr>
          <w:rFonts w:ascii="Arial" w:hAnsi="Arial" w:cs="Arial"/>
          <w:sz w:val="22"/>
          <w:szCs w:val="22"/>
        </w:rPr>
      </w:pPr>
      <w:bookmarkStart w:id="0" w:name="_GoBack"/>
      <w:bookmarkEnd w:id="0"/>
      <w:r w:rsidRPr="00322041">
        <w:rPr>
          <w:rFonts w:ascii="Arial" w:hAnsi="Arial" w:cs="Arial"/>
          <w:sz w:val="22"/>
          <w:szCs w:val="22"/>
        </w:rPr>
        <w:t>U.S. Department of Education</w:t>
      </w:r>
    </w:p>
    <w:p w14:paraId="0213F745" w14:textId="1674D55A" w:rsidR="00872587" w:rsidRPr="00322041" w:rsidRDefault="006F292A" w:rsidP="00707BE6">
      <w:pPr>
        <w:pStyle w:val="Heading1"/>
        <w:rPr>
          <w:rFonts w:ascii="Arial" w:hAnsi="Arial" w:cs="Arial"/>
          <w:sz w:val="22"/>
          <w:szCs w:val="22"/>
        </w:rPr>
      </w:pPr>
      <w:r w:rsidRPr="00322041">
        <w:rPr>
          <w:rFonts w:ascii="Arial" w:hAnsi="Arial" w:cs="Arial"/>
          <w:sz w:val="22"/>
          <w:szCs w:val="22"/>
        </w:rPr>
        <w:t xml:space="preserve">FY 2019 Statistically Valid and Rigorous Improper Payment Methodology for the </w:t>
      </w:r>
      <w:r w:rsidR="00872587" w:rsidRPr="00322041">
        <w:rPr>
          <w:rFonts w:ascii="Arial" w:hAnsi="Arial" w:cs="Arial"/>
          <w:sz w:val="22"/>
          <w:szCs w:val="22"/>
        </w:rPr>
        <w:t>Immediate Aid to Restart School Operations</w:t>
      </w:r>
      <w:r w:rsidR="000B6848" w:rsidRPr="00322041">
        <w:rPr>
          <w:rFonts w:ascii="Arial" w:hAnsi="Arial" w:cs="Arial"/>
          <w:sz w:val="22"/>
          <w:szCs w:val="22"/>
        </w:rPr>
        <w:t xml:space="preserve"> </w:t>
      </w:r>
      <w:r w:rsidR="0062586B" w:rsidRPr="00322041">
        <w:rPr>
          <w:rFonts w:ascii="Arial" w:hAnsi="Arial" w:cs="Arial"/>
          <w:sz w:val="22"/>
          <w:szCs w:val="22"/>
        </w:rPr>
        <w:t xml:space="preserve">Program </w:t>
      </w:r>
      <w:r w:rsidR="000B6848" w:rsidRPr="00322041">
        <w:rPr>
          <w:rFonts w:ascii="Arial" w:hAnsi="Arial" w:cs="Arial"/>
          <w:sz w:val="22"/>
          <w:szCs w:val="22"/>
        </w:rPr>
        <w:t>&amp; the Temporary Emergency Impact Aid for Displaced Students</w:t>
      </w:r>
      <w:r w:rsidR="0062586B" w:rsidRPr="00322041">
        <w:rPr>
          <w:rFonts w:ascii="Arial" w:hAnsi="Arial" w:cs="Arial"/>
          <w:sz w:val="22"/>
          <w:szCs w:val="22"/>
        </w:rPr>
        <w:t xml:space="preserve"> Program</w:t>
      </w:r>
    </w:p>
    <w:p w14:paraId="7C45E8A2" w14:textId="77777777" w:rsidR="008211F5" w:rsidRPr="00322041" w:rsidRDefault="008211F5" w:rsidP="006F292A">
      <w:pPr>
        <w:spacing w:after="0" w:line="240" w:lineRule="auto"/>
        <w:rPr>
          <w:rFonts w:ascii="Calibri" w:hAnsi="Calibri" w:cs="Calibri"/>
          <w:b/>
          <w:color w:val="365E92"/>
          <w:sz w:val="23"/>
        </w:rPr>
      </w:pPr>
    </w:p>
    <w:p w14:paraId="08711B3D" w14:textId="04C10769" w:rsidR="00D158E1" w:rsidRPr="00322041" w:rsidRDefault="006F292A" w:rsidP="006F292A">
      <w:pPr>
        <w:spacing w:after="0" w:line="240" w:lineRule="auto"/>
        <w:rPr>
          <w:rFonts w:ascii="Calibri" w:hAnsi="Calibri" w:cs="Calibri"/>
          <w:b/>
          <w:color w:val="365E92"/>
          <w:sz w:val="23"/>
        </w:rPr>
      </w:pPr>
      <w:r w:rsidRPr="00322041">
        <w:rPr>
          <w:rFonts w:ascii="Calibri" w:hAnsi="Calibri" w:cs="Calibri"/>
          <w:b/>
          <w:color w:val="365E92"/>
          <w:sz w:val="23"/>
        </w:rPr>
        <w:t>Introduction</w:t>
      </w:r>
    </w:p>
    <w:p w14:paraId="2B9B2823" w14:textId="77777777" w:rsidR="006F292A" w:rsidRPr="00322041" w:rsidRDefault="006F292A" w:rsidP="006F292A">
      <w:pPr>
        <w:spacing w:after="0" w:line="240" w:lineRule="auto"/>
        <w:rPr>
          <w:rFonts w:ascii="Calibri" w:hAnsi="Calibri" w:cs="Calibri"/>
          <w:b/>
          <w:sz w:val="24"/>
          <w:szCs w:val="24"/>
        </w:rPr>
      </w:pPr>
    </w:p>
    <w:p w14:paraId="457690CF" w14:textId="481B4A34" w:rsidR="00A20E55" w:rsidRPr="00322041" w:rsidRDefault="00A20E55" w:rsidP="006F292A">
      <w:pPr>
        <w:spacing w:after="0" w:line="240" w:lineRule="auto"/>
        <w:rPr>
          <w:rFonts w:ascii="Calibri" w:hAnsi="Calibri" w:cs="Calibri"/>
          <w:color w:val="0000FF"/>
        </w:rPr>
      </w:pPr>
      <w:r w:rsidRPr="00322041">
        <w:rPr>
          <w:rFonts w:ascii="Calibri" w:hAnsi="Calibri" w:cs="Calibri"/>
          <w:color w:val="000000"/>
        </w:rPr>
        <w:t xml:space="preserve">Simplifying and accelerating access to disaster relief funds while minimizing errors and the potential for fraud remains a Department priority. To this end, the Department’s management is committed to improper payment prevention, mitigation, and reduction and continues to strengthen improper payment controls, and develop and enhance estimation methodologies and analytics to monitor Department programs. Accurate improper payment estimation is essential to achieving these objectives and will continue to inform root cause analysis and corrective actions, as described in part in the </w:t>
      </w:r>
      <w:hyperlink r:id="rId11" w:history="1">
        <w:r w:rsidRPr="00322041">
          <w:rPr>
            <w:rStyle w:val="Hyperlink"/>
            <w:rFonts w:ascii="Calibri" w:hAnsi="Calibri" w:cs="Calibri"/>
          </w:rPr>
          <w:t>Fiscal Year (FY) 2019 Agency Financial Report (AFR)</w:t>
        </w:r>
      </w:hyperlink>
      <w:r w:rsidRPr="00322041">
        <w:rPr>
          <w:rFonts w:ascii="Calibri" w:hAnsi="Calibri" w:cs="Calibri"/>
          <w:color w:val="0000FF"/>
        </w:rPr>
        <w:t>.</w:t>
      </w:r>
    </w:p>
    <w:p w14:paraId="1B29A2B5" w14:textId="77777777" w:rsidR="006F292A" w:rsidRPr="00322041" w:rsidRDefault="006F292A" w:rsidP="006F292A">
      <w:pPr>
        <w:spacing w:after="0" w:line="240" w:lineRule="auto"/>
        <w:rPr>
          <w:rFonts w:ascii="Calibri" w:hAnsi="Calibri" w:cs="Calibri"/>
        </w:rPr>
      </w:pPr>
    </w:p>
    <w:p w14:paraId="352D0C94" w14:textId="14F69DDC" w:rsidR="005E3FD1" w:rsidRPr="00322041" w:rsidRDefault="002A5CCF" w:rsidP="006F292A">
      <w:pPr>
        <w:autoSpaceDE w:val="0"/>
        <w:autoSpaceDN w:val="0"/>
        <w:adjustRightInd w:val="0"/>
        <w:spacing w:after="0" w:line="240" w:lineRule="auto"/>
        <w:rPr>
          <w:rFonts w:ascii="Calibri" w:eastAsiaTheme="minorEastAsia" w:hAnsi="Calibri" w:cs="Calibri"/>
          <w:b/>
          <w:bCs/>
          <w:color w:val="365E92"/>
          <w:sz w:val="23"/>
          <w:szCs w:val="23"/>
        </w:rPr>
      </w:pPr>
      <w:r w:rsidRPr="00322041">
        <w:rPr>
          <w:rFonts w:ascii="Calibri" w:eastAsiaTheme="minorEastAsia" w:hAnsi="Calibri" w:cs="Calibri"/>
          <w:b/>
          <w:bCs/>
          <w:color w:val="365E92"/>
          <w:sz w:val="23"/>
          <w:szCs w:val="23"/>
        </w:rPr>
        <w:t>The Departments Programs Susceptible to Significant Improper Payment Risk</w:t>
      </w:r>
    </w:p>
    <w:p w14:paraId="6270DDA4" w14:textId="77777777" w:rsidR="00A20E55" w:rsidRPr="00322041" w:rsidRDefault="00A20E55" w:rsidP="006F292A">
      <w:pPr>
        <w:spacing w:after="0" w:line="240" w:lineRule="auto"/>
        <w:rPr>
          <w:rFonts w:ascii="Calibri" w:hAnsi="Calibri" w:cs="Calibri"/>
          <w:b/>
        </w:rPr>
      </w:pPr>
    </w:p>
    <w:p w14:paraId="5BA4E212" w14:textId="77777777" w:rsidR="0063395C" w:rsidRPr="00322041" w:rsidRDefault="0063395C" w:rsidP="006F292A">
      <w:pPr>
        <w:spacing w:line="240" w:lineRule="auto"/>
        <w:rPr>
          <w:rFonts w:ascii="Calibri" w:hAnsi="Calibri" w:cs="Calibri"/>
        </w:rPr>
      </w:pPr>
      <w:r w:rsidRPr="00322041">
        <w:rPr>
          <w:rFonts w:ascii="Calibri" w:hAnsi="Calibri" w:cs="Calibri"/>
        </w:rPr>
        <w:t xml:space="preserve">Supplemental funding for disaster relief was made available by the </w:t>
      </w:r>
      <w:r w:rsidRPr="00322041">
        <w:rPr>
          <w:rFonts w:ascii="Calibri" w:hAnsi="Calibri" w:cs="Calibri"/>
          <w:i/>
        </w:rPr>
        <w:t xml:space="preserve">Supplemental Appropriations for Disaster Relief Requirements of 2017 </w:t>
      </w:r>
      <w:r w:rsidRPr="00322041">
        <w:rPr>
          <w:rFonts w:ascii="Calibri" w:hAnsi="Calibri" w:cs="Calibri"/>
        </w:rPr>
        <w:t xml:space="preserve">(Pub. L. 115-56), the </w:t>
      </w:r>
      <w:r w:rsidRPr="00322041">
        <w:rPr>
          <w:rFonts w:ascii="Calibri" w:hAnsi="Calibri" w:cs="Calibri"/>
          <w:i/>
        </w:rPr>
        <w:t xml:space="preserve">Additional Supplemental Appropriations for Disaster Relief Requirements Act of 2017 </w:t>
      </w:r>
      <w:r w:rsidRPr="00322041">
        <w:rPr>
          <w:rFonts w:ascii="Calibri" w:hAnsi="Calibri" w:cs="Calibri"/>
        </w:rPr>
        <w:t xml:space="preserve">(Pub. L. 115-72), and the </w:t>
      </w:r>
      <w:r w:rsidRPr="00322041">
        <w:rPr>
          <w:rFonts w:ascii="Calibri" w:hAnsi="Calibri" w:cs="Calibri"/>
          <w:bCs/>
          <w:i/>
        </w:rPr>
        <w:t>Bipartisan Budget Act of 2018</w:t>
      </w:r>
      <w:r w:rsidRPr="00322041">
        <w:rPr>
          <w:rFonts w:ascii="Calibri" w:hAnsi="Calibri" w:cs="Calibri"/>
          <w:bCs/>
        </w:rPr>
        <w:t xml:space="preserve"> (Pub. L. 115-123).  As required by Pub. L. 115-123, all supplemental disaster relief funding received under these three laws is deemed </w:t>
      </w:r>
      <w:r w:rsidRPr="00322041">
        <w:rPr>
          <w:rFonts w:ascii="Calibri" w:hAnsi="Calibri" w:cs="Calibri"/>
        </w:rPr>
        <w:t>susceptible to significant improper payments.</w:t>
      </w:r>
    </w:p>
    <w:p w14:paraId="141D19FF" w14:textId="3021C252" w:rsidR="0063395C" w:rsidRPr="00322041" w:rsidRDefault="00BE2CF0" w:rsidP="006F292A">
      <w:pPr>
        <w:spacing w:line="240" w:lineRule="auto"/>
        <w:rPr>
          <w:rFonts w:ascii="Calibri" w:hAnsi="Calibri" w:cs="Calibri"/>
        </w:rPr>
      </w:pPr>
      <w:r w:rsidRPr="00322041">
        <w:rPr>
          <w:rFonts w:ascii="Calibri" w:hAnsi="Calibri" w:cs="Calibri"/>
        </w:rPr>
        <w:t xml:space="preserve">In FY 2019, the Department began monitoring outlays of grant programs receiving funding for disaster relief. </w:t>
      </w:r>
      <w:r w:rsidR="0063395C" w:rsidRPr="00322041">
        <w:rPr>
          <w:rFonts w:ascii="Calibri" w:hAnsi="Calibri" w:cs="Calibri"/>
        </w:rPr>
        <w:t>The Department of Education (the Department) identified both the Immediate Aid to Restart School Operations Program (Restart Program) and the Temporary Emergency Impact Aid for Displaced Students Program (Emergency Impact Aid Program) as having distributions exceeding $10</w:t>
      </w:r>
      <w:r w:rsidR="00F940A2" w:rsidRPr="00322041">
        <w:rPr>
          <w:rFonts w:ascii="Calibri" w:hAnsi="Calibri" w:cs="Calibri"/>
        </w:rPr>
        <w:t xml:space="preserve"> million</w:t>
      </w:r>
      <w:r w:rsidR="0063395C" w:rsidRPr="00322041">
        <w:rPr>
          <w:rFonts w:ascii="Calibri" w:hAnsi="Calibri" w:cs="Calibri"/>
        </w:rPr>
        <w:t xml:space="preserve"> in FY</w:t>
      </w:r>
      <w:r w:rsidR="00F940A2" w:rsidRPr="00322041">
        <w:rPr>
          <w:rFonts w:ascii="Calibri" w:hAnsi="Calibri" w:cs="Calibri"/>
        </w:rPr>
        <w:t xml:space="preserve"> 20</w:t>
      </w:r>
      <w:r w:rsidR="0063395C" w:rsidRPr="00322041">
        <w:rPr>
          <w:rFonts w:ascii="Calibri" w:hAnsi="Calibri" w:cs="Calibri"/>
        </w:rPr>
        <w:t>18 and therefore being susceptible to significant improper payments.</w:t>
      </w:r>
    </w:p>
    <w:p w14:paraId="2154DD13" w14:textId="31B5BE55" w:rsidR="000622FC" w:rsidRPr="00322041" w:rsidRDefault="000622FC" w:rsidP="000622FC">
      <w:pPr>
        <w:suppressAutoHyphens/>
        <w:autoSpaceDE w:val="0"/>
        <w:autoSpaceDN w:val="0"/>
        <w:adjustRightInd w:val="0"/>
        <w:spacing w:after="180" w:line="256" w:lineRule="atLeast"/>
        <w:textAlignment w:val="center"/>
        <w:rPr>
          <w:rFonts w:ascii="Calibri" w:hAnsi="Calibri" w:cs="Calibri"/>
        </w:rPr>
      </w:pPr>
      <w:r w:rsidRPr="00322041">
        <w:rPr>
          <w:rFonts w:ascii="Calibri" w:hAnsi="Calibri" w:cs="Calibri"/>
        </w:rPr>
        <w:t>The R</w:t>
      </w:r>
      <w:r w:rsidR="00DE58FB" w:rsidRPr="00322041">
        <w:rPr>
          <w:rFonts w:ascii="Calibri" w:hAnsi="Calibri" w:cs="Calibri"/>
        </w:rPr>
        <w:t xml:space="preserve">estart Program </w:t>
      </w:r>
      <w:r w:rsidRPr="00322041">
        <w:rPr>
          <w:rFonts w:ascii="Calibri" w:hAnsi="Calibri" w:cs="Calibri"/>
        </w:rPr>
        <w:t>awards grants to eligible S</w:t>
      </w:r>
      <w:r w:rsidR="00DE58FB" w:rsidRPr="00322041">
        <w:rPr>
          <w:rFonts w:ascii="Calibri" w:hAnsi="Calibri" w:cs="Calibri"/>
        </w:rPr>
        <w:t>tate Education Agencies (S</w:t>
      </w:r>
      <w:r w:rsidRPr="00322041">
        <w:rPr>
          <w:rFonts w:ascii="Calibri" w:hAnsi="Calibri" w:cs="Calibri"/>
        </w:rPr>
        <w:t>EAs</w:t>
      </w:r>
      <w:r w:rsidR="00DE58FB" w:rsidRPr="00322041">
        <w:rPr>
          <w:rFonts w:ascii="Calibri" w:hAnsi="Calibri" w:cs="Calibri"/>
        </w:rPr>
        <w:t>)</w:t>
      </w:r>
      <w:r w:rsidRPr="00322041">
        <w:rPr>
          <w:rFonts w:ascii="Calibri" w:hAnsi="Calibri" w:cs="Calibri"/>
        </w:rPr>
        <w:t xml:space="preserve"> to assist eligible </w:t>
      </w:r>
      <w:r w:rsidR="00DE58FB" w:rsidRPr="00322041">
        <w:rPr>
          <w:rFonts w:ascii="Calibri" w:hAnsi="Calibri" w:cs="Calibri"/>
        </w:rPr>
        <w:t>Local Education Agencies (</w:t>
      </w:r>
      <w:r w:rsidRPr="00322041">
        <w:rPr>
          <w:rFonts w:ascii="Calibri" w:hAnsi="Calibri" w:cs="Calibri"/>
        </w:rPr>
        <w:t>LEAs</w:t>
      </w:r>
      <w:r w:rsidR="00DE58FB" w:rsidRPr="00322041">
        <w:rPr>
          <w:rFonts w:ascii="Calibri" w:hAnsi="Calibri" w:cs="Calibri"/>
        </w:rPr>
        <w:t>)</w:t>
      </w:r>
      <w:r w:rsidRPr="00322041">
        <w:rPr>
          <w:rFonts w:ascii="Calibri" w:hAnsi="Calibri" w:cs="Calibri"/>
        </w:rPr>
        <w:t xml:space="preserve"> and non-public schools with expenses related to the restart of elementary schools and secondary schools in areas impacted by a covered disaster or emergency. Funds may be used to assist school administrators and personnel in restarting school operations, re-opening schools, and reenrolling students.</w:t>
      </w:r>
    </w:p>
    <w:p w14:paraId="4155D97C" w14:textId="1E3F8C5A" w:rsidR="005335A8" w:rsidRPr="00322041" w:rsidRDefault="005335A8" w:rsidP="005335A8">
      <w:pPr>
        <w:suppressAutoHyphens/>
        <w:autoSpaceDE w:val="0"/>
        <w:autoSpaceDN w:val="0"/>
        <w:adjustRightInd w:val="0"/>
        <w:spacing w:after="180" w:line="256" w:lineRule="atLeast"/>
        <w:textAlignment w:val="center"/>
        <w:rPr>
          <w:rFonts w:ascii="Calibri" w:hAnsi="Calibri" w:cs="Calibri"/>
        </w:rPr>
      </w:pPr>
      <w:r w:rsidRPr="00322041">
        <w:rPr>
          <w:rFonts w:ascii="Calibri" w:hAnsi="Calibri" w:cs="Calibri"/>
        </w:rPr>
        <w:t>The Emergency Impact Aid</w:t>
      </w:r>
      <w:r w:rsidR="00DE58FB" w:rsidRPr="00322041">
        <w:rPr>
          <w:rFonts w:ascii="Calibri" w:hAnsi="Calibri" w:cs="Calibri"/>
        </w:rPr>
        <w:t xml:space="preserve"> P</w:t>
      </w:r>
      <w:r w:rsidRPr="00322041">
        <w:rPr>
          <w:rFonts w:ascii="Calibri" w:hAnsi="Calibri" w:cs="Calibri"/>
        </w:rPr>
        <w:t>rogram awards emergency impact aid funding to S</w:t>
      </w:r>
      <w:r w:rsidR="00DE58FB" w:rsidRPr="00322041">
        <w:rPr>
          <w:rFonts w:ascii="Calibri" w:hAnsi="Calibri" w:cs="Calibri"/>
        </w:rPr>
        <w:t>EAs</w:t>
      </w:r>
      <w:r w:rsidRPr="00322041">
        <w:rPr>
          <w:rFonts w:ascii="Calibri" w:hAnsi="Calibri" w:cs="Calibri"/>
        </w:rPr>
        <w:t xml:space="preserve">. SEAs provide subgrants to </w:t>
      </w:r>
      <w:r w:rsidR="00DE58FB" w:rsidRPr="00322041">
        <w:rPr>
          <w:rFonts w:ascii="Calibri" w:hAnsi="Calibri" w:cs="Calibri"/>
        </w:rPr>
        <w:t>LEAs</w:t>
      </w:r>
      <w:r w:rsidRPr="00322041">
        <w:rPr>
          <w:rFonts w:ascii="Calibri" w:hAnsi="Calibri" w:cs="Calibri"/>
        </w:rPr>
        <w:t xml:space="preserve"> to reimburse the costs of educating students enrolled in public schools (both traditional and charter) and non-public elementary and secondary schools, who were displaced by a covered disaster or emergency.</w:t>
      </w:r>
    </w:p>
    <w:p w14:paraId="65F9811E" w14:textId="49EE2349" w:rsidR="005F5CB2" w:rsidRPr="00322041" w:rsidRDefault="005F5CB2" w:rsidP="00CB3E46">
      <w:pPr>
        <w:spacing w:after="0" w:line="240" w:lineRule="auto"/>
        <w:rPr>
          <w:rFonts w:ascii="Calibri" w:hAnsi="Calibri" w:cs="Calibri"/>
        </w:rPr>
      </w:pPr>
    </w:p>
    <w:p w14:paraId="48E7ED01" w14:textId="689737F6" w:rsidR="002A5CCF" w:rsidRPr="00322041" w:rsidRDefault="002A5CCF" w:rsidP="006F292A">
      <w:pPr>
        <w:pStyle w:val="Heading3"/>
        <w:numPr>
          <w:ilvl w:val="0"/>
          <w:numId w:val="0"/>
        </w:numPr>
        <w:spacing w:before="0"/>
        <w:ind w:left="360" w:hanging="360"/>
        <w:rPr>
          <w:rFonts w:ascii="Calibri" w:hAnsi="Calibri" w:cs="Calibri"/>
          <w:i w:val="0"/>
          <w:color w:val="365E92"/>
          <w:sz w:val="23"/>
          <w:szCs w:val="23"/>
        </w:rPr>
      </w:pPr>
      <w:r w:rsidRPr="00322041">
        <w:rPr>
          <w:rFonts w:ascii="Calibri" w:hAnsi="Calibri" w:cs="Calibri"/>
          <w:i w:val="0"/>
          <w:color w:val="365E92"/>
          <w:sz w:val="23"/>
          <w:szCs w:val="23"/>
        </w:rPr>
        <w:t>Statistically Valid and Rigorous Estimation Method</w:t>
      </w:r>
    </w:p>
    <w:p w14:paraId="136A602C" w14:textId="77777777" w:rsidR="006F292A" w:rsidRPr="00322041" w:rsidRDefault="006F292A" w:rsidP="00CB3E46">
      <w:pPr>
        <w:spacing w:after="0" w:line="240" w:lineRule="auto"/>
        <w:rPr>
          <w:rFonts w:ascii="Calibri" w:hAnsi="Calibri" w:cs="Calibri"/>
        </w:rPr>
      </w:pPr>
    </w:p>
    <w:p w14:paraId="43A02E0E" w14:textId="241B2E59" w:rsidR="009A73A5" w:rsidRPr="00322041" w:rsidRDefault="008216D2" w:rsidP="006F292A">
      <w:pPr>
        <w:spacing w:line="240" w:lineRule="auto"/>
        <w:rPr>
          <w:rFonts w:ascii="Calibri" w:hAnsi="Calibri" w:cs="Calibri"/>
        </w:rPr>
      </w:pPr>
      <w:r w:rsidRPr="00322041">
        <w:rPr>
          <w:rFonts w:ascii="Calibri" w:hAnsi="Calibri" w:cs="Calibri"/>
        </w:rPr>
        <w:t>The Department design</w:t>
      </w:r>
      <w:r w:rsidR="00ED675E" w:rsidRPr="00322041">
        <w:rPr>
          <w:rFonts w:ascii="Calibri" w:hAnsi="Calibri" w:cs="Calibri"/>
        </w:rPr>
        <w:t>ed</w:t>
      </w:r>
      <w:r w:rsidRPr="00322041">
        <w:rPr>
          <w:rFonts w:ascii="Calibri" w:hAnsi="Calibri" w:cs="Calibri"/>
        </w:rPr>
        <w:t xml:space="preserve"> and select</w:t>
      </w:r>
      <w:r w:rsidR="00ED675E" w:rsidRPr="00322041">
        <w:rPr>
          <w:rFonts w:ascii="Calibri" w:hAnsi="Calibri" w:cs="Calibri"/>
        </w:rPr>
        <w:t>ed</w:t>
      </w:r>
      <w:r w:rsidRPr="00322041">
        <w:rPr>
          <w:rFonts w:ascii="Calibri" w:hAnsi="Calibri" w:cs="Calibri"/>
        </w:rPr>
        <w:t xml:space="preserve"> statistical payment samples to estimate the percentage and dollar value of improper payments for </w:t>
      </w:r>
      <w:r w:rsidR="00F40743" w:rsidRPr="00322041">
        <w:rPr>
          <w:rFonts w:ascii="Calibri" w:hAnsi="Calibri" w:cs="Calibri"/>
        </w:rPr>
        <w:t>each p</w:t>
      </w:r>
      <w:r w:rsidR="005A6639" w:rsidRPr="00322041">
        <w:rPr>
          <w:rFonts w:ascii="Calibri" w:hAnsi="Calibri" w:cs="Calibri"/>
        </w:rPr>
        <w:t>rogram’s disbursements</w:t>
      </w:r>
      <w:r w:rsidRPr="00322041">
        <w:rPr>
          <w:rFonts w:ascii="Calibri" w:hAnsi="Calibri" w:cs="Calibri"/>
        </w:rPr>
        <w:t xml:space="preserve"> associated with supplemental </w:t>
      </w:r>
      <w:r w:rsidR="00E9290E" w:rsidRPr="00322041">
        <w:rPr>
          <w:rFonts w:ascii="Calibri" w:hAnsi="Calibri" w:cs="Calibri"/>
        </w:rPr>
        <w:t xml:space="preserve">disaster relief </w:t>
      </w:r>
      <w:r w:rsidRPr="00322041">
        <w:rPr>
          <w:rFonts w:ascii="Calibri" w:hAnsi="Calibri" w:cs="Calibri"/>
        </w:rPr>
        <w:t>funding. Payment sample testing</w:t>
      </w:r>
      <w:r w:rsidR="00F35E07" w:rsidRPr="00322041">
        <w:rPr>
          <w:rFonts w:ascii="Calibri" w:hAnsi="Calibri" w:cs="Calibri"/>
        </w:rPr>
        <w:t xml:space="preserve"> </w:t>
      </w:r>
      <w:r w:rsidR="00ED675E" w:rsidRPr="00322041">
        <w:rPr>
          <w:rFonts w:ascii="Calibri" w:hAnsi="Calibri" w:cs="Calibri"/>
        </w:rPr>
        <w:t>that occurred in</w:t>
      </w:r>
      <w:r w:rsidRPr="00322041">
        <w:rPr>
          <w:rFonts w:ascii="Calibri" w:hAnsi="Calibri" w:cs="Calibri"/>
        </w:rPr>
        <w:t xml:space="preserve"> FY</w:t>
      </w:r>
      <w:r w:rsidR="00F940A2" w:rsidRPr="00322041">
        <w:rPr>
          <w:rFonts w:ascii="Calibri" w:hAnsi="Calibri" w:cs="Calibri"/>
        </w:rPr>
        <w:t xml:space="preserve"> 20</w:t>
      </w:r>
      <w:r w:rsidRPr="00322041">
        <w:rPr>
          <w:rFonts w:ascii="Calibri" w:hAnsi="Calibri" w:cs="Calibri"/>
        </w:rPr>
        <w:t>19</w:t>
      </w:r>
      <w:r w:rsidR="005A6639" w:rsidRPr="00322041">
        <w:rPr>
          <w:rFonts w:ascii="Calibri" w:hAnsi="Calibri" w:cs="Calibri"/>
        </w:rPr>
        <w:t xml:space="preserve"> </w:t>
      </w:r>
      <w:r w:rsidR="00ED675E" w:rsidRPr="00322041">
        <w:rPr>
          <w:rFonts w:ascii="Calibri" w:hAnsi="Calibri" w:cs="Calibri"/>
        </w:rPr>
        <w:t xml:space="preserve">was </w:t>
      </w:r>
      <w:r w:rsidR="00F35E07" w:rsidRPr="00322041">
        <w:rPr>
          <w:rFonts w:ascii="Calibri" w:hAnsi="Calibri" w:cs="Calibri"/>
        </w:rPr>
        <w:t xml:space="preserve">for </w:t>
      </w:r>
      <w:r w:rsidR="00A71129" w:rsidRPr="00322041">
        <w:rPr>
          <w:rFonts w:ascii="Calibri" w:hAnsi="Calibri" w:cs="Calibri"/>
        </w:rPr>
        <w:t>the prior FY</w:t>
      </w:r>
      <w:r w:rsidR="00F940A2" w:rsidRPr="00322041">
        <w:rPr>
          <w:rFonts w:ascii="Calibri" w:hAnsi="Calibri" w:cs="Calibri"/>
        </w:rPr>
        <w:t xml:space="preserve"> 20</w:t>
      </w:r>
      <w:r w:rsidR="00ED675E" w:rsidRPr="00322041">
        <w:rPr>
          <w:rFonts w:ascii="Calibri" w:hAnsi="Calibri" w:cs="Calibri"/>
        </w:rPr>
        <w:t>18</w:t>
      </w:r>
      <w:r w:rsidR="00A71129" w:rsidRPr="00322041">
        <w:rPr>
          <w:rFonts w:ascii="Calibri" w:hAnsi="Calibri" w:cs="Calibri"/>
        </w:rPr>
        <w:t xml:space="preserve"> </w:t>
      </w:r>
      <w:r w:rsidRPr="00322041">
        <w:rPr>
          <w:rFonts w:ascii="Calibri" w:hAnsi="Calibri" w:cs="Calibri"/>
        </w:rPr>
        <w:t>payment population</w:t>
      </w:r>
      <w:r w:rsidR="00DD5E34" w:rsidRPr="00322041">
        <w:rPr>
          <w:rFonts w:ascii="Calibri" w:hAnsi="Calibri" w:cs="Calibri"/>
        </w:rPr>
        <w:t>s</w:t>
      </w:r>
      <w:r w:rsidRPr="00322041">
        <w:rPr>
          <w:rFonts w:ascii="Calibri" w:hAnsi="Calibri" w:cs="Calibri"/>
        </w:rPr>
        <w:t xml:space="preserve">. </w:t>
      </w:r>
    </w:p>
    <w:p w14:paraId="1CC20DA7" w14:textId="0B205375" w:rsidR="007B759B" w:rsidRPr="00322041" w:rsidRDefault="008D7566" w:rsidP="006F292A">
      <w:pPr>
        <w:spacing w:after="0" w:line="240" w:lineRule="auto"/>
        <w:rPr>
          <w:rFonts w:ascii="Calibri" w:hAnsi="Calibri" w:cs="Calibri"/>
        </w:rPr>
      </w:pPr>
      <w:r w:rsidRPr="00322041">
        <w:rPr>
          <w:rFonts w:ascii="Calibri" w:hAnsi="Calibri" w:cs="Calibri"/>
        </w:rPr>
        <w:t>The Depar</w:t>
      </w:r>
      <w:r w:rsidR="005D30C3" w:rsidRPr="00322041">
        <w:rPr>
          <w:rFonts w:ascii="Calibri" w:hAnsi="Calibri" w:cs="Calibri"/>
        </w:rPr>
        <w:t>tment download</w:t>
      </w:r>
      <w:r w:rsidR="00CB3E46" w:rsidRPr="00322041">
        <w:rPr>
          <w:rFonts w:ascii="Calibri" w:hAnsi="Calibri" w:cs="Calibri"/>
        </w:rPr>
        <w:t>ed</w:t>
      </w:r>
      <w:r w:rsidR="005D30C3" w:rsidRPr="00322041">
        <w:rPr>
          <w:rFonts w:ascii="Calibri" w:hAnsi="Calibri" w:cs="Calibri"/>
        </w:rPr>
        <w:t xml:space="preserve"> </w:t>
      </w:r>
      <w:r w:rsidRPr="00322041">
        <w:rPr>
          <w:rFonts w:ascii="Calibri" w:hAnsi="Calibri" w:cs="Calibri"/>
        </w:rPr>
        <w:t>the prior fiscal year’s data for</w:t>
      </w:r>
      <w:r w:rsidR="003A5692" w:rsidRPr="00322041">
        <w:rPr>
          <w:rFonts w:ascii="Calibri" w:hAnsi="Calibri" w:cs="Calibri"/>
        </w:rPr>
        <w:t xml:space="preserve"> all disaster-related programs via the Department’s grants manag</w:t>
      </w:r>
      <w:r w:rsidR="00CB3E46" w:rsidRPr="00322041">
        <w:rPr>
          <w:rFonts w:ascii="Calibri" w:hAnsi="Calibri" w:cs="Calibri"/>
        </w:rPr>
        <w:t>ement system (G5). The data was</w:t>
      </w:r>
      <w:r w:rsidR="003A5692" w:rsidRPr="00322041">
        <w:rPr>
          <w:rFonts w:ascii="Calibri" w:hAnsi="Calibri" w:cs="Calibri"/>
        </w:rPr>
        <w:t xml:space="preserve"> filtered for </w:t>
      </w:r>
      <w:r w:rsidRPr="00322041">
        <w:rPr>
          <w:rFonts w:ascii="Calibri" w:hAnsi="Calibri" w:cs="Calibri"/>
        </w:rPr>
        <w:t>the Restart Program</w:t>
      </w:r>
      <w:r w:rsidR="00F40743" w:rsidRPr="00322041">
        <w:rPr>
          <w:rFonts w:ascii="Calibri" w:hAnsi="Calibri" w:cs="Calibri"/>
        </w:rPr>
        <w:t xml:space="preserve">, </w:t>
      </w:r>
      <w:r w:rsidR="005D30C3" w:rsidRPr="00322041">
        <w:rPr>
          <w:rFonts w:ascii="Calibri" w:hAnsi="Calibri" w:cs="Calibri"/>
        </w:rPr>
        <w:t xml:space="preserve">Catalog </w:t>
      </w:r>
      <w:r w:rsidR="005D30C3" w:rsidRPr="00322041">
        <w:rPr>
          <w:rFonts w:ascii="Calibri" w:hAnsi="Calibri" w:cs="Calibri"/>
        </w:rPr>
        <w:lastRenderedPageBreak/>
        <w:t>of Federal Domestic Assistance (</w:t>
      </w:r>
      <w:r w:rsidRPr="00322041">
        <w:rPr>
          <w:rFonts w:ascii="Calibri" w:hAnsi="Calibri" w:cs="Calibri"/>
        </w:rPr>
        <w:t>CFDA</w:t>
      </w:r>
      <w:r w:rsidR="005D30C3" w:rsidRPr="00322041">
        <w:rPr>
          <w:rFonts w:ascii="Calibri" w:hAnsi="Calibri" w:cs="Calibri"/>
        </w:rPr>
        <w:t xml:space="preserve">) </w:t>
      </w:r>
      <w:r w:rsidRPr="00322041">
        <w:rPr>
          <w:rFonts w:ascii="Calibri" w:hAnsi="Calibri" w:cs="Calibri"/>
        </w:rPr>
        <w:t>84.938A</w:t>
      </w:r>
      <w:r w:rsidR="00F40743" w:rsidRPr="00322041">
        <w:rPr>
          <w:rFonts w:ascii="Calibri" w:hAnsi="Calibri" w:cs="Calibri"/>
        </w:rPr>
        <w:t>,</w:t>
      </w:r>
      <w:r w:rsidRPr="00322041">
        <w:rPr>
          <w:rFonts w:ascii="Calibri" w:hAnsi="Calibri" w:cs="Calibri"/>
        </w:rPr>
        <w:t xml:space="preserve"> </w:t>
      </w:r>
      <w:r w:rsidR="000B6848" w:rsidRPr="00322041">
        <w:rPr>
          <w:rFonts w:ascii="Calibri" w:hAnsi="Calibri" w:cs="Calibri"/>
        </w:rPr>
        <w:t xml:space="preserve">and the Emergency Impact Aid </w:t>
      </w:r>
      <w:r w:rsidR="00F40743" w:rsidRPr="00322041">
        <w:rPr>
          <w:rFonts w:ascii="Calibri" w:hAnsi="Calibri" w:cs="Calibri"/>
        </w:rPr>
        <w:t xml:space="preserve">Program </w:t>
      </w:r>
      <w:r w:rsidR="000B6848" w:rsidRPr="00322041">
        <w:rPr>
          <w:rFonts w:ascii="Calibri" w:hAnsi="Calibri" w:cs="Calibri"/>
        </w:rPr>
        <w:t>(CFDA 84.938C)</w:t>
      </w:r>
      <w:r w:rsidR="003A5692" w:rsidRPr="00322041">
        <w:rPr>
          <w:rFonts w:ascii="Calibri" w:hAnsi="Calibri" w:cs="Calibri"/>
        </w:rPr>
        <w:t xml:space="preserve"> </w:t>
      </w:r>
      <w:r w:rsidRPr="00322041">
        <w:rPr>
          <w:rFonts w:ascii="Calibri" w:hAnsi="Calibri" w:cs="Calibri"/>
        </w:rPr>
        <w:t xml:space="preserve">for </w:t>
      </w:r>
      <w:r w:rsidR="003A5692" w:rsidRPr="00322041">
        <w:rPr>
          <w:rFonts w:ascii="Calibri" w:hAnsi="Calibri" w:cs="Calibri"/>
        </w:rPr>
        <w:t>payments greater than $0</w:t>
      </w:r>
      <w:r w:rsidR="005D30C3" w:rsidRPr="00322041">
        <w:rPr>
          <w:rFonts w:ascii="Calibri" w:hAnsi="Calibri" w:cs="Calibri"/>
        </w:rPr>
        <w:t xml:space="preserve">. </w:t>
      </w:r>
      <w:r w:rsidR="006E5FBD" w:rsidRPr="00322041">
        <w:rPr>
          <w:rFonts w:ascii="Calibri" w:hAnsi="Calibri" w:cs="Calibri"/>
        </w:rPr>
        <w:t>For states that received funding in the prior FY, the Department initiate</w:t>
      </w:r>
      <w:r w:rsidR="00CB3E46" w:rsidRPr="00322041">
        <w:rPr>
          <w:rFonts w:ascii="Calibri" w:hAnsi="Calibri" w:cs="Calibri"/>
        </w:rPr>
        <w:t>d</w:t>
      </w:r>
      <w:r w:rsidR="006E5FBD" w:rsidRPr="00322041">
        <w:rPr>
          <w:rFonts w:ascii="Calibri" w:hAnsi="Calibri" w:cs="Calibri"/>
        </w:rPr>
        <w:t xml:space="preserve"> calls with </w:t>
      </w:r>
      <w:r w:rsidR="00AE4965" w:rsidRPr="00322041">
        <w:rPr>
          <w:rFonts w:ascii="Calibri" w:hAnsi="Calibri" w:cs="Calibri"/>
        </w:rPr>
        <w:t>the states</w:t>
      </w:r>
      <w:r w:rsidR="00EA594D" w:rsidRPr="00322041">
        <w:rPr>
          <w:rFonts w:ascii="Calibri" w:hAnsi="Calibri" w:cs="Calibri"/>
        </w:rPr>
        <w:t>’</w:t>
      </w:r>
      <w:r w:rsidR="00AE4965" w:rsidRPr="00322041">
        <w:rPr>
          <w:rFonts w:ascii="Calibri" w:hAnsi="Calibri" w:cs="Calibri"/>
        </w:rPr>
        <w:t xml:space="preserve"> </w:t>
      </w:r>
      <w:r w:rsidR="006E5FBD" w:rsidRPr="00322041">
        <w:rPr>
          <w:rFonts w:ascii="Calibri" w:hAnsi="Calibri" w:cs="Calibri"/>
        </w:rPr>
        <w:t xml:space="preserve">program directors </w:t>
      </w:r>
      <w:r w:rsidR="00DD5E34" w:rsidRPr="00322041">
        <w:rPr>
          <w:rFonts w:ascii="Calibri" w:hAnsi="Calibri" w:cs="Calibri"/>
        </w:rPr>
        <w:t xml:space="preserve">for each program, </w:t>
      </w:r>
      <w:r w:rsidR="006E5FBD" w:rsidRPr="00322041">
        <w:rPr>
          <w:rFonts w:ascii="Calibri" w:hAnsi="Calibri" w:cs="Calibri"/>
        </w:rPr>
        <w:t xml:space="preserve">requesting the state’s </w:t>
      </w:r>
      <w:r w:rsidR="00525112" w:rsidRPr="00322041">
        <w:rPr>
          <w:rFonts w:ascii="Calibri" w:hAnsi="Calibri" w:cs="Calibri"/>
        </w:rPr>
        <w:t>prior FY</w:t>
      </w:r>
      <w:r w:rsidR="006E5FBD" w:rsidRPr="00322041">
        <w:rPr>
          <w:rFonts w:ascii="Calibri" w:hAnsi="Calibri" w:cs="Calibri"/>
        </w:rPr>
        <w:t xml:space="preserve"> </w:t>
      </w:r>
      <w:r w:rsidR="00334B20" w:rsidRPr="00322041">
        <w:rPr>
          <w:rFonts w:ascii="Calibri" w:hAnsi="Calibri" w:cs="Calibri"/>
        </w:rPr>
        <w:t>disbursement data from each of the states</w:t>
      </w:r>
      <w:r w:rsidR="00B411D8" w:rsidRPr="00322041">
        <w:rPr>
          <w:rFonts w:ascii="Calibri" w:hAnsi="Calibri" w:cs="Calibri"/>
        </w:rPr>
        <w:t>’</w:t>
      </w:r>
      <w:r w:rsidR="00FF6B6C" w:rsidRPr="00322041">
        <w:rPr>
          <w:rFonts w:ascii="Calibri" w:hAnsi="Calibri" w:cs="Calibri"/>
        </w:rPr>
        <w:t xml:space="preserve"> </w:t>
      </w:r>
      <w:r w:rsidR="00334B20" w:rsidRPr="00322041">
        <w:rPr>
          <w:rFonts w:ascii="Calibri" w:hAnsi="Calibri" w:cs="Calibri"/>
        </w:rPr>
        <w:t>financial m</w:t>
      </w:r>
      <w:r w:rsidR="001E2BCE" w:rsidRPr="00322041">
        <w:rPr>
          <w:rFonts w:ascii="Calibri" w:hAnsi="Calibri" w:cs="Calibri"/>
        </w:rPr>
        <w:t>anagement systems.</w:t>
      </w:r>
      <w:r w:rsidR="00FF6B6C" w:rsidRPr="00322041">
        <w:rPr>
          <w:rFonts w:ascii="Calibri" w:hAnsi="Calibri" w:cs="Calibri"/>
        </w:rPr>
        <w:t xml:space="preserve"> </w:t>
      </w:r>
      <w:r w:rsidR="00393A83" w:rsidRPr="00322041">
        <w:rPr>
          <w:rFonts w:ascii="Calibri" w:hAnsi="Calibri" w:cs="Calibri"/>
        </w:rPr>
        <w:t xml:space="preserve">The data </w:t>
      </w:r>
      <w:r w:rsidR="00CB3E46" w:rsidRPr="00322041">
        <w:rPr>
          <w:rFonts w:ascii="Calibri" w:hAnsi="Calibri" w:cs="Calibri"/>
        </w:rPr>
        <w:t>was</w:t>
      </w:r>
      <w:r w:rsidR="00393A83" w:rsidRPr="00322041">
        <w:rPr>
          <w:rFonts w:ascii="Calibri" w:hAnsi="Calibri" w:cs="Calibri"/>
        </w:rPr>
        <w:t xml:space="preserve"> based on amounts distributed from the </w:t>
      </w:r>
      <w:r w:rsidR="00DE58FB" w:rsidRPr="00322041">
        <w:rPr>
          <w:rFonts w:ascii="Calibri" w:hAnsi="Calibri" w:cs="Calibri"/>
        </w:rPr>
        <w:t xml:space="preserve">SEAs </w:t>
      </w:r>
      <w:r w:rsidR="00393A83" w:rsidRPr="00322041">
        <w:rPr>
          <w:rFonts w:ascii="Calibri" w:hAnsi="Calibri" w:cs="Calibri"/>
        </w:rPr>
        <w:t xml:space="preserve">to the </w:t>
      </w:r>
      <w:r w:rsidR="00DE58FB" w:rsidRPr="00322041">
        <w:rPr>
          <w:rFonts w:ascii="Calibri" w:hAnsi="Calibri" w:cs="Calibri"/>
        </w:rPr>
        <w:t>LEAs</w:t>
      </w:r>
      <w:r w:rsidR="00852F71" w:rsidRPr="00322041">
        <w:rPr>
          <w:rFonts w:ascii="Calibri" w:hAnsi="Calibri" w:cs="Calibri"/>
        </w:rPr>
        <w:t>.</w:t>
      </w:r>
      <w:r w:rsidR="00E85C71" w:rsidRPr="00322041">
        <w:rPr>
          <w:rFonts w:ascii="Calibri" w:hAnsi="Calibri" w:cs="Calibri"/>
        </w:rPr>
        <w:t xml:space="preserve"> </w:t>
      </w:r>
      <w:r w:rsidR="00FF6B6C" w:rsidRPr="00322041">
        <w:rPr>
          <w:rFonts w:ascii="Calibri" w:hAnsi="Calibri" w:cs="Calibri"/>
        </w:rPr>
        <w:t xml:space="preserve">For each state, the sampling frame </w:t>
      </w:r>
      <w:r w:rsidR="00B17CC6" w:rsidRPr="00322041">
        <w:rPr>
          <w:rFonts w:ascii="Calibri" w:hAnsi="Calibri" w:cs="Calibri"/>
        </w:rPr>
        <w:t>represent</w:t>
      </w:r>
      <w:r w:rsidR="00CB3E46" w:rsidRPr="00322041">
        <w:rPr>
          <w:rFonts w:ascii="Calibri" w:hAnsi="Calibri" w:cs="Calibri"/>
        </w:rPr>
        <w:t>ed</w:t>
      </w:r>
      <w:r w:rsidR="00FF6B6C" w:rsidRPr="00322041">
        <w:rPr>
          <w:rFonts w:ascii="Calibri" w:hAnsi="Calibri" w:cs="Calibri"/>
        </w:rPr>
        <w:t xml:space="preserve"> the list of</w:t>
      </w:r>
      <w:r w:rsidR="00985C67" w:rsidRPr="00322041">
        <w:rPr>
          <w:rFonts w:ascii="Calibri" w:hAnsi="Calibri" w:cs="Calibri"/>
        </w:rPr>
        <w:t xml:space="preserve"> prior FY</w:t>
      </w:r>
      <w:r w:rsidR="00FF6B6C" w:rsidRPr="00322041">
        <w:rPr>
          <w:rFonts w:ascii="Calibri" w:hAnsi="Calibri" w:cs="Calibri"/>
        </w:rPr>
        <w:t xml:space="preserve"> payments from which the statistical sample </w:t>
      </w:r>
      <w:r w:rsidR="00852F71" w:rsidRPr="00322041">
        <w:rPr>
          <w:rFonts w:ascii="Calibri" w:hAnsi="Calibri" w:cs="Calibri"/>
        </w:rPr>
        <w:t xml:space="preserve">was </w:t>
      </w:r>
      <w:r w:rsidR="00FF6B6C" w:rsidRPr="00322041">
        <w:rPr>
          <w:rFonts w:ascii="Calibri" w:hAnsi="Calibri" w:cs="Calibri"/>
        </w:rPr>
        <w:t xml:space="preserve">selected. </w:t>
      </w:r>
    </w:p>
    <w:p w14:paraId="5B926E7F" w14:textId="77777777" w:rsidR="00D158E1" w:rsidRPr="00322041" w:rsidRDefault="00D158E1" w:rsidP="006F292A">
      <w:pPr>
        <w:spacing w:after="0" w:line="240" w:lineRule="auto"/>
        <w:rPr>
          <w:rFonts w:ascii="Calibri" w:hAnsi="Calibri" w:cs="Calibri"/>
          <w:b/>
        </w:rPr>
      </w:pPr>
    </w:p>
    <w:p w14:paraId="1BA5EC22" w14:textId="62DABBE0" w:rsidR="009D7E61" w:rsidRPr="00322041" w:rsidRDefault="009D7E61" w:rsidP="006F292A">
      <w:pPr>
        <w:spacing w:line="240" w:lineRule="auto"/>
        <w:rPr>
          <w:rFonts w:ascii="Calibri" w:hAnsi="Calibri" w:cs="Calibri"/>
        </w:rPr>
      </w:pPr>
      <w:r w:rsidRPr="00322041">
        <w:rPr>
          <w:rFonts w:ascii="Calibri" w:hAnsi="Calibri" w:cs="Calibri"/>
        </w:rPr>
        <w:t xml:space="preserve">The sample design </w:t>
      </w:r>
      <w:r w:rsidR="00CB3E46" w:rsidRPr="00322041">
        <w:rPr>
          <w:rFonts w:ascii="Calibri" w:hAnsi="Calibri" w:cs="Calibri"/>
        </w:rPr>
        <w:t>was</w:t>
      </w:r>
      <w:r w:rsidRPr="00322041">
        <w:rPr>
          <w:rFonts w:ascii="Calibri" w:hAnsi="Calibri" w:cs="Calibri"/>
        </w:rPr>
        <w:t xml:space="preserve"> developed in accordance with the Improper Payments Elimination and </w:t>
      </w:r>
      <w:r w:rsidR="00AB491C" w:rsidRPr="00322041">
        <w:rPr>
          <w:rFonts w:ascii="Calibri" w:hAnsi="Calibri" w:cs="Calibri"/>
        </w:rPr>
        <w:t>Recovery</w:t>
      </w:r>
      <w:r w:rsidRPr="00322041">
        <w:rPr>
          <w:rFonts w:ascii="Calibri" w:hAnsi="Calibri" w:cs="Calibri"/>
        </w:rPr>
        <w:t xml:space="preserve"> Improvement Act (IPERIA) of 2012, Improper Payments Elimination and Recovery Act (IPERA) of 2010, the Improper Payments Information Act (IPIA) of 2002, and the sampling guidance provided in the Office of Management and Budget (OMB) Circular A-123</w:t>
      </w:r>
      <w:r w:rsidR="00652768" w:rsidRPr="00322041">
        <w:rPr>
          <w:rFonts w:ascii="Calibri" w:hAnsi="Calibri" w:cs="Calibri"/>
        </w:rPr>
        <w:t>,</w:t>
      </w:r>
      <w:r w:rsidRPr="00322041">
        <w:rPr>
          <w:rFonts w:ascii="Calibri" w:hAnsi="Calibri" w:cs="Calibri"/>
        </w:rPr>
        <w:t xml:space="preserve"> Appendix C as revised by OMB document M-18-20</w:t>
      </w:r>
      <w:r w:rsidR="00DB6CB5" w:rsidRPr="00322041">
        <w:rPr>
          <w:rFonts w:ascii="Calibri" w:hAnsi="Calibri" w:cs="Calibri"/>
        </w:rPr>
        <w:t xml:space="preserve">, </w:t>
      </w:r>
      <w:r w:rsidR="00403D20" w:rsidRPr="00322041">
        <w:rPr>
          <w:rFonts w:ascii="Calibri" w:hAnsi="Calibri" w:cs="Calibri"/>
          <w:i/>
          <w:iCs/>
        </w:rPr>
        <w:t>Requirements for Payment Integrity Improvement</w:t>
      </w:r>
      <w:r w:rsidRPr="00322041">
        <w:rPr>
          <w:rFonts w:ascii="Calibri" w:hAnsi="Calibri" w:cs="Calibri"/>
          <w:i/>
          <w:iCs/>
        </w:rPr>
        <w:t xml:space="preserve">.  </w:t>
      </w:r>
      <w:r w:rsidRPr="00322041">
        <w:rPr>
          <w:rFonts w:ascii="Calibri" w:hAnsi="Calibri" w:cs="Calibri"/>
        </w:rPr>
        <w:t xml:space="preserve">The goal of </w:t>
      </w:r>
      <w:r w:rsidR="00A75574" w:rsidRPr="00322041">
        <w:rPr>
          <w:rFonts w:ascii="Calibri" w:hAnsi="Calibri" w:cs="Calibri"/>
        </w:rPr>
        <w:t>the process wa</w:t>
      </w:r>
      <w:r w:rsidRPr="00322041">
        <w:rPr>
          <w:rFonts w:ascii="Calibri" w:hAnsi="Calibri" w:cs="Calibri"/>
        </w:rPr>
        <w:t>s to obtain an overall estimate of the percentage of improper payment dollars within +/- 3 percent precision at the 95 percent confidence level consistent with the requirements for a statistically valid and rigorous plan.</w:t>
      </w:r>
    </w:p>
    <w:p w14:paraId="533564DA" w14:textId="24098B52" w:rsidR="00465CD1" w:rsidRPr="00322041" w:rsidRDefault="00465CD1" w:rsidP="00465CD1">
      <w:pPr>
        <w:spacing w:line="240" w:lineRule="auto"/>
        <w:rPr>
          <w:rFonts w:ascii="Calibri" w:hAnsi="Calibri" w:cs="Calibri"/>
        </w:rPr>
      </w:pPr>
      <w:r w:rsidRPr="00322041">
        <w:rPr>
          <w:rFonts w:ascii="Calibri" w:hAnsi="Calibri" w:cs="Calibri"/>
        </w:rPr>
        <w:t>On</w:t>
      </w:r>
      <w:r w:rsidR="00707BE6" w:rsidRPr="00322041">
        <w:rPr>
          <w:rFonts w:ascii="Calibri" w:hAnsi="Calibri" w:cs="Calibri"/>
        </w:rPr>
        <w:t>c</w:t>
      </w:r>
      <w:r w:rsidRPr="00322041">
        <w:rPr>
          <w:rFonts w:ascii="Calibri" w:hAnsi="Calibri" w:cs="Calibri"/>
        </w:rPr>
        <w:t xml:space="preserve">e the samples were selected the Department obtained the supporting documentation for each payment. That supporting documentation was reviewed for each sample payment a determination was made if there were any overpayments or underpayments. For each overpayment and underpayment finding an additional review was conducted to validate that it was an improper payment. </w:t>
      </w:r>
      <w:r w:rsidR="00707BE6" w:rsidRPr="00322041">
        <w:rPr>
          <w:rFonts w:ascii="Calibri" w:hAnsi="Calibri" w:cs="Calibri"/>
        </w:rPr>
        <w:t>Results were provided to statisticians to determine the statistically valid improper payment rate.</w:t>
      </w:r>
    </w:p>
    <w:p w14:paraId="0EF62231" w14:textId="77777777" w:rsidR="007E57E6" w:rsidRPr="00322041" w:rsidRDefault="007E57E6" w:rsidP="00E0427A">
      <w:pPr>
        <w:pStyle w:val="ListParagraph"/>
        <w:spacing w:after="0" w:line="240" w:lineRule="auto"/>
        <w:ind w:left="0"/>
        <w:rPr>
          <w:rFonts w:ascii="Calibri" w:hAnsi="Calibri" w:cs="Calibri"/>
        </w:rPr>
      </w:pPr>
    </w:p>
    <w:p w14:paraId="3DC89543" w14:textId="046511AB" w:rsidR="00465CD1" w:rsidRPr="00322041" w:rsidRDefault="00465CD1" w:rsidP="00914A04">
      <w:pPr>
        <w:pStyle w:val="Heading3"/>
        <w:numPr>
          <w:ilvl w:val="0"/>
          <w:numId w:val="0"/>
        </w:numPr>
        <w:spacing w:before="0" w:after="120"/>
        <w:ind w:left="360" w:hanging="360"/>
        <w:rPr>
          <w:rFonts w:ascii="Calibri" w:hAnsi="Calibri" w:cs="Calibri"/>
          <w:i w:val="0"/>
          <w:color w:val="365E92"/>
          <w:sz w:val="23"/>
          <w:szCs w:val="23"/>
        </w:rPr>
      </w:pPr>
      <w:r w:rsidRPr="00322041">
        <w:rPr>
          <w:rFonts w:ascii="Calibri" w:hAnsi="Calibri" w:cs="Calibri"/>
          <w:i w:val="0"/>
          <w:color w:val="365E92"/>
          <w:sz w:val="23"/>
          <w:szCs w:val="23"/>
        </w:rPr>
        <w:t>Immediate Aid to Restart School Operations Program (Restart Program)</w:t>
      </w:r>
    </w:p>
    <w:p w14:paraId="009B989F" w14:textId="1752DEDD" w:rsidR="00B0408B" w:rsidRPr="00322041" w:rsidRDefault="00B0408B" w:rsidP="00E0427A">
      <w:pPr>
        <w:tabs>
          <w:tab w:val="left" w:pos="720"/>
        </w:tabs>
        <w:spacing w:after="0" w:line="240" w:lineRule="auto"/>
        <w:rPr>
          <w:rFonts w:ascii="Calibri" w:hAnsi="Calibri" w:cs="Calibri"/>
        </w:rPr>
      </w:pPr>
      <w:r w:rsidRPr="00322041">
        <w:rPr>
          <w:rFonts w:ascii="Calibri" w:hAnsi="Calibri" w:cs="Calibri"/>
        </w:rPr>
        <w:t>For the selection of sample payments, the Department obtained the supporting documentation for each payment and reviewed it to determine if there were any overpayments or underpayments.</w:t>
      </w:r>
      <w:r w:rsidR="004F260A" w:rsidRPr="00322041">
        <w:rPr>
          <w:rFonts w:ascii="Calibri" w:hAnsi="Calibri" w:cs="Calibri"/>
        </w:rPr>
        <w:t xml:space="preserve"> Supporting documentation included LEA applications, payment vouchers, invoices and vendor contracts, but varied based on the state.</w:t>
      </w:r>
      <w:r w:rsidR="00E0427A" w:rsidRPr="00322041">
        <w:rPr>
          <w:rFonts w:ascii="Calibri" w:hAnsi="Calibri" w:cs="Calibri"/>
        </w:rPr>
        <w:t xml:space="preserve"> </w:t>
      </w:r>
      <w:r w:rsidRPr="00322041">
        <w:rPr>
          <w:rFonts w:ascii="Calibri" w:hAnsi="Calibri" w:cs="Calibri"/>
        </w:rPr>
        <w:t xml:space="preserve">For each overpayment and underpayment finding, </w:t>
      </w:r>
      <w:r w:rsidR="00C052D9" w:rsidRPr="00322041">
        <w:rPr>
          <w:rFonts w:ascii="Calibri" w:hAnsi="Calibri" w:cs="Calibri"/>
        </w:rPr>
        <w:t xml:space="preserve">the Department </w:t>
      </w:r>
      <w:r w:rsidRPr="00322041">
        <w:rPr>
          <w:rFonts w:ascii="Calibri" w:hAnsi="Calibri" w:cs="Calibri"/>
        </w:rPr>
        <w:t>i</w:t>
      </w:r>
      <w:r w:rsidR="00C052D9" w:rsidRPr="00322041">
        <w:rPr>
          <w:rFonts w:ascii="Calibri" w:hAnsi="Calibri" w:cs="Calibri"/>
        </w:rPr>
        <w:t>dentified if it qualified</w:t>
      </w:r>
      <w:r w:rsidRPr="00322041">
        <w:rPr>
          <w:rFonts w:ascii="Calibri" w:hAnsi="Calibri" w:cs="Calibri"/>
        </w:rPr>
        <w:t xml:space="preserve"> as an improper payment. </w:t>
      </w:r>
      <w:r w:rsidR="00C052D9" w:rsidRPr="00322041">
        <w:rPr>
          <w:rFonts w:ascii="Calibri" w:hAnsi="Calibri" w:cs="Calibri"/>
        </w:rPr>
        <w:t>The Department then p</w:t>
      </w:r>
      <w:r w:rsidRPr="00322041">
        <w:rPr>
          <w:rFonts w:ascii="Calibri" w:hAnsi="Calibri" w:cs="Calibri"/>
        </w:rPr>
        <w:t>erform</w:t>
      </w:r>
      <w:r w:rsidR="00C052D9" w:rsidRPr="00322041">
        <w:rPr>
          <w:rFonts w:ascii="Calibri" w:hAnsi="Calibri" w:cs="Calibri"/>
        </w:rPr>
        <w:t>ed</w:t>
      </w:r>
      <w:r w:rsidRPr="00322041">
        <w:rPr>
          <w:rFonts w:ascii="Calibri" w:hAnsi="Calibri" w:cs="Calibri"/>
        </w:rPr>
        <w:t xml:space="preserve"> calculations of the payment to estimate the total improper payments for each sampled payment.</w:t>
      </w:r>
      <w:r w:rsidR="004F260A" w:rsidRPr="00322041">
        <w:rPr>
          <w:rFonts w:ascii="Calibri" w:hAnsi="Calibri" w:cs="Calibri"/>
        </w:rPr>
        <w:t xml:space="preserve"> As a result of the testing procedures performed on the statistical sample of payments, the Department did not identify any improper payments in the Restart Program disaster relief sample.</w:t>
      </w:r>
    </w:p>
    <w:p w14:paraId="486B711B" w14:textId="77777777" w:rsidR="008211F5" w:rsidRPr="00322041" w:rsidRDefault="008211F5" w:rsidP="00C052D9">
      <w:pPr>
        <w:pStyle w:val="CommentText"/>
        <w:rPr>
          <w:rFonts w:ascii="Calibri" w:hAnsi="Calibri" w:cs="Calibri"/>
          <w:color w:val="000000"/>
          <w:sz w:val="22"/>
          <w:szCs w:val="22"/>
        </w:rPr>
      </w:pPr>
      <w:bookmarkStart w:id="1" w:name="_Hlk24612907"/>
    </w:p>
    <w:p w14:paraId="4124594F" w14:textId="3E3754A0" w:rsidR="00B0408B" w:rsidRPr="00322041" w:rsidRDefault="00C052D9" w:rsidP="00C052D9">
      <w:pPr>
        <w:pStyle w:val="CommentText"/>
        <w:rPr>
          <w:rFonts w:ascii="Calibri" w:hAnsi="Calibri" w:cs="Calibri"/>
          <w:color w:val="000000"/>
          <w:sz w:val="22"/>
          <w:szCs w:val="22"/>
        </w:rPr>
      </w:pPr>
      <w:r w:rsidRPr="00322041">
        <w:rPr>
          <w:rFonts w:ascii="Calibri" w:hAnsi="Calibri" w:cs="Calibri"/>
          <w:color w:val="000000"/>
          <w:sz w:val="22"/>
          <w:szCs w:val="22"/>
        </w:rPr>
        <w:t>Based on this analysi</w:t>
      </w:r>
      <w:r w:rsidRPr="00322041">
        <w:rPr>
          <w:rFonts w:ascii="Calibri" w:hAnsi="Calibri" w:cs="Calibri"/>
          <w:sz w:val="22"/>
          <w:szCs w:val="22"/>
        </w:rPr>
        <w:t>s, the</w:t>
      </w:r>
      <w:r w:rsidRPr="00322041">
        <w:rPr>
          <w:rFonts w:ascii="Calibri" w:hAnsi="Calibri" w:cs="Calibri"/>
          <w:color w:val="000000"/>
          <w:sz w:val="22"/>
          <w:szCs w:val="22"/>
        </w:rPr>
        <w:t xml:space="preserve"> Restart Program error rate for FY 2019 was </w:t>
      </w:r>
      <w:r w:rsidR="00BB51DD" w:rsidRPr="00322041">
        <w:rPr>
          <w:rFonts w:ascii="Calibri" w:hAnsi="Calibri" w:cs="Calibri"/>
          <w:b/>
          <w:color w:val="000000"/>
          <w:sz w:val="22"/>
          <w:szCs w:val="22"/>
        </w:rPr>
        <w:t>0</w:t>
      </w:r>
      <w:r w:rsidR="00BB51DD" w:rsidRPr="00322041">
        <w:rPr>
          <w:rFonts w:ascii="Calibri" w:hAnsi="Calibri" w:cs="Calibri"/>
          <w:color w:val="000000"/>
          <w:sz w:val="22"/>
          <w:szCs w:val="22"/>
        </w:rPr>
        <w:t xml:space="preserve"> </w:t>
      </w:r>
      <w:r w:rsidRPr="00322041">
        <w:rPr>
          <w:rFonts w:ascii="Calibri" w:hAnsi="Calibri" w:cs="Calibri"/>
          <w:color w:val="000000"/>
          <w:sz w:val="22"/>
          <w:szCs w:val="22"/>
        </w:rPr>
        <w:t xml:space="preserve">percent or </w:t>
      </w:r>
      <w:r w:rsidR="00A7570B" w:rsidRPr="00322041">
        <w:rPr>
          <w:rFonts w:ascii="Calibri" w:hAnsi="Calibri" w:cs="Calibri"/>
          <w:color w:val="000000"/>
          <w:sz w:val="22"/>
          <w:szCs w:val="22"/>
        </w:rPr>
        <w:t>$</w:t>
      </w:r>
      <w:r w:rsidR="00BB51DD" w:rsidRPr="00322041">
        <w:rPr>
          <w:rFonts w:ascii="Calibri" w:hAnsi="Calibri" w:cs="Calibri"/>
          <w:b/>
          <w:bCs/>
          <w:color w:val="000000"/>
          <w:sz w:val="22"/>
          <w:szCs w:val="22"/>
        </w:rPr>
        <w:t>0</w:t>
      </w:r>
      <w:r w:rsidR="00BB51DD" w:rsidRPr="00322041">
        <w:rPr>
          <w:rFonts w:ascii="Calibri" w:hAnsi="Calibri" w:cs="Calibri"/>
          <w:color w:val="000000"/>
          <w:sz w:val="22"/>
          <w:szCs w:val="22"/>
        </w:rPr>
        <w:t xml:space="preserve"> </w:t>
      </w:r>
      <w:r w:rsidRPr="00322041">
        <w:rPr>
          <w:rFonts w:ascii="Calibri" w:hAnsi="Calibri" w:cs="Calibri"/>
          <w:color w:val="000000"/>
          <w:sz w:val="22"/>
          <w:szCs w:val="22"/>
        </w:rPr>
        <w:t>million.</w:t>
      </w:r>
    </w:p>
    <w:tbl>
      <w:tblPr>
        <w:tblStyle w:val="TableGrid"/>
        <w:tblW w:w="10368" w:type="dxa"/>
        <w:tblLayout w:type="fixed"/>
        <w:tblLook w:val="04A0" w:firstRow="1" w:lastRow="0" w:firstColumn="1" w:lastColumn="0" w:noHBand="0" w:noVBand="1"/>
      </w:tblPr>
      <w:tblGrid>
        <w:gridCol w:w="1728"/>
        <w:gridCol w:w="1728"/>
        <w:gridCol w:w="1728"/>
        <w:gridCol w:w="1728"/>
        <w:gridCol w:w="1728"/>
        <w:gridCol w:w="1728"/>
      </w:tblGrid>
      <w:tr w:rsidR="00037973" w:rsidRPr="00322041" w14:paraId="120DAF56" w14:textId="77777777" w:rsidTr="00671FE1">
        <w:trPr>
          <w:trHeight w:val="512"/>
        </w:trPr>
        <w:tc>
          <w:tcPr>
            <w:tcW w:w="10368" w:type="dxa"/>
            <w:gridSpan w:val="6"/>
            <w:shd w:val="clear" w:color="auto" w:fill="D9D9D9" w:themeFill="background1" w:themeFillShade="D9"/>
          </w:tcPr>
          <w:p w14:paraId="4B1146AE" w14:textId="77777777" w:rsidR="00CE7644" w:rsidRDefault="00CE7644" w:rsidP="00671FE1">
            <w:pPr>
              <w:autoSpaceDE w:val="0"/>
              <w:autoSpaceDN w:val="0"/>
              <w:adjustRightInd w:val="0"/>
              <w:jc w:val="center"/>
              <w:rPr>
                <w:rFonts w:ascii="Calibri" w:hAnsi="Calibri" w:cs="Calibri"/>
                <w:b/>
              </w:rPr>
            </w:pPr>
          </w:p>
          <w:p w14:paraId="29A68110" w14:textId="04E11C8F" w:rsidR="00037973" w:rsidRPr="00322041" w:rsidRDefault="00037973" w:rsidP="00671FE1">
            <w:pPr>
              <w:autoSpaceDE w:val="0"/>
              <w:autoSpaceDN w:val="0"/>
              <w:adjustRightInd w:val="0"/>
              <w:jc w:val="center"/>
              <w:rPr>
                <w:rFonts w:ascii="Calibri" w:hAnsi="Calibri" w:cs="Calibri"/>
                <w:b/>
              </w:rPr>
            </w:pPr>
            <w:r w:rsidRPr="00322041">
              <w:rPr>
                <w:rFonts w:ascii="Calibri" w:hAnsi="Calibri" w:cs="Calibri"/>
                <w:b/>
              </w:rPr>
              <w:t xml:space="preserve">FY </w:t>
            </w:r>
            <w:r w:rsidRPr="00322041">
              <w:rPr>
                <w:rFonts w:ascii="Calibri" w:hAnsi="Calibri" w:cs="Calibri"/>
                <w:b/>
                <w:bCs/>
              </w:rPr>
              <w:t>2019</w:t>
            </w:r>
            <w:r w:rsidRPr="00322041">
              <w:rPr>
                <w:rFonts w:ascii="Calibri" w:hAnsi="Calibri" w:cs="Calibri"/>
                <w:b/>
              </w:rPr>
              <w:t xml:space="preserve"> Restart Program Estimate</w:t>
            </w:r>
          </w:p>
          <w:p w14:paraId="73B21648" w14:textId="1A288461" w:rsidR="00037973" w:rsidRPr="00322041" w:rsidRDefault="00037973" w:rsidP="00671FE1">
            <w:pPr>
              <w:autoSpaceDE w:val="0"/>
              <w:autoSpaceDN w:val="0"/>
              <w:adjustRightInd w:val="0"/>
              <w:jc w:val="center"/>
              <w:rPr>
                <w:rFonts w:ascii="Calibri" w:hAnsi="Calibri" w:cs="Calibri"/>
                <w:b/>
              </w:rPr>
            </w:pPr>
          </w:p>
        </w:tc>
      </w:tr>
      <w:tr w:rsidR="00037973" w:rsidRPr="00322041" w14:paraId="12F77900" w14:textId="77777777" w:rsidTr="00671FE1">
        <w:trPr>
          <w:trHeight w:val="512"/>
        </w:trPr>
        <w:tc>
          <w:tcPr>
            <w:tcW w:w="1728" w:type="dxa"/>
            <w:shd w:val="clear" w:color="auto" w:fill="F2F2F2" w:themeFill="background1" w:themeFillShade="F2"/>
            <w:vAlign w:val="center"/>
          </w:tcPr>
          <w:p w14:paraId="320C2E5D" w14:textId="4ECB2DDC"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Point Estimate of Improper Payment (in millions)</w:t>
            </w:r>
          </w:p>
        </w:tc>
        <w:tc>
          <w:tcPr>
            <w:tcW w:w="1728" w:type="dxa"/>
            <w:shd w:val="clear" w:color="auto" w:fill="F2F2F2" w:themeFill="background1" w:themeFillShade="F2"/>
            <w:vAlign w:val="center"/>
          </w:tcPr>
          <w:p w14:paraId="185B8180"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Over-Payment Improper Payment Estimate</w:t>
            </w:r>
          </w:p>
          <w:p w14:paraId="0983CB91" w14:textId="77777777"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(in millions)</w:t>
            </w:r>
          </w:p>
        </w:tc>
        <w:tc>
          <w:tcPr>
            <w:tcW w:w="1728" w:type="dxa"/>
            <w:shd w:val="clear" w:color="auto" w:fill="F2F2F2" w:themeFill="background1" w:themeFillShade="F2"/>
            <w:vAlign w:val="center"/>
          </w:tcPr>
          <w:p w14:paraId="202538C5"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Under-Payment Improper Payment Estimate</w:t>
            </w:r>
          </w:p>
          <w:p w14:paraId="4EFF8ECB" w14:textId="77777777"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(in millions)</w:t>
            </w:r>
          </w:p>
        </w:tc>
        <w:tc>
          <w:tcPr>
            <w:tcW w:w="1728" w:type="dxa"/>
            <w:shd w:val="clear" w:color="auto" w:fill="F2F2F2" w:themeFill="background1" w:themeFillShade="F2"/>
            <w:vAlign w:val="center"/>
          </w:tcPr>
          <w:p w14:paraId="3D15E88C"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Unknown Improper Payment Estimate</w:t>
            </w:r>
          </w:p>
          <w:p w14:paraId="0C8724CB"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(in millions)</w:t>
            </w:r>
          </w:p>
        </w:tc>
        <w:tc>
          <w:tcPr>
            <w:tcW w:w="1728" w:type="dxa"/>
            <w:shd w:val="clear" w:color="auto" w:fill="F2F2F2" w:themeFill="background1" w:themeFillShade="F2"/>
            <w:vAlign w:val="center"/>
          </w:tcPr>
          <w:p w14:paraId="379B42BC" w14:textId="77777777"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Point Estimate (as % of Population Total)</w:t>
            </w:r>
          </w:p>
        </w:tc>
        <w:tc>
          <w:tcPr>
            <w:tcW w:w="1728" w:type="dxa"/>
            <w:shd w:val="clear" w:color="auto" w:fill="F2F2F2" w:themeFill="background1" w:themeFillShade="F2"/>
            <w:vAlign w:val="center"/>
          </w:tcPr>
          <w:p w14:paraId="5A5BE89B"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Precision Rate (as a % of Population Total) based on 95% Confidence Interval</w:t>
            </w:r>
          </w:p>
        </w:tc>
      </w:tr>
      <w:tr w:rsidR="00037973" w:rsidRPr="00322041" w14:paraId="493D85EB" w14:textId="77777777" w:rsidTr="00671FE1">
        <w:trPr>
          <w:trHeight w:val="242"/>
        </w:trPr>
        <w:tc>
          <w:tcPr>
            <w:tcW w:w="1728" w:type="dxa"/>
            <w:shd w:val="clear" w:color="auto" w:fill="auto"/>
            <w:vAlign w:val="center"/>
          </w:tcPr>
          <w:p w14:paraId="3AE99DB0" w14:textId="546FD343" w:rsidR="00037973" w:rsidRPr="00322041" w:rsidRDefault="005077D3"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5910D4" w:rsidRPr="00322041">
              <w:rPr>
                <w:rStyle w:val="qowt-font3-arial"/>
                <w:rFonts w:ascii="Calibri" w:hAnsi="Calibri" w:cs="Calibri"/>
                <w:szCs w:val="20"/>
              </w:rPr>
              <w:t>0</w:t>
            </w:r>
          </w:p>
        </w:tc>
        <w:tc>
          <w:tcPr>
            <w:tcW w:w="1728" w:type="dxa"/>
            <w:shd w:val="clear" w:color="auto" w:fill="auto"/>
            <w:vAlign w:val="center"/>
          </w:tcPr>
          <w:p w14:paraId="2F53349E" w14:textId="61BAC04A" w:rsidR="00037973" w:rsidRPr="00322041" w:rsidRDefault="005077D3"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5910D4" w:rsidRPr="00322041">
              <w:rPr>
                <w:rStyle w:val="qowt-font3-arial"/>
                <w:rFonts w:ascii="Calibri" w:hAnsi="Calibri" w:cs="Calibri"/>
                <w:szCs w:val="20"/>
              </w:rPr>
              <w:t>0</w:t>
            </w:r>
          </w:p>
        </w:tc>
        <w:tc>
          <w:tcPr>
            <w:tcW w:w="1728" w:type="dxa"/>
            <w:shd w:val="clear" w:color="auto" w:fill="auto"/>
            <w:vAlign w:val="center"/>
          </w:tcPr>
          <w:p w14:paraId="26165669" w14:textId="63D44728" w:rsidR="00037973" w:rsidRPr="00DE34AD" w:rsidRDefault="005077D3" w:rsidP="00671FE1">
            <w:pPr>
              <w:pStyle w:val="qowt-stl-normal"/>
              <w:spacing w:before="0" w:beforeAutospacing="0" w:after="0" w:afterAutospacing="0"/>
              <w:jc w:val="center"/>
              <w:rPr>
                <w:rStyle w:val="qowt-font3-arial"/>
                <w:rFonts w:ascii="Calibri" w:hAnsi="Calibri" w:cs="Calibri"/>
                <w:sz w:val="20"/>
                <w:szCs w:val="20"/>
              </w:rPr>
            </w:pPr>
            <w:r w:rsidRPr="00DE34AD">
              <w:rPr>
                <w:rStyle w:val="qowt-font3-arial"/>
                <w:rFonts w:ascii="Calibri" w:hAnsi="Calibri" w:cs="Calibri"/>
                <w:sz w:val="20"/>
                <w:szCs w:val="20"/>
              </w:rPr>
              <w:t>$</w:t>
            </w:r>
            <w:r w:rsidR="005910D4" w:rsidRPr="00DE34AD">
              <w:rPr>
                <w:rStyle w:val="qowt-font3-arial"/>
                <w:rFonts w:ascii="Calibri" w:hAnsi="Calibri" w:cs="Calibri"/>
                <w:sz w:val="20"/>
                <w:szCs w:val="20"/>
              </w:rPr>
              <w:t>0</w:t>
            </w:r>
          </w:p>
        </w:tc>
        <w:tc>
          <w:tcPr>
            <w:tcW w:w="1728" w:type="dxa"/>
          </w:tcPr>
          <w:p w14:paraId="41FDB8C9" w14:textId="2698B458" w:rsidR="00037973" w:rsidRPr="00322041" w:rsidRDefault="005077D3"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5910D4" w:rsidRPr="00322041">
              <w:rPr>
                <w:rStyle w:val="qowt-font3-arial"/>
                <w:rFonts w:ascii="Calibri" w:hAnsi="Calibri" w:cs="Calibri"/>
                <w:szCs w:val="20"/>
              </w:rPr>
              <w:t>0</w:t>
            </w:r>
          </w:p>
        </w:tc>
        <w:tc>
          <w:tcPr>
            <w:tcW w:w="1728" w:type="dxa"/>
            <w:shd w:val="clear" w:color="auto" w:fill="auto"/>
            <w:vAlign w:val="center"/>
          </w:tcPr>
          <w:p w14:paraId="3DA6CB2A" w14:textId="4A1BC671" w:rsidR="00037973" w:rsidRPr="00322041" w:rsidRDefault="005910D4"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0</w:t>
            </w:r>
            <w:r w:rsidR="005077D3" w:rsidRPr="00322041">
              <w:rPr>
                <w:rStyle w:val="qowt-font3-arial"/>
                <w:rFonts w:ascii="Calibri" w:hAnsi="Calibri" w:cs="Calibri"/>
                <w:szCs w:val="20"/>
              </w:rPr>
              <w:t>%</w:t>
            </w:r>
          </w:p>
        </w:tc>
        <w:tc>
          <w:tcPr>
            <w:tcW w:w="1728" w:type="dxa"/>
          </w:tcPr>
          <w:p w14:paraId="42CCE36C" w14:textId="1A2CF766" w:rsidR="00037973" w:rsidRPr="00322041" w:rsidRDefault="003619ED"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5077D3" w:rsidRPr="00322041">
              <w:rPr>
                <w:rStyle w:val="qowt-font3-arial"/>
                <w:rFonts w:ascii="Calibri" w:hAnsi="Calibri" w:cs="Calibri"/>
                <w:szCs w:val="20"/>
              </w:rPr>
              <w:t xml:space="preserve"> </w:t>
            </w:r>
            <w:r w:rsidRPr="00322041">
              <w:rPr>
                <w:rStyle w:val="qowt-font3-arial"/>
                <w:rFonts w:ascii="Calibri" w:hAnsi="Calibri" w:cs="Calibri"/>
                <w:szCs w:val="20"/>
              </w:rPr>
              <w:t>2.45</w:t>
            </w:r>
            <w:r w:rsidR="005077D3" w:rsidRPr="00322041">
              <w:rPr>
                <w:rStyle w:val="qowt-font3-arial"/>
                <w:rFonts w:ascii="Calibri" w:hAnsi="Calibri" w:cs="Calibri"/>
                <w:szCs w:val="20"/>
              </w:rPr>
              <w:t>%</w:t>
            </w:r>
          </w:p>
        </w:tc>
      </w:tr>
    </w:tbl>
    <w:bookmarkEnd w:id="1"/>
    <w:p w14:paraId="2D2130AD" w14:textId="755532F4" w:rsidR="00E0427A" w:rsidRPr="00322041" w:rsidRDefault="00E0427A" w:rsidP="00914A04">
      <w:pPr>
        <w:pStyle w:val="Heading3"/>
        <w:numPr>
          <w:ilvl w:val="0"/>
          <w:numId w:val="0"/>
        </w:numPr>
        <w:spacing w:before="0" w:after="120"/>
        <w:rPr>
          <w:rFonts w:ascii="Calibri" w:hAnsi="Calibri" w:cs="Calibri"/>
          <w:i w:val="0"/>
          <w:color w:val="365E92"/>
          <w:sz w:val="23"/>
          <w:szCs w:val="23"/>
        </w:rPr>
      </w:pPr>
      <w:r w:rsidRPr="00322041">
        <w:rPr>
          <w:rFonts w:ascii="Calibri" w:hAnsi="Calibri" w:cs="Calibri"/>
          <w:i w:val="0"/>
          <w:color w:val="365E92"/>
          <w:sz w:val="23"/>
          <w:szCs w:val="23"/>
        </w:rPr>
        <w:lastRenderedPageBreak/>
        <w:t xml:space="preserve">Temporary Emergency Impact Aid for Displaced Students Program (Emergency Impact Aid Program) </w:t>
      </w:r>
    </w:p>
    <w:p w14:paraId="67DC20E1" w14:textId="1E8AEB75" w:rsidR="00C052D9" w:rsidRPr="00322041" w:rsidRDefault="00C052D9" w:rsidP="00567117">
      <w:pPr>
        <w:tabs>
          <w:tab w:val="left" w:pos="720"/>
        </w:tabs>
        <w:spacing w:after="0" w:line="240" w:lineRule="auto"/>
        <w:rPr>
          <w:rFonts w:ascii="Calibri" w:hAnsi="Calibri" w:cs="Calibri"/>
        </w:rPr>
      </w:pPr>
      <w:r w:rsidRPr="00322041">
        <w:rPr>
          <w:rFonts w:ascii="Calibri" w:hAnsi="Calibri" w:cs="Calibri"/>
        </w:rPr>
        <w:t>For the selection of sample payments, the Department obtained the supporting documentation for each payment and reviewed it to determine if there were any overpayments or underpayments.</w:t>
      </w:r>
      <w:r w:rsidR="00567117" w:rsidRPr="00322041">
        <w:rPr>
          <w:rFonts w:ascii="Calibri" w:hAnsi="Calibri" w:cs="Calibri"/>
        </w:rPr>
        <w:t xml:space="preserve"> </w:t>
      </w:r>
      <w:r w:rsidR="004F260A" w:rsidRPr="00322041">
        <w:rPr>
          <w:rFonts w:ascii="Calibri" w:hAnsi="Calibri" w:cs="Calibri"/>
        </w:rPr>
        <w:t xml:space="preserve">Supporting documentation included LEA applications, payment vouchers, and invoices, but varied based on the state. </w:t>
      </w:r>
      <w:r w:rsidRPr="00322041">
        <w:rPr>
          <w:rFonts w:ascii="Calibri" w:hAnsi="Calibri" w:cs="Calibri"/>
        </w:rPr>
        <w:t>For each overpayment and underpayment finding, the Department identified if it qualified as an improper payment. The Department then performed calculations of the payment to estimate the total improper payments for each sampled payment.</w:t>
      </w:r>
      <w:r w:rsidR="004F260A" w:rsidRPr="00322041">
        <w:rPr>
          <w:rFonts w:ascii="Calibri" w:hAnsi="Calibri" w:cs="Calibri"/>
        </w:rPr>
        <w:t xml:space="preserve"> As a result of the testing procedures performed on the statistical sample of payments, the Department identified improper payments in the Emergency Impact Aid Program disaster relief sample.</w:t>
      </w:r>
    </w:p>
    <w:p w14:paraId="02E644D7" w14:textId="77777777" w:rsidR="00C052D9" w:rsidRPr="00322041" w:rsidRDefault="00C052D9" w:rsidP="00C052D9">
      <w:pPr>
        <w:pStyle w:val="Header"/>
        <w:tabs>
          <w:tab w:val="clear" w:pos="4320"/>
          <w:tab w:val="clear" w:pos="8640"/>
        </w:tabs>
        <w:rPr>
          <w:rFonts w:ascii="Calibri" w:hAnsi="Calibri" w:cs="Calibri"/>
          <w:sz w:val="22"/>
          <w:szCs w:val="22"/>
        </w:rPr>
      </w:pPr>
    </w:p>
    <w:p w14:paraId="43F0E917" w14:textId="3E097062" w:rsidR="00C052D9" w:rsidRPr="00322041" w:rsidRDefault="00C052D9" w:rsidP="00C052D9">
      <w:pPr>
        <w:pStyle w:val="CommentText"/>
        <w:rPr>
          <w:rFonts w:ascii="Calibri" w:hAnsi="Calibri" w:cs="Calibri"/>
          <w:color w:val="000000"/>
          <w:sz w:val="22"/>
          <w:szCs w:val="22"/>
        </w:rPr>
      </w:pPr>
      <w:bookmarkStart w:id="2" w:name="_Hlk24612870"/>
      <w:r w:rsidRPr="00322041">
        <w:rPr>
          <w:rFonts w:ascii="Calibri" w:hAnsi="Calibri" w:cs="Calibri"/>
          <w:color w:val="000000"/>
          <w:sz w:val="22"/>
          <w:szCs w:val="22"/>
        </w:rPr>
        <w:t xml:space="preserve">Based on this analysis, the Emergency Impact Aid Program error rate for FY 2019 was </w:t>
      </w:r>
      <w:r w:rsidR="005910D4" w:rsidRPr="00322041">
        <w:rPr>
          <w:rFonts w:ascii="Calibri" w:hAnsi="Calibri" w:cs="Calibri"/>
          <w:b/>
          <w:color w:val="000000"/>
          <w:sz w:val="22"/>
          <w:szCs w:val="22"/>
        </w:rPr>
        <w:t xml:space="preserve">2.42 </w:t>
      </w:r>
      <w:r w:rsidRPr="00322041">
        <w:rPr>
          <w:rFonts w:ascii="Calibri" w:hAnsi="Calibri" w:cs="Calibri"/>
          <w:color w:val="000000"/>
          <w:sz w:val="22"/>
          <w:szCs w:val="22"/>
        </w:rPr>
        <w:t>percent o</w:t>
      </w:r>
      <w:r w:rsidR="00AA53AE" w:rsidRPr="00322041">
        <w:rPr>
          <w:rFonts w:ascii="Calibri" w:hAnsi="Calibri" w:cs="Calibri"/>
          <w:color w:val="000000"/>
          <w:sz w:val="22"/>
          <w:szCs w:val="22"/>
        </w:rPr>
        <w:t>r</w:t>
      </w:r>
      <w:r w:rsidRPr="00322041">
        <w:rPr>
          <w:rFonts w:ascii="Calibri" w:hAnsi="Calibri" w:cs="Calibri"/>
          <w:color w:val="000000"/>
          <w:sz w:val="22"/>
          <w:szCs w:val="22"/>
        </w:rPr>
        <w:t xml:space="preserve"> </w:t>
      </w:r>
      <w:r w:rsidR="00A7570B" w:rsidRPr="00322041">
        <w:rPr>
          <w:rFonts w:ascii="Calibri" w:hAnsi="Calibri" w:cs="Calibri"/>
          <w:b/>
          <w:bCs/>
          <w:color w:val="000000"/>
          <w:sz w:val="22"/>
          <w:szCs w:val="22"/>
        </w:rPr>
        <w:t>$</w:t>
      </w:r>
      <w:r w:rsidR="005910D4" w:rsidRPr="00322041">
        <w:rPr>
          <w:rFonts w:ascii="Calibri" w:hAnsi="Calibri" w:cs="Calibri"/>
          <w:b/>
          <w:bCs/>
          <w:color w:val="000000"/>
          <w:sz w:val="22"/>
          <w:szCs w:val="22"/>
        </w:rPr>
        <w:t xml:space="preserve">3.87 </w:t>
      </w:r>
      <w:r w:rsidRPr="00322041">
        <w:rPr>
          <w:rFonts w:ascii="Calibri" w:hAnsi="Calibri" w:cs="Calibri"/>
          <w:color w:val="000000"/>
          <w:sz w:val="22"/>
          <w:szCs w:val="22"/>
        </w:rPr>
        <w:t>million.</w:t>
      </w:r>
    </w:p>
    <w:tbl>
      <w:tblPr>
        <w:tblStyle w:val="TableGrid"/>
        <w:tblW w:w="10368" w:type="dxa"/>
        <w:tblLayout w:type="fixed"/>
        <w:tblLook w:val="04A0" w:firstRow="1" w:lastRow="0" w:firstColumn="1" w:lastColumn="0" w:noHBand="0" w:noVBand="1"/>
      </w:tblPr>
      <w:tblGrid>
        <w:gridCol w:w="1728"/>
        <w:gridCol w:w="1728"/>
        <w:gridCol w:w="1728"/>
        <w:gridCol w:w="1728"/>
        <w:gridCol w:w="1728"/>
        <w:gridCol w:w="1728"/>
      </w:tblGrid>
      <w:tr w:rsidR="00037973" w:rsidRPr="00322041" w14:paraId="2FCC7B76" w14:textId="77777777" w:rsidTr="00671FE1">
        <w:trPr>
          <w:trHeight w:val="512"/>
        </w:trPr>
        <w:tc>
          <w:tcPr>
            <w:tcW w:w="10368" w:type="dxa"/>
            <w:gridSpan w:val="6"/>
            <w:shd w:val="clear" w:color="auto" w:fill="D9D9D9" w:themeFill="background1" w:themeFillShade="D9"/>
          </w:tcPr>
          <w:p w14:paraId="27328859" w14:textId="77777777" w:rsidR="00CE7644" w:rsidRDefault="00CE7644" w:rsidP="00671FE1">
            <w:pPr>
              <w:autoSpaceDE w:val="0"/>
              <w:autoSpaceDN w:val="0"/>
              <w:adjustRightInd w:val="0"/>
              <w:jc w:val="center"/>
              <w:rPr>
                <w:rFonts w:ascii="Calibri" w:hAnsi="Calibri" w:cs="Calibri"/>
                <w:b/>
              </w:rPr>
            </w:pPr>
            <w:bookmarkStart w:id="3" w:name="_Hlk24612519"/>
            <w:bookmarkEnd w:id="2"/>
          </w:p>
          <w:p w14:paraId="74ED7AE6" w14:textId="1603B48F" w:rsidR="00037973" w:rsidRPr="00322041" w:rsidRDefault="00037973" w:rsidP="00671FE1">
            <w:pPr>
              <w:autoSpaceDE w:val="0"/>
              <w:autoSpaceDN w:val="0"/>
              <w:adjustRightInd w:val="0"/>
              <w:jc w:val="center"/>
              <w:rPr>
                <w:rFonts w:ascii="Calibri" w:hAnsi="Calibri" w:cs="Calibri"/>
                <w:b/>
              </w:rPr>
            </w:pPr>
            <w:r w:rsidRPr="00322041">
              <w:rPr>
                <w:rFonts w:ascii="Calibri" w:hAnsi="Calibri" w:cs="Calibri"/>
                <w:b/>
              </w:rPr>
              <w:t xml:space="preserve">FY </w:t>
            </w:r>
            <w:r w:rsidRPr="00322041">
              <w:rPr>
                <w:rFonts w:ascii="Calibri" w:hAnsi="Calibri" w:cs="Calibri"/>
                <w:b/>
                <w:bCs/>
              </w:rPr>
              <w:t>2019</w:t>
            </w:r>
            <w:r w:rsidRPr="00322041">
              <w:rPr>
                <w:rFonts w:ascii="Calibri" w:hAnsi="Calibri" w:cs="Calibri"/>
                <w:b/>
              </w:rPr>
              <w:t xml:space="preserve"> Emergency Impact Aid Program Estimate</w:t>
            </w:r>
          </w:p>
          <w:p w14:paraId="5590D1C6" w14:textId="4CCE19EA" w:rsidR="00037973" w:rsidRPr="00322041" w:rsidRDefault="00037973" w:rsidP="00671FE1">
            <w:pPr>
              <w:autoSpaceDE w:val="0"/>
              <w:autoSpaceDN w:val="0"/>
              <w:adjustRightInd w:val="0"/>
              <w:jc w:val="center"/>
              <w:rPr>
                <w:rFonts w:ascii="Calibri" w:hAnsi="Calibri" w:cs="Calibri"/>
                <w:b/>
              </w:rPr>
            </w:pPr>
          </w:p>
        </w:tc>
      </w:tr>
      <w:tr w:rsidR="00037973" w:rsidRPr="00322041" w14:paraId="43ABB15A" w14:textId="77777777" w:rsidTr="00671FE1">
        <w:trPr>
          <w:trHeight w:val="512"/>
        </w:trPr>
        <w:tc>
          <w:tcPr>
            <w:tcW w:w="1728" w:type="dxa"/>
            <w:shd w:val="clear" w:color="auto" w:fill="F2F2F2" w:themeFill="background1" w:themeFillShade="F2"/>
            <w:vAlign w:val="center"/>
          </w:tcPr>
          <w:p w14:paraId="52A9323C" w14:textId="77777777"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Point Estimate of Improper Payment (in millions)</w:t>
            </w:r>
          </w:p>
        </w:tc>
        <w:tc>
          <w:tcPr>
            <w:tcW w:w="1728" w:type="dxa"/>
            <w:shd w:val="clear" w:color="auto" w:fill="F2F2F2" w:themeFill="background1" w:themeFillShade="F2"/>
            <w:vAlign w:val="center"/>
          </w:tcPr>
          <w:p w14:paraId="3FF915DE"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Over-Payment Improper Payment Estimate</w:t>
            </w:r>
          </w:p>
          <w:p w14:paraId="51C8B8F8" w14:textId="77777777"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(in millions)</w:t>
            </w:r>
          </w:p>
        </w:tc>
        <w:tc>
          <w:tcPr>
            <w:tcW w:w="1728" w:type="dxa"/>
            <w:shd w:val="clear" w:color="auto" w:fill="F2F2F2" w:themeFill="background1" w:themeFillShade="F2"/>
            <w:vAlign w:val="center"/>
          </w:tcPr>
          <w:p w14:paraId="1C6CDB56"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Under-Payment Improper Payment Estimate</w:t>
            </w:r>
          </w:p>
          <w:p w14:paraId="17273289" w14:textId="77777777"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(in millions)</w:t>
            </w:r>
          </w:p>
        </w:tc>
        <w:tc>
          <w:tcPr>
            <w:tcW w:w="1728" w:type="dxa"/>
            <w:shd w:val="clear" w:color="auto" w:fill="F2F2F2" w:themeFill="background1" w:themeFillShade="F2"/>
            <w:vAlign w:val="center"/>
          </w:tcPr>
          <w:p w14:paraId="55CA5F66"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Unknown Improper Payment Estimate</w:t>
            </w:r>
          </w:p>
          <w:p w14:paraId="4FBABDA5"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(in millions)</w:t>
            </w:r>
          </w:p>
        </w:tc>
        <w:tc>
          <w:tcPr>
            <w:tcW w:w="1728" w:type="dxa"/>
            <w:shd w:val="clear" w:color="auto" w:fill="F2F2F2" w:themeFill="background1" w:themeFillShade="F2"/>
            <w:vAlign w:val="center"/>
          </w:tcPr>
          <w:p w14:paraId="4A0A4ADE" w14:textId="77777777" w:rsidR="00037973" w:rsidRPr="00322041" w:rsidRDefault="00037973" w:rsidP="00671FE1">
            <w:pPr>
              <w:autoSpaceDE w:val="0"/>
              <w:autoSpaceDN w:val="0"/>
              <w:adjustRightInd w:val="0"/>
              <w:jc w:val="center"/>
              <w:rPr>
                <w:rFonts w:ascii="Calibri" w:hAnsi="Calibri" w:cs="Calibri"/>
                <w:b/>
              </w:rPr>
            </w:pPr>
            <w:r w:rsidRPr="00322041">
              <w:rPr>
                <w:rStyle w:val="qowt-font3-arial"/>
                <w:rFonts w:ascii="Calibri" w:hAnsi="Calibri" w:cs="Calibri"/>
              </w:rPr>
              <w:t>Point Estimate (as % of Population Total)</w:t>
            </w:r>
          </w:p>
        </w:tc>
        <w:tc>
          <w:tcPr>
            <w:tcW w:w="1728" w:type="dxa"/>
            <w:shd w:val="clear" w:color="auto" w:fill="F2F2F2" w:themeFill="background1" w:themeFillShade="F2"/>
            <w:vAlign w:val="center"/>
          </w:tcPr>
          <w:p w14:paraId="07E6FE05" w14:textId="77777777" w:rsidR="00037973" w:rsidRPr="00322041" w:rsidRDefault="00037973" w:rsidP="00671FE1">
            <w:pPr>
              <w:autoSpaceDE w:val="0"/>
              <w:autoSpaceDN w:val="0"/>
              <w:adjustRightInd w:val="0"/>
              <w:jc w:val="center"/>
              <w:rPr>
                <w:rStyle w:val="qowt-font3-arial"/>
                <w:rFonts w:ascii="Calibri" w:hAnsi="Calibri" w:cs="Calibri"/>
              </w:rPr>
            </w:pPr>
            <w:r w:rsidRPr="00322041">
              <w:rPr>
                <w:rStyle w:val="qowt-font3-arial"/>
                <w:rFonts w:ascii="Calibri" w:hAnsi="Calibri" w:cs="Calibri"/>
              </w:rPr>
              <w:t>Precision Rate (as a % of Population Total) based on 95% Confidence Interval</w:t>
            </w:r>
          </w:p>
        </w:tc>
      </w:tr>
      <w:tr w:rsidR="00037973" w:rsidRPr="00322041" w14:paraId="7936EBB5" w14:textId="77777777" w:rsidTr="00671FE1">
        <w:trPr>
          <w:trHeight w:val="242"/>
        </w:trPr>
        <w:tc>
          <w:tcPr>
            <w:tcW w:w="1728" w:type="dxa"/>
            <w:shd w:val="clear" w:color="auto" w:fill="auto"/>
            <w:vAlign w:val="center"/>
          </w:tcPr>
          <w:p w14:paraId="2CBF91A1" w14:textId="72C7C923" w:rsidR="00037973" w:rsidRPr="00322041" w:rsidRDefault="005077D3"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E42912" w:rsidRPr="00322041">
              <w:rPr>
                <w:rStyle w:val="qowt-font3-arial"/>
                <w:rFonts w:ascii="Calibri" w:hAnsi="Calibri" w:cs="Calibri"/>
                <w:szCs w:val="20"/>
              </w:rPr>
              <w:t>3.87</w:t>
            </w:r>
          </w:p>
        </w:tc>
        <w:tc>
          <w:tcPr>
            <w:tcW w:w="1728" w:type="dxa"/>
            <w:shd w:val="clear" w:color="auto" w:fill="auto"/>
            <w:vAlign w:val="center"/>
          </w:tcPr>
          <w:p w14:paraId="4C428F5A" w14:textId="757C2D10" w:rsidR="00037973" w:rsidRPr="00322041" w:rsidRDefault="005077D3"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5910D4" w:rsidRPr="00322041">
              <w:rPr>
                <w:rStyle w:val="qowt-font3-arial"/>
                <w:rFonts w:ascii="Calibri" w:hAnsi="Calibri" w:cs="Calibri"/>
                <w:szCs w:val="20"/>
              </w:rPr>
              <w:t>3.87</w:t>
            </w:r>
          </w:p>
        </w:tc>
        <w:tc>
          <w:tcPr>
            <w:tcW w:w="1728" w:type="dxa"/>
            <w:shd w:val="clear" w:color="auto" w:fill="auto"/>
            <w:vAlign w:val="center"/>
          </w:tcPr>
          <w:p w14:paraId="30823C93" w14:textId="37D9A7A3" w:rsidR="00037973" w:rsidRPr="00DE34AD" w:rsidRDefault="005077D3" w:rsidP="00671FE1">
            <w:pPr>
              <w:pStyle w:val="qowt-stl-normal"/>
              <w:spacing w:before="0" w:beforeAutospacing="0" w:after="0" w:afterAutospacing="0"/>
              <w:jc w:val="center"/>
              <w:rPr>
                <w:rStyle w:val="qowt-font3-arial"/>
                <w:rFonts w:ascii="Calibri" w:hAnsi="Calibri" w:cs="Calibri"/>
                <w:sz w:val="20"/>
                <w:szCs w:val="20"/>
              </w:rPr>
            </w:pPr>
            <w:r w:rsidRPr="00CE7644">
              <w:rPr>
                <w:rStyle w:val="qowt-font3-arial"/>
                <w:rFonts w:ascii="Calibri" w:hAnsi="Calibri" w:cs="Calibri"/>
                <w:sz w:val="22"/>
                <w:szCs w:val="22"/>
              </w:rPr>
              <w:t>$</w:t>
            </w:r>
            <w:r w:rsidR="005910D4" w:rsidRPr="00CE7644">
              <w:rPr>
                <w:rStyle w:val="qowt-font3-arial"/>
                <w:rFonts w:ascii="Calibri" w:hAnsi="Calibri" w:cs="Calibri"/>
                <w:sz w:val="22"/>
                <w:szCs w:val="22"/>
              </w:rPr>
              <w:t>0</w:t>
            </w:r>
            <w:r w:rsidR="008211F5" w:rsidRPr="00DE34AD">
              <w:rPr>
                <w:rStyle w:val="FootnoteReference"/>
                <w:rFonts w:ascii="Calibri" w:hAnsi="Calibri" w:cs="Calibri"/>
                <w:sz w:val="20"/>
                <w:szCs w:val="20"/>
              </w:rPr>
              <w:footnoteReference w:id="1"/>
            </w:r>
          </w:p>
        </w:tc>
        <w:tc>
          <w:tcPr>
            <w:tcW w:w="1728" w:type="dxa"/>
          </w:tcPr>
          <w:p w14:paraId="0F5A94D1" w14:textId="3400F68D" w:rsidR="00037973" w:rsidRPr="00322041" w:rsidRDefault="005077D3"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5910D4" w:rsidRPr="00322041">
              <w:rPr>
                <w:rStyle w:val="qowt-font3-arial"/>
                <w:rFonts w:ascii="Calibri" w:hAnsi="Calibri" w:cs="Calibri"/>
                <w:szCs w:val="20"/>
              </w:rPr>
              <w:t>0</w:t>
            </w:r>
          </w:p>
        </w:tc>
        <w:tc>
          <w:tcPr>
            <w:tcW w:w="1728" w:type="dxa"/>
            <w:shd w:val="clear" w:color="auto" w:fill="auto"/>
            <w:vAlign w:val="center"/>
          </w:tcPr>
          <w:p w14:paraId="210BDF5C" w14:textId="23FF4D00" w:rsidR="00037973" w:rsidRPr="00322041" w:rsidRDefault="005910D4"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2.42</w:t>
            </w:r>
            <w:r w:rsidR="005077D3" w:rsidRPr="00322041">
              <w:rPr>
                <w:rStyle w:val="qowt-font3-arial"/>
                <w:rFonts w:ascii="Calibri" w:hAnsi="Calibri" w:cs="Calibri"/>
                <w:szCs w:val="20"/>
              </w:rPr>
              <w:t>%</w:t>
            </w:r>
          </w:p>
        </w:tc>
        <w:tc>
          <w:tcPr>
            <w:tcW w:w="1728" w:type="dxa"/>
          </w:tcPr>
          <w:p w14:paraId="5F848032" w14:textId="06B9B20B" w:rsidR="00037973" w:rsidRPr="00322041" w:rsidRDefault="003619ED" w:rsidP="00671FE1">
            <w:pPr>
              <w:autoSpaceDE w:val="0"/>
              <w:autoSpaceDN w:val="0"/>
              <w:adjustRightInd w:val="0"/>
              <w:jc w:val="center"/>
              <w:rPr>
                <w:rStyle w:val="qowt-font3-arial"/>
                <w:rFonts w:ascii="Calibri" w:hAnsi="Calibri" w:cs="Calibri"/>
                <w:szCs w:val="20"/>
              </w:rPr>
            </w:pPr>
            <w:r w:rsidRPr="00322041">
              <w:rPr>
                <w:rStyle w:val="qowt-font3-arial"/>
                <w:rFonts w:ascii="Calibri" w:hAnsi="Calibri" w:cs="Calibri"/>
                <w:szCs w:val="20"/>
              </w:rPr>
              <w:t>+/-</w:t>
            </w:r>
            <w:r w:rsidR="005077D3" w:rsidRPr="00322041">
              <w:rPr>
                <w:rStyle w:val="qowt-font3-arial"/>
                <w:rFonts w:ascii="Calibri" w:hAnsi="Calibri" w:cs="Calibri"/>
                <w:szCs w:val="20"/>
              </w:rPr>
              <w:t xml:space="preserve"> </w:t>
            </w:r>
            <w:r w:rsidRPr="00322041">
              <w:rPr>
                <w:rStyle w:val="qowt-font3-arial"/>
                <w:rFonts w:ascii="Calibri" w:hAnsi="Calibri" w:cs="Calibri"/>
                <w:szCs w:val="20"/>
              </w:rPr>
              <w:t>1.20</w:t>
            </w:r>
            <w:r w:rsidR="005077D3" w:rsidRPr="00322041">
              <w:rPr>
                <w:rStyle w:val="qowt-font3-arial"/>
                <w:rFonts w:ascii="Calibri" w:hAnsi="Calibri" w:cs="Calibri"/>
                <w:szCs w:val="20"/>
              </w:rPr>
              <w:t>%</w:t>
            </w:r>
          </w:p>
        </w:tc>
      </w:tr>
      <w:bookmarkEnd w:id="3"/>
    </w:tbl>
    <w:p w14:paraId="4563DC73" w14:textId="15170694" w:rsidR="000C0921" w:rsidRPr="00322041" w:rsidRDefault="000C0921" w:rsidP="00914A04">
      <w:pPr>
        <w:pStyle w:val="ListParagraph"/>
        <w:rPr>
          <w:rFonts w:ascii="Calibri" w:hAnsi="Calibri" w:cs="Calibri"/>
          <w:sz w:val="24"/>
          <w:szCs w:val="24"/>
          <w:lang w:val="en-GB"/>
        </w:rPr>
      </w:pPr>
    </w:p>
    <w:p w14:paraId="2F641084" w14:textId="3A54A829" w:rsidR="004F260A" w:rsidRPr="00322041" w:rsidRDefault="004F260A" w:rsidP="004F260A">
      <w:pPr>
        <w:pStyle w:val="ListParagraph"/>
        <w:rPr>
          <w:rFonts w:ascii="Calibri" w:hAnsi="Calibri" w:cs="Calibri"/>
          <w:sz w:val="24"/>
          <w:szCs w:val="24"/>
          <w:lang w:val="en-GB"/>
        </w:rPr>
      </w:pPr>
      <w:r w:rsidRPr="00322041">
        <w:rPr>
          <w:rFonts w:ascii="Calibri" w:hAnsi="Calibri" w:cs="Calibri"/>
        </w:rPr>
        <w:br/>
      </w:r>
    </w:p>
    <w:sectPr w:rsidR="004F260A" w:rsidRPr="00322041">
      <w:headerReference w:type="even"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B1A8" w14:textId="77777777" w:rsidR="00981056" w:rsidRDefault="00981056" w:rsidP="009C1BF9">
      <w:pPr>
        <w:spacing w:after="0" w:line="240" w:lineRule="auto"/>
      </w:pPr>
      <w:r>
        <w:separator/>
      </w:r>
    </w:p>
  </w:endnote>
  <w:endnote w:type="continuationSeparator" w:id="0">
    <w:p w14:paraId="5E27794C" w14:textId="77777777" w:rsidR="00981056" w:rsidRDefault="00981056" w:rsidP="009C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FBAD" w14:textId="77777777" w:rsidR="0062586B" w:rsidRDefault="0062586B" w:rsidP="00E3647B">
    <w:pPr>
      <w:pStyle w:val="Footer"/>
      <w:jc w:val="center"/>
    </w:pPr>
    <w:r>
      <w:rPr>
        <w:color w:val="000000"/>
      </w:rPr>
      <w:fldChar w:fldCharType="begin" w:fldLock="1"/>
    </w:r>
    <w:r>
      <w:rPr>
        <w:color w:val="000000"/>
      </w:rPr>
      <w:instrText xml:space="preserve"> DOCPROPERTY bjFooterEvenPageDocProperty \* MERGEFORMAT </w:instrText>
    </w:r>
    <w:r>
      <w:rPr>
        <w:color w:val="000000"/>
      </w:rPr>
      <w:fldChar w:fldCharType="separate"/>
    </w:r>
    <w:r w:rsidRPr="005F0A18">
      <w:rPr>
        <w:color w:val="000000"/>
      </w:rPr>
      <w:t>Authorized Use Only</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652369075"/>
      <w:docPartObj>
        <w:docPartGallery w:val="Page Numbers (Bottom of Page)"/>
        <w:docPartUnique/>
      </w:docPartObj>
    </w:sdtPr>
    <w:sdtEndPr>
      <w:rPr>
        <w:noProof/>
      </w:rPr>
    </w:sdtEndPr>
    <w:sdtContent>
      <w:p w14:paraId="34EC66EF" w14:textId="4A910977" w:rsidR="00C66963" w:rsidRPr="00CF1ADA" w:rsidRDefault="00C66963">
        <w:pPr>
          <w:pStyle w:val="Footer"/>
          <w:jc w:val="right"/>
          <w:rPr>
            <w:rFonts w:ascii="Calibri" w:hAnsi="Calibri" w:cs="Calibri"/>
            <w:sz w:val="22"/>
            <w:szCs w:val="22"/>
          </w:rPr>
        </w:pPr>
        <w:r w:rsidRPr="00CF1ADA">
          <w:rPr>
            <w:rFonts w:ascii="Calibri" w:hAnsi="Calibri" w:cs="Calibri"/>
            <w:sz w:val="22"/>
            <w:szCs w:val="22"/>
          </w:rPr>
          <w:fldChar w:fldCharType="begin"/>
        </w:r>
        <w:r w:rsidRPr="00CF1ADA">
          <w:rPr>
            <w:rFonts w:ascii="Calibri" w:hAnsi="Calibri" w:cs="Calibri"/>
            <w:sz w:val="22"/>
            <w:szCs w:val="22"/>
          </w:rPr>
          <w:instrText xml:space="preserve"> PAGE   \* MERGEFORMAT </w:instrText>
        </w:r>
        <w:r w:rsidRPr="00CF1ADA">
          <w:rPr>
            <w:rFonts w:ascii="Calibri" w:hAnsi="Calibri" w:cs="Calibri"/>
            <w:sz w:val="22"/>
            <w:szCs w:val="22"/>
          </w:rPr>
          <w:fldChar w:fldCharType="separate"/>
        </w:r>
        <w:r w:rsidR="00707BE6" w:rsidRPr="00CF1ADA">
          <w:rPr>
            <w:rFonts w:ascii="Calibri" w:hAnsi="Calibri" w:cs="Calibri"/>
            <w:noProof/>
            <w:sz w:val="22"/>
            <w:szCs w:val="22"/>
          </w:rPr>
          <w:t>1</w:t>
        </w:r>
        <w:r w:rsidRPr="00CF1ADA">
          <w:rPr>
            <w:rFonts w:ascii="Calibri" w:hAnsi="Calibri" w:cs="Calibr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19088631"/>
      <w:docPartObj>
        <w:docPartGallery w:val="Page Numbers (Bottom of Page)"/>
        <w:docPartUnique/>
      </w:docPartObj>
    </w:sdtPr>
    <w:sdtEndPr/>
    <w:sdtContent>
      <w:sdt>
        <w:sdtPr>
          <w:rPr>
            <w:sz w:val="20"/>
            <w:szCs w:val="20"/>
          </w:rPr>
          <w:id w:val="1105384278"/>
          <w:docPartObj>
            <w:docPartGallery w:val="Page Numbers (Top of Page)"/>
            <w:docPartUnique/>
          </w:docPartObj>
        </w:sdtPr>
        <w:sdtEndPr/>
        <w:sdtContent>
          <w:p w14:paraId="0BF2C0C2" w14:textId="541C157B" w:rsidR="0062586B" w:rsidRDefault="0062586B">
            <w:pPr>
              <w:pStyle w:val="Footer"/>
              <w:jc w:val="right"/>
              <w:rPr>
                <w:sz w:val="20"/>
                <w:szCs w:val="20"/>
              </w:rPr>
            </w:pPr>
            <w:r w:rsidRPr="006C05FF">
              <w:rPr>
                <w:sz w:val="20"/>
                <w:szCs w:val="20"/>
              </w:rPr>
              <w:t xml:space="preserve">Page </w:t>
            </w:r>
            <w:r w:rsidRPr="006C05FF">
              <w:rPr>
                <w:sz w:val="20"/>
                <w:szCs w:val="20"/>
              </w:rPr>
              <w:fldChar w:fldCharType="begin"/>
            </w:r>
            <w:r w:rsidRPr="006C05FF">
              <w:rPr>
                <w:sz w:val="20"/>
                <w:szCs w:val="20"/>
              </w:rPr>
              <w:instrText xml:space="preserve"> PAGE </w:instrText>
            </w:r>
            <w:r w:rsidRPr="006C05FF">
              <w:rPr>
                <w:sz w:val="20"/>
                <w:szCs w:val="20"/>
              </w:rPr>
              <w:fldChar w:fldCharType="separate"/>
            </w:r>
            <w:r w:rsidR="00691B2D">
              <w:rPr>
                <w:noProof/>
                <w:sz w:val="20"/>
                <w:szCs w:val="20"/>
              </w:rPr>
              <w:t>1</w:t>
            </w:r>
            <w:r w:rsidRPr="006C05FF">
              <w:rPr>
                <w:sz w:val="20"/>
                <w:szCs w:val="20"/>
              </w:rPr>
              <w:fldChar w:fldCharType="end"/>
            </w:r>
            <w:r w:rsidRPr="006C05FF">
              <w:rPr>
                <w:sz w:val="20"/>
                <w:szCs w:val="20"/>
              </w:rPr>
              <w:t xml:space="preserve"> of </w:t>
            </w:r>
            <w:r w:rsidRPr="006C05FF">
              <w:rPr>
                <w:sz w:val="20"/>
                <w:szCs w:val="20"/>
              </w:rPr>
              <w:fldChar w:fldCharType="begin"/>
            </w:r>
            <w:r w:rsidRPr="006C05FF">
              <w:rPr>
                <w:sz w:val="20"/>
                <w:szCs w:val="20"/>
              </w:rPr>
              <w:instrText xml:space="preserve"> NUMPAGES  </w:instrText>
            </w:r>
            <w:r w:rsidRPr="006C05FF">
              <w:rPr>
                <w:sz w:val="20"/>
                <w:szCs w:val="20"/>
              </w:rPr>
              <w:fldChar w:fldCharType="separate"/>
            </w:r>
            <w:r w:rsidR="00691B2D">
              <w:rPr>
                <w:noProof/>
                <w:sz w:val="20"/>
                <w:szCs w:val="20"/>
              </w:rPr>
              <w:t>7</w:t>
            </w:r>
            <w:r w:rsidRPr="006C05FF">
              <w:rPr>
                <w:sz w:val="20"/>
                <w:szCs w:val="20"/>
              </w:rPr>
              <w:fldChar w:fldCharType="end"/>
            </w:r>
          </w:p>
          <w:p w14:paraId="7AD97B16" w14:textId="77777777" w:rsidR="0062586B" w:rsidRDefault="0062586B" w:rsidP="00E3647B">
            <w:pPr>
              <w:pStyle w:val="Footer"/>
              <w:tabs>
                <w:tab w:val="clear" w:pos="8640"/>
              </w:tabs>
              <w:rPr>
                <w:sz w:val="20"/>
                <w:szCs w:val="20"/>
              </w:rPr>
            </w:pPr>
            <w:r>
              <w:tab/>
            </w:r>
          </w:p>
        </w:sdtContent>
      </w:sdt>
    </w:sdtContent>
  </w:sdt>
  <w:p w14:paraId="0453E612" w14:textId="77777777" w:rsidR="0062586B" w:rsidRPr="00D7174A" w:rsidRDefault="0062586B" w:rsidP="00E3647B">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DEC0" w14:textId="77777777" w:rsidR="00981056" w:rsidRDefault="00981056" w:rsidP="009C1BF9">
      <w:pPr>
        <w:spacing w:after="0" w:line="240" w:lineRule="auto"/>
      </w:pPr>
      <w:r>
        <w:separator/>
      </w:r>
    </w:p>
  </w:footnote>
  <w:footnote w:type="continuationSeparator" w:id="0">
    <w:p w14:paraId="31A8995E" w14:textId="77777777" w:rsidR="00981056" w:rsidRDefault="00981056" w:rsidP="009C1BF9">
      <w:pPr>
        <w:spacing w:after="0" w:line="240" w:lineRule="auto"/>
      </w:pPr>
      <w:r>
        <w:continuationSeparator/>
      </w:r>
    </w:p>
  </w:footnote>
  <w:footnote w:id="1">
    <w:p w14:paraId="2A7BD997" w14:textId="3F70B0F1" w:rsidR="008211F5" w:rsidRPr="008211F5" w:rsidRDefault="008211F5">
      <w:pPr>
        <w:pStyle w:val="FootnoteText"/>
        <w:rPr>
          <w:sz w:val="16"/>
          <w:szCs w:val="16"/>
        </w:rPr>
      </w:pPr>
      <w:r w:rsidRPr="008211F5">
        <w:rPr>
          <w:rStyle w:val="FootnoteReference"/>
        </w:rPr>
        <w:footnoteRef/>
      </w:r>
      <w:r w:rsidRPr="008211F5">
        <w:t xml:space="preserve"> </w:t>
      </w:r>
      <w:r w:rsidRPr="008211F5">
        <w:rPr>
          <w:sz w:val="16"/>
          <w:szCs w:val="16"/>
        </w:rPr>
        <w:t xml:space="preserve"> In FY 2019, Emergency Impact Aid’s estimated underpayments totaled just $39.50 (not in millions) resulting in an improper payment rate of &lt;0.01%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6CCC" w14:textId="6772323F" w:rsidR="0062586B" w:rsidRDefault="0062586B">
    <w:pPr>
      <w:pStyle w:val="Header"/>
    </w:pPr>
    <w:r>
      <w:rPr>
        <w:noProof/>
      </w:rPr>
      <mc:AlternateContent>
        <mc:Choice Requires="wps">
          <w:drawing>
            <wp:anchor distT="0" distB="0" distL="114300" distR="114300" simplePos="0" relativeHeight="251659264" behindDoc="1" locked="0" layoutInCell="0" allowOverlap="1" wp14:anchorId="585492AA" wp14:editId="3F8B5E0C">
              <wp:simplePos x="0" y="0"/>
              <wp:positionH relativeFrom="margin">
                <wp:align>center</wp:align>
              </wp:positionH>
              <wp:positionV relativeFrom="margin">
                <wp:align>center</wp:align>
              </wp:positionV>
              <wp:extent cx="5237480" cy="3142615"/>
              <wp:effectExtent l="0" t="1143000" r="0" b="65786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B30E51" w14:textId="77777777" w:rsidR="0062586B" w:rsidRDefault="0062586B" w:rsidP="00E3647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5492AA"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CF6OJk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1DB30E51" w14:textId="77777777" w:rsidR="0062586B" w:rsidRDefault="0062586B" w:rsidP="00E3647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77F8" w14:textId="77777777" w:rsidR="0062586B" w:rsidRDefault="0062586B" w:rsidP="00E364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D0F7E"/>
    <w:multiLevelType w:val="hybridMultilevel"/>
    <w:tmpl w:val="9E9A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684A5B"/>
    <w:multiLevelType w:val="hybridMultilevel"/>
    <w:tmpl w:val="B22496D2"/>
    <w:lvl w:ilvl="0" w:tplc="C10A3906">
      <w:start w:val="1"/>
      <w:numFmt w:val="upperRoman"/>
      <w:lvlText w:val="%1."/>
      <w:lvlJc w:val="left"/>
      <w:pPr>
        <w:ind w:left="720" w:hanging="720"/>
      </w:pPr>
      <w:rPr>
        <w:rFonts w:hint="default"/>
        <w:i/>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DF7F07"/>
    <w:multiLevelType w:val="hybridMultilevel"/>
    <w:tmpl w:val="0C72D0D0"/>
    <w:lvl w:ilvl="0" w:tplc="3EBC0836">
      <w:start w:val="1"/>
      <w:numFmt w:val="bullet"/>
      <w:lvlText w:val=""/>
      <w:lvlJc w:val="left"/>
      <w:pPr>
        <w:tabs>
          <w:tab w:val="num" w:pos="797"/>
        </w:tabs>
        <w:ind w:left="797"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24C4BCA"/>
    <w:multiLevelType w:val="multilevel"/>
    <w:tmpl w:val="A34E5AD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396C35"/>
    <w:multiLevelType w:val="hybridMultilevel"/>
    <w:tmpl w:val="E6920758"/>
    <w:lvl w:ilvl="0" w:tplc="7E6206A2">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52D1A24"/>
    <w:multiLevelType w:val="hybridMultilevel"/>
    <w:tmpl w:val="2DD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87"/>
    <w:rsid w:val="00005F66"/>
    <w:rsid w:val="00011285"/>
    <w:rsid w:val="0001220E"/>
    <w:rsid w:val="000144DD"/>
    <w:rsid w:val="000172F5"/>
    <w:rsid w:val="000264F5"/>
    <w:rsid w:val="00032EAF"/>
    <w:rsid w:val="0003774A"/>
    <w:rsid w:val="00037973"/>
    <w:rsid w:val="00042BFA"/>
    <w:rsid w:val="0004476C"/>
    <w:rsid w:val="0005005D"/>
    <w:rsid w:val="000622FC"/>
    <w:rsid w:val="00084C98"/>
    <w:rsid w:val="000B6848"/>
    <w:rsid w:val="000C0921"/>
    <w:rsid w:val="000C0BF7"/>
    <w:rsid w:val="000C1777"/>
    <w:rsid w:val="000C1BE1"/>
    <w:rsid w:val="000C6155"/>
    <w:rsid w:val="000D6C0D"/>
    <w:rsid w:val="000F05FE"/>
    <w:rsid w:val="000F66A1"/>
    <w:rsid w:val="0010330E"/>
    <w:rsid w:val="001078BE"/>
    <w:rsid w:val="00117A0C"/>
    <w:rsid w:val="00120641"/>
    <w:rsid w:val="00126CA5"/>
    <w:rsid w:val="00127462"/>
    <w:rsid w:val="001456FA"/>
    <w:rsid w:val="00145720"/>
    <w:rsid w:val="00164BAE"/>
    <w:rsid w:val="0017131B"/>
    <w:rsid w:val="00196450"/>
    <w:rsid w:val="00196CF9"/>
    <w:rsid w:val="001C7817"/>
    <w:rsid w:val="001E2BCE"/>
    <w:rsid w:val="001F0FAF"/>
    <w:rsid w:val="001F27F0"/>
    <w:rsid w:val="002016EC"/>
    <w:rsid w:val="00205F4E"/>
    <w:rsid w:val="00216050"/>
    <w:rsid w:val="00223E3E"/>
    <w:rsid w:val="00226086"/>
    <w:rsid w:val="00241E9A"/>
    <w:rsid w:val="002747D6"/>
    <w:rsid w:val="002769AA"/>
    <w:rsid w:val="002A5CCF"/>
    <w:rsid w:val="002B320A"/>
    <w:rsid w:val="002C3EAA"/>
    <w:rsid w:val="002D2397"/>
    <w:rsid w:val="002F1B03"/>
    <w:rsid w:val="00304A21"/>
    <w:rsid w:val="00312311"/>
    <w:rsid w:val="00315801"/>
    <w:rsid w:val="00322041"/>
    <w:rsid w:val="00334B20"/>
    <w:rsid w:val="00342401"/>
    <w:rsid w:val="0034478D"/>
    <w:rsid w:val="00345F4E"/>
    <w:rsid w:val="00350AF5"/>
    <w:rsid w:val="00361734"/>
    <w:rsid w:val="003619ED"/>
    <w:rsid w:val="003738C2"/>
    <w:rsid w:val="0037611D"/>
    <w:rsid w:val="00380F0D"/>
    <w:rsid w:val="003826C6"/>
    <w:rsid w:val="003860F0"/>
    <w:rsid w:val="00393A83"/>
    <w:rsid w:val="003A0140"/>
    <w:rsid w:val="003A5692"/>
    <w:rsid w:val="003D47EB"/>
    <w:rsid w:val="003F7FE4"/>
    <w:rsid w:val="00401740"/>
    <w:rsid w:val="00403D20"/>
    <w:rsid w:val="004136E0"/>
    <w:rsid w:val="00417560"/>
    <w:rsid w:val="00437715"/>
    <w:rsid w:val="00444AD5"/>
    <w:rsid w:val="00453753"/>
    <w:rsid w:val="0045472B"/>
    <w:rsid w:val="0046319B"/>
    <w:rsid w:val="00465CD1"/>
    <w:rsid w:val="00477772"/>
    <w:rsid w:val="00483644"/>
    <w:rsid w:val="004B4341"/>
    <w:rsid w:val="004C6B12"/>
    <w:rsid w:val="004D4913"/>
    <w:rsid w:val="004E1B21"/>
    <w:rsid w:val="004F260A"/>
    <w:rsid w:val="004F4E4B"/>
    <w:rsid w:val="005077D3"/>
    <w:rsid w:val="005245D9"/>
    <w:rsid w:val="00525112"/>
    <w:rsid w:val="005335A8"/>
    <w:rsid w:val="005347D4"/>
    <w:rsid w:val="00545E18"/>
    <w:rsid w:val="0055300A"/>
    <w:rsid w:val="00553885"/>
    <w:rsid w:val="00567117"/>
    <w:rsid w:val="00572ADB"/>
    <w:rsid w:val="00577903"/>
    <w:rsid w:val="0058613C"/>
    <w:rsid w:val="005910D4"/>
    <w:rsid w:val="00593A61"/>
    <w:rsid w:val="005A3BE5"/>
    <w:rsid w:val="005A6639"/>
    <w:rsid w:val="005D30C3"/>
    <w:rsid w:val="005D3F42"/>
    <w:rsid w:val="005E3FD1"/>
    <w:rsid w:val="005F5CB2"/>
    <w:rsid w:val="006107F7"/>
    <w:rsid w:val="0062586B"/>
    <w:rsid w:val="0062743D"/>
    <w:rsid w:val="0063395C"/>
    <w:rsid w:val="006376BA"/>
    <w:rsid w:val="00640EC2"/>
    <w:rsid w:val="00645CFA"/>
    <w:rsid w:val="00652768"/>
    <w:rsid w:val="00664754"/>
    <w:rsid w:val="00687BBD"/>
    <w:rsid w:val="00691B2D"/>
    <w:rsid w:val="006A4987"/>
    <w:rsid w:val="006B1908"/>
    <w:rsid w:val="006E4CFA"/>
    <w:rsid w:val="006E5FBD"/>
    <w:rsid w:val="006F0542"/>
    <w:rsid w:val="006F292A"/>
    <w:rsid w:val="006F490F"/>
    <w:rsid w:val="00705EAB"/>
    <w:rsid w:val="007079D7"/>
    <w:rsid w:val="00707BE6"/>
    <w:rsid w:val="00716371"/>
    <w:rsid w:val="0074079D"/>
    <w:rsid w:val="007420D0"/>
    <w:rsid w:val="00750717"/>
    <w:rsid w:val="00753A97"/>
    <w:rsid w:val="00771880"/>
    <w:rsid w:val="007813F6"/>
    <w:rsid w:val="00791E4D"/>
    <w:rsid w:val="00792DEB"/>
    <w:rsid w:val="00794FE3"/>
    <w:rsid w:val="00796BB6"/>
    <w:rsid w:val="007A5486"/>
    <w:rsid w:val="007B4648"/>
    <w:rsid w:val="007B759B"/>
    <w:rsid w:val="007E57E6"/>
    <w:rsid w:val="007E6DF3"/>
    <w:rsid w:val="008003C3"/>
    <w:rsid w:val="008059DE"/>
    <w:rsid w:val="0080644A"/>
    <w:rsid w:val="00813D5D"/>
    <w:rsid w:val="008211F5"/>
    <w:rsid w:val="008216D2"/>
    <w:rsid w:val="00836513"/>
    <w:rsid w:val="00836D9D"/>
    <w:rsid w:val="00837657"/>
    <w:rsid w:val="00852F71"/>
    <w:rsid w:val="008718B8"/>
    <w:rsid w:val="00872587"/>
    <w:rsid w:val="00891ADA"/>
    <w:rsid w:val="0089219D"/>
    <w:rsid w:val="00892CBC"/>
    <w:rsid w:val="008933ED"/>
    <w:rsid w:val="008941E9"/>
    <w:rsid w:val="008B0596"/>
    <w:rsid w:val="008B4B2E"/>
    <w:rsid w:val="008B5CF8"/>
    <w:rsid w:val="008C0DF6"/>
    <w:rsid w:val="008D5E39"/>
    <w:rsid w:val="008D7566"/>
    <w:rsid w:val="008D7D15"/>
    <w:rsid w:val="008E0F10"/>
    <w:rsid w:val="008E5877"/>
    <w:rsid w:val="00914A04"/>
    <w:rsid w:val="0092655E"/>
    <w:rsid w:val="009355E2"/>
    <w:rsid w:val="0095447A"/>
    <w:rsid w:val="00966449"/>
    <w:rsid w:val="009732D5"/>
    <w:rsid w:val="00981056"/>
    <w:rsid w:val="00985C67"/>
    <w:rsid w:val="009905E6"/>
    <w:rsid w:val="009A049E"/>
    <w:rsid w:val="009A73A5"/>
    <w:rsid w:val="009B5D60"/>
    <w:rsid w:val="009C1BF9"/>
    <w:rsid w:val="009D6344"/>
    <w:rsid w:val="009D7E61"/>
    <w:rsid w:val="009E20F4"/>
    <w:rsid w:val="009F3FB5"/>
    <w:rsid w:val="00A02F21"/>
    <w:rsid w:val="00A20E55"/>
    <w:rsid w:val="00A32395"/>
    <w:rsid w:val="00A47E05"/>
    <w:rsid w:val="00A5155D"/>
    <w:rsid w:val="00A522FE"/>
    <w:rsid w:val="00A57899"/>
    <w:rsid w:val="00A616F0"/>
    <w:rsid w:val="00A71129"/>
    <w:rsid w:val="00A75574"/>
    <w:rsid w:val="00A7570B"/>
    <w:rsid w:val="00A76C4A"/>
    <w:rsid w:val="00A77C4F"/>
    <w:rsid w:val="00AA53AE"/>
    <w:rsid w:val="00AB2C37"/>
    <w:rsid w:val="00AB33E7"/>
    <w:rsid w:val="00AB491C"/>
    <w:rsid w:val="00AD32AE"/>
    <w:rsid w:val="00AE1A3F"/>
    <w:rsid w:val="00AE4965"/>
    <w:rsid w:val="00AF24A1"/>
    <w:rsid w:val="00B0408B"/>
    <w:rsid w:val="00B053C4"/>
    <w:rsid w:val="00B06934"/>
    <w:rsid w:val="00B17CC6"/>
    <w:rsid w:val="00B253D0"/>
    <w:rsid w:val="00B411D8"/>
    <w:rsid w:val="00B573E0"/>
    <w:rsid w:val="00B72380"/>
    <w:rsid w:val="00B94135"/>
    <w:rsid w:val="00BB1AA7"/>
    <w:rsid w:val="00BB51DD"/>
    <w:rsid w:val="00BC23DE"/>
    <w:rsid w:val="00BC4463"/>
    <w:rsid w:val="00BD0504"/>
    <w:rsid w:val="00BE2CF0"/>
    <w:rsid w:val="00BF60DF"/>
    <w:rsid w:val="00C00734"/>
    <w:rsid w:val="00C052D9"/>
    <w:rsid w:val="00C15803"/>
    <w:rsid w:val="00C53D38"/>
    <w:rsid w:val="00C54F1E"/>
    <w:rsid w:val="00C62483"/>
    <w:rsid w:val="00C63816"/>
    <w:rsid w:val="00C653E9"/>
    <w:rsid w:val="00C66963"/>
    <w:rsid w:val="00C701C1"/>
    <w:rsid w:val="00C91074"/>
    <w:rsid w:val="00CB04FA"/>
    <w:rsid w:val="00CB3E46"/>
    <w:rsid w:val="00CC31B8"/>
    <w:rsid w:val="00CE0CE0"/>
    <w:rsid w:val="00CE7644"/>
    <w:rsid w:val="00CF1ADA"/>
    <w:rsid w:val="00D05E0C"/>
    <w:rsid w:val="00D14501"/>
    <w:rsid w:val="00D158E1"/>
    <w:rsid w:val="00D248A7"/>
    <w:rsid w:val="00D329D7"/>
    <w:rsid w:val="00D3583E"/>
    <w:rsid w:val="00D55623"/>
    <w:rsid w:val="00D60186"/>
    <w:rsid w:val="00D90884"/>
    <w:rsid w:val="00DA1CD9"/>
    <w:rsid w:val="00DA5ECF"/>
    <w:rsid w:val="00DB3B56"/>
    <w:rsid w:val="00DB6CB5"/>
    <w:rsid w:val="00DC043C"/>
    <w:rsid w:val="00DC4CA1"/>
    <w:rsid w:val="00DD0C33"/>
    <w:rsid w:val="00DD54D4"/>
    <w:rsid w:val="00DD5E34"/>
    <w:rsid w:val="00DE2435"/>
    <w:rsid w:val="00DE34AD"/>
    <w:rsid w:val="00DE58FB"/>
    <w:rsid w:val="00DF7A93"/>
    <w:rsid w:val="00E0427A"/>
    <w:rsid w:val="00E10153"/>
    <w:rsid w:val="00E20BB6"/>
    <w:rsid w:val="00E223C2"/>
    <w:rsid w:val="00E27864"/>
    <w:rsid w:val="00E3647B"/>
    <w:rsid w:val="00E42912"/>
    <w:rsid w:val="00E83D2C"/>
    <w:rsid w:val="00E85C71"/>
    <w:rsid w:val="00E85F66"/>
    <w:rsid w:val="00E9290E"/>
    <w:rsid w:val="00E957A0"/>
    <w:rsid w:val="00EA32A4"/>
    <w:rsid w:val="00EA594D"/>
    <w:rsid w:val="00EC0724"/>
    <w:rsid w:val="00EC2FFB"/>
    <w:rsid w:val="00EC46BC"/>
    <w:rsid w:val="00ED65D8"/>
    <w:rsid w:val="00ED675E"/>
    <w:rsid w:val="00ED7F21"/>
    <w:rsid w:val="00EE2E6D"/>
    <w:rsid w:val="00EE5B72"/>
    <w:rsid w:val="00F033FD"/>
    <w:rsid w:val="00F0537C"/>
    <w:rsid w:val="00F21711"/>
    <w:rsid w:val="00F35E07"/>
    <w:rsid w:val="00F40743"/>
    <w:rsid w:val="00F721C8"/>
    <w:rsid w:val="00F940A2"/>
    <w:rsid w:val="00FB6647"/>
    <w:rsid w:val="00FC31C2"/>
    <w:rsid w:val="00FD12CE"/>
    <w:rsid w:val="00FF0FD1"/>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2DF78"/>
  <w15:docId w15:val="{73A1B6D9-42CA-4938-954C-2726B3B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616F0"/>
    <w:pPr>
      <w:keepNext/>
      <w:spacing w:after="0" w:line="240" w:lineRule="auto"/>
      <w:jc w:val="center"/>
      <w:outlineLvl w:val="0"/>
    </w:pPr>
    <w:rPr>
      <w:rFonts w:ascii="Times New Roman" w:eastAsia="Times New Roman" w:hAnsi="Times New Roman" w:cs="Times New Roman"/>
      <w:b/>
      <w:bCs/>
      <w:sz w:val="40"/>
      <w:szCs w:val="24"/>
      <w:lang w:val="en-GB"/>
    </w:rPr>
  </w:style>
  <w:style w:type="paragraph" w:styleId="Heading3">
    <w:name w:val="heading 3"/>
    <w:basedOn w:val="Heading4"/>
    <w:next w:val="Normal"/>
    <w:link w:val="Heading3Char"/>
    <w:uiPriority w:val="9"/>
    <w:unhideWhenUsed/>
    <w:qFormat/>
    <w:rsid w:val="006F292A"/>
    <w:pPr>
      <w:numPr>
        <w:numId w:val="6"/>
      </w:numPr>
      <w:spacing w:before="200" w:line="240" w:lineRule="auto"/>
      <w:ind w:left="360" w:hanging="360"/>
      <w:outlineLvl w:val="2"/>
    </w:pPr>
    <w:rPr>
      <w:rFonts w:ascii="Times New Roman" w:hAnsi="Times New Roman" w:cs="Times New Roman"/>
      <w:b/>
      <w:bCs/>
      <w:color w:val="auto"/>
    </w:rPr>
  </w:style>
  <w:style w:type="paragraph" w:styleId="Heading4">
    <w:name w:val="heading 4"/>
    <w:basedOn w:val="Normal"/>
    <w:next w:val="Normal"/>
    <w:link w:val="Heading4Char"/>
    <w:uiPriority w:val="9"/>
    <w:semiHidden/>
    <w:unhideWhenUsed/>
    <w:qFormat/>
    <w:rsid w:val="002D2397"/>
    <w:pPr>
      <w:keepNext/>
      <w:keepLines/>
      <w:spacing w:before="40" w:after="0"/>
      <w:outlineLvl w:val="3"/>
    </w:pPr>
    <w:rPr>
      <w:rFonts w:asciiTheme="majorHAnsi" w:eastAsiaTheme="majorEastAsia" w:hAnsiTheme="majorHAnsi" w:cstheme="majorBidi"/>
      <w:i/>
      <w:iCs/>
      <w:color w:val="3A21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49"/>
    <w:pPr>
      <w:ind w:left="720"/>
      <w:contextualSpacing/>
    </w:pPr>
  </w:style>
  <w:style w:type="paragraph" w:styleId="BodyText">
    <w:name w:val="Body Text"/>
    <w:basedOn w:val="Normal"/>
    <w:link w:val="BodyTextChar"/>
    <w:rsid w:val="008216D2"/>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8216D2"/>
    <w:rPr>
      <w:rFonts w:ascii="Times New Roman" w:eastAsia="Times New Roman" w:hAnsi="Times New Roman" w:cs="Times New Roman"/>
      <w:color w:val="000000"/>
      <w:sz w:val="24"/>
      <w:szCs w:val="24"/>
    </w:rPr>
  </w:style>
  <w:style w:type="table" w:styleId="TableGrid">
    <w:name w:val="Table Grid"/>
    <w:basedOn w:val="TableNormal"/>
    <w:uiPriority w:val="59"/>
    <w:rsid w:val="00FF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C1B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C1BF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C1BF9"/>
    <w:rPr>
      <w:vertAlign w:val="superscript"/>
    </w:rPr>
  </w:style>
  <w:style w:type="paragraph" w:styleId="Header">
    <w:name w:val="header"/>
    <w:aliases w:val="hd"/>
    <w:basedOn w:val="Normal"/>
    <w:link w:val="HeaderChar"/>
    <w:rsid w:val="00A616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d Char"/>
    <w:basedOn w:val="DefaultParagraphFont"/>
    <w:link w:val="Header"/>
    <w:rsid w:val="00A616F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16F0"/>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3860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860F0"/>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60F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7611D"/>
    <w:rPr>
      <w:sz w:val="16"/>
      <w:szCs w:val="16"/>
    </w:rPr>
  </w:style>
  <w:style w:type="paragraph" w:styleId="CommentText">
    <w:name w:val="annotation text"/>
    <w:basedOn w:val="Normal"/>
    <w:link w:val="CommentTextChar"/>
    <w:uiPriority w:val="99"/>
    <w:unhideWhenUsed/>
    <w:rsid w:val="0037611D"/>
    <w:pPr>
      <w:spacing w:line="240" w:lineRule="auto"/>
    </w:pPr>
    <w:rPr>
      <w:sz w:val="20"/>
      <w:szCs w:val="20"/>
    </w:rPr>
  </w:style>
  <w:style w:type="character" w:customStyle="1" w:styleId="CommentTextChar">
    <w:name w:val="Comment Text Char"/>
    <w:basedOn w:val="DefaultParagraphFont"/>
    <w:link w:val="CommentText"/>
    <w:uiPriority w:val="99"/>
    <w:rsid w:val="0037611D"/>
    <w:rPr>
      <w:sz w:val="20"/>
      <w:szCs w:val="20"/>
    </w:rPr>
  </w:style>
  <w:style w:type="paragraph" w:styleId="CommentSubject">
    <w:name w:val="annotation subject"/>
    <w:basedOn w:val="CommentText"/>
    <w:next w:val="CommentText"/>
    <w:link w:val="CommentSubjectChar"/>
    <w:uiPriority w:val="99"/>
    <w:semiHidden/>
    <w:unhideWhenUsed/>
    <w:rsid w:val="0037611D"/>
    <w:rPr>
      <w:b/>
      <w:bCs/>
    </w:rPr>
  </w:style>
  <w:style w:type="character" w:customStyle="1" w:styleId="CommentSubjectChar">
    <w:name w:val="Comment Subject Char"/>
    <w:basedOn w:val="CommentTextChar"/>
    <w:link w:val="CommentSubject"/>
    <w:uiPriority w:val="99"/>
    <w:semiHidden/>
    <w:rsid w:val="0037611D"/>
    <w:rPr>
      <w:b/>
      <w:bCs/>
      <w:sz w:val="20"/>
      <w:szCs w:val="20"/>
    </w:rPr>
  </w:style>
  <w:style w:type="paragraph" w:styleId="BalloonText">
    <w:name w:val="Balloon Text"/>
    <w:basedOn w:val="Normal"/>
    <w:link w:val="BalloonTextChar"/>
    <w:uiPriority w:val="99"/>
    <w:semiHidden/>
    <w:unhideWhenUsed/>
    <w:rsid w:val="0037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1D"/>
    <w:rPr>
      <w:rFonts w:ascii="Segoe UI" w:hAnsi="Segoe UI" w:cs="Segoe UI"/>
      <w:sz w:val="18"/>
      <w:szCs w:val="18"/>
    </w:rPr>
  </w:style>
  <w:style w:type="paragraph" w:customStyle="1" w:styleId="Default">
    <w:name w:val="Default"/>
    <w:rsid w:val="00AB2C3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B2C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C37"/>
    <w:rPr>
      <w:sz w:val="20"/>
      <w:szCs w:val="20"/>
    </w:rPr>
  </w:style>
  <w:style w:type="character" w:styleId="EndnoteReference">
    <w:name w:val="endnote reference"/>
    <w:basedOn w:val="DefaultParagraphFont"/>
    <w:uiPriority w:val="99"/>
    <w:semiHidden/>
    <w:unhideWhenUsed/>
    <w:rsid w:val="00AB2C37"/>
    <w:rPr>
      <w:vertAlign w:val="superscript"/>
    </w:rPr>
  </w:style>
  <w:style w:type="paragraph" w:styleId="Subtitle">
    <w:name w:val="Subtitle"/>
    <w:basedOn w:val="Normal"/>
    <w:next w:val="Normal"/>
    <w:link w:val="SubtitleChar"/>
    <w:qFormat/>
    <w:rsid w:val="00042BFA"/>
    <w:pPr>
      <w:numPr>
        <w:ilvl w:val="1"/>
      </w:numPr>
      <w:spacing w:after="0" w:line="240" w:lineRule="auto"/>
    </w:pPr>
    <w:rPr>
      <w:rFonts w:asciiTheme="majorHAnsi" w:eastAsiaTheme="majorEastAsia" w:hAnsiTheme="majorHAnsi" w:cstheme="majorBidi"/>
      <w:i/>
      <w:iCs/>
      <w:color w:val="4F2D7F" w:themeColor="accent1"/>
      <w:spacing w:val="15"/>
      <w:sz w:val="24"/>
      <w:szCs w:val="24"/>
    </w:rPr>
  </w:style>
  <w:style w:type="character" w:customStyle="1" w:styleId="SubtitleChar">
    <w:name w:val="Subtitle Char"/>
    <w:basedOn w:val="DefaultParagraphFont"/>
    <w:link w:val="Subtitle"/>
    <w:uiPriority w:val="11"/>
    <w:rsid w:val="00042BFA"/>
    <w:rPr>
      <w:rFonts w:asciiTheme="majorHAnsi" w:eastAsiaTheme="majorEastAsia" w:hAnsiTheme="majorHAnsi" w:cstheme="majorBidi"/>
      <w:i/>
      <w:iCs/>
      <w:color w:val="4F2D7F" w:themeColor="accent1"/>
      <w:spacing w:val="15"/>
      <w:sz w:val="24"/>
      <w:szCs w:val="24"/>
    </w:rPr>
  </w:style>
  <w:style w:type="character" w:customStyle="1" w:styleId="Heading4Char">
    <w:name w:val="Heading 4 Char"/>
    <w:basedOn w:val="DefaultParagraphFont"/>
    <w:link w:val="Heading4"/>
    <w:uiPriority w:val="9"/>
    <w:semiHidden/>
    <w:rsid w:val="002D2397"/>
    <w:rPr>
      <w:rFonts w:asciiTheme="majorHAnsi" w:eastAsiaTheme="majorEastAsia" w:hAnsiTheme="majorHAnsi" w:cstheme="majorBidi"/>
      <w:i/>
      <w:iCs/>
      <w:color w:val="3A215E" w:themeColor="accent1" w:themeShade="BF"/>
    </w:rPr>
  </w:style>
  <w:style w:type="paragraph" w:customStyle="1" w:styleId="TableParagraph">
    <w:name w:val="Table Paragraph"/>
    <w:basedOn w:val="Normal"/>
    <w:uiPriority w:val="1"/>
    <w:qFormat/>
    <w:rsid w:val="002D2397"/>
    <w:pPr>
      <w:widowControl w:val="0"/>
      <w:spacing w:after="0" w:line="240" w:lineRule="auto"/>
    </w:pPr>
  </w:style>
  <w:style w:type="character" w:styleId="Hyperlink">
    <w:name w:val="Hyperlink"/>
    <w:basedOn w:val="DefaultParagraphFont"/>
    <w:uiPriority w:val="99"/>
    <w:unhideWhenUsed/>
    <w:rsid w:val="00A20E55"/>
    <w:rPr>
      <w:color w:val="4F2D7F" w:themeColor="hyperlink"/>
      <w:u w:val="single"/>
    </w:rPr>
  </w:style>
  <w:style w:type="character" w:customStyle="1" w:styleId="qowt-font3-arial">
    <w:name w:val="qowt-font3-arial"/>
    <w:basedOn w:val="DefaultParagraphFont"/>
    <w:rsid w:val="00037973"/>
  </w:style>
  <w:style w:type="paragraph" w:customStyle="1" w:styleId="qowt-stl-normal">
    <w:name w:val="qowt-stl-normal"/>
    <w:basedOn w:val="Normal"/>
    <w:rsid w:val="0003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292A"/>
    <w:rPr>
      <w:rFonts w:ascii="Times New Roman" w:eastAsiaTheme="majorEastAsia" w:hAnsi="Times New Roman" w:cs="Times New Roman"/>
      <w:b/>
      <w:bCs/>
      <w:i/>
      <w:iCs/>
    </w:rPr>
  </w:style>
  <w:style w:type="character" w:styleId="FollowedHyperlink">
    <w:name w:val="FollowedHyperlink"/>
    <w:basedOn w:val="DefaultParagraphFont"/>
    <w:uiPriority w:val="99"/>
    <w:semiHidden/>
    <w:unhideWhenUsed/>
    <w:rsid w:val="00C00734"/>
    <w:rPr>
      <w:color w:val="E928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3324">
      <w:bodyDiv w:val="1"/>
      <w:marLeft w:val="0"/>
      <w:marRight w:val="0"/>
      <w:marTop w:val="0"/>
      <w:marBottom w:val="0"/>
      <w:divBdr>
        <w:top w:val="none" w:sz="0" w:space="0" w:color="auto"/>
        <w:left w:val="none" w:sz="0" w:space="0" w:color="auto"/>
        <w:bottom w:val="none" w:sz="0" w:space="0" w:color="auto"/>
        <w:right w:val="none" w:sz="0" w:space="0" w:color="auto"/>
      </w:divBdr>
    </w:div>
    <w:div w:id="11668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about/reports/annual/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dd39ef94ee8f1deebfae9058cc1ce7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caca9f7f305276d8f6f0486cb7a3a5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515E-CB0A-4034-8C23-C72FF6044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F1D11-A56E-49EC-A76B-A9CB1512B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AA381-3D86-4208-A93F-18B9F7BE8F52}">
  <ds:schemaRefs>
    <ds:schemaRef ds:uri="http://schemas.microsoft.com/sharepoint/v3/contenttype/forms"/>
  </ds:schemaRefs>
</ds:datastoreItem>
</file>

<file path=customXml/itemProps4.xml><?xml version="1.0" encoding="utf-8"?>
<ds:datastoreItem xmlns:ds="http://schemas.openxmlformats.org/officeDocument/2006/customXml" ds:itemID="{D7FFA28A-D982-4F6F-A8F7-F90C3C44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Gingher</dc:creator>
  <cp:keywords/>
  <dc:description/>
  <cp:lastModifiedBy>Mason, Chanel</cp:lastModifiedBy>
  <cp:revision>2</cp:revision>
  <cp:lastPrinted>2019-11-13T18:48:00Z</cp:lastPrinted>
  <dcterms:created xsi:type="dcterms:W3CDTF">2019-11-18T20:04:00Z</dcterms:created>
  <dcterms:modified xsi:type="dcterms:W3CDTF">2019-11-18T20:04:00Z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