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71692" w14:textId="40662CD1" w:rsidR="004D3875" w:rsidRDefault="00312FDC" w:rsidP="00B92716">
      <w:pPr>
        <w:pStyle w:val="PropHead1"/>
        <w:tabs>
          <w:tab w:val="clear" w:pos="540"/>
        </w:tabs>
        <w:spacing w:before="0" w:after="0"/>
        <w:jc w:val="center"/>
        <w:rPr>
          <w:sz w:val="32"/>
          <w:szCs w:val="32"/>
        </w:rPr>
      </w:pPr>
      <w:bookmarkStart w:id="0" w:name="_GoBack"/>
      <w:bookmarkEnd w:id="0"/>
      <w:r w:rsidRPr="004D3875">
        <w:rPr>
          <w:sz w:val="32"/>
          <w:szCs w:val="32"/>
        </w:rPr>
        <w:t>Business Rules Single Inventory</w:t>
      </w:r>
      <w:r w:rsidR="00E81FD1">
        <w:rPr>
          <w:sz w:val="32"/>
          <w:szCs w:val="32"/>
        </w:rPr>
        <w:t xml:space="preserve"> 2018</w:t>
      </w:r>
      <w:r w:rsidRPr="004D3875">
        <w:rPr>
          <w:sz w:val="32"/>
          <w:szCs w:val="32"/>
        </w:rPr>
        <w:t xml:space="preserve"> </w:t>
      </w:r>
    </w:p>
    <w:p w14:paraId="7226E3CB" w14:textId="08E61101" w:rsidR="00312FDC" w:rsidRPr="004D3875" w:rsidRDefault="00312FDC" w:rsidP="00B92716">
      <w:pPr>
        <w:pStyle w:val="PropHead1"/>
        <w:tabs>
          <w:tab w:val="clear" w:pos="540"/>
        </w:tabs>
        <w:spacing w:before="0" w:after="0"/>
        <w:jc w:val="center"/>
        <w:rPr>
          <w:sz w:val="32"/>
          <w:szCs w:val="32"/>
        </w:rPr>
      </w:pPr>
      <w:r w:rsidRPr="004D3875">
        <w:rPr>
          <w:sz w:val="32"/>
          <w:szCs w:val="32"/>
        </w:rPr>
        <w:t>Companion Document</w:t>
      </w:r>
    </w:p>
    <w:p w14:paraId="58FDCEB7" w14:textId="16D0FC87" w:rsidR="001F4C02" w:rsidRPr="004D3875" w:rsidRDefault="00C04B42" w:rsidP="004D3875">
      <w:pPr>
        <w:pStyle w:val="Heading1"/>
        <w:keepLines w:val="0"/>
        <w:tabs>
          <w:tab w:val="num" w:pos="720"/>
        </w:tabs>
        <w:spacing w:after="240" w:line="240" w:lineRule="auto"/>
        <w:ind w:left="720" w:hanging="720"/>
        <w:rPr>
          <w:rFonts w:ascii="Arial" w:eastAsia="Times New Roman" w:hAnsi="Arial" w:cs="Arial"/>
          <w:b/>
          <w:bCs/>
          <w:caps/>
          <w:color w:val="145192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145192"/>
          <w:sz w:val="24"/>
          <w:szCs w:val="24"/>
        </w:rPr>
        <w:t xml:space="preserve">Single Inventory </w:t>
      </w:r>
      <w:r w:rsidR="00312FDC">
        <w:rPr>
          <w:rFonts w:ascii="Arial" w:eastAsia="Times New Roman" w:hAnsi="Arial" w:cs="Arial"/>
          <w:b/>
          <w:bCs/>
          <w:caps/>
          <w:color w:val="145192"/>
          <w:sz w:val="24"/>
          <w:szCs w:val="24"/>
        </w:rPr>
        <w:t>Overview</w:t>
      </w:r>
    </w:p>
    <w:p w14:paraId="0DE6CAD5" w14:textId="14F1846E" w:rsidR="00B92716" w:rsidRDefault="00C6575E" w:rsidP="00635B0D">
      <w:pPr>
        <w:spacing w:after="240"/>
        <w:rPr>
          <w:rFonts w:ascii="Arial" w:hAnsi="Arial" w:cs="Arial"/>
        </w:rPr>
      </w:pPr>
      <w:bookmarkStart w:id="1" w:name="_Hlk520894038"/>
      <w:r w:rsidRPr="004D3875">
        <w:rPr>
          <w:rFonts w:ascii="Arial" w:hAnsi="Arial" w:cs="Arial"/>
        </w:rPr>
        <w:t>The purpose of the ED</w:t>
      </w:r>
      <w:r w:rsidRPr="004D3875">
        <w:rPr>
          <w:rFonts w:ascii="Arial" w:hAnsi="Arial" w:cs="Arial"/>
          <w:i/>
        </w:rPr>
        <w:t>Facts</w:t>
      </w:r>
      <w:r w:rsidRPr="004D3875">
        <w:rPr>
          <w:rFonts w:ascii="Arial" w:hAnsi="Arial" w:cs="Arial"/>
        </w:rPr>
        <w:t xml:space="preserve"> Business Rules Single Inventory is to p</w:t>
      </w:r>
      <w:r w:rsidR="000B49D4" w:rsidRPr="004D3875">
        <w:rPr>
          <w:rFonts w:ascii="Arial" w:hAnsi="Arial" w:cs="Arial"/>
        </w:rPr>
        <w:t xml:space="preserve">ublish a single inventory </w:t>
      </w:r>
      <w:r w:rsidR="004D3875" w:rsidRPr="004D3875">
        <w:rPr>
          <w:rFonts w:ascii="Arial" w:hAnsi="Arial" w:cs="Arial"/>
        </w:rPr>
        <w:t xml:space="preserve">for </w:t>
      </w:r>
      <w:r w:rsidR="00B92716">
        <w:rPr>
          <w:rFonts w:ascii="Arial" w:hAnsi="Arial" w:cs="Arial"/>
        </w:rPr>
        <w:t>State Educational Agencies (</w:t>
      </w:r>
      <w:r w:rsidR="004D3875" w:rsidRPr="004D3875">
        <w:rPr>
          <w:rFonts w:ascii="Arial" w:hAnsi="Arial" w:cs="Arial"/>
        </w:rPr>
        <w:t>SEAs</w:t>
      </w:r>
      <w:r w:rsidR="00B92716">
        <w:rPr>
          <w:rFonts w:ascii="Arial" w:hAnsi="Arial" w:cs="Arial"/>
        </w:rPr>
        <w:t>)</w:t>
      </w:r>
      <w:r w:rsidR="004D3875" w:rsidRPr="004D3875">
        <w:rPr>
          <w:rFonts w:ascii="Arial" w:hAnsi="Arial" w:cs="Arial"/>
        </w:rPr>
        <w:t xml:space="preserve"> </w:t>
      </w:r>
      <w:r w:rsidR="000B49D4" w:rsidRPr="004D3875">
        <w:rPr>
          <w:rFonts w:ascii="Arial" w:hAnsi="Arial" w:cs="Arial"/>
        </w:rPr>
        <w:t xml:space="preserve">of </w:t>
      </w:r>
      <w:r w:rsidR="005A7824">
        <w:rPr>
          <w:rFonts w:ascii="Arial" w:hAnsi="Arial" w:cs="Arial"/>
        </w:rPr>
        <w:t>the</w:t>
      </w:r>
      <w:r w:rsidR="000B49D4" w:rsidRPr="004D3875">
        <w:rPr>
          <w:rFonts w:ascii="Arial" w:hAnsi="Arial" w:cs="Arial"/>
        </w:rPr>
        <w:t xml:space="preserve"> </w:t>
      </w:r>
      <w:r w:rsidR="001D1C4A" w:rsidRPr="004D3875">
        <w:rPr>
          <w:rFonts w:ascii="Arial" w:hAnsi="Arial" w:cs="Arial"/>
        </w:rPr>
        <w:t>data quality</w:t>
      </w:r>
      <w:r w:rsidR="005F3318">
        <w:rPr>
          <w:rFonts w:ascii="Arial" w:hAnsi="Arial" w:cs="Arial"/>
        </w:rPr>
        <w:t xml:space="preserve"> (DQ)</w:t>
      </w:r>
      <w:r w:rsidR="001D1C4A" w:rsidRPr="004D3875">
        <w:rPr>
          <w:rFonts w:ascii="Arial" w:hAnsi="Arial" w:cs="Arial"/>
        </w:rPr>
        <w:t xml:space="preserve"> business </w:t>
      </w:r>
      <w:r w:rsidR="000B49D4" w:rsidRPr="004D3875">
        <w:rPr>
          <w:rFonts w:ascii="Arial" w:hAnsi="Arial" w:cs="Arial"/>
        </w:rPr>
        <w:t xml:space="preserve">rules </w:t>
      </w:r>
      <w:r w:rsidR="00125996" w:rsidRPr="004D3875">
        <w:rPr>
          <w:rFonts w:ascii="Arial" w:hAnsi="Arial" w:cs="Arial"/>
        </w:rPr>
        <w:t>applied to ED</w:t>
      </w:r>
      <w:r w:rsidR="00125996" w:rsidRPr="004D3875">
        <w:rPr>
          <w:rFonts w:ascii="Arial" w:hAnsi="Arial" w:cs="Arial"/>
          <w:i/>
        </w:rPr>
        <w:t xml:space="preserve">Facts </w:t>
      </w:r>
      <w:r w:rsidR="00125996" w:rsidRPr="004D3875">
        <w:rPr>
          <w:rFonts w:ascii="Arial" w:hAnsi="Arial" w:cs="Arial"/>
        </w:rPr>
        <w:t>data</w:t>
      </w:r>
      <w:r w:rsidR="00B92716">
        <w:rPr>
          <w:rFonts w:ascii="Arial" w:hAnsi="Arial" w:cs="Arial"/>
        </w:rPr>
        <w:t xml:space="preserve"> throughout the lifecycle of that data</w:t>
      </w:r>
      <w:r w:rsidR="001D1C4A" w:rsidRPr="004D3875">
        <w:rPr>
          <w:rFonts w:ascii="Arial" w:hAnsi="Arial" w:cs="Arial"/>
        </w:rPr>
        <w:t>.</w:t>
      </w:r>
      <w:r w:rsidR="000B49D4" w:rsidRPr="004D3875">
        <w:rPr>
          <w:rFonts w:ascii="Arial" w:hAnsi="Arial" w:cs="Arial"/>
        </w:rPr>
        <w:t xml:space="preserve"> </w:t>
      </w:r>
      <w:r w:rsidR="001D1C4A" w:rsidRPr="004D3875">
        <w:rPr>
          <w:rFonts w:ascii="Arial" w:hAnsi="Arial" w:cs="Arial"/>
        </w:rPr>
        <w:t xml:space="preserve">The inventory includes </w:t>
      </w:r>
      <w:r w:rsidR="004743B4">
        <w:rPr>
          <w:rFonts w:ascii="Arial" w:hAnsi="Arial" w:cs="Arial"/>
        </w:rPr>
        <w:t xml:space="preserve">currently published </w:t>
      </w:r>
      <w:r w:rsidR="00B92716">
        <w:rPr>
          <w:rFonts w:ascii="Arial" w:hAnsi="Arial" w:cs="Arial"/>
        </w:rPr>
        <w:t xml:space="preserve">submission rules as well as </w:t>
      </w:r>
      <w:r w:rsidR="000B49D4" w:rsidRPr="004D3875">
        <w:rPr>
          <w:rFonts w:ascii="Arial" w:hAnsi="Arial" w:cs="Arial"/>
        </w:rPr>
        <w:t xml:space="preserve">post-submission DQ rules that have </w:t>
      </w:r>
      <w:r w:rsidR="001D1C4A" w:rsidRPr="004D3875">
        <w:rPr>
          <w:rFonts w:ascii="Arial" w:hAnsi="Arial" w:cs="Arial"/>
        </w:rPr>
        <w:t xml:space="preserve">not been </w:t>
      </w:r>
      <w:r w:rsidR="00B92716">
        <w:rPr>
          <w:rFonts w:ascii="Arial" w:hAnsi="Arial" w:cs="Arial"/>
        </w:rPr>
        <w:t>officially published</w:t>
      </w:r>
      <w:r w:rsidR="001D1C4A" w:rsidRPr="004D3875">
        <w:rPr>
          <w:rFonts w:ascii="Arial" w:hAnsi="Arial" w:cs="Arial"/>
        </w:rPr>
        <w:t xml:space="preserve"> </w:t>
      </w:r>
      <w:r w:rsidR="005F3318">
        <w:rPr>
          <w:rFonts w:ascii="Arial" w:hAnsi="Arial" w:cs="Arial"/>
        </w:rPr>
        <w:t>prior to 2018</w:t>
      </w:r>
      <w:r w:rsidR="00B92716">
        <w:rPr>
          <w:rFonts w:ascii="Arial" w:hAnsi="Arial" w:cs="Arial"/>
        </w:rPr>
        <w:t xml:space="preserve">.  </w:t>
      </w:r>
      <w:r w:rsidR="005F3318">
        <w:rPr>
          <w:rFonts w:ascii="Arial" w:hAnsi="Arial" w:cs="Arial"/>
        </w:rPr>
        <w:t xml:space="preserve"> </w:t>
      </w:r>
      <w:r w:rsidR="00B92716">
        <w:rPr>
          <w:rFonts w:ascii="Arial" w:hAnsi="Arial" w:cs="Arial"/>
        </w:rPr>
        <w:t>This will</w:t>
      </w:r>
      <w:r w:rsidR="00711C45" w:rsidRPr="004D3875">
        <w:rPr>
          <w:rFonts w:ascii="Arial" w:hAnsi="Arial" w:cs="Arial"/>
        </w:rPr>
        <w:t xml:space="preserve"> increase transparency in post-submission </w:t>
      </w:r>
      <w:r w:rsidR="005F3318">
        <w:rPr>
          <w:rFonts w:ascii="Arial" w:hAnsi="Arial" w:cs="Arial"/>
        </w:rPr>
        <w:t>DQ</w:t>
      </w:r>
      <w:r w:rsidR="00711C45" w:rsidRPr="004D3875">
        <w:rPr>
          <w:rFonts w:ascii="Arial" w:hAnsi="Arial" w:cs="Arial"/>
        </w:rPr>
        <w:t xml:space="preserve"> review</w:t>
      </w:r>
      <w:r w:rsidR="00B92716">
        <w:rPr>
          <w:rFonts w:ascii="Arial" w:hAnsi="Arial" w:cs="Arial"/>
        </w:rPr>
        <w:t xml:space="preserve"> processes</w:t>
      </w:r>
      <w:r w:rsidR="00711C45" w:rsidRPr="004D3875">
        <w:rPr>
          <w:rFonts w:ascii="Arial" w:hAnsi="Arial" w:cs="Arial"/>
        </w:rPr>
        <w:t xml:space="preserve"> </w:t>
      </w:r>
      <w:r w:rsidR="001D1C4A" w:rsidRPr="004D3875">
        <w:rPr>
          <w:rFonts w:ascii="Arial" w:hAnsi="Arial" w:cs="Arial"/>
        </w:rPr>
        <w:t xml:space="preserve">and provide </w:t>
      </w:r>
      <w:r w:rsidR="00B92716">
        <w:rPr>
          <w:rFonts w:ascii="Arial" w:hAnsi="Arial" w:cs="Arial"/>
        </w:rPr>
        <w:t>SEAs</w:t>
      </w:r>
      <w:r w:rsidR="001D1C4A" w:rsidRPr="004D3875">
        <w:rPr>
          <w:rFonts w:ascii="Arial" w:hAnsi="Arial" w:cs="Arial"/>
        </w:rPr>
        <w:t xml:space="preserve"> with the opportunity to check data prior to submission</w:t>
      </w:r>
      <w:r w:rsidR="00711C45" w:rsidRPr="004D3875">
        <w:rPr>
          <w:rFonts w:ascii="Arial" w:hAnsi="Arial" w:cs="Arial"/>
        </w:rPr>
        <w:t>.</w:t>
      </w:r>
      <w:bookmarkEnd w:id="1"/>
      <w:r w:rsidR="00711C45" w:rsidRPr="004D3875">
        <w:rPr>
          <w:rFonts w:ascii="Arial" w:hAnsi="Arial" w:cs="Arial"/>
        </w:rPr>
        <w:t xml:space="preserve"> </w:t>
      </w:r>
    </w:p>
    <w:p w14:paraId="1BF038F2" w14:textId="70FBBA4E" w:rsidR="001D1C4A" w:rsidRDefault="001D1C4A" w:rsidP="00635B0D">
      <w:pPr>
        <w:spacing w:after="240"/>
        <w:rPr>
          <w:rFonts w:ascii="Arial" w:hAnsi="Arial" w:cs="Arial"/>
        </w:rPr>
      </w:pPr>
      <w:r w:rsidRPr="004D3875">
        <w:rPr>
          <w:rFonts w:ascii="Arial" w:hAnsi="Arial" w:cs="Arial"/>
        </w:rPr>
        <w:t xml:space="preserve">The inventory is in </w:t>
      </w:r>
      <w:r w:rsidR="0073764C">
        <w:rPr>
          <w:rFonts w:ascii="Arial" w:hAnsi="Arial" w:cs="Arial"/>
        </w:rPr>
        <w:t xml:space="preserve">an </w:t>
      </w:r>
      <w:r w:rsidR="004D3875">
        <w:rPr>
          <w:rFonts w:ascii="Arial" w:hAnsi="Arial" w:cs="Arial"/>
        </w:rPr>
        <w:t>E</w:t>
      </w:r>
      <w:r w:rsidRPr="004D3875">
        <w:rPr>
          <w:rFonts w:ascii="Arial" w:hAnsi="Arial" w:cs="Arial"/>
        </w:rPr>
        <w:t xml:space="preserve">xcel </w:t>
      </w:r>
      <w:r w:rsidR="0073764C">
        <w:rPr>
          <w:rFonts w:ascii="Arial" w:hAnsi="Arial" w:cs="Arial"/>
        </w:rPr>
        <w:t>spreadsheet</w:t>
      </w:r>
      <w:r w:rsidRPr="004D3875">
        <w:rPr>
          <w:rFonts w:ascii="Arial" w:hAnsi="Arial" w:cs="Arial"/>
        </w:rPr>
        <w:t xml:space="preserve"> in a similar structure to the </w:t>
      </w:r>
      <w:r w:rsidR="00B92716">
        <w:rPr>
          <w:rFonts w:ascii="Arial" w:hAnsi="Arial" w:cs="Arial"/>
        </w:rPr>
        <w:t xml:space="preserve">currently published </w:t>
      </w:r>
      <w:r w:rsidRPr="004D3875">
        <w:rPr>
          <w:rFonts w:ascii="Arial" w:hAnsi="Arial" w:cs="Arial"/>
        </w:rPr>
        <w:t>Business Rules Guide</w:t>
      </w:r>
      <w:r w:rsidR="00B92716">
        <w:rPr>
          <w:rFonts w:ascii="Arial" w:hAnsi="Arial" w:cs="Arial"/>
        </w:rPr>
        <w:t>s</w:t>
      </w:r>
      <w:r w:rsidR="004743B4">
        <w:rPr>
          <w:rFonts w:ascii="Arial" w:hAnsi="Arial" w:cs="Arial"/>
        </w:rPr>
        <w:t>.</w:t>
      </w:r>
      <w:r w:rsidR="005F3318">
        <w:rPr>
          <w:rFonts w:ascii="Arial" w:hAnsi="Arial" w:cs="Arial"/>
        </w:rPr>
        <w:t xml:space="preserve"> The </w:t>
      </w:r>
      <w:r w:rsidR="004743B4">
        <w:rPr>
          <w:rFonts w:ascii="Arial" w:hAnsi="Arial" w:cs="Arial"/>
        </w:rPr>
        <w:t>Excel format</w:t>
      </w:r>
      <w:r w:rsidR="005F3318">
        <w:rPr>
          <w:rFonts w:ascii="Arial" w:hAnsi="Arial" w:cs="Arial"/>
        </w:rPr>
        <w:t xml:space="preserve"> allow</w:t>
      </w:r>
      <w:r w:rsidR="005A7824">
        <w:rPr>
          <w:rFonts w:ascii="Arial" w:hAnsi="Arial" w:cs="Arial"/>
        </w:rPr>
        <w:t>s</w:t>
      </w:r>
      <w:r w:rsidR="005F3318">
        <w:rPr>
          <w:rFonts w:ascii="Arial" w:hAnsi="Arial" w:cs="Arial"/>
        </w:rPr>
        <w:t xml:space="preserve"> states to filter or sort by rule </w:t>
      </w:r>
      <w:r w:rsidR="004D3875">
        <w:rPr>
          <w:rFonts w:ascii="Arial" w:hAnsi="Arial" w:cs="Arial"/>
        </w:rPr>
        <w:t>characteristics</w:t>
      </w:r>
      <w:r w:rsidR="005F3318">
        <w:rPr>
          <w:rFonts w:ascii="Arial" w:hAnsi="Arial" w:cs="Arial"/>
        </w:rPr>
        <w:t xml:space="preserve"> across </w:t>
      </w:r>
      <w:r w:rsidR="00692BEA">
        <w:rPr>
          <w:rFonts w:ascii="Arial" w:hAnsi="Arial" w:cs="Arial"/>
        </w:rPr>
        <w:t>DQ efforts.  For example, you can filter by the</w:t>
      </w:r>
      <w:r w:rsidR="004743B4">
        <w:rPr>
          <w:rFonts w:ascii="Arial" w:hAnsi="Arial" w:cs="Arial"/>
        </w:rPr>
        <w:t xml:space="preserve"> </w:t>
      </w:r>
      <w:r w:rsidR="003347B0">
        <w:rPr>
          <w:rFonts w:ascii="Arial" w:hAnsi="Arial" w:cs="Arial"/>
        </w:rPr>
        <w:t>a</w:t>
      </w:r>
      <w:r w:rsidR="004743B4">
        <w:rPr>
          <w:rFonts w:ascii="Arial" w:hAnsi="Arial" w:cs="Arial"/>
        </w:rPr>
        <w:t xml:space="preserve">ssessment </w:t>
      </w:r>
      <w:r w:rsidR="00692BEA">
        <w:rPr>
          <w:rFonts w:ascii="Arial" w:hAnsi="Arial" w:cs="Arial"/>
        </w:rPr>
        <w:t xml:space="preserve">file specifications or </w:t>
      </w:r>
      <w:r w:rsidR="004743B4">
        <w:rPr>
          <w:rFonts w:ascii="Arial" w:hAnsi="Arial" w:cs="Arial"/>
        </w:rPr>
        <w:t xml:space="preserve">data groups </w:t>
      </w:r>
      <w:r w:rsidR="005F3318">
        <w:rPr>
          <w:rFonts w:ascii="Arial" w:hAnsi="Arial" w:cs="Arial"/>
        </w:rPr>
        <w:t xml:space="preserve">to </w:t>
      </w:r>
      <w:r w:rsidR="00692BEA">
        <w:rPr>
          <w:rFonts w:ascii="Arial" w:hAnsi="Arial" w:cs="Arial"/>
        </w:rPr>
        <w:t xml:space="preserve">get a list of DQ rules applied through </w:t>
      </w:r>
      <w:r w:rsidR="005F3318">
        <w:rPr>
          <w:rFonts w:ascii="Arial" w:hAnsi="Arial" w:cs="Arial"/>
        </w:rPr>
        <w:t xml:space="preserve">ESS </w:t>
      </w:r>
      <w:r w:rsidR="003347B0">
        <w:rPr>
          <w:rFonts w:ascii="Arial" w:hAnsi="Arial" w:cs="Arial"/>
        </w:rPr>
        <w:t xml:space="preserve">submission </w:t>
      </w:r>
      <w:r w:rsidR="005F3318">
        <w:rPr>
          <w:rFonts w:ascii="Arial" w:hAnsi="Arial" w:cs="Arial"/>
        </w:rPr>
        <w:t>rules</w:t>
      </w:r>
      <w:r w:rsidR="001378FA">
        <w:rPr>
          <w:rFonts w:ascii="Arial" w:hAnsi="Arial" w:cs="Arial"/>
        </w:rPr>
        <w:t xml:space="preserve"> and</w:t>
      </w:r>
      <w:r w:rsidR="003347B0">
        <w:rPr>
          <w:rFonts w:ascii="Arial" w:hAnsi="Arial" w:cs="Arial"/>
        </w:rPr>
        <w:t xml:space="preserve"> CDQR and IDEA</w:t>
      </w:r>
      <w:r w:rsidR="005F3318">
        <w:rPr>
          <w:rFonts w:ascii="Arial" w:hAnsi="Arial" w:cs="Arial"/>
        </w:rPr>
        <w:t xml:space="preserve"> post-submission rules.</w:t>
      </w:r>
    </w:p>
    <w:p w14:paraId="31518D4E" w14:textId="77777777" w:rsidR="0070240E" w:rsidRDefault="00635B0D" w:rsidP="00B94E5D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In the initial version of the </w:t>
      </w:r>
      <w:r w:rsidRPr="004D3875">
        <w:rPr>
          <w:rFonts w:ascii="Arial" w:hAnsi="Arial" w:cs="Arial"/>
        </w:rPr>
        <w:t>ED</w:t>
      </w:r>
      <w:r w:rsidRPr="00E9149A">
        <w:rPr>
          <w:rFonts w:ascii="Arial" w:hAnsi="Arial" w:cs="Arial"/>
          <w:i/>
        </w:rPr>
        <w:t xml:space="preserve">Facts </w:t>
      </w:r>
      <w:r w:rsidRPr="004D3875">
        <w:rPr>
          <w:rFonts w:ascii="Arial" w:hAnsi="Arial" w:cs="Arial"/>
        </w:rPr>
        <w:t>Business Rules Single Inventory</w:t>
      </w:r>
      <w:r>
        <w:rPr>
          <w:rFonts w:ascii="Arial" w:hAnsi="Arial" w:cs="Arial"/>
        </w:rPr>
        <w:t>, the rule types and formats for rule IDs, d</w:t>
      </w:r>
      <w:r w:rsidRPr="00635B0D">
        <w:rPr>
          <w:rFonts w:ascii="Arial" w:hAnsi="Arial" w:cs="Arial"/>
        </w:rPr>
        <w:t>efinition</w:t>
      </w:r>
      <w:r>
        <w:rPr>
          <w:rFonts w:ascii="Arial" w:hAnsi="Arial" w:cs="Arial"/>
        </w:rPr>
        <w:t>, r</w:t>
      </w:r>
      <w:r w:rsidRPr="00635B0D">
        <w:rPr>
          <w:rFonts w:ascii="Arial" w:hAnsi="Arial" w:cs="Arial"/>
        </w:rPr>
        <w:t>ule Logic</w:t>
      </w:r>
      <w:r>
        <w:rPr>
          <w:rFonts w:ascii="Arial" w:hAnsi="Arial" w:cs="Arial"/>
        </w:rPr>
        <w:t>, error m</w:t>
      </w:r>
      <w:r w:rsidRPr="00635B0D">
        <w:rPr>
          <w:rFonts w:ascii="Arial" w:hAnsi="Arial" w:cs="Arial"/>
        </w:rPr>
        <w:t>essage</w:t>
      </w:r>
      <w:r>
        <w:rPr>
          <w:rFonts w:ascii="Arial" w:hAnsi="Arial" w:cs="Arial"/>
        </w:rPr>
        <w:t>, and edit f</w:t>
      </w:r>
      <w:r w:rsidRPr="00635B0D">
        <w:rPr>
          <w:rFonts w:ascii="Arial" w:hAnsi="Arial" w:cs="Arial"/>
        </w:rPr>
        <w:t>ormula</w:t>
      </w:r>
      <w:r>
        <w:rPr>
          <w:rFonts w:ascii="Arial" w:hAnsi="Arial" w:cs="Arial"/>
        </w:rPr>
        <w:t xml:space="preserve"> align with the legacy material. In future iterations of the Single Inventory, </w:t>
      </w:r>
      <w:r w:rsidR="00110489">
        <w:rPr>
          <w:rFonts w:ascii="Arial" w:hAnsi="Arial" w:cs="Arial"/>
        </w:rPr>
        <w:t>we plan to standardize across systems of publication</w:t>
      </w:r>
      <w:r w:rsidR="00110489" w:rsidRPr="00110489">
        <w:rPr>
          <w:rFonts w:ascii="Arial" w:hAnsi="Arial" w:cs="Arial"/>
        </w:rPr>
        <w:t>.</w:t>
      </w:r>
      <w:r w:rsidR="0070240E">
        <w:rPr>
          <w:rFonts w:ascii="Arial" w:hAnsi="Arial" w:cs="Arial"/>
        </w:rPr>
        <w:t xml:space="preserve">  </w:t>
      </w:r>
    </w:p>
    <w:p w14:paraId="69C5560E" w14:textId="4524D6CF" w:rsidR="00C6575E" w:rsidRPr="004D3875" w:rsidRDefault="0070240E" w:rsidP="00B94E5D">
      <w:pPr>
        <w:spacing w:after="240"/>
        <w:rPr>
          <w:rFonts w:ascii="Arial" w:hAnsi="Arial" w:cs="Arial"/>
        </w:rPr>
      </w:pPr>
      <w:r w:rsidRPr="0070240E"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 xml:space="preserve"> Rule IDs have not been assigned to E</w:t>
      </w:r>
      <w:r w:rsidRPr="0070240E">
        <w:rPr>
          <w:rFonts w:ascii="Arial" w:hAnsi="Arial" w:cs="Arial"/>
          <w:i/>
        </w:rPr>
        <w:t>MAPS</w:t>
      </w:r>
      <w:r>
        <w:rPr>
          <w:rFonts w:ascii="Arial" w:hAnsi="Arial" w:cs="Arial"/>
        </w:rPr>
        <w:t xml:space="preserve"> business rules at this time.  The error messages for these business rules are unique within collection and can be used as a reference.</w:t>
      </w:r>
    </w:p>
    <w:p w14:paraId="5283557D" w14:textId="77777777" w:rsidR="00312FDC" w:rsidRDefault="00312FDC" w:rsidP="00312FDC">
      <w:pPr>
        <w:pStyle w:val="Heading1"/>
        <w:keepLines w:val="0"/>
        <w:spacing w:after="240" w:line="240" w:lineRule="auto"/>
        <w:rPr>
          <w:rFonts w:ascii="Arial" w:eastAsia="Times New Roman" w:hAnsi="Arial" w:cs="Arial"/>
          <w:b/>
          <w:bCs/>
          <w:caps/>
          <w:color w:val="145192"/>
          <w:sz w:val="24"/>
          <w:szCs w:val="24"/>
        </w:rPr>
        <w:sectPr w:rsidR="00312FDC" w:rsidSect="00A13388">
          <w:headerReference w:type="default" r:id="rId12"/>
          <w:footerReference w:type="default" r:id="rId13"/>
          <w:head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01CA99" w14:textId="6D9A2A59" w:rsidR="00FD4997" w:rsidRPr="004D3875" w:rsidRDefault="00312FDC" w:rsidP="004D3875">
      <w:pPr>
        <w:pStyle w:val="Heading1"/>
        <w:keepLines w:val="0"/>
        <w:spacing w:after="240" w:line="240" w:lineRule="auto"/>
        <w:rPr>
          <w:rFonts w:ascii="Arial" w:eastAsia="Times New Roman" w:hAnsi="Arial" w:cs="Arial"/>
          <w:b/>
          <w:bCs/>
          <w:caps/>
          <w:color w:val="145192"/>
          <w:sz w:val="24"/>
          <w:szCs w:val="24"/>
        </w:rPr>
        <w:sectPr w:rsidR="00FD4997" w:rsidRPr="004D3875" w:rsidSect="00A133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Arial"/>
          <w:b/>
          <w:bCs/>
          <w:caps/>
          <w:color w:val="145192"/>
          <w:sz w:val="24"/>
          <w:szCs w:val="24"/>
        </w:rPr>
        <w:t>Single Inventory Contents</w:t>
      </w:r>
    </w:p>
    <w:p w14:paraId="34D92742" w14:textId="6B2C0C32" w:rsidR="00FD4997" w:rsidRPr="004D3875" w:rsidRDefault="0080778A" w:rsidP="0080778A">
      <w:pPr>
        <w:spacing w:before="120" w:after="120"/>
        <w:sectPr w:rsidR="00FD4997" w:rsidRPr="004D3875" w:rsidSect="004D38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i/>
          <w:color w:val="145192"/>
        </w:rPr>
        <w:t>Previously published</w:t>
      </w:r>
      <w:r w:rsidRPr="004D3875">
        <w:rPr>
          <w:rFonts w:ascii="Arial" w:hAnsi="Arial" w:cs="Arial"/>
          <w:b/>
          <w:i/>
          <w:color w:val="145192"/>
        </w:rPr>
        <w:t>:</w:t>
      </w:r>
      <w:r w:rsidR="00312FDC" w:rsidRPr="004D3875" w:rsidDel="00AE0BD4">
        <w:rPr>
          <w:rFonts w:ascii="Arial" w:hAnsi="Arial" w:cs="Arial"/>
        </w:rPr>
        <w:t xml:space="preserve"> </w:t>
      </w:r>
    </w:p>
    <w:p w14:paraId="09C3D6C3" w14:textId="40485041" w:rsidR="00C6575E" w:rsidRPr="004D3875" w:rsidRDefault="003347B0" w:rsidP="004D387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ED</w:t>
      </w:r>
      <w:r w:rsidRPr="003347B0">
        <w:rPr>
          <w:rFonts w:ascii="Arial" w:hAnsi="Arial" w:cs="Arial"/>
          <w:i/>
          <w:sz w:val="22"/>
          <w:szCs w:val="22"/>
        </w:rPr>
        <w:t>Facts</w:t>
      </w:r>
      <w:r>
        <w:rPr>
          <w:rFonts w:ascii="Arial" w:hAnsi="Arial" w:cs="Arial"/>
          <w:sz w:val="22"/>
          <w:szCs w:val="22"/>
        </w:rPr>
        <w:t xml:space="preserve"> Submission System (</w:t>
      </w:r>
      <w:r w:rsidR="00C6575E" w:rsidRPr="004D3875">
        <w:rPr>
          <w:rFonts w:ascii="Arial" w:hAnsi="Arial" w:cs="Arial"/>
          <w:sz w:val="22"/>
          <w:szCs w:val="22"/>
        </w:rPr>
        <w:t>ESS</w:t>
      </w:r>
      <w:r>
        <w:rPr>
          <w:rFonts w:ascii="Arial" w:hAnsi="Arial" w:cs="Arial"/>
          <w:sz w:val="22"/>
          <w:szCs w:val="22"/>
        </w:rPr>
        <w:t>)</w:t>
      </w:r>
      <w:r w:rsidR="00604DE8" w:rsidRPr="004D3875">
        <w:rPr>
          <w:rFonts w:ascii="Arial" w:hAnsi="Arial" w:cs="Arial"/>
          <w:sz w:val="22"/>
          <w:szCs w:val="22"/>
        </w:rPr>
        <w:t xml:space="preserve"> (SY 2017-18)</w:t>
      </w:r>
    </w:p>
    <w:p w14:paraId="3912AAC4" w14:textId="77777777" w:rsidR="00C6575E" w:rsidRPr="004D3875" w:rsidRDefault="001D1C4A" w:rsidP="004D387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4D3875">
        <w:rPr>
          <w:rFonts w:ascii="Arial" w:hAnsi="Arial" w:cs="Arial"/>
          <w:sz w:val="22"/>
          <w:szCs w:val="22"/>
        </w:rPr>
        <w:t>Consolidated State Performance Report (</w:t>
      </w:r>
      <w:r w:rsidR="00C6575E" w:rsidRPr="004D3875">
        <w:rPr>
          <w:rFonts w:ascii="Arial" w:hAnsi="Arial" w:cs="Arial"/>
          <w:sz w:val="22"/>
          <w:szCs w:val="22"/>
        </w:rPr>
        <w:t>CSPR</w:t>
      </w:r>
      <w:r w:rsidRPr="004D3875">
        <w:rPr>
          <w:rFonts w:ascii="Arial" w:hAnsi="Arial" w:cs="Arial"/>
          <w:sz w:val="22"/>
          <w:szCs w:val="22"/>
        </w:rPr>
        <w:t>)</w:t>
      </w:r>
      <w:r w:rsidR="00604DE8" w:rsidRPr="004D3875">
        <w:rPr>
          <w:rFonts w:ascii="Arial" w:hAnsi="Arial" w:cs="Arial"/>
          <w:sz w:val="22"/>
          <w:szCs w:val="22"/>
        </w:rPr>
        <w:t xml:space="preserve"> (SY 2016-17)</w:t>
      </w:r>
    </w:p>
    <w:p w14:paraId="1C2DF653" w14:textId="77777777" w:rsidR="00C6575E" w:rsidRPr="004D3875" w:rsidRDefault="001D1C4A" w:rsidP="004D387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4D3875">
        <w:rPr>
          <w:rFonts w:ascii="Arial" w:hAnsi="Arial" w:cs="Arial"/>
          <w:sz w:val="22"/>
          <w:szCs w:val="22"/>
        </w:rPr>
        <w:t>Data Management System (</w:t>
      </w:r>
      <w:r w:rsidR="00C6575E" w:rsidRPr="004D3875">
        <w:rPr>
          <w:rFonts w:ascii="Arial" w:hAnsi="Arial" w:cs="Arial"/>
          <w:sz w:val="22"/>
          <w:szCs w:val="22"/>
        </w:rPr>
        <w:t>DMS</w:t>
      </w:r>
      <w:r w:rsidRPr="004D3875">
        <w:rPr>
          <w:rFonts w:ascii="Arial" w:hAnsi="Arial" w:cs="Arial"/>
          <w:sz w:val="22"/>
          <w:szCs w:val="22"/>
        </w:rPr>
        <w:t>)</w:t>
      </w:r>
      <w:r w:rsidR="00604DE8" w:rsidRPr="004D3875">
        <w:rPr>
          <w:rFonts w:ascii="Arial" w:hAnsi="Arial" w:cs="Arial"/>
          <w:sz w:val="22"/>
          <w:szCs w:val="22"/>
        </w:rPr>
        <w:t xml:space="preserve"> (SY 2017-18)</w:t>
      </w:r>
    </w:p>
    <w:p w14:paraId="2A4F8ED1" w14:textId="3BC65480" w:rsidR="00AE0BD4" w:rsidRPr="004D3875" w:rsidRDefault="00AE0BD4" w:rsidP="004D3875">
      <w:pPr>
        <w:spacing w:before="120" w:after="120"/>
        <w:rPr>
          <w:rFonts w:ascii="Arial" w:hAnsi="Arial" w:cs="Arial"/>
          <w:b/>
          <w:i/>
          <w:color w:val="145192"/>
        </w:rPr>
      </w:pPr>
      <w:r w:rsidRPr="004D3875">
        <w:rPr>
          <w:rFonts w:ascii="Arial" w:hAnsi="Arial" w:cs="Arial"/>
          <w:b/>
          <w:i/>
          <w:color w:val="145192"/>
        </w:rPr>
        <w:t xml:space="preserve">First-time </w:t>
      </w:r>
      <w:r w:rsidR="00192246">
        <w:rPr>
          <w:rFonts w:ascii="Arial" w:hAnsi="Arial" w:cs="Arial"/>
          <w:b/>
          <w:i/>
          <w:color w:val="145192"/>
        </w:rPr>
        <w:t>publication</w:t>
      </w:r>
      <w:r w:rsidR="0070240E">
        <w:rPr>
          <w:rFonts w:ascii="Arial" w:hAnsi="Arial" w:cs="Arial"/>
          <w:b/>
          <w:i/>
          <w:color w:val="145192"/>
        </w:rPr>
        <w:t xml:space="preserve"> in version 1.0</w:t>
      </w:r>
      <w:r w:rsidRPr="004D3875">
        <w:rPr>
          <w:rFonts w:ascii="Arial" w:hAnsi="Arial" w:cs="Arial"/>
          <w:b/>
          <w:i/>
          <w:color w:val="145192"/>
        </w:rPr>
        <w:t>:</w:t>
      </w:r>
    </w:p>
    <w:p w14:paraId="4926B866" w14:textId="77777777" w:rsidR="00312FDC" w:rsidRDefault="00312FDC" w:rsidP="00711C4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2"/>
          <w:szCs w:val="22"/>
        </w:rPr>
        <w:sectPr w:rsidR="00312FDC" w:rsidSect="00A133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98FB15" w14:textId="1461AC19" w:rsidR="00AE0BD4" w:rsidRDefault="004743B4" w:rsidP="004D387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Individuals with Disabilities Education Act (</w:t>
      </w:r>
      <w:r w:rsidR="00C6575E" w:rsidRPr="004D3875">
        <w:rPr>
          <w:rFonts w:ascii="Arial" w:hAnsi="Arial" w:cs="Arial"/>
          <w:sz w:val="22"/>
          <w:szCs w:val="22"/>
        </w:rPr>
        <w:t>IDEA</w:t>
      </w:r>
      <w:r>
        <w:rPr>
          <w:rFonts w:ascii="Arial" w:hAnsi="Arial" w:cs="Arial"/>
          <w:sz w:val="22"/>
          <w:szCs w:val="22"/>
        </w:rPr>
        <w:t>)</w:t>
      </w:r>
      <w:r w:rsidR="00C6575E" w:rsidRPr="004D3875">
        <w:rPr>
          <w:rFonts w:ascii="Arial" w:hAnsi="Arial" w:cs="Arial"/>
          <w:sz w:val="22"/>
          <w:szCs w:val="22"/>
        </w:rPr>
        <w:t xml:space="preserve"> </w:t>
      </w:r>
      <w:r w:rsidRPr="004D3875">
        <w:rPr>
          <w:rFonts w:ascii="Arial" w:hAnsi="Arial" w:cs="Arial"/>
          <w:sz w:val="22"/>
          <w:szCs w:val="22"/>
        </w:rPr>
        <w:t xml:space="preserve">post-submission data quality </w:t>
      </w:r>
      <w:r>
        <w:rPr>
          <w:rFonts w:ascii="Arial" w:hAnsi="Arial" w:cs="Arial"/>
          <w:sz w:val="22"/>
          <w:szCs w:val="22"/>
        </w:rPr>
        <w:t>reviews</w:t>
      </w:r>
    </w:p>
    <w:p w14:paraId="1EFC0EA3" w14:textId="77777777" w:rsidR="001C5DD5" w:rsidRDefault="001C5DD5" w:rsidP="00B92716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2"/>
          <w:szCs w:val="22"/>
        </w:rPr>
        <w:sectPr w:rsidR="001C5DD5" w:rsidSect="004D38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A15B90" w14:textId="772C0045" w:rsidR="0080778A" w:rsidRPr="0080778A" w:rsidRDefault="0080778A" w:rsidP="001378FA">
      <w:pPr>
        <w:spacing w:after="0" w:line="240" w:lineRule="auto"/>
        <w:ind w:left="720"/>
        <w:rPr>
          <w:rFonts w:ascii="Arial" w:hAnsi="Arial" w:cs="Arial"/>
        </w:rPr>
      </w:pPr>
      <w:r w:rsidRPr="0080778A">
        <w:rPr>
          <w:rFonts w:ascii="Arial" w:hAnsi="Arial" w:cs="Arial"/>
        </w:rPr>
        <w:t>Part B:</w:t>
      </w:r>
    </w:p>
    <w:p w14:paraId="3E1AD6FB" w14:textId="5A5D2749" w:rsidR="00B92716" w:rsidRDefault="00B92716" w:rsidP="001378FA">
      <w:pPr>
        <w:pStyle w:val="ListParagraph"/>
        <w:numPr>
          <w:ilvl w:val="1"/>
          <w:numId w:val="6"/>
        </w:numPr>
        <w:spacing w:before="0" w:after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Assessment</w:t>
      </w:r>
      <w:r w:rsidR="004743B4">
        <w:rPr>
          <w:rFonts w:ascii="Arial" w:hAnsi="Arial" w:cs="Arial"/>
          <w:sz w:val="22"/>
          <w:szCs w:val="22"/>
        </w:rPr>
        <w:t xml:space="preserve"> (SY 2016-17)</w:t>
      </w:r>
    </w:p>
    <w:p w14:paraId="0FD9A0D3" w14:textId="3617BA86" w:rsidR="00B92716" w:rsidRDefault="00B92716" w:rsidP="001378FA">
      <w:pPr>
        <w:pStyle w:val="ListParagraph"/>
        <w:numPr>
          <w:ilvl w:val="1"/>
          <w:numId w:val="6"/>
        </w:numPr>
        <w:spacing w:before="0" w:after="0"/>
        <w:ind w:left="1080"/>
        <w:rPr>
          <w:rFonts w:ascii="Arial" w:hAnsi="Arial" w:cs="Arial"/>
          <w:sz w:val="22"/>
          <w:szCs w:val="22"/>
        </w:rPr>
      </w:pPr>
      <w:r w:rsidRPr="00B92716">
        <w:rPr>
          <w:rFonts w:ascii="Arial" w:hAnsi="Arial" w:cs="Arial"/>
          <w:sz w:val="22"/>
          <w:szCs w:val="22"/>
        </w:rPr>
        <w:t>Child Count</w:t>
      </w:r>
      <w:r w:rsidR="004743B4">
        <w:rPr>
          <w:rFonts w:ascii="Arial" w:hAnsi="Arial" w:cs="Arial"/>
          <w:sz w:val="22"/>
          <w:szCs w:val="22"/>
        </w:rPr>
        <w:t xml:space="preserve"> (SY 2017-18)</w:t>
      </w:r>
    </w:p>
    <w:p w14:paraId="4A8CC813" w14:textId="732C5B80" w:rsidR="00B92716" w:rsidRPr="00B92716" w:rsidRDefault="00B92716" w:rsidP="001378FA">
      <w:pPr>
        <w:pStyle w:val="ListParagraph"/>
        <w:numPr>
          <w:ilvl w:val="1"/>
          <w:numId w:val="6"/>
        </w:numPr>
        <w:spacing w:before="0" w:after="0"/>
        <w:ind w:left="1080"/>
        <w:rPr>
          <w:rFonts w:ascii="Arial" w:hAnsi="Arial" w:cs="Arial"/>
          <w:sz w:val="22"/>
          <w:szCs w:val="22"/>
        </w:rPr>
      </w:pPr>
      <w:r w:rsidRPr="00B92716">
        <w:rPr>
          <w:rFonts w:ascii="Arial" w:hAnsi="Arial" w:cs="Arial"/>
          <w:sz w:val="22"/>
          <w:szCs w:val="22"/>
        </w:rPr>
        <w:t>Discipline</w:t>
      </w:r>
      <w:r w:rsidR="004743B4">
        <w:rPr>
          <w:rFonts w:ascii="Arial" w:hAnsi="Arial" w:cs="Arial"/>
          <w:sz w:val="22"/>
          <w:szCs w:val="22"/>
        </w:rPr>
        <w:t xml:space="preserve"> (SY 2016-17)</w:t>
      </w:r>
    </w:p>
    <w:p w14:paraId="469A6601" w14:textId="474F001F" w:rsidR="00B92716" w:rsidRDefault="00B92716" w:rsidP="001378FA">
      <w:pPr>
        <w:pStyle w:val="ListParagraph"/>
        <w:numPr>
          <w:ilvl w:val="1"/>
          <w:numId w:val="6"/>
        </w:numPr>
        <w:spacing w:before="0" w:after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Dispute Resolution</w:t>
      </w:r>
      <w:r w:rsidR="004743B4">
        <w:rPr>
          <w:rFonts w:ascii="Arial" w:hAnsi="Arial" w:cs="Arial"/>
          <w:sz w:val="22"/>
          <w:szCs w:val="22"/>
        </w:rPr>
        <w:t xml:space="preserve"> (SY 2016-17)</w:t>
      </w:r>
    </w:p>
    <w:p w14:paraId="190AB6C9" w14:textId="3484A452" w:rsidR="00B92716" w:rsidRDefault="00B92716" w:rsidP="001378FA">
      <w:pPr>
        <w:pStyle w:val="ListParagraph"/>
        <w:numPr>
          <w:ilvl w:val="1"/>
          <w:numId w:val="6"/>
        </w:numPr>
        <w:spacing w:before="0" w:after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Exiting</w:t>
      </w:r>
      <w:r w:rsidR="004743B4">
        <w:rPr>
          <w:rFonts w:ascii="Arial" w:hAnsi="Arial" w:cs="Arial"/>
          <w:sz w:val="22"/>
          <w:szCs w:val="22"/>
        </w:rPr>
        <w:t xml:space="preserve"> (SY 2016-17)</w:t>
      </w:r>
    </w:p>
    <w:p w14:paraId="73227D70" w14:textId="6C5D75D2" w:rsidR="0080778A" w:rsidRDefault="0080778A" w:rsidP="001378FA">
      <w:pPr>
        <w:pStyle w:val="ListParagraph"/>
        <w:numPr>
          <w:ilvl w:val="1"/>
          <w:numId w:val="6"/>
        </w:numPr>
        <w:spacing w:before="0" w:after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MOE &amp; CEIS (SY 2016-17)</w:t>
      </w:r>
    </w:p>
    <w:p w14:paraId="0D331C8A" w14:textId="5BC17952" w:rsidR="0080778A" w:rsidRDefault="0080778A" w:rsidP="001378FA">
      <w:pPr>
        <w:pStyle w:val="ListParagraph"/>
        <w:numPr>
          <w:ilvl w:val="1"/>
          <w:numId w:val="6"/>
        </w:numPr>
        <w:spacing w:before="0" w:after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Personnel (SY 2016-17)</w:t>
      </w:r>
    </w:p>
    <w:p w14:paraId="3528EEF2" w14:textId="7E638091" w:rsidR="0080778A" w:rsidRPr="0080778A" w:rsidRDefault="0080778A" w:rsidP="001378FA">
      <w:pPr>
        <w:spacing w:after="0"/>
        <w:ind w:left="360"/>
        <w:rPr>
          <w:rFonts w:ascii="Arial" w:hAnsi="Arial" w:cs="Arial"/>
        </w:rPr>
      </w:pPr>
      <w:r w:rsidRPr="0080778A">
        <w:rPr>
          <w:rFonts w:ascii="Arial" w:hAnsi="Arial" w:cs="Arial"/>
        </w:rPr>
        <w:t>Part C</w:t>
      </w:r>
    </w:p>
    <w:p w14:paraId="7B438945" w14:textId="5B8B3751" w:rsidR="004743B4" w:rsidRDefault="00B92716" w:rsidP="001378FA">
      <w:pPr>
        <w:pStyle w:val="ListParagraph"/>
        <w:numPr>
          <w:ilvl w:val="1"/>
          <w:numId w:val="6"/>
        </w:numPr>
        <w:spacing w:before="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Child Count </w:t>
      </w:r>
      <w:r w:rsidR="004743B4">
        <w:rPr>
          <w:rFonts w:ascii="Arial" w:hAnsi="Arial" w:cs="Arial"/>
          <w:sz w:val="22"/>
          <w:szCs w:val="22"/>
        </w:rPr>
        <w:t>(SY 2017-18)</w:t>
      </w:r>
    </w:p>
    <w:p w14:paraId="4F79CB21" w14:textId="4E307386" w:rsidR="00B92716" w:rsidRDefault="00B92716" w:rsidP="001378FA">
      <w:pPr>
        <w:pStyle w:val="ListParagraph"/>
        <w:numPr>
          <w:ilvl w:val="1"/>
          <w:numId w:val="6"/>
        </w:numPr>
        <w:spacing w:before="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Dispute Resolution</w:t>
      </w:r>
      <w:r w:rsidR="004743B4">
        <w:rPr>
          <w:rFonts w:ascii="Arial" w:hAnsi="Arial" w:cs="Arial"/>
          <w:sz w:val="22"/>
          <w:szCs w:val="22"/>
        </w:rPr>
        <w:t xml:space="preserve"> (SY 2016-17)</w:t>
      </w:r>
    </w:p>
    <w:p w14:paraId="328FF95A" w14:textId="65D36FF2" w:rsidR="001C5DD5" w:rsidRDefault="00B92716" w:rsidP="001378FA">
      <w:pPr>
        <w:pStyle w:val="ListParagraph"/>
        <w:numPr>
          <w:ilvl w:val="1"/>
          <w:numId w:val="6"/>
        </w:numPr>
        <w:spacing w:before="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Exiting</w:t>
      </w:r>
      <w:r w:rsidR="004743B4">
        <w:rPr>
          <w:rFonts w:ascii="Arial" w:hAnsi="Arial" w:cs="Arial"/>
          <w:sz w:val="22"/>
          <w:szCs w:val="22"/>
        </w:rPr>
        <w:t xml:space="preserve"> (SY 2016-17)</w:t>
      </w:r>
    </w:p>
    <w:p w14:paraId="7B7A8355" w14:textId="6005B023" w:rsidR="001378FA" w:rsidRDefault="001378FA" w:rsidP="001378FA">
      <w:pPr>
        <w:spacing w:after="0"/>
        <w:rPr>
          <w:rFonts w:ascii="Arial" w:hAnsi="Arial" w:cs="Arial"/>
        </w:rPr>
      </w:pPr>
    </w:p>
    <w:p w14:paraId="554306FB" w14:textId="77777777" w:rsidR="001378FA" w:rsidRPr="001378FA" w:rsidRDefault="001378FA" w:rsidP="001378FA">
      <w:pPr>
        <w:spacing w:after="0"/>
        <w:rPr>
          <w:rFonts w:ascii="Arial" w:hAnsi="Arial" w:cs="Arial"/>
        </w:rPr>
      </w:pPr>
    </w:p>
    <w:p w14:paraId="5924D901" w14:textId="7E5F8C22" w:rsidR="001378FA" w:rsidRPr="004743B4" w:rsidRDefault="001378FA" w:rsidP="001378FA">
      <w:pPr>
        <w:pStyle w:val="ListParagraph"/>
        <w:spacing w:before="0" w:after="0"/>
        <w:rPr>
          <w:rFonts w:ascii="Arial" w:hAnsi="Arial" w:cs="Arial"/>
          <w:sz w:val="22"/>
          <w:szCs w:val="22"/>
        </w:rPr>
        <w:sectPr w:rsidR="001378FA" w:rsidRPr="004743B4" w:rsidSect="004743B4">
          <w:type w:val="continuous"/>
          <w:pgSz w:w="12240" w:h="15840"/>
          <w:pgMar w:top="1440" w:right="1440" w:bottom="1440" w:left="1440" w:header="720" w:footer="720" w:gutter="0"/>
          <w:cols w:num="2" w:space="540"/>
          <w:docGrid w:linePitch="360"/>
        </w:sectPr>
      </w:pPr>
    </w:p>
    <w:p w14:paraId="29D57C06" w14:textId="06A3BD45" w:rsidR="00AE0BD4" w:rsidRPr="004D3875" w:rsidRDefault="0080778A" w:rsidP="004D387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Assessment Data </w:t>
      </w:r>
      <w:r w:rsidR="00AE0BD4" w:rsidRPr="004D3875">
        <w:rPr>
          <w:rFonts w:ascii="Arial" w:hAnsi="Arial" w:cs="Arial"/>
          <w:sz w:val="22"/>
          <w:szCs w:val="22"/>
        </w:rPr>
        <w:t>Post-</w:t>
      </w:r>
      <w:r w:rsidR="001378FA">
        <w:rPr>
          <w:rFonts w:ascii="Arial" w:hAnsi="Arial" w:cs="Arial"/>
          <w:sz w:val="22"/>
          <w:szCs w:val="22"/>
        </w:rPr>
        <w:t>Submission</w:t>
      </w:r>
      <w:r w:rsidR="00AE0BD4" w:rsidRPr="004D3875">
        <w:rPr>
          <w:rFonts w:ascii="Arial" w:hAnsi="Arial" w:cs="Arial"/>
          <w:sz w:val="22"/>
          <w:szCs w:val="22"/>
        </w:rPr>
        <w:t xml:space="preserve"> Coordinated Data Quality Review </w:t>
      </w:r>
      <w:r w:rsidR="00B92716">
        <w:rPr>
          <w:rFonts w:ascii="Arial" w:hAnsi="Arial" w:cs="Arial"/>
          <w:sz w:val="22"/>
          <w:szCs w:val="22"/>
        </w:rPr>
        <w:t xml:space="preserve">(CDQR) </w:t>
      </w:r>
      <w:r w:rsidR="00604DE8" w:rsidRPr="004D3875">
        <w:rPr>
          <w:rFonts w:ascii="Arial" w:hAnsi="Arial" w:cs="Arial"/>
          <w:sz w:val="22"/>
          <w:szCs w:val="22"/>
        </w:rPr>
        <w:t>(SY 2016-17)</w:t>
      </w:r>
      <w:r w:rsidR="00AE0BD4" w:rsidRPr="004D3875">
        <w:rPr>
          <w:rFonts w:ascii="Arial" w:hAnsi="Arial" w:cs="Arial"/>
          <w:sz w:val="22"/>
          <w:szCs w:val="22"/>
        </w:rPr>
        <w:t xml:space="preserve"> </w:t>
      </w:r>
    </w:p>
    <w:p w14:paraId="7E03CAF7" w14:textId="0A8E6092" w:rsidR="00C6575E" w:rsidRPr="004D3875" w:rsidRDefault="0080778A" w:rsidP="004D387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2"/>
          <w:szCs w:val="22"/>
        </w:rPr>
      </w:pPr>
      <w:r w:rsidRPr="004743B4">
        <w:rPr>
          <w:rFonts w:ascii="Arial" w:hAnsi="Arial" w:cs="Arial"/>
          <w:sz w:val="22"/>
          <w:szCs w:val="22"/>
        </w:rPr>
        <w:t xml:space="preserve">Adjusted-Cohort Graduation Rate </w:t>
      </w:r>
      <w:r>
        <w:rPr>
          <w:rFonts w:ascii="Arial" w:hAnsi="Arial" w:cs="Arial"/>
          <w:sz w:val="22"/>
          <w:szCs w:val="22"/>
        </w:rPr>
        <w:t>(</w:t>
      </w:r>
      <w:r w:rsidRPr="004D3875">
        <w:rPr>
          <w:rFonts w:ascii="Arial" w:hAnsi="Arial" w:cs="Arial"/>
          <w:sz w:val="22"/>
          <w:szCs w:val="22"/>
        </w:rPr>
        <w:t>ACGR</w:t>
      </w:r>
      <w:r>
        <w:rPr>
          <w:rFonts w:ascii="Arial" w:hAnsi="Arial" w:cs="Arial"/>
          <w:sz w:val="22"/>
          <w:szCs w:val="22"/>
        </w:rPr>
        <w:t>)</w:t>
      </w:r>
      <w:r w:rsidRPr="004D3875">
        <w:rPr>
          <w:rFonts w:ascii="Arial" w:hAnsi="Arial" w:cs="Arial"/>
          <w:sz w:val="22"/>
          <w:szCs w:val="22"/>
        </w:rPr>
        <w:t xml:space="preserve"> data </w:t>
      </w:r>
      <w:r w:rsidR="00AE0BD4" w:rsidRPr="004D3875">
        <w:rPr>
          <w:rFonts w:ascii="Arial" w:hAnsi="Arial" w:cs="Arial"/>
          <w:sz w:val="22"/>
          <w:szCs w:val="22"/>
        </w:rPr>
        <w:t>Post-</w:t>
      </w:r>
      <w:r w:rsidR="001378FA">
        <w:rPr>
          <w:rFonts w:ascii="Arial" w:hAnsi="Arial" w:cs="Arial"/>
          <w:sz w:val="22"/>
          <w:szCs w:val="22"/>
        </w:rPr>
        <w:t>Submission</w:t>
      </w:r>
      <w:r w:rsidR="00AE0BD4" w:rsidRPr="004D3875">
        <w:rPr>
          <w:rFonts w:ascii="Arial" w:hAnsi="Arial" w:cs="Arial"/>
          <w:sz w:val="22"/>
          <w:szCs w:val="22"/>
        </w:rPr>
        <w:t xml:space="preserve"> Coordinated Data Quality Review </w:t>
      </w:r>
      <w:r w:rsidR="00B92716">
        <w:rPr>
          <w:rFonts w:ascii="Arial" w:hAnsi="Arial" w:cs="Arial"/>
          <w:sz w:val="22"/>
          <w:szCs w:val="22"/>
        </w:rPr>
        <w:t xml:space="preserve">(CDQR) </w:t>
      </w:r>
      <w:r w:rsidR="00AE0BD4" w:rsidRPr="004D3875">
        <w:rPr>
          <w:rFonts w:ascii="Arial" w:hAnsi="Arial" w:cs="Arial"/>
          <w:sz w:val="22"/>
          <w:szCs w:val="22"/>
        </w:rPr>
        <w:t xml:space="preserve">on </w:t>
      </w:r>
      <w:r w:rsidR="00604DE8" w:rsidRPr="004D3875">
        <w:rPr>
          <w:rFonts w:ascii="Arial" w:hAnsi="Arial" w:cs="Arial"/>
          <w:sz w:val="22"/>
          <w:szCs w:val="22"/>
        </w:rPr>
        <w:t>(SY 2016-17)</w:t>
      </w:r>
      <w:r w:rsidR="00AE0BD4" w:rsidRPr="004D3875">
        <w:rPr>
          <w:rFonts w:ascii="Arial" w:hAnsi="Arial" w:cs="Arial"/>
          <w:sz w:val="22"/>
          <w:szCs w:val="22"/>
        </w:rPr>
        <w:t xml:space="preserve"> </w:t>
      </w:r>
    </w:p>
    <w:p w14:paraId="7417471D" w14:textId="42A47B55" w:rsidR="0070240E" w:rsidRPr="0070240E" w:rsidRDefault="0070240E" w:rsidP="0070240E">
      <w:pPr>
        <w:rPr>
          <w:rFonts w:ascii="Arial" w:hAnsi="Arial" w:cs="Arial"/>
          <w:b/>
          <w:i/>
          <w:color w:val="145192"/>
        </w:rPr>
      </w:pPr>
      <w:r w:rsidRPr="0070240E">
        <w:rPr>
          <w:rFonts w:ascii="Arial" w:hAnsi="Arial" w:cs="Arial"/>
          <w:b/>
          <w:i/>
          <w:color w:val="145192"/>
        </w:rPr>
        <w:lastRenderedPageBreak/>
        <w:t>First-time publication</w:t>
      </w:r>
      <w:r>
        <w:rPr>
          <w:rFonts w:ascii="Arial" w:hAnsi="Arial" w:cs="Arial"/>
          <w:b/>
          <w:i/>
          <w:color w:val="145192"/>
        </w:rPr>
        <w:t xml:space="preserve"> in version 1.1</w:t>
      </w:r>
      <w:r w:rsidRPr="0070240E">
        <w:rPr>
          <w:rFonts w:ascii="Arial" w:hAnsi="Arial" w:cs="Arial"/>
          <w:b/>
          <w:i/>
          <w:color w:val="145192"/>
        </w:rPr>
        <w:t>:</w:t>
      </w:r>
    </w:p>
    <w:p w14:paraId="70D426AB" w14:textId="5AC9FA8E" w:rsidR="0070240E" w:rsidRDefault="0070240E" w:rsidP="0070240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2"/>
          <w:szCs w:val="22"/>
        </w:rPr>
      </w:pPr>
      <w:r w:rsidRPr="004D3875">
        <w:rPr>
          <w:rFonts w:ascii="Arial" w:hAnsi="Arial" w:cs="Arial"/>
          <w:sz w:val="22"/>
          <w:szCs w:val="22"/>
        </w:rPr>
        <w:t>ED</w:t>
      </w:r>
      <w:r w:rsidRPr="001C5DD5">
        <w:rPr>
          <w:rFonts w:ascii="Arial" w:hAnsi="Arial" w:cs="Arial"/>
          <w:i/>
          <w:sz w:val="22"/>
          <w:szCs w:val="22"/>
        </w:rPr>
        <w:t xml:space="preserve">Facts </w:t>
      </w:r>
      <w:r w:rsidRPr="004D3875">
        <w:rPr>
          <w:rFonts w:ascii="Arial" w:hAnsi="Arial" w:cs="Arial"/>
          <w:sz w:val="22"/>
          <w:szCs w:val="22"/>
        </w:rPr>
        <w:t>Metadata and Process System (</w:t>
      </w:r>
      <w:r>
        <w:rPr>
          <w:rFonts w:ascii="Arial" w:hAnsi="Arial" w:cs="Arial"/>
          <w:sz w:val="22"/>
          <w:szCs w:val="22"/>
        </w:rPr>
        <w:t>E</w:t>
      </w:r>
      <w:r w:rsidRPr="00B92716">
        <w:rPr>
          <w:rFonts w:ascii="Arial" w:hAnsi="Arial" w:cs="Arial"/>
          <w:i/>
          <w:sz w:val="22"/>
          <w:szCs w:val="22"/>
        </w:rPr>
        <w:t>MAPS</w:t>
      </w:r>
      <w:r w:rsidRPr="004D3875">
        <w:rPr>
          <w:rFonts w:ascii="Arial" w:hAnsi="Arial" w:cs="Arial"/>
          <w:sz w:val="22"/>
          <w:szCs w:val="22"/>
        </w:rPr>
        <w:t>)</w:t>
      </w:r>
    </w:p>
    <w:p w14:paraId="15DC53CD" w14:textId="77777777" w:rsidR="0070240E" w:rsidRPr="009E7A79" w:rsidRDefault="0070240E" w:rsidP="0070240E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sz w:val="22"/>
          <w:szCs w:val="22"/>
        </w:rPr>
      </w:pPr>
      <w:r w:rsidRPr="009E7A79">
        <w:rPr>
          <w:rFonts w:ascii="Arial" w:hAnsi="Arial" w:cs="Arial"/>
          <w:sz w:val="22"/>
          <w:szCs w:val="22"/>
        </w:rPr>
        <w:t xml:space="preserve">IDEA Part </w:t>
      </w:r>
      <w:r>
        <w:rPr>
          <w:rFonts w:ascii="Arial" w:hAnsi="Arial" w:cs="Arial"/>
          <w:sz w:val="22"/>
          <w:szCs w:val="22"/>
        </w:rPr>
        <w:t>B MOE &amp; CEIS</w:t>
      </w:r>
    </w:p>
    <w:p w14:paraId="4087A5AE" w14:textId="77777777" w:rsidR="0070240E" w:rsidRDefault="0070240E" w:rsidP="0070240E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IDEA Part B Dispute Resolution</w:t>
      </w:r>
    </w:p>
    <w:p w14:paraId="2EEBE59E" w14:textId="77777777" w:rsidR="0070240E" w:rsidRDefault="0070240E" w:rsidP="0070240E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IDEA Part C Dispute Resolution</w:t>
      </w:r>
    </w:p>
    <w:p w14:paraId="2AD4BD56" w14:textId="77777777" w:rsidR="0070240E" w:rsidRPr="008F190A" w:rsidRDefault="0070240E" w:rsidP="0070240E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IDEA Part C Exiting</w:t>
      </w:r>
    </w:p>
    <w:p w14:paraId="3E70450A" w14:textId="77777777" w:rsidR="0070240E" w:rsidRDefault="0070240E" w:rsidP="0070240E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IDEA Part C Child Count</w:t>
      </w:r>
    </w:p>
    <w:p w14:paraId="72D0CA94" w14:textId="77777777" w:rsidR="0070240E" w:rsidRDefault="0070240E" w:rsidP="004D3875">
      <w:pPr>
        <w:rPr>
          <w:rFonts w:ascii="Arial" w:eastAsia="Times New Roman" w:hAnsi="Arial" w:cs="Arial"/>
          <w:lang w:bidi="en-US"/>
        </w:rPr>
      </w:pPr>
    </w:p>
    <w:p w14:paraId="020C6F42" w14:textId="320F6AA7" w:rsidR="004D3875" w:rsidRPr="004D3875" w:rsidRDefault="0080778A" w:rsidP="004D3875">
      <w:pPr>
        <w:rPr>
          <w:rFonts w:ascii="Arial" w:eastAsia="Times New Roman" w:hAnsi="Arial" w:cs="Arial"/>
          <w:lang w:bidi="en-US"/>
        </w:rPr>
        <w:sectPr w:rsidR="004D3875" w:rsidRPr="004D3875" w:rsidSect="004D38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Arial"/>
          <w:lang w:bidi="en-US"/>
        </w:rPr>
        <w:t>B</w:t>
      </w:r>
      <w:r w:rsidR="004D3875" w:rsidRPr="004D3875">
        <w:rPr>
          <w:rFonts w:ascii="Arial" w:eastAsia="Times New Roman" w:hAnsi="Arial" w:cs="Arial"/>
          <w:lang w:bidi="en-US"/>
        </w:rPr>
        <w:t xml:space="preserve">usiness rules </w:t>
      </w:r>
      <w:r w:rsidR="0070240E">
        <w:rPr>
          <w:rFonts w:ascii="Arial" w:eastAsia="Times New Roman" w:hAnsi="Arial" w:cs="Arial"/>
          <w:lang w:bidi="en-US"/>
        </w:rPr>
        <w:t>to potentially</w:t>
      </w:r>
      <w:r w:rsidR="004D3875" w:rsidRPr="004D3875">
        <w:rPr>
          <w:rFonts w:ascii="Arial" w:eastAsia="Times New Roman" w:hAnsi="Arial" w:cs="Arial"/>
          <w:lang w:bidi="en-US"/>
        </w:rPr>
        <w:t xml:space="preserve"> be added </w:t>
      </w:r>
      <w:proofErr w:type="gramStart"/>
      <w:r w:rsidR="004D3875" w:rsidRPr="004D3875">
        <w:rPr>
          <w:rFonts w:ascii="Arial" w:eastAsia="Times New Roman" w:hAnsi="Arial" w:cs="Arial"/>
          <w:lang w:bidi="en-US"/>
        </w:rPr>
        <w:t>in the near future</w:t>
      </w:r>
      <w:proofErr w:type="gramEnd"/>
      <w:r w:rsidR="004D3875" w:rsidRPr="004D3875">
        <w:rPr>
          <w:rFonts w:ascii="Arial" w:eastAsia="Times New Roman" w:hAnsi="Arial" w:cs="Arial"/>
          <w:lang w:bidi="en-US"/>
        </w:rPr>
        <w:t>:</w:t>
      </w:r>
      <w:r w:rsidR="004D3875" w:rsidRPr="004D3875" w:rsidDel="00AE0BD4">
        <w:rPr>
          <w:rFonts w:ascii="Arial" w:eastAsia="Times New Roman" w:hAnsi="Arial" w:cs="Arial"/>
          <w:lang w:bidi="en-US"/>
        </w:rPr>
        <w:t xml:space="preserve"> </w:t>
      </w:r>
    </w:p>
    <w:p w14:paraId="27EAFBA8" w14:textId="4561F736" w:rsidR="00B92716" w:rsidRPr="004D3875" w:rsidRDefault="00B92716" w:rsidP="004D387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Quality Summary Reports (DQSR)</w:t>
      </w:r>
    </w:p>
    <w:p w14:paraId="6E642B5A" w14:textId="77777777" w:rsidR="00C6575E" w:rsidRPr="004D3875" w:rsidRDefault="00C6575E" w:rsidP="00C6575E">
      <w:pPr>
        <w:spacing w:after="0"/>
        <w:rPr>
          <w:rFonts w:ascii="Arial" w:hAnsi="Arial" w:cs="Arial"/>
        </w:rPr>
      </w:pPr>
    </w:p>
    <w:p w14:paraId="154DD2E4" w14:textId="62E8379A" w:rsidR="00AE7EB1" w:rsidRPr="004D3875" w:rsidRDefault="00C04B42" w:rsidP="00B92716">
      <w:pPr>
        <w:pStyle w:val="Heading1"/>
        <w:keepLines w:val="0"/>
        <w:spacing w:before="0" w:after="240" w:line="240" w:lineRule="auto"/>
        <w:rPr>
          <w:rFonts w:ascii="Arial" w:eastAsia="Times New Roman" w:hAnsi="Arial" w:cs="Arial"/>
          <w:b/>
          <w:bCs/>
          <w:caps/>
          <w:color w:val="145192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145192"/>
          <w:sz w:val="24"/>
          <w:szCs w:val="24"/>
        </w:rPr>
        <w:t xml:space="preserve">Single Inventory </w:t>
      </w:r>
      <w:r w:rsidR="00312FDC">
        <w:rPr>
          <w:rFonts w:ascii="Arial" w:eastAsia="Times New Roman" w:hAnsi="Arial" w:cs="Arial"/>
          <w:b/>
          <w:bCs/>
          <w:caps/>
          <w:color w:val="145192"/>
          <w:sz w:val="24"/>
          <w:szCs w:val="24"/>
        </w:rPr>
        <w:t>LAYOUT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2433"/>
        <w:gridCol w:w="5917"/>
      </w:tblGrid>
      <w:tr w:rsidR="00A13388" w:rsidRPr="001378FA" w14:paraId="7B0D47DA" w14:textId="77777777" w:rsidTr="001378FA">
        <w:trPr>
          <w:cantSplit/>
          <w:trHeight w:val="300"/>
          <w:tblHeader/>
        </w:trPr>
        <w:tc>
          <w:tcPr>
            <w:tcW w:w="1005" w:type="dxa"/>
          </w:tcPr>
          <w:p w14:paraId="4E5C114E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Position</w:t>
            </w:r>
          </w:p>
        </w:tc>
        <w:tc>
          <w:tcPr>
            <w:tcW w:w="2433" w:type="dxa"/>
            <w:shd w:val="clear" w:color="auto" w:fill="auto"/>
            <w:noWrap/>
          </w:tcPr>
          <w:p w14:paraId="3D10C93C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Column Name</w:t>
            </w:r>
          </w:p>
        </w:tc>
        <w:tc>
          <w:tcPr>
            <w:tcW w:w="5917" w:type="dxa"/>
          </w:tcPr>
          <w:p w14:paraId="4804CBDA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hAnsi="Arial" w:cs="Arial"/>
                <w:b/>
                <w:sz w:val="19"/>
                <w:szCs w:val="19"/>
              </w:rPr>
            </w:pPr>
            <w:r w:rsidRPr="001378FA">
              <w:rPr>
                <w:rFonts w:ascii="Arial" w:hAnsi="Arial" w:cs="Arial"/>
                <w:b/>
                <w:sz w:val="19"/>
                <w:szCs w:val="19"/>
              </w:rPr>
              <w:t>Description</w:t>
            </w:r>
          </w:p>
        </w:tc>
      </w:tr>
      <w:tr w:rsidR="00B94E5D" w:rsidRPr="001378FA" w14:paraId="3EA1294E" w14:textId="77777777" w:rsidTr="002B0D81">
        <w:trPr>
          <w:cantSplit/>
          <w:trHeight w:val="300"/>
        </w:trPr>
        <w:tc>
          <w:tcPr>
            <w:tcW w:w="1005" w:type="dxa"/>
          </w:tcPr>
          <w:p w14:paraId="1FB86806" w14:textId="77777777" w:rsidR="00B94E5D" w:rsidRPr="001378FA" w:rsidRDefault="00B94E5D" w:rsidP="002B0D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433" w:type="dxa"/>
            <w:shd w:val="clear" w:color="auto" w:fill="auto"/>
            <w:noWrap/>
            <w:hideMark/>
          </w:tcPr>
          <w:p w14:paraId="007B6E53" w14:textId="4E94B028" w:rsidR="00B94E5D" w:rsidRPr="001378FA" w:rsidRDefault="00B94E5D" w:rsidP="002B0D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E5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DQ Phase</w:t>
            </w:r>
          </w:p>
        </w:tc>
        <w:tc>
          <w:tcPr>
            <w:tcW w:w="5917" w:type="dxa"/>
          </w:tcPr>
          <w:p w14:paraId="1A4405DA" w14:textId="546411F1" w:rsidR="00B94E5D" w:rsidRPr="001378FA" w:rsidRDefault="00B94E5D" w:rsidP="002B0D8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E5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When the rule is run</w:t>
            </w:r>
          </w:p>
        </w:tc>
      </w:tr>
      <w:tr w:rsidR="00B94E5D" w:rsidRPr="001378FA" w14:paraId="31E8BA2B" w14:textId="77777777" w:rsidTr="001378FA">
        <w:trPr>
          <w:cantSplit/>
          <w:trHeight w:val="300"/>
        </w:trPr>
        <w:tc>
          <w:tcPr>
            <w:tcW w:w="1005" w:type="dxa"/>
          </w:tcPr>
          <w:p w14:paraId="0851C3A8" w14:textId="6DB623BC" w:rsidR="00B94E5D" w:rsidRPr="001378FA" w:rsidRDefault="00B94E5D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433" w:type="dxa"/>
            <w:shd w:val="clear" w:color="auto" w:fill="auto"/>
            <w:noWrap/>
          </w:tcPr>
          <w:p w14:paraId="43CBC0F3" w14:textId="3FECDD3D" w:rsidR="00B94E5D" w:rsidRPr="001378FA" w:rsidRDefault="00B94E5D" w:rsidP="0084063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Publication</w:t>
            </w:r>
          </w:p>
        </w:tc>
        <w:tc>
          <w:tcPr>
            <w:tcW w:w="5917" w:type="dxa"/>
          </w:tcPr>
          <w:p w14:paraId="7AB5F79A" w14:textId="648C5C1B" w:rsidR="00B94E5D" w:rsidRPr="001378FA" w:rsidRDefault="00B94E5D" w:rsidP="000B49D4">
            <w:pPr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1378FA">
              <w:rPr>
                <w:rFonts w:ascii="Arial" w:hAnsi="Arial" w:cs="Arial"/>
                <w:sz w:val="19"/>
                <w:szCs w:val="19"/>
              </w:rPr>
              <w:t xml:space="preserve">The application or Data Quality Review process that </w:t>
            </w:r>
            <w:r>
              <w:rPr>
                <w:rFonts w:ascii="Arial" w:hAnsi="Arial" w:cs="Arial"/>
                <w:sz w:val="19"/>
                <w:szCs w:val="19"/>
              </w:rPr>
              <w:t>displays</w:t>
            </w:r>
            <w:r w:rsidRPr="001378FA">
              <w:rPr>
                <w:rFonts w:ascii="Arial" w:hAnsi="Arial" w:cs="Arial"/>
                <w:sz w:val="19"/>
                <w:szCs w:val="19"/>
              </w:rPr>
              <w:t xml:space="preserve"> the rule</w:t>
            </w:r>
          </w:p>
        </w:tc>
      </w:tr>
      <w:tr w:rsidR="00A13388" w:rsidRPr="001378FA" w14:paraId="16848DCD" w14:textId="77777777" w:rsidTr="001378FA">
        <w:trPr>
          <w:cantSplit/>
          <w:trHeight w:val="300"/>
        </w:trPr>
        <w:tc>
          <w:tcPr>
            <w:tcW w:w="1005" w:type="dxa"/>
          </w:tcPr>
          <w:p w14:paraId="7D6431C4" w14:textId="0A2419AA" w:rsidR="00A13388" w:rsidRPr="001378FA" w:rsidRDefault="00B94E5D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2433" w:type="dxa"/>
            <w:shd w:val="clear" w:color="auto" w:fill="auto"/>
            <w:noWrap/>
            <w:hideMark/>
          </w:tcPr>
          <w:p w14:paraId="07D61C60" w14:textId="18DB4632" w:rsidR="00A13388" w:rsidRPr="001378FA" w:rsidRDefault="00A13388" w:rsidP="0084063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Implementation</w:t>
            </w:r>
          </w:p>
        </w:tc>
        <w:tc>
          <w:tcPr>
            <w:tcW w:w="5917" w:type="dxa"/>
          </w:tcPr>
          <w:p w14:paraId="3C0B3F34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hAnsi="Arial" w:cs="Arial"/>
                <w:sz w:val="19"/>
                <w:szCs w:val="19"/>
              </w:rPr>
              <w:t>The application or Data Quality Review process that executes the rule</w:t>
            </w:r>
          </w:p>
        </w:tc>
      </w:tr>
      <w:tr w:rsidR="00A13388" w:rsidRPr="001378FA" w14:paraId="380880B1" w14:textId="77777777" w:rsidTr="001378FA">
        <w:trPr>
          <w:cantSplit/>
          <w:trHeight w:val="300"/>
        </w:trPr>
        <w:tc>
          <w:tcPr>
            <w:tcW w:w="1005" w:type="dxa"/>
          </w:tcPr>
          <w:p w14:paraId="12F63E0A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2433" w:type="dxa"/>
            <w:shd w:val="clear" w:color="auto" w:fill="auto"/>
            <w:noWrap/>
            <w:hideMark/>
          </w:tcPr>
          <w:p w14:paraId="0BB6C4E0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Scope</w:t>
            </w:r>
          </w:p>
        </w:tc>
        <w:tc>
          <w:tcPr>
            <w:tcW w:w="5917" w:type="dxa"/>
          </w:tcPr>
          <w:p w14:paraId="7DAB8489" w14:textId="2F20A350" w:rsidR="00A13388" w:rsidRPr="001378FA" w:rsidRDefault="00F800E7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hAnsi="Arial" w:cs="Arial"/>
                <w:sz w:val="19"/>
                <w:szCs w:val="19"/>
              </w:rPr>
              <w:t xml:space="preserve">The </w:t>
            </w:r>
            <w:r w:rsidR="00A13388" w:rsidRPr="001378FA">
              <w:rPr>
                <w:rFonts w:ascii="Arial" w:hAnsi="Arial" w:cs="Arial"/>
                <w:sz w:val="19"/>
                <w:szCs w:val="19"/>
              </w:rPr>
              <w:t>data set that uses the rule</w:t>
            </w:r>
            <w:r w:rsidRPr="001378FA">
              <w:rPr>
                <w:rFonts w:ascii="Arial" w:hAnsi="Arial" w:cs="Arial"/>
                <w:sz w:val="19"/>
                <w:szCs w:val="19"/>
              </w:rPr>
              <w:t xml:space="preserve"> (e.g. IDEA Part B discipline or Assessment data)</w:t>
            </w:r>
          </w:p>
        </w:tc>
      </w:tr>
      <w:tr w:rsidR="00A13388" w:rsidRPr="001378FA" w14:paraId="44F054A3" w14:textId="77777777" w:rsidTr="001378FA">
        <w:trPr>
          <w:cantSplit/>
          <w:trHeight w:val="300"/>
        </w:trPr>
        <w:tc>
          <w:tcPr>
            <w:tcW w:w="1005" w:type="dxa"/>
          </w:tcPr>
          <w:p w14:paraId="393DE922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2433" w:type="dxa"/>
            <w:shd w:val="clear" w:color="auto" w:fill="auto"/>
            <w:noWrap/>
            <w:hideMark/>
          </w:tcPr>
          <w:p w14:paraId="1725873C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Steward</w:t>
            </w:r>
          </w:p>
        </w:tc>
        <w:tc>
          <w:tcPr>
            <w:tcW w:w="5917" w:type="dxa"/>
          </w:tcPr>
          <w:p w14:paraId="15C1C006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hAnsi="Arial" w:cs="Arial"/>
                <w:sz w:val="19"/>
                <w:szCs w:val="19"/>
              </w:rPr>
              <w:t>Program office that stewards the data group for the rule</w:t>
            </w:r>
          </w:p>
        </w:tc>
      </w:tr>
      <w:tr w:rsidR="00A13388" w:rsidRPr="001378FA" w14:paraId="2987BB22" w14:textId="77777777" w:rsidTr="001378FA">
        <w:trPr>
          <w:cantSplit/>
          <w:trHeight w:val="300"/>
        </w:trPr>
        <w:tc>
          <w:tcPr>
            <w:tcW w:w="1005" w:type="dxa"/>
          </w:tcPr>
          <w:p w14:paraId="52EBBC5E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2433" w:type="dxa"/>
            <w:shd w:val="clear" w:color="auto" w:fill="auto"/>
            <w:noWrap/>
            <w:hideMark/>
          </w:tcPr>
          <w:p w14:paraId="38A6431B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Rule ID</w:t>
            </w:r>
          </w:p>
        </w:tc>
        <w:tc>
          <w:tcPr>
            <w:tcW w:w="5917" w:type="dxa"/>
          </w:tcPr>
          <w:p w14:paraId="5D693E4B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hAnsi="Arial" w:cs="Arial"/>
                <w:sz w:val="19"/>
                <w:szCs w:val="19"/>
              </w:rPr>
              <w:t>ID assigned to the rule</w:t>
            </w:r>
          </w:p>
        </w:tc>
      </w:tr>
      <w:tr w:rsidR="00A13388" w:rsidRPr="001378FA" w14:paraId="37F0C2B4" w14:textId="77777777" w:rsidTr="001378FA">
        <w:trPr>
          <w:cantSplit/>
          <w:trHeight w:val="300"/>
        </w:trPr>
        <w:tc>
          <w:tcPr>
            <w:tcW w:w="1005" w:type="dxa"/>
          </w:tcPr>
          <w:p w14:paraId="5722D2CE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2433" w:type="dxa"/>
            <w:shd w:val="clear" w:color="auto" w:fill="auto"/>
            <w:noWrap/>
            <w:hideMark/>
          </w:tcPr>
          <w:p w14:paraId="6DFDFF4D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Rule Type</w:t>
            </w:r>
          </w:p>
        </w:tc>
        <w:tc>
          <w:tcPr>
            <w:tcW w:w="5917" w:type="dxa"/>
          </w:tcPr>
          <w:p w14:paraId="44381E57" w14:textId="5FACF72B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hAnsi="Arial" w:cs="Arial"/>
                <w:sz w:val="19"/>
                <w:szCs w:val="19"/>
              </w:rPr>
              <w:t>Type or category of rule to be executed</w:t>
            </w:r>
            <w:r w:rsidR="0080778A" w:rsidRPr="001378FA">
              <w:rPr>
                <w:rFonts w:ascii="Arial" w:hAnsi="Arial" w:cs="Arial"/>
                <w:sz w:val="19"/>
                <w:szCs w:val="19"/>
              </w:rPr>
              <w:t xml:space="preserve"> (these various among applications and post</w:t>
            </w:r>
            <w:r w:rsidR="001378FA">
              <w:rPr>
                <w:rFonts w:ascii="Arial" w:hAnsi="Arial" w:cs="Arial"/>
                <w:sz w:val="19"/>
                <w:szCs w:val="19"/>
              </w:rPr>
              <w:t>-submission</w:t>
            </w:r>
            <w:r w:rsidR="0080778A" w:rsidRPr="001378FA">
              <w:rPr>
                <w:rFonts w:ascii="Arial" w:hAnsi="Arial" w:cs="Arial"/>
                <w:sz w:val="19"/>
                <w:szCs w:val="19"/>
              </w:rPr>
              <w:t xml:space="preserve"> DQ reviews)</w:t>
            </w:r>
          </w:p>
        </w:tc>
      </w:tr>
      <w:tr w:rsidR="00A13388" w:rsidRPr="001378FA" w14:paraId="565816AD" w14:textId="77777777" w:rsidTr="001378FA">
        <w:trPr>
          <w:cantSplit/>
          <w:trHeight w:val="300"/>
        </w:trPr>
        <w:tc>
          <w:tcPr>
            <w:tcW w:w="1005" w:type="dxa"/>
          </w:tcPr>
          <w:p w14:paraId="2A6A37BA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2433" w:type="dxa"/>
            <w:shd w:val="clear" w:color="auto" w:fill="auto"/>
            <w:noWrap/>
            <w:hideMark/>
          </w:tcPr>
          <w:p w14:paraId="47E8A739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Failure Classification</w:t>
            </w:r>
          </w:p>
        </w:tc>
        <w:tc>
          <w:tcPr>
            <w:tcW w:w="5917" w:type="dxa"/>
          </w:tcPr>
          <w:p w14:paraId="00F1C67B" w14:textId="0745DA13" w:rsidR="00A13388" w:rsidRPr="001378FA" w:rsidRDefault="00A13388" w:rsidP="00B94E5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hAnsi="Arial" w:cs="Arial"/>
                <w:sz w:val="19"/>
                <w:szCs w:val="19"/>
              </w:rPr>
              <w:t>Consequence of the rule failing</w:t>
            </w:r>
            <w:r w:rsidR="00B94E5D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1378FA">
              <w:rPr>
                <w:rFonts w:ascii="Arial" w:hAnsi="Arial" w:cs="Arial"/>
                <w:sz w:val="19"/>
                <w:szCs w:val="19"/>
              </w:rPr>
              <w:t>Error</w:t>
            </w:r>
            <w:r w:rsidR="00B94E5D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1378FA">
              <w:rPr>
                <w:rFonts w:ascii="Arial" w:hAnsi="Arial" w:cs="Arial"/>
                <w:sz w:val="19"/>
                <w:szCs w:val="19"/>
              </w:rPr>
              <w:t>Error with override</w:t>
            </w:r>
            <w:r w:rsidR="00B94E5D">
              <w:rPr>
                <w:rFonts w:ascii="Arial" w:hAnsi="Arial" w:cs="Arial"/>
                <w:sz w:val="19"/>
                <w:szCs w:val="19"/>
              </w:rPr>
              <w:t xml:space="preserve">, or </w:t>
            </w:r>
            <w:r w:rsidRPr="001378FA">
              <w:rPr>
                <w:rFonts w:ascii="Arial" w:hAnsi="Arial" w:cs="Arial"/>
                <w:sz w:val="19"/>
                <w:szCs w:val="19"/>
              </w:rPr>
              <w:t>Warning</w:t>
            </w:r>
          </w:p>
        </w:tc>
      </w:tr>
      <w:tr w:rsidR="00A13388" w:rsidRPr="001378FA" w14:paraId="2718798C" w14:textId="77777777" w:rsidTr="001378FA">
        <w:trPr>
          <w:cantSplit/>
          <w:trHeight w:val="300"/>
        </w:trPr>
        <w:tc>
          <w:tcPr>
            <w:tcW w:w="1005" w:type="dxa"/>
          </w:tcPr>
          <w:p w14:paraId="0C6ADB52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2433" w:type="dxa"/>
            <w:shd w:val="clear" w:color="auto" w:fill="auto"/>
            <w:noWrap/>
            <w:hideMark/>
          </w:tcPr>
          <w:p w14:paraId="7A6C8A04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Data / Format</w:t>
            </w:r>
          </w:p>
        </w:tc>
        <w:tc>
          <w:tcPr>
            <w:tcW w:w="5917" w:type="dxa"/>
          </w:tcPr>
          <w:p w14:paraId="30F7A242" w14:textId="77777777" w:rsidR="00A13388" w:rsidRPr="001378FA" w:rsidRDefault="00A13388" w:rsidP="000B49D4">
            <w:pPr>
              <w:spacing w:after="0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1378FA">
              <w:rPr>
                <w:rFonts w:ascii="Arial" w:hAnsi="Arial" w:cs="Arial"/>
                <w:sz w:val="19"/>
                <w:szCs w:val="19"/>
              </w:rPr>
              <w:t>Indicates whether the rule applies to the content or format of the data submitted</w:t>
            </w:r>
          </w:p>
        </w:tc>
      </w:tr>
      <w:tr w:rsidR="00A13388" w:rsidRPr="001378FA" w14:paraId="754C561F" w14:textId="77777777" w:rsidTr="001378FA">
        <w:trPr>
          <w:cantSplit/>
          <w:trHeight w:val="300"/>
        </w:trPr>
        <w:tc>
          <w:tcPr>
            <w:tcW w:w="1005" w:type="dxa"/>
          </w:tcPr>
          <w:p w14:paraId="70FBB2D8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433" w:type="dxa"/>
            <w:shd w:val="clear" w:color="auto" w:fill="auto"/>
            <w:noWrap/>
            <w:hideMark/>
          </w:tcPr>
          <w:p w14:paraId="0308F126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SEA</w:t>
            </w:r>
          </w:p>
        </w:tc>
        <w:tc>
          <w:tcPr>
            <w:tcW w:w="5917" w:type="dxa"/>
          </w:tcPr>
          <w:p w14:paraId="0917E8D8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Indicates whether the rule is applied at the SEA level file</w:t>
            </w:r>
          </w:p>
        </w:tc>
      </w:tr>
      <w:tr w:rsidR="00A13388" w:rsidRPr="001378FA" w14:paraId="085C43C0" w14:textId="77777777" w:rsidTr="001378FA">
        <w:trPr>
          <w:cantSplit/>
          <w:trHeight w:val="300"/>
        </w:trPr>
        <w:tc>
          <w:tcPr>
            <w:tcW w:w="1005" w:type="dxa"/>
          </w:tcPr>
          <w:p w14:paraId="0C90E82E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2433" w:type="dxa"/>
            <w:shd w:val="clear" w:color="auto" w:fill="auto"/>
            <w:noWrap/>
            <w:hideMark/>
          </w:tcPr>
          <w:p w14:paraId="2E27D9E5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LEA</w:t>
            </w:r>
          </w:p>
        </w:tc>
        <w:tc>
          <w:tcPr>
            <w:tcW w:w="5917" w:type="dxa"/>
          </w:tcPr>
          <w:p w14:paraId="49DEEDF9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Indicates whether the rule is applied at the LEA level file</w:t>
            </w:r>
          </w:p>
        </w:tc>
      </w:tr>
      <w:tr w:rsidR="00A13388" w:rsidRPr="001378FA" w14:paraId="69FFDFF5" w14:textId="77777777" w:rsidTr="001378FA">
        <w:trPr>
          <w:cantSplit/>
          <w:trHeight w:val="300"/>
        </w:trPr>
        <w:tc>
          <w:tcPr>
            <w:tcW w:w="1005" w:type="dxa"/>
          </w:tcPr>
          <w:p w14:paraId="569FCB81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2433" w:type="dxa"/>
            <w:shd w:val="clear" w:color="auto" w:fill="auto"/>
            <w:noWrap/>
            <w:hideMark/>
          </w:tcPr>
          <w:p w14:paraId="4B4EFAE4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SCH</w:t>
            </w:r>
          </w:p>
        </w:tc>
        <w:tc>
          <w:tcPr>
            <w:tcW w:w="5917" w:type="dxa"/>
          </w:tcPr>
          <w:p w14:paraId="2FFBCD4D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Indicates whether the rule is applied at the school level file</w:t>
            </w:r>
          </w:p>
        </w:tc>
      </w:tr>
      <w:tr w:rsidR="00A13388" w:rsidRPr="001378FA" w14:paraId="34729A02" w14:textId="77777777" w:rsidTr="001378FA">
        <w:trPr>
          <w:cantSplit/>
          <w:trHeight w:val="300"/>
        </w:trPr>
        <w:tc>
          <w:tcPr>
            <w:tcW w:w="1005" w:type="dxa"/>
          </w:tcPr>
          <w:p w14:paraId="183FA3CE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2433" w:type="dxa"/>
            <w:shd w:val="clear" w:color="auto" w:fill="auto"/>
            <w:noWrap/>
            <w:hideMark/>
          </w:tcPr>
          <w:p w14:paraId="5C7BDB98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Other</w:t>
            </w:r>
          </w:p>
        </w:tc>
        <w:tc>
          <w:tcPr>
            <w:tcW w:w="5917" w:type="dxa"/>
          </w:tcPr>
          <w:p w14:paraId="16A4342F" w14:textId="122601EB" w:rsidR="00A13388" w:rsidRPr="001378FA" w:rsidRDefault="00A13388" w:rsidP="002604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Indicates whether the rule is applied at an </w:t>
            </w:r>
            <w:r w:rsidR="006214D1"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</w:t>
            </w: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ther level </w:t>
            </w:r>
            <w:r w:rsidR="006214D1"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(e.g., </w:t>
            </w: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Charter Authorizers</w:t>
            </w:r>
            <w:r w:rsidR="00260471"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or Management Organizations</w:t>
            </w:r>
            <w:r w:rsidR="006214D1"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)</w:t>
            </w:r>
          </w:p>
        </w:tc>
      </w:tr>
      <w:tr w:rsidR="00A13388" w:rsidRPr="001378FA" w14:paraId="6DD1D6BE" w14:textId="77777777" w:rsidTr="001378FA">
        <w:trPr>
          <w:cantSplit/>
          <w:trHeight w:val="300"/>
        </w:trPr>
        <w:tc>
          <w:tcPr>
            <w:tcW w:w="1005" w:type="dxa"/>
          </w:tcPr>
          <w:p w14:paraId="2B8B1BA4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14</w:t>
            </w:r>
          </w:p>
        </w:tc>
        <w:tc>
          <w:tcPr>
            <w:tcW w:w="2433" w:type="dxa"/>
            <w:shd w:val="clear" w:color="auto" w:fill="auto"/>
            <w:noWrap/>
            <w:hideMark/>
          </w:tcPr>
          <w:p w14:paraId="12B01F0C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FS</w:t>
            </w:r>
          </w:p>
        </w:tc>
        <w:tc>
          <w:tcPr>
            <w:tcW w:w="5917" w:type="dxa"/>
          </w:tcPr>
          <w:p w14:paraId="09A3D93E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hAnsi="Arial" w:cs="Arial"/>
                <w:sz w:val="19"/>
                <w:szCs w:val="19"/>
              </w:rPr>
              <w:t>Identifies the file specification used in the rule</w:t>
            </w:r>
          </w:p>
        </w:tc>
      </w:tr>
      <w:tr w:rsidR="00A13388" w:rsidRPr="001378FA" w14:paraId="5FF0A24C" w14:textId="77777777" w:rsidTr="001378FA">
        <w:trPr>
          <w:cantSplit/>
          <w:trHeight w:val="300"/>
        </w:trPr>
        <w:tc>
          <w:tcPr>
            <w:tcW w:w="1005" w:type="dxa"/>
          </w:tcPr>
          <w:p w14:paraId="26283235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2433" w:type="dxa"/>
            <w:shd w:val="clear" w:color="auto" w:fill="auto"/>
            <w:noWrap/>
            <w:hideMark/>
          </w:tcPr>
          <w:p w14:paraId="6F1AE668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DG</w:t>
            </w:r>
          </w:p>
        </w:tc>
        <w:tc>
          <w:tcPr>
            <w:tcW w:w="5917" w:type="dxa"/>
          </w:tcPr>
          <w:p w14:paraId="760604BC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hAnsi="Arial" w:cs="Arial"/>
                <w:sz w:val="19"/>
                <w:szCs w:val="19"/>
              </w:rPr>
              <w:t>Identifies the data group used in the rule</w:t>
            </w:r>
          </w:p>
        </w:tc>
      </w:tr>
      <w:tr w:rsidR="00A13388" w:rsidRPr="001378FA" w14:paraId="36BB5842" w14:textId="77777777" w:rsidTr="001378FA">
        <w:trPr>
          <w:cantSplit/>
          <w:trHeight w:val="300"/>
        </w:trPr>
        <w:tc>
          <w:tcPr>
            <w:tcW w:w="1005" w:type="dxa"/>
          </w:tcPr>
          <w:p w14:paraId="2D8F1D25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433" w:type="dxa"/>
            <w:shd w:val="clear" w:color="auto" w:fill="auto"/>
            <w:noWrap/>
            <w:hideMark/>
          </w:tcPr>
          <w:p w14:paraId="665DDE9E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Data Source - E</w:t>
            </w:r>
            <w:r w:rsidRPr="001378FA">
              <w:rPr>
                <w:rFonts w:ascii="Arial" w:eastAsia="Times New Roman" w:hAnsi="Arial" w:cs="Arial"/>
                <w:i/>
                <w:color w:val="000000"/>
                <w:sz w:val="19"/>
                <w:szCs w:val="19"/>
              </w:rPr>
              <w:t>MAPS</w:t>
            </w: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Survey</w:t>
            </w:r>
          </w:p>
        </w:tc>
        <w:tc>
          <w:tcPr>
            <w:tcW w:w="5917" w:type="dxa"/>
          </w:tcPr>
          <w:p w14:paraId="3A324CDC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Identifies the E</w:t>
            </w:r>
            <w:r w:rsidRPr="001378FA">
              <w:rPr>
                <w:rFonts w:ascii="Arial" w:eastAsia="Times New Roman" w:hAnsi="Arial" w:cs="Arial"/>
                <w:i/>
                <w:color w:val="000000"/>
                <w:sz w:val="19"/>
                <w:szCs w:val="19"/>
              </w:rPr>
              <w:t>MAPS</w:t>
            </w: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survey used in the rule</w:t>
            </w:r>
          </w:p>
        </w:tc>
      </w:tr>
      <w:tr w:rsidR="00A13388" w:rsidRPr="001378FA" w14:paraId="2C10ECFF" w14:textId="77777777" w:rsidTr="001378FA">
        <w:trPr>
          <w:cantSplit/>
          <w:trHeight w:val="300"/>
        </w:trPr>
        <w:tc>
          <w:tcPr>
            <w:tcW w:w="1005" w:type="dxa"/>
          </w:tcPr>
          <w:p w14:paraId="4C35A8A1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</w:t>
            </w:r>
          </w:p>
        </w:tc>
        <w:tc>
          <w:tcPr>
            <w:tcW w:w="2433" w:type="dxa"/>
            <w:shd w:val="clear" w:color="auto" w:fill="auto"/>
            <w:noWrap/>
            <w:hideMark/>
          </w:tcPr>
          <w:p w14:paraId="4192FB5C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Question Number (CSPR, E</w:t>
            </w:r>
            <w:r w:rsidRPr="001378FA">
              <w:rPr>
                <w:rFonts w:ascii="Arial" w:eastAsia="Times New Roman" w:hAnsi="Arial" w:cs="Arial"/>
                <w:i/>
                <w:color w:val="000000"/>
                <w:sz w:val="19"/>
                <w:szCs w:val="19"/>
              </w:rPr>
              <w:t>MAPS</w:t>
            </w: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)</w:t>
            </w:r>
          </w:p>
        </w:tc>
        <w:tc>
          <w:tcPr>
            <w:tcW w:w="5917" w:type="dxa"/>
          </w:tcPr>
          <w:p w14:paraId="3EC1CE37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Identifies the E</w:t>
            </w:r>
            <w:r w:rsidRPr="001378FA">
              <w:rPr>
                <w:rFonts w:ascii="Arial" w:eastAsia="Times New Roman" w:hAnsi="Arial" w:cs="Arial"/>
                <w:i/>
                <w:color w:val="000000"/>
                <w:sz w:val="19"/>
                <w:szCs w:val="19"/>
              </w:rPr>
              <w:t>MAPS</w:t>
            </w: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or CSPR question used in the rule</w:t>
            </w:r>
          </w:p>
        </w:tc>
      </w:tr>
      <w:tr w:rsidR="00A13388" w:rsidRPr="001378FA" w14:paraId="742CB415" w14:textId="77777777" w:rsidTr="001378FA">
        <w:trPr>
          <w:cantSplit/>
          <w:trHeight w:val="300"/>
        </w:trPr>
        <w:tc>
          <w:tcPr>
            <w:tcW w:w="1005" w:type="dxa"/>
          </w:tcPr>
          <w:p w14:paraId="2060C463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433" w:type="dxa"/>
            <w:shd w:val="clear" w:color="auto" w:fill="auto"/>
            <w:noWrap/>
            <w:hideMark/>
          </w:tcPr>
          <w:p w14:paraId="3B5AC3F6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Definition</w:t>
            </w:r>
          </w:p>
        </w:tc>
        <w:tc>
          <w:tcPr>
            <w:tcW w:w="5917" w:type="dxa"/>
          </w:tcPr>
          <w:p w14:paraId="241C7E79" w14:textId="77777777" w:rsidR="00A13388" w:rsidRPr="001378FA" w:rsidRDefault="00A13388" w:rsidP="000B49D4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1378FA">
              <w:rPr>
                <w:rFonts w:ascii="Arial" w:hAnsi="Arial" w:cs="Arial"/>
                <w:sz w:val="19"/>
                <w:szCs w:val="19"/>
              </w:rPr>
              <w:t>Description of the rule</w:t>
            </w:r>
          </w:p>
        </w:tc>
      </w:tr>
      <w:tr w:rsidR="00A13388" w:rsidRPr="001378FA" w14:paraId="6BA6EF7A" w14:textId="77777777" w:rsidTr="001378FA">
        <w:trPr>
          <w:cantSplit/>
          <w:trHeight w:val="300"/>
        </w:trPr>
        <w:tc>
          <w:tcPr>
            <w:tcW w:w="1005" w:type="dxa"/>
          </w:tcPr>
          <w:p w14:paraId="72057872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</w:t>
            </w:r>
          </w:p>
        </w:tc>
        <w:tc>
          <w:tcPr>
            <w:tcW w:w="2433" w:type="dxa"/>
            <w:shd w:val="clear" w:color="auto" w:fill="auto"/>
            <w:noWrap/>
            <w:hideMark/>
          </w:tcPr>
          <w:p w14:paraId="56EAA021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Rule Logic</w:t>
            </w:r>
          </w:p>
        </w:tc>
        <w:tc>
          <w:tcPr>
            <w:tcW w:w="5917" w:type="dxa"/>
          </w:tcPr>
          <w:p w14:paraId="020DEF6E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hAnsi="Arial" w:cs="Arial"/>
                <w:sz w:val="19"/>
                <w:szCs w:val="19"/>
              </w:rPr>
              <w:t>Detailed explanation of when the business rule passes or fails</w:t>
            </w:r>
          </w:p>
        </w:tc>
      </w:tr>
      <w:tr w:rsidR="00A13388" w:rsidRPr="001378FA" w14:paraId="6D276015" w14:textId="77777777" w:rsidTr="001378FA">
        <w:trPr>
          <w:cantSplit/>
          <w:trHeight w:val="300"/>
        </w:trPr>
        <w:tc>
          <w:tcPr>
            <w:tcW w:w="1005" w:type="dxa"/>
          </w:tcPr>
          <w:p w14:paraId="7E3E1514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2433" w:type="dxa"/>
            <w:shd w:val="clear" w:color="auto" w:fill="auto"/>
            <w:noWrap/>
            <w:hideMark/>
          </w:tcPr>
          <w:p w14:paraId="2EBB977A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Error Message</w:t>
            </w:r>
          </w:p>
        </w:tc>
        <w:tc>
          <w:tcPr>
            <w:tcW w:w="5917" w:type="dxa"/>
          </w:tcPr>
          <w:p w14:paraId="6DAEFCDB" w14:textId="77777777" w:rsidR="00A13388" w:rsidRPr="001378FA" w:rsidRDefault="00A13388" w:rsidP="000B49D4">
            <w:pPr>
              <w:rPr>
                <w:rFonts w:ascii="Arial" w:hAnsi="Arial" w:cs="Arial"/>
                <w:sz w:val="19"/>
                <w:szCs w:val="19"/>
              </w:rPr>
            </w:pPr>
            <w:r w:rsidRPr="001378FA">
              <w:rPr>
                <w:rFonts w:ascii="Arial" w:hAnsi="Arial" w:cs="Arial"/>
                <w:sz w:val="19"/>
                <w:szCs w:val="19"/>
              </w:rPr>
              <w:t>Error message or comment to state; explanation of rule failure provided to the submitter</w:t>
            </w:r>
          </w:p>
        </w:tc>
      </w:tr>
      <w:tr w:rsidR="00A13388" w:rsidRPr="001378FA" w14:paraId="386A6EA2" w14:textId="77777777" w:rsidTr="001378FA">
        <w:trPr>
          <w:cantSplit/>
          <w:trHeight w:val="300"/>
        </w:trPr>
        <w:tc>
          <w:tcPr>
            <w:tcW w:w="1005" w:type="dxa"/>
          </w:tcPr>
          <w:p w14:paraId="1A9DEFA8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21</w:t>
            </w:r>
          </w:p>
        </w:tc>
        <w:tc>
          <w:tcPr>
            <w:tcW w:w="2433" w:type="dxa"/>
            <w:shd w:val="clear" w:color="auto" w:fill="auto"/>
            <w:noWrap/>
            <w:hideMark/>
          </w:tcPr>
          <w:p w14:paraId="37FFB468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Edit Formula</w:t>
            </w:r>
          </w:p>
        </w:tc>
        <w:tc>
          <w:tcPr>
            <w:tcW w:w="5917" w:type="dxa"/>
          </w:tcPr>
          <w:p w14:paraId="67B8D258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hAnsi="Arial" w:cs="Arial"/>
                <w:sz w:val="19"/>
                <w:szCs w:val="19"/>
              </w:rPr>
              <w:t>Rule logic as a formula</w:t>
            </w:r>
          </w:p>
        </w:tc>
      </w:tr>
      <w:tr w:rsidR="00A13388" w:rsidRPr="001378FA" w14:paraId="052831CC" w14:textId="77777777" w:rsidTr="001378FA">
        <w:trPr>
          <w:cantSplit/>
          <w:trHeight w:val="300"/>
        </w:trPr>
        <w:tc>
          <w:tcPr>
            <w:tcW w:w="1005" w:type="dxa"/>
          </w:tcPr>
          <w:p w14:paraId="66230F92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>22</w:t>
            </w:r>
          </w:p>
        </w:tc>
        <w:tc>
          <w:tcPr>
            <w:tcW w:w="2433" w:type="dxa"/>
            <w:shd w:val="clear" w:color="auto" w:fill="auto"/>
            <w:noWrap/>
            <w:hideMark/>
          </w:tcPr>
          <w:p w14:paraId="6A194242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Change from Prior Year Flag</w:t>
            </w:r>
          </w:p>
        </w:tc>
        <w:tc>
          <w:tcPr>
            <w:tcW w:w="5917" w:type="dxa"/>
          </w:tcPr>
          <w:p w14:paraId="660FBF3B" w14:textId="4DB47297" w:rsidR="00A13388" w:rsidRPr="001378FA" w:rsidRDefault="00A13388" w:rsidP="000B49D4">
            <w:pPr>
              <w:rPr>
                <w:rFonts w:ascii="Arial" w:hAnsi="Arial" w:cs="Arial"/>
                <w:sz w:val="19"/>
                <w:szCs w:val="19"/>
              </w:rPr>
            </w:pPr>
            <w:r w:rsidRPr="001378FA">
              <w:rPr>
                <w:rFonts w:ascii="Arial" w:hAnsi="Arial" w:cs="Arial"/>
                <w:sz w:val="19"/>
                <w:szCs w:val="19"/>
              </w:rPr>
              <w:t>Indicates if rule changed from the previous year</w:t>
            </w:r>
            <w:r w:rsidR="00794637">
              <w:rPr>
                <w:rFonts w:ascii="Arial" w:hAnsi="Arial" w:cs="Arial"/>
                <w:sz w:val="19"/>
                <w:szCs w:val="19"/>
              </w:rPr>
              <w:t xml:space="preserve"> or is a new rule</w:t>
            </w:r>
          </w:p>
        </w:tc>
      </w:tr>
      <w:tr w:rsidR="00A13388" w:rsidRPr="001378FA" w14:paraId="65835D19" w14:textId="77777777" w:rsidTr="001378FA">
        <w:trPr>
          <w:cantSplit/>
          <w:trHeight w:val="300"/>
        </w:trPr>
        <w:tc>
          <w:tcPr>
            <w:tcW w:w="1005" w:type="dxa"/>
          </w:tcPr>
          <w:p w14:paraId="720B2025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</w:t>
            </w:r>
          </w:p>
        </w:tc>
        <w:tc>
          <w:tcPr>
            <w:tcW w:w="2433" w:type="dxa"/>
            <w:shd w:val="clear" w:color="auto" w:fill="auto"/>
            <w:noWrap/>
            <w:hideMark/>
          </w:tcPr>
          <w:p w14:paraId="2FDD1EC2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DQ Review 1</w:t>
            </w:r>
          </w:p>
        </w:tc>
        <w:tc>
          <w:tcPr>
            <w:tcW w:w="5917" w:type="dxa"/>
          </w:tcPr>
          <w:p w14:paraId="50F1C0EE" w14:textId="6B348E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Indicates if rule is evaluated during </w:t>
            </w:r>
            <w:r w:rsidR="00840633"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post</w:t>
            </w:r>
            <w:r w:rsid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</w:t>
            </w:r>
            <w:r w:rsidR="00840633"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submission </w:t>
            </w: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DQ Review 1</w:t>
            </w:r>
          </w:p>
        </w:tc>
      </w:tr>
      <w:tr w:rsidR="00A13388" w:rsidRPr="001378FA" w14:paraId="4B1083C6" w14:textId="77777777" w:rsidTr="001378FA">
        <w:trPr>
          <w:cantSplit/>
          <w:trHeight w:val="300"/>
        </w:trPr>
        <w:tc>
          <w:tcPr>
            <w:tcW w:w="1005" w:type="dxa"/>
          </w:tcPr>
          <w:p w14:paraId="7B9784D6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</w:t>
            </w:r>
          </w:p>
        </w:tc>
        <w:tc>
          <w:tcPr>
            <w:tcW w:w="2433" w:type="dxa"/>
            <w:shd w:val="clear" w:color="auto" w:fill="auto"/>
            <w:noWrap/>
            <w:hideMark/>
          </w:tcPr>
          <w:p w14:paraId="7ECFF023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DQ Review 2</w:t>
            </w:r>
          </w:p>
        </w:tc>
        <w:tc>
          <w:tcPr>
            <w:tcW w:w="5917" w:type="dxa"/>
          </w:tcPr>
          <w:p w14:paraId="0A3C6C39" w14:textId="70483E43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Indicates if rule is evaluated during </w:t>
            </w:r>
            <w:r w:rsidR="00840633"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post</w:t>
            </w:r>
            <w:r w:rsid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</w:t>
            </w:r>
            <w:r w:rsidR="00840633"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submission </w:t>
            </w: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DQ Review 2</w:t>
            </w:r>
          </w:p>
        </w:tc>
      </w:tr>
      <w:tr w:rsidR="00A13388" w:rsidRPr="001378FA" w14:paraId="1FBCA74D" w14:textId="77777777" w:rsidTr="001378FA">
        <w:trPr>
          <w:cantSplit/>
          <w:trHeight w:val="300"/>
        </w:trPr>
        <w:tc>
          <w:tcPr>
            <w:tcW w:w="1005" w:type="dxa"/>
          </w:tcPr>
          <w:p w14:paraId="539C1E31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</w:t>
            </w:r>
          </w:p>
        </w:tc>
        <w:tc>
          <w:tcPr>
            <w:tcW w:w="2433" w:type="dxa"/>
            <w:shd w:val="clear" w:color="auto" w:fill="auto"/>
            <w:noWrap/>
            <w:hideMark/>
          </w:tcPr>
          <w:p w14:paraId="273F20C8" w14:textId="77777777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DQ Review 3</w:t>
            </w:r>
          </w:p>
        </w:tc>
        <w:tc>
          <w:tcPr>
            <w:tcW w:w="5917" w:type="dxa"/>
          </w:tcPr>
          <w:p w14:paraId="3BD97079" w14:textId="1EC2D2F0" w:rsidR="00A13388" w:rsidRPr="001378FA" w:rsidRDefault="00A13388" w:rsidP="000B49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Indicates if rule is evaluated during </w:t>
            </w:r>
            <w:r w:rsidR="00840633"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post</w:t>
            </w:r>
            <w:r w:rsid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</w:t>
            </w:r>
            <w:r w:rsidR="00840633"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submission </w:t>
            </w:r>
            <w:r w:rsidRPr="001378F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DQ Review 3</w:t>
            </w:r>
          </w:p>
        </w:tc>
      </w:tr>
    </w:tbl>
    <w:p w14:paraId="236B0A8B" w14:textId="77777777" w:rsidR="00C6575E" w:rsidRPr="004D3875" w:rsidRDefault="00C6575E" w:rsidP="00C6575E">
      <w:pPr>
        <w:spacing w:after="0"/>
        <w:rPr>
          <w:rFonts w:ascii="Arial" w:hAnsi="Arial" w:cs="Arial"/>
        </w:rPr>
      </w:pPr>
    </w:p>
    <w:sectPr w:rsidR="00C6575E" w:rsidRPr="004D3875" w:rsidSect="004D3875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B0A80" w14:textId="77777777" w:rsidR="000450B7" w:rsidRDefault="000450B7" w:rsidP="008003E7">
      <w:pPr>
        <w:spacing w:after="0" w:line="240" w:lineRule="auto"/>
      </w:pPr>
      <w:r>
        <w:separator/>
      </w:r>
    </w:p>
    <w:p w14:paraId="740E75E3" w14:textId="77777777" w:rsidR="000450B7" w:rsidRDefault="000450B7"/>
  </w:endnote>
  <w:endnote w:type="continuationSeparator" w:id="0">
    <w:p w14:paraId="0A7A091C" w14:textId="77777777" w:rsidR="000450B7" w:rsidRDefault="000450B7" w:rsidP="008003E7">
      <w:pPr>
        <w:spacing w:after="0" w:line="240" w:lineRule="auto"/>
      </w:pPr>
      <w:r>
        <w:continuationSeparator/>
      </w:r>
    </w:p>
    <w:p w14:paraId="06BC2089" w14:textId="77777777" w:rsidR="000450B7" w:rsidRDefault="000450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9C378" w14:textId="77777777" w:rsidR="00096BF4" w:rsidRDefault="00096BF4" w:rsidP="00096BF4">
    <w:pPr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E0C357C" wp14:editId="456CC504">
          <wp:extent cx="5973445" cy="47625"/>
          <wp:effectExtent l="0" t="0" r="8255" b="9525"/>
          <wp:docPr id="3" name="Picture 3" descr="bottom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ttom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344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450" w:type="dxa"/>
      <w:tblInd w:w="108" w:type="dxa"/>
      <w:tblLayout w:type="fixed"/>
      <w:tblLook w:val="0000" w:firstRow="0" w:lastRow="0" w:firstColumn="0" w:lastColumn="0" w:noHBand="0" w:noVBand="0"/>
    </w:tblPr>
    <w:tblGrid>
      <w:gridCol w:w="4248"/>
      <w:gridCol w:w="1062"/>
      <w:gridCol w:w="4140"/>
    </w:tblGrid>
    <w:tr w:rsidR="00096BF4" w14:paraId="009422EB" w14:textId="77777777" w:rsidTr="002F4D7E">
      <w:trPr>
        <w:trHeight w:val="303"/>
      </w:trPr>
      <w:tc>
        <w:tcPr>
          <w:tcW w:w="4248" w:type="dxa"/>
        </w:tcPr>
        <w:p w14:paraId="439CBE91" w14:textId="3DBB9CF6" w:rsidR="00096BF4" w:rsidRDefault="0070240E" w:rsidP="00096BF4">
          <w:pPr>
            <w:spacing w:before="40"/>
            <w:ind w:left="-108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September</w:t>
          </w:r>
          <w:r w:rsidR="00511FB5">
            <w:rPr>
              <w:rFonts w:cs="Arial"/>
              <w:sz w:val="18"/>
              <w:szCs w:val="18"/>
            </w:rPr>
            <w:t xml:space="preserve"> 2018</w:t>
          </w:r>
        </w:p>
      </w:tc>
      <w:tc>
        <w:tcPr>
          <w:tcW w:w="1062" w:type="dxa"/>
        </w:tcPr>
        <w:p w14:paraId="6F4790B2" w14:textId="4544672B" w:rsidR="00096BF4" w:rsidRDefault="00096BF4" w:rsidP="00096BF4">
          <w:pPr>
            <w:spacing w:before="40"/>
            <w:jc w:val="center"/>
            <w:rPr>
              <w:rFonts w:cs="Arial"/>
              <w:sz w:val="18"/>
              <w:szCs w:val="18"/>
            </w:rPr>
          </w:pPr>
          <w:r>
            <w:rPr>
              <w:rStyle w:val="PageNumber"/>
              <w:rFonts w:cs="Arial"/>
              <w:sz w:val="18"/>
              <w:szCs w:val="18"/>
            </w:rPr>
            <w:fldChar w:fldCharType="begin"/>
          </w:r>
          <w:r>
            <w:rPr>
              <w:rStyle w:val="PageNumber"/>
              <w:rFonts w:cs="Arial"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="00D4276C">
            <w:rPr>
              <w:rStyle w:val="PageNumber"/>
              <w:rFonts w:cs="Arial"/>
              <w:noProof/>
              <w:sz w:val="18"/>
              <w:szCs w:val="18"/>
            </w:rPr>
            <w:t>1</w:t>
          </w:r>
          <w:r>
            <w:rPr>
              <w:rStyle w:val="PageNumber"/>
              <w:rFonts w:cs="Arial"/>
              <w:sz w:val="18"/>
              <w:szCs w:val="18"/>
            </w:rPr>
            <w:fldChar w:fldCharType="end"/>
          </w:r>
        </w:p>
      </w:tc>
      <w:tc>
        <w:tcPr>
          <w:tcW w:w="4140" w:type="dxa"/>
        </w:tcPr>
        <w:p w14:paraId="2786FC92" w14:textId="77777777" w:rsidR="00096BF4" w:rsidRDefault="00096BF4" w:rsidP="00096BF4">
          <w:pPr>
            <w:spacing w:before="40"/>
            <w:jc w:val="right"/>
            <w:rPr>
              <w:rFonts w:cs="Arial"/>
              <w:sz w:val="18"/>
              <w:szCs w:val="18"/>
            </w:rPr>
          </w:pPr>
        </w:p>
      </w:tc>
    </w:tr>
  </w:tbl>
  <w:p w14:paraId="77ED9E19" w14:textId="77777777" w:rsidR="00096BF4" w:rsidRDefault="00096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72FF2" w14:textId="77777777" w:rsidR="000450B7" w:rsidRDefault="000450B7" w:rsidP="008003E7">
      <w:pPr>
        <w:spacing w:after="0" w:line="240" w:lineRule="auto"/>
      </w:pPr>
      <w:r>
        <w:separator/>
      </w:r>
    </w:p>
    <w:p w14:paraId="0BA73DB8" w14:textId="77777777" w:rsidR="000450B7" w:rsidRDefault="000450B7"/>
  </w:footnote>
  <w:footnote w:type="continuationSeparator" w:id="0">
    <w:p w14:paraId="15ACE07F" w14:textId="77777777" w:rsidR="000450B7" w:rsidRDefault="000450B7" w:rsidP="008003E7">
      <w:pPr>
        <w:spacing w:after="0" w:line="240" w:lineRule="auto"/>
      </w:pPr>
      <w:r>
        <w:continuationSeparator/>
      </w:r>
    </w:p>
    <w:p w14:paraId="242D2A73" w14:textId="77777777" w:rsidR="000450B7" w:rsidRDefault="000450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17CF8" w14:textId="35855013" w:rsidR="008003E7" w:rsidRPr="004D3875" w:rsidRDefault="008003E7" w:rsidP="008003E7">
    <w:pPr>
      <w:tabs>
        <w:tab w:val="right" w:pos="9360"/>
      </w:tabs>
      <w:rPr>
        <w:rFonts w:cs="Arial"/>
        <w:b/>
      </w:rPr>
    </w:pPr>
    <w:r w:rsidRPr="004D3875">
      <w:rPr>
        <w:rFonts w:cs="Arial"/>
        <w:b/>
      </w:rPr>
      <w:t>U.S. DEPARTMENT OF EDUCATION</w:t>
    </w:r>
    <w:r w:rsidRPr="004D3875">
      <w:rPr>
        <w:rFonts w:cs="Arial"/>
        <w:b/>
      </w:rPr>
      <w:tab/>
    </w:r>
    <w:r w:rsidR="004D3875">
      <w:rPr>
        <w:rFonts w:cs="Arial"/>
        <w:b/>
      </w:rPr>
      <w:t xml:space="preserve">Business Rules </w:t>
    </w:r>
    <w:r w:rsidR="00A13388">
      <w:rPr>
        <w:rFonts w:cs="Arial"/>
        <w:b/>
      </w:rPr>
      <w:t>Single Inventory v</w:t>
    </w:r>
    <w:r w:rsidR="004D3875">
      <w:rPr>
        <w:rFonts w:cs="Arial"/>
        <w:b/>
      </w:rPr>
      <w:t>1.</w:t>
    </w:r>
    <w:r w:rsidR="0070240E">
      <w:rPr>
        <w:rFonts w:cs="Arial"/>
        <w:b/>
      </w:rPr>
      <w:t>1</w:t>
    </w:r>
  </w:p>
  <w:p w14:paraId="3DC3F4CF" w14:textId="77777777" w:rsidR="008003E7" w:rsidRPr="004D3875" w:rsidRDefault="008003E7" w:rsidP="004D3875">
    <w:pPr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w:drawing>
        <wp:inline distT="0" distB="0" distL="0" distR="0" wp14:anchorId="2509A4AC" wp14:editId="7DFF263C">
          <wp:extent cx="5973445" cy="47625"/>
          <wp:effectExtent l="0" t="0" r="8255" b="9525"/>
          <wp:docPr id="2" name="Picture 2" descr="bottom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ttom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344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F9055" w14:textId="77777777" w:rsidR="001C5DD5" w:rsidRPr="004D3875" w:rsidRDefault="001C5DD5" w:rsidP="001C5DD5">
    <w:pPr>
      <w:tabs>
        <w:tab w:val="right" w:pos="9360"/>
      </w:tabs>
      <w:rPr>
        <w:rFonts w:cs="Arial"/>
        <w:b/>
      </w:rPr>
    </w:pPr>
    <w:r w:rsidRPr="004D3875">
      <w:rPr>
        <w:rFonts w:cs="Arial"/>
        <w:b/>
      </w:rPr>
      <w:t>U.S. DEPARTMENT OF EDUCATION</w:t>
    </w:r>
    <w:r w:rsidRPr="004D3875">
      <w:rPr>
        <w:rFonts w:cs="Arial"/>
        <w:b/>
      </w:rPr>
      <w:tab/>
    </w:r>
    <w:r>
      <w:rPr>
        <w:rFonts w:cs="Arial"/>
        <w:b/>
      </w:rPr>
      <w:t>Business Rules Single Inventory v1.0</w:t>
    </w:r>
  </w:p>
  <w:p w14:paraId="2BEC11C2" w14:textId="27DD0834" w:rsidR="001C5DD5" w:rsidRPr="001C5DD5" w:rsidRDefault="001C5DD5" w:rsidP="001C5DD5">
    <w:pPr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w:drawing>
        <wp:inline distT="0" distB="0" distL="0" distR="0" wp14:anchorId="4C9B2748" wp14:editId="773EC7F3">
          <wp:extent cx="5973445" cy="47625"/>
          <wp:effectExtent l="0" t="0" r="8255" b="9525"/>
          <wp:docPr id="4" name="Picture 4" descr="bottom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ttom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344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72809"/>
    <w:multiLevelType w:val="hybridMultilevel"/>
    <w:tmpl w:val="512A0EA6"/>
    <w:lvl w:ilvl="0" w:tplc="8598C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421B5"/>
    <w:multiLevelType w:val="hybridMultilevel"/>
    <w:tmpl w:val="CBA40EFC"/>
    <w:lvl w:ilvl="0" w:tplc="189C5E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9EE3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2F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4C0A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9EC0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3C8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D8B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30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96E4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381F"/>
    <w:multiLevelType w:val="hybridMultilevel"/>
    <w:tmpl w:val="E208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A772F"/>
    <w:multiLevelType w:val="hybridMultilevel"/>
    <w:tmpl w:val="9E32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E7EC7"/>
    <w:multiLevelType w:val="hybridMultilevel"/>
    <w:tmpl w:val="E7FE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B21F3"/>
    <w:multiLevelType w:val="hybridMultilevel"/>
    <w:tmpl w:val="A9B06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E6B58"/>
    <w:multiLevelType w:val="hybridMultilevel"/>
    <w:tmpl w:val="1D746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02"/>
    <w:rsid w:val="00006A57"/>
    <w:rsid w:val="00025FB5"/>
    <w:rsid w:val="000442AF"/>
    <w:rsid w:val="000450B7"/>
    <w:rsid w:val="00096BF4"/>
    <w:rsid w:val="000B49D4"/>
    <w:rsid w:val="000F510E"/>
    <w:rsid w:val="00110489"/>
    <w:rsid w:val="00125996"/>
    <w:rsid w:val="001378FA"/>
    <w:rsid w:val="00192246"/>
    <w:rsid w:val="001C5DD5"/>
    <w:rsid w:val="001D1C4A"/>
    <w:rsid w:val="001F4C02"/>
    <w:rsid w:val="00260471"/>
    <w:rsid w:val="002D0C72"/>
    <w:rsid w:val="00312FDC"/>
    <w:rsid w:val="003347B0"/>
    <w:rsid w:val="00353FDA"/>
    <w:rsid w:val="003658F1"/>
    <w:rsid w:val="00400190"/>
    <w:rsid w:val="004743B4"/>
    <w:rsid w:val="004D3875"/>
    <w:rsid w:val="00504C01"/>
    <w:rsid w:val="00511FB5"/>
    <w:rsid w:val="005A7824"/>
    <w:rsid w:val="005F19D4"/>
    <w:rsid w:val="005F3318"/>
    <w:rsid w:val="005F5944"/>
    <w:rsid w:val="00604DE8"/>
    <w:rsid w:val="006214D1"/>
    <w:rsid w:val="00635B0D"/>
    <w:rsid w:val="00642A13"/>
    <w:rsid w:val="00692BEA"/>
    <w:rsid w:val="0070240E"/>
    <w:rsid w:val="00711C45"/>
    <w:rsid w:val="0073764C"/>
    <w:rsid w:val="00794637"/>
    <w:rsid w:val="007D5FCA"/>
    <w:rsid w:val="008003E7"/>
    <w:rsid w:val="0080778A"/>
    <w:rsid w:val="00840633"/>
    <w:rsid w:val="008F190A"/>
    <w:rsid w:val="00A13388"/>
    <w:rsid w:val="00A95A42"/>
    <w:rsid w:val="00AE0BD4"/>
    <w:rsid w:val="00AE7EB1"/>
    <w:rsid w:val="00B92716"/>
    <w:rsid w:val="00B94E5D"/>
    <w:rsid w:val="00C04B42"/>
    <w:rsid w:val="00C56EFB"/>
    <w:rsid w:val="00C6575E"/>
    <w:rsid w:val="00C71AE3"/>
    <w:rsid w:val="00D4276C"/>
    <w:rsid w:val="00E32499"/>
    <w:rsid w:val="00E54C94"/>
    <w:rsid w:val="00E81FD1"/>
    <w:rsid w:val="00E9149A"/>
    <w:rsid w:val="00EA05E5"/>
    <w:rsid w:val="00F800E7"/>
    <w:rsid w:val="00F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ABE23"/>
  <w15:docId w15:val="{529093EF-ECFC-4E13-AADB-A93E92D5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E0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DE8"/>
    <w:pPr>
      <w:tabs>
        <w:tab w:val="left" w:pos="90"/>
      </w:tabs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E0B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0B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aliases w:val="h1"/>
    <w:basedOn w:val="Normal"/>
    <w:link w:val="HeaderChar"/>
    <w:unhideWhenUsed/>
    <w:rsid w:val="00800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1 Char"/>
    <w:basedOn w:val="DefaultParagraphFont"/>
    <w:link w:val="Header"/>
    <w:uiPriority w:val="99"/>
    <w:rsid w:val="008003E7"/>
  </w:style>
  <w:style w:type="paragraph" w:styleId="Footer">
    <w:name w:val="footer"/>
    <w:basedOn w:val="Normal"/>
    <w:link w:val="FooterChar"/>
    <w:uiPriority w:val="99"/>
    <w:unhideWhenUsed/>
    <w:rsid w:val="00800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3E7"/>
  </w:style>
  <w:style w:type="paragraph" w:customStyle="1" w:styleId="PropHead1">
    <w:name w:val="PropHead1"/>
    <w:next w:val="Normal"/>
    <w:rsid w:val="00312FDC"/>
    <w:pPr>
      <w:keepNext/>
      <w:tabs>
        <w:tab w:val="left" w:pos="540"/>
      </w:tabs>
      <w:suppressAutoHyphens/>
      <w:spacing w:before="60" w:after="180" w:line="240" w:lineRule="auto"/>
    </w:pPr>
    <w:rPr>
      <w:rFonts w:ascii="Arial" w:eastAsia="Times New Roman" w:hAnsi="Arial" w:cs="Arial"/>
      <w:b/>
      <w:caps/>
      <w:color w:val="145192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388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096BF4"/>
  </w:style>
  <w:style w:type="character" w:styleId="CommentReference">
    <w:name w:val="annotation reference"/>
    <w:basedOn w:val="DefaultParagraphFont"/>
    <w:uiPriority w:val="99"/>
    <w:semiHidden/>
    <w:unhideWhenUsed/>
    <w:rsid w:val="0063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B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B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B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8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5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83403698AA4D9D0BCF79F4D02A46" ma:contentTypeVersion="6" ma:contentTypeDescription="Create a new document." ma:contentTypeScope="" ma:versionID="242f74fa07caa701fa4a4fed025ae8d7">
  <xsd:schema xmlns:xsd="http://www.w3.org/2001/XMLSchema" xmlns:xs="http://www.w3.org/2001/XMLSchema" xmlns:p="http://schemas.microsoft.com/office/2006/metadata/properties" xmlns:ns1="http://schemas.microsoft.com/sharepoint/v3" xmlns:ns2="b7635ab0-52e7-4e33-aa76-893cd120ef45" xmlns:ns3="75b8f200-01bb-4893-a3c4-f3a17e332d98" targetNamespace="http://schemas.microsoft.com/office/2006/metadata/properties" ma:root="true" ma:fieldsID="da2f92b53263e4d299f0462f64a6e9eb" ns1:_="" ns2:_="" ns3:_="">
    <xsd:import namespace="http://schemas.microsoft.com/sharepoint/v3"/>
    <xsd:import namespace="b7635ab0-52e7-4e33-aa76-893cd120ef45"/>
    <xsd:import namespace="75b8f200-01bb-4893-a3c4-f3a17e332d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TargetFolder" minOccurs="0"/>
                <xsd:element ref="ns3:Document_x0020_Purpo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TargetFolder" ma:index="13" nillable="true" ma:displayName="Target Folder" ma:hidden="true" ma:internalName="RoutingTargetFold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35ab0-52e7-4e33-aa76-893cd120ef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8f200-01bb-4893-a3c4-f3a17e332d98" elementFormDefault="qualified">
    <xsd:import namespace="http://schemas.microsoft.com/office/2006/documentManagement/types"/>
    <xsd:import namespace="http://schemas.microsoft.com/office/infopath/2007/PartnerControls"/>
    <xsd:element name="Document_x0020_Purpose" ma:index="14" nillable="true" ma:displayName="Document Purpose" ma:internalName="Document_x0020_Purpo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TargetFolder xmlns="http://schemas.microsoft.com/sharepoint/v3" xsi:nil="true"/>
    <Document_x0020_Purpose xmlns="75b8f200-01bb-4893-a3c4-f3a17e332d98" xsi:nil="true"/>
    <_dlc_DocId xmlns="b7635ab0-52e7-4e33-aa76-893cd120ef45">DNVT47QTA7NQ-161-285372</_dlc_DocId>
    <_dlc_DocIdUrl xmlns="b7635ab0-52e7-4e33-aa76-893cd120ef45">
      <Url>https://sharepoint.aemcorp.com/ed/etss/_layouts/15/DocIdRedir.aspx?ID=DNVT47QTA7NQ-161-285372</Url>
      <Description>DNVT47QTA7NQ-161-285372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F73D7-E620-47AC-957E-2E2ED33FE736}"/>
</file>

<file path=customXml/itemProps2.xml><?xml version="1.0" encoding="utf-8"?>
<ds:datastoreItem xmlns:ds="http://schemas.openxmlformats.org/officeDocument/2006/customXml" ds:itemID="{E62D0DCB-F53C-4915-8653-FD2ABE151FE2}"/>
</file>

<file path=customXml/itemProps3.xml><?xml version="1.0" encoding="utf-8"?>
<ds:datastoreItem xmlns:ds="http://schemas.openxmlformats.org/officeDocument/2006/customXml" ds:itemID="{2B332CAA-55FD-46E2-B59B-B896A79FB801}"/>
</file>

<file path=customXml/itemProps4.xml><?xml version="1.0" encoding="utf-8"?>
<ds:datastoreItem xmlns:ds="http://schemas.openxmlformats.org/officeDocument/2006/customXml" ds:itemID="{0D98992F-23AA-4334-8C10-4037D8F32A6C}"/>
</file>

<file path=customXml/itemProps5.xml><?xml version="1.0" encoding="utf-8"?>
<ds:datastoreItem xmlns:ds="http://schemas.openxmlformats.org/officeDocument/2006/customXml" ds:itemID="{5950DD7A-8356-4490-897B-7980FA1934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Rules Single Inventory Companion (MSWord)</vt:lpstr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Rules Single Inventory Companion (MSWord)</dc:title>
  <dc:subject/>
  <dc:creator>Karen Madden</dc:creator>
  <cp:keywords/>
  <dc:description/>
  <cp:lastModifiedBy>Karen Madden</cp:lastModifiedBy>
  <cp:revision>3</cp:revision>
  <dcterms:created xsi:type="dcterms:W3CDTF">2018-09-11T20:33:00Z</dcterms:created>
  <dcterms:modified xsi:type="dcterms:W3CDTF">2018-09-11T20:34:00Z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0x01010036B683403698AA4D9D0BCF79F4D02A46</vt:lpwstr>
  </property>
  <property fmtid="{D5CDD505-2E9C-101B-9397-08002B2CF9AE}" pid="3" name="_dlc_DocIdItemGuid">
    <vt:lpwstr>4dbf9b6b-5bf8-4ccf-8857-374e569310e0</vt:lpwstr>
  </property>
</Properties>
</file>