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836702" w:displacedByCustomXml="next"/>
    <w:sdt>
      <w:sdtPr>
        <w:rPr>
          <w:rFonts w:ascii="Times New Roman" w:eastAsia="Times New Roman" w:hAnsi="Times New Roman" w:cs="Times New Roman"/>
          <w:b/>
          <w:bCs/>
          <w:color w:val="2F5496" w:themeColor="accent1" w:themeShade="BF"/>
          <w:sz w:val="28"/>
          <w:szCs w:val="28"/>
        </w:rPr>
        <w:id w:val="-446396030"/>
        <w:docPartObj>
          <w:docPartGallery w:val="Cover Pages"/>
          <w:docPartUnique/>
        </w:docPartObj>
      </w:sdtPr>
      <w:sdtEndPr>
        <w:rPr>
          <w:b w:val="0"/>
          <w:bCs w:val="0"/>
          <w:sz w:val="32"/>
          <w:szCs w:val="32"/>
        </w:rPr>
      </w:sdtEndPr>
      <w:sdtContent>
        <w:p w14:paraId="240E8681" w14:textId="7E1B26F5" w:rsidR="0031666D" w:rsidRPr="007D2088" w:rsidRDefault="0031666D" w:rsidP="000440F5">
          <w:pPr>
            <w:spacing w:after="0"/>
            <w:jc w:val="right"/>
            <w:rPr>
              <w:b/>
              <w:bCs/>
              <w:sz w:val="28"/>
              <w:szCs w:val="28"/>
            </w:rPr>
          </w:pPr>
          <w:r w:rsidRPr="007D2088">
            <w:rPr>
              <w:b/>
              <w:bCs/>
              <w:sz w:val="28"/>
              <w:szCs w:val="28"/>
            </w:rPr>
            <w:t>U.S. Department of Education</w:t>
          </w:r>
        </w:p>
        <w:bookmarkEnd w:id="0"/>
        <w:p w14:paraId="5C4AC5EC" w14:textId="77777777" w:rsidR="0031666D" w:rsidRPr="00126B22" w:rsidRDefault="0031666D" w:rsidP="000440F5">
          <w:pPr>
            <w:spacing w:after="0"/>
            <w:jc w:val="right"/>
            <w:rPr>
              <w:sz w:val="20"/>
              <w:szCs w:val="20"/>
            </w:rPr>
          </w:pPr>
          <w:r w:rsidRPr="00126B22">
            <w:rPr>
              <w:sz w:val="20"/>
              <w:szCs w:val="20"/>
            </w:rPr>
            <w:t>Office of Postsecondary Education</w:t>
          </w:r>
        </w:p>
        <w:p w14:paraId="3B97DE61" w14:textId="77777777" w:rsidR="0031666D" w:rsidRPr="00126B22" w:rsidRDefault="0031666D" w:rsidP="000440F5">
          <w:pPr>
            <w:spacing w:after="0"/>
            <w:jc w:val="right"/>
            <w:rPr>
              <w:sz w:val="20"/>
              <w:szCs w:val="20"/>
            </w:rPr>
          </w:pPr>
          <w:r w:rsidRPr="00126B22">
            <w:rPr>
              <w:sz w:val="20"/>
              <w:szCs w:val="20"/>
            </w:rPr>
            <w:t xml:space="preserve">Higher Education Programs </w:t>
          </w:r>
        </w:p>
        <w:p w14:paraId="4C3AFB71" w14:textId="77777777" w:rsidR="0031666D" w:rsidRDefault="0031666D" w:rsidP="000440F5">
          <w:pPr>
            <w:spacing w:after="0"/>
            <w:jc w:val="right"/>
            <w:rPr>
              <w:sz w:val="20"/>
              <w:szCs w:val="20"/>
            </w:rPr>
          </w:pPr>
          <w:r w:rsidRPr="00126B22">
            <w:rPr>
              <w:sz w:val="20"/>
              <w:szCs w:val="20"/>
            </w:rPr>
            <w:t>Student Service</w:t>
          </w:r>
        </w:p>
        <w:p w14:paraId="0DCCED7A" w14:textId="1F4D6213" w:rsidR="0031666D" w:rsidRPr="00126B22" w:rsidRDefault="0031666D" w:rsidP="000440F5">
          <w:pPr>
            <w:spacing w:after="0"/>
            <w:jc w:val="right"/>
            <w:rPr>
              <w:sz w:val="20"/>
              <w:szCs w:val="20"/>
            </w:rPr>
          </w:pPr>
          <w:r>
            <w:rPr>
              <w:sz w:val="20"/>
              <w:szCs w:val="20"/>
            </w:rPr>
            <w:t>Federal TRIO Programs</w:t>
          </w:r>
        </w:p>
        <w:p w14:paraId="039E2D7E" w14:textId="6B1AD458" w:rsidR="0031666D" w:rsidRPr="00175AF4" w:rsidRDefault="0031666D" w:rsidP="00175AF4">
          <w:pPr>
            <w:pStyle w:val="Heading1"/>
          </w:pPr>
          <w:bookmarkStart w:id="1" w:name="_Hlk152836691"/>
          <w:r w:rsidRPr="00175AF4">
            <w:t>Upward Bound and</w:t>
          </w:r>
          <w:r w:rsidR="00D265C2" w:rsidRPr="00175AF4">
            <w:t xml:space="preserve"> </w:t>
          </w:r>
          <w:r w:rsidR="00D265C2" w:rsidRPr="00175AF4">
            <w:br/>
          </w:r>
          <w:r w:rsidRPr="00175AF4">
            <w:t>Upward Bound Math-Science Programs</w:t>
          </w:r>
        </w:p>
        <w:bookmarkEnd w:id="1"/>
        <w:p w14:paraId="7354A6DE" w14:textId="6D041ADC" w:rsidR="0031666D" w:rsidRPr="00652D2B" w:rsidRDefault="0031666D" w:rsidP="00652D2B">
          <w:pPr>
            <w:jc w:val="center"/>
            <w:rPr>
              <w:b/>
              <w:bCs/>
              <w:sz w:val="48"/>
              <w:szCs w:val="48"/>
            </w:rPr>
          </w:pPr>
          <w:r w:rsidRPr="00652D2B">
            <w:rPr>
              <w:b/>
              <w:bCs/>
              <w:sz w:val="48"/>
              <w:szCs w:val="48"/>
            </w:rPr>
            <w:t>Project and Program Measures for Government Performance and Results Act (GPRA)</w:t>
          </w:r>
          <w:r w:rsidR="00D265C2" w:rsidRPr="00652D2B">
            <w:rPr>
              <w:b/>
              <w:bCs/>
              <w:sz w:val="48"/>
              <w:szCs w:val="48"/>
            </w:rPr>
            <w:br/>
          </w:r>
          <w:r w:rsidRPr="00652D2B">
            <w:rPr>
              <w:b/>
              <w:bCs/>
              <w:sz w:val="48"/>
              <w:szCs w:val="48"/>
            </w:rPr>
            <w:t>Reporting Period: 202</w:t>
          </w:r>
          <w:r w:rsidR="00D566F7" w:rsidRPr="00652D2B">
            <w:rPr>
              <w:b/>
              <w:bCs/>
              <w:sz w:val="48"/>
              <w:szCs w:val="48"/>
            </w:rPr>
            <w:t>1–</w:t>
          </w:r>
          <w:r w:rsidRPr="00652D2B">
            <w:rPr>
              <w:b/>
              <w:bCs/>
              <w:sz w:val="48"/>
              <w:szCs w:val="48"/>
            </w:rPr>
            <w:t>2</w:t>
          </w:r>
          <w:r w:rsidR="00D566F7" w:rsidRPr="00652D2B">
            <w:rPr>
              <w:b/>
              <w:bCs/>
              <w:sz w:val="48"/>
              <w:szCs w:val="48"/>
            </w:rPr>
            <w:t>2</w:t>
          </w:r>
        </w:p>
        <w:p w14:paraId="78BF8CD7" w14:textId="77777777" w:rsidR="00652D2B" w:rsidRDefault="0031666D">
          <w:pPr>
            <w:rPr>
              <w:b/>
              <w:bCs/>
              <w:sz w:val="32"/>
              <w:szCs w:val="32"/>
            </w:rPr>
          </w:pPr>
          <w:r>
            <w:rPr>
              <w:b/>
              <w:bCs/>
              <w:sz w:val="32"/>
              <w:szCs w:val="32"/>
            </w:rPr>
            <w:br w:type="page"/>
          </w:r>
        </w:p>
        <w:p w14:paraId="4B81533F" w14:textId="5B974377" w:rsidR="0031666D" w:rsidRPr="00652D2B" w:rsidRDefault="00652D2B" w:rsidP="00652D2B">
          <w:pPr>
            <w:pStyle w:val="Heading2"/>
          </w:pPr>
          <w:r w:rsidRPr="00652D2B">
            <w:lastRenderedPageBreak/>
            <w:t>Table of Contents</w:t>
          </w:r>
        </w:p>
      </w:sdtContent>
    </w:sdt>
    <w:sdt>
      <w:sdtPr>
        <w:rPr>
          <w:rFonts w:cstheme="minorBidi"/>
          <w:b w:val="0"/>
          <w:bCs w:val="0"/>
          <w:sz w:val="22"/>
          <w:szCs w:val="22"/>
        </w:rPr>
        <w:id w:val="-1765302594"/>
        <w:docPartObj>
          <w:docPartGallery w:val="Table of Contents"/>
          <w:docPartUnique/>
        </w:docPartObj>
      </w:sdtPr>
      <w:sdtEndPr>
        <w:rPr>
          <w:noProof/>
        </w:rPr>
      </w:sdtEndPr>
      <w:sdtContent>
        <w:p w14:paraId="5C670295" w14:textId="3AA8B8EF" w:rsidR="008909A9" w:rsidRDefault="00E13A09">
          <w:pPr>
            <w:pStyle w:val="TOC1"/>
            <w:rPr>
              <w:rFonts w:cstheme="minorBidi"/>
              <w:noProof/>
              <w:sz w:val="22"/>
              <w:szCs w:val="22"/>
            </w:rPr>
          </w:pPr>
          <w:r>
            <w:fldChar w:fldCharType="begin"/>
          </w:r>
          <w:r>
            <w:instrText xml:space="preserve"> TOC \o "1-3" \h \z \u </w:instrText>
          </w:r>
          <w:r>
            <w:fldChar w:fldCharType="separate"/>
          </w:r>
          <w:hyperlink w:anchor="_Toc117512817" w:history="1">
            <w:r w:rsidR="008909A9" w:rsidRPr="0092134C">
              <w:rPr>
                <w:rStyle w:val="Hyperlink"/>
                <w:noProof/>
              </w:rPr>
              <w:t>Introduction</w:t>
            </w:r>
            <w:r w:rsidR="008909A9">
              <w:rPr>
                <w:noProof/>
                <w:webHidden/>
              </w:rPr>
              <w:tab/>
            </w:r>
            <w:r w:rsidR="008909A9">
              <w:rPr>
                <w:noProof/>
                <w:webHidden/>
              </w:rPr>
              <w:fldChar w:fldCharType="begin"/>
            </w:r>
            <w:r w:rsidR="008909A9">
              <w:rPr>
                <w:noProof/>
                <w:webHidden/>
              </w:rPr>
              <w:instrText xml:space="preserve"> PAGEREF _Toc117512817 \h </w:instrText>
            </w:r>
            <w:r w:rsidR="008909A9">
              <w:rPr>
                <w:noProof/>
                <w:webHidden/>
              </w:rPr>
            </w:r>
            <w:r w:rsidR="008909A9">
              <w:rPr>
                <w:noProof/>
                <w:webHidden/>
              </w:rPr>
              <w:fldChar w:fldCharType="separate"/>
            </w:r>
            <w:r w:rsidR="001F4AB3">
              <w:rPr>
                <w:noProof/>
                <w:webHidden/>
              </w:rPr>
              <w:t>1</w:t>
            </w:r>
            <w:r w:rsidR="008909A9">
              <w:rPr>
                <w:noProof/>
                <w:webHidden/>
              </w:rPr>
              <w:fldChar w:fldCharType="end"/>
            </w:r>
          </w:hyperlink>
        </w:p>
        <w:p w14:paraId="76DAE81D" w14:textId="10B45119" w:rsidR="008909A9" w:rsidRDefault="00F42BAE">
          <w:pPr>
            <w:pStyle w:val="TOC1"/>
            <w:rPr>
              <w:rFonts w:cstheme="minorBidi"/>
              <w:noProof/>
              <w:sz w:val="22"/>
              <w:szCs w:val="22"/>
            </w:rPr>
          </w:pPr>
          <w:hyperlink w:anchor="_Toc117512818" w:history="1">
            <w:r w:rsidR="008909A9" w:rsidRPr="0092134C">
              <w:rPr>
                <w:rStyle w:val="Hyperlink"/>
                <w:noProof/>
              </w:rPr>
              <w:t>Performance Measures for UB and UBMS Projects</w:t>
            </w:r>
            <w:r w:rsidR="008909A9">
              <w:rPr>
                <w:noProof/>
                <w:webHidden/>
              </w:rPr>
              <w:tab/>
            </w:r>
            <w:r w:rsidR="008909A9">
              <w:rPr>
                <w:noProof/>
                <w:webHidden/>
              </w:rPr>
              <w:fldChar w:fldCharType="begin"/>
            </w:r>
            <w:r w:rsidR="008909A9">
              <w:rPr>
                <w:noProof/>
                <w:webHidden/>
              </w:rPr>
              <w:instrText xml:space="preserve"> PAGEREF _Toc117512818 \h </w:instrText>
            </w:r>
            <w:r w:rsidR="008909A9">
              <w:rPr>
                <w:noProof/>
                <w:webHidden/>
              </w:rPr>
            </w:r>
            <w:r w:rsidR="008909A9">
              <w:rPr>
                <w:noProof/>
                <w:webHidden/>
              </w:rPr>
              <w:fldChar w:fldCharType="separate"/>
            </w:r>
            <w:r w:rsidR="001F4AB3">
              <w:rPr>
                <w:noProof/>
                <w:webHidden/>
              </w:rPr>
              <w:t>1</w:t>
            </w:r>
            <w:r w:rsidR="008909A9">
              <w:rPr>
                <w:noProof/>
                <w:webHidden/>
              </w:rPr>
              <w:fldChar w:fldCharType="end"/>
            </w:r>
          </w:hyperlink>
        </w:p>
        <w:p w14:paraId="4707A682" w14:textId="0F1A4F19" w:rsidR="008909A9" w:rsidRDefault="00F42BAE">
          <w:pPr>
            <w:pStyle w:val="TOC2"/>
            <w:tabs>
              <w:tab w:val="right" w:leader="dot" w:pos="9350"/>
            </w:tabs>
            <w:rPr>
              <w:rFonts w:cstheme="minorBidi"/>
              <w:i w:val="0"/>
              <w:iCs w:val="0"/>
              <w:noProof/>
              <w:sz w:val="22"/>
              <w:szCs w:val="22"/>
            </w:rPr>
          </w:pPr>
          <w:hyperlink w:anchor="_Toc117512819" w:history="1">
            <w:r w:rsidR="008909A9" w:rsidRPr="0092134C">
              <w:rPr>
                <w:rStyle w:val="Hyperlink"/>
                <w:noProof/>
              </w:rPr>
              <w:t>Postsecondary Enrollment Measure</w:t>
            </w:r>
            <w:r w:rsidR="008909A9">
              <w:rPr>
                <w:noProof/>
                <w:webHidden/>
              </w:rPr>
              <w:tab/>
            </w:r>
            <w:r w:rsidR="008909A9">
              <w:rPr>
                <w:noProof/>
                <w:webHidden/>
              </w:rPr>
              <w:fldChar w:fldCharType="begin"/>
            </w:r>
            <w:r w:rsidR="008909A9">
              <w:rPr>
                <w:noProof/>
                <w:webHidden/>
              </w:rPr>
              <w:instrText xml:space="preserve"> PAGEREF _Toc117512819 \h </w:instrText>
            </w:r>
            <w:r w:rsidR="008909A9">
              <w:rPr>
                <w:noProof/>
                <w:webHidden/>
              </w:rPr>
            </w:r>
            <w:r w:rsidR="008909A9">
              <w:rPr>
                <w:noProof/>
                <w:webHidden/>
              </w:rPr>
              <w:fldChar w:fldCharType="separate"/>
            </w:r>
            <w:r w:rsidR="001F4AB3">
              <w:rPr>
                <w:noProof/>
                <w:webHidden/>
              </w:rPr>
              <w:t>1</w:t>
            </w:r>
            <w:r w:rsidR="008909A9">
              <w:rPr>
                <w:noProof/>
                <w:webHidden/>
              </w:rPr>
              <w:fldChar w:fldCharType="end"/>
            </w:r>
          </w:hyperlink>
        </w:p>
        <w:p w14:paraId="0B8B9A61" w14:textId="18AF7FE2" w:rsidR="008909A9" w:rsidRDefault="00F42BAE">
          <w:pPr>
            <w:pStyle w:val="TOC3"/>
            <w:tabs>
              <w:tab w:val="right" w:leader="dot" w:pos="9350"/>
            </w:tabs>
            <w:rPr>
              <w:rFonts w:cstheme="minorBidi"/>
              <w:noProof/>
              <w:sz w:val="22"/>
              <w:szCs w:val="22"/>
            </w:rPr>
          </w:pPr>
          <w:hyperlink w:anchor="_Toc117512820" w:history="1">
            <w:r w:rsidR="008909A9" w:rsidRPr="0092134C">
              <w:rPr>
                <w:rStyle w:val="Hyperlink"/>
                <w:noProof/>
              </w:rPr>
              <w:t>Selected Findings</w:t>
            </w:r>
            <w:r w:rsidR="008909A9">
              <w:rPr>
                <w:noProof/>
                <w:webHidden/>
              </w:rPr>
              <w:tab/>
            </w:r>
            <w:r w:rsidR="008909A9">
              <w:rPr>
                <w:noProof/>
                <w:webHidden/>
              </w:rPr>
              <w:fldChar w:fldCharType="begin"/>
            </w:r>
            <w:r w:rsidR="008909A9">
              <w:rPr>
                <w:noProof/>
                <w:webHidden/>
              </w:rPr>
              <w:instrText xml:space="preserve"> PAGEREF _Toc117512820 \h </w:instrText>
            </w:r>
            <w:r w:rsidR="008909A9">
              <w:rPr>
                <w:noProof/>
                <w:webHidden/>
              </w:rPr>
            </w:r>
            <w:r w:rsidR="008909A9">
              <w:rPr>
                <w:noProof/>
                <w:webHidden/>
              </w:rPr>
              <w:fldChar w:fldCharType="separate"/>
            </w:r>
            <w:r w:rsidR="001F4AB3">
              <w:rPr>
                <w:noProof/>
                <w:webHidden/>
              </w:rPr>
              <w:t>2</w:t>
            </w:r>
            <w:r w:rsidR="008909A9">
              <w:rPr>
                <w:noProof/>
                <w:webHidden/>
              </w:rPr>
              <w:fldChar w:fldCharType="end"/>
            </w:r>
          </w:hyperlink>
        </w:p>
        <w:p w14:paraId="05AE23DA" w14:textId="1BF2B778" w:rsidR="008909A9" w:rsidRDefault="00F42BAE">
          <w:pPr>
            <w:pStyle w:val="TOC2"/>
            <w:tabs>
              <w:tab w:val="right" w:leader="dot" w:pos="9350"/>
            </w:tabs>
            <w:rPr>
              <w:rFonts w:cstheme="minorBidi"/>
              <w:i w:val="0"/>
              <w:iCs w:val="0"/>
              <w:noProof/>
              <w:sz w:val="22"/>
              <w:szCs w:val="22"/>
            </w:rPr>
          </w:pPr>
          <w:hyperlink w:anchor="_Toc117512821" w:history="1">
            <w:r w:rsidR="008909A9" w:rsidRPr="0092134C">
              <w:rPr>
                <w:rStyle w:val="Hyperlink"/>
                <w:noProof/>
              </w:rPr>
              <w:t>Postsecondary Degree Completion Measure</w:t>
            </w:r>
            <w:r w:rsidR="008909A9">
              <w:rPr>
                <w:noProof/>
                <w:webHidden/>
              </w:rPr>
              <w:tab/>
            </w:r>
            <w:r w:rsidR="008909A9">
              <w:rPr>
                <w:noProof/>
                <w:webHidden/>
              </w:rPr>
              <w:fldChar w:fldCharType="begin"/>
            </w:r>
            <w:r w:rsidR="008909A9">
              <w:rPr>
                <w:noProof/>
                <w:webHidden/>
              </w:rPr>
              <w:instrText xml:space="preserve"> PAGEREF _Toc117512821 \h </w:instrText>
            </w:r>
            <w:r w:rsidR="008909A9">
              <w:rPr>
                <w:noProof/>
                <w:webHidden/>
              </w:rPr>
            </w:r>
            <w:r w:rsidR="008909A9">
              <w:rPr>
                <w:noProof/>
                <w:webHidden/>
              </w:rPr>
              <w:fldChar w:fldCharType="separate"/>
            </w:r>
            <w:r w:rsidR="001F4AB3">
              <w:rPr>
                <w:noProof/>
                <w:webHidden/>
              </w:rPr>
              <w:t>2</w:t>
            </w:r>
            <w:r w:rsidR="008909A9">
              <w:rPr>
                <w:noProof/>
                <w:webHidden/>
              </w:rPr>
              <w:fldChar w:fldCharType="end"/>
            </w:r>
          </w:hyperlink>
        </w:p>
        <w:p w14:paraId="04A226E9" w14:textId="3187E76F" w:rsidR="008909A9" w:rsidRDefault="00F42BAE">
          <w:pPr>
            <w:pStyle w:val="TOC3"/>
            <w:tabs>
              <w:tab w:val="right" w:leader="dot" w:pos="9350"/>
            </w:tabs>
            <w:rPr>
              <w:rFonts w:cstheme="minorBidi"/>
              <w:noProof/>
              <w:sz w:val="22"/>
              <w:szCs w:val="22"/>
            </w:rPr>
          </w:pPr>
          <w:hyperlink w:anchor="_Toc117512822" w:history="1">
            <w:r w:rsidR="008909A9" w:rsidRPr="0092134C">
              <w:rPr>
                <w:rStyle w:val="Hyperlink"/>
                <w:noProof/>
              </w:rPr>
              <w:t>Selected Findings</w:t>
            </w:r>
            <w:r w:rsidR="008909A9">
              <w:rPr>
                <w:noProof/>
                <w:webHidden/>
              </w:rPr>
              <w:tab/>
            </w:r>
            <w:r w:rsidR="008909A9">
              <w:rPr>
                <w:noProof/>
                <w:webHidden/>
              </w:rPr>
              <w:fldChar w:fldCharType="begin"/>
            </w:r>
            <w:r w:rsidR="008909A9">
              <w:rPr>
                <w:noProof/>
                <w:webHidden/>
              </w:rPr>
              <w:instrText xml:space="preserve"> PAGEREF _Toc117512822 \h </w:instrText>
            </w:r>
            <w:r w:rsidR="008909A9">
              <w:rPr>
                <w:noProof/>
                <w:webHidden/>
              </w:rPr>
            </w:r>
            <w:r w:rsidR="008909A9">
              <w:rPr>
                <w:noProof/>
                <w:webHidden/>
              </w:rPr>
              <w:fldChar w:fldCharType="separate"/>
            </w:r>
            <w:r w:rsidR="001F4AB3">
              <w:rPr>
                <w:noProof/>
                <w:webHidden/>
              </w:rPr>
              <w:t>3</w:t>
            </w:r>
            <w:r w:rsidR="008909A9">
              <w:rPr>
                <w:noProof/>
                <w:webHidden/>
              </w:rPr>
              <w:fldChar w:fldCharType="end"/>
            </w:r>
          </w:hyperlink>
        </w:p>
        <w:p w14:paraId="5BBB5B69" w14:textId="641DAE35" w:rsidR="008909A9" w:rsidRDefault="00F42BAE">
          <w:pPr>
            <w:pStyle w:val="TOC1"/>
            <w:rPr>
              <w:rFonts w:cstheme="minorBidi"/>
              <w:noProof/>
              <w:sz w:val="22"/>
              <w:szCs w:val="22"/>
            </w:rPr>
          </w:pPr>
          <w:hyperlink w:anchor="_Toc117512823" w:history="1">
            <w:r w:rsidR="008909A9" w:rsidRPr="0092134C">
              <w:rPr>
                <w:rStyle w:val="Hyperlink"/>
                <w:noProof/>
              </w:rPr>
              <w:t>Limitations of Performance Measures Data and Findings</w:t>
            </w:r>
            <w:r w:rsidR="008909A9">
              <w:rPr>
                <w:noProof/>
                <w:webHidden/>
              </w:rPr>
              <w:tab/>
            </w:r>
            <w:r w:rsidR="008909A9">
              <w:rPr>
                <w:noProof/>
                <w:webHidden/>
              </w:rPr>
              <w:fldChar w:fldCharType="begin"/>
            </w:r>
            <w:r w:rsidR="008909A9">
              <w:rPr>
                <w:noProof/>
                <w:webHidden/>
              </w:rPr>
              <w:instrText xml:space="preserve"> PAGEREF _Toc117512823 \h </w:instrText>
            </w:r>
            <w:r w:rsidR="008909A9">
              <w:rPr>
                <w:noProof/>
                <w:webHidden/>
              </w:rPr>
            </w:r>
            <w:r w:rsidR="008909A9">
              <w:rPr>
                <w:noProof/>
                <w:webHidden/>
              </w:rPr>
              <w:fldChar w:fldCharType="separate"/>
            </w:r>
            <w:r w:rsidR="001F4AB3">
              <w:rPr>
                <w:noProof/>
                <w:webHidden/>
              </w:rPr>
              <w:t>3</w:t>
            </w:r>
            <w:r w:rsidR="008909A9">
              <w:rPr>
                <w:noProof/>
                <w:webHidden/>
              </w:rPr>
              <w:fldChar w:fldCharType="end"/>
            </w:r>
          </w:hyperlink>
        </w:p>
        <w:p w14:paraId="3DAEAFC6" w14:textId="63075366" w:rsidR="008909A9" w:rsidRDefault="00F42BAE">
          <w:pPr>
            <w:pStyle w:val="TOC1"/>
            <w:rPr>
              <w:rFonts w:cstheme="minorBidi"/>
              <w:noProof/>
              <w:sz w:val="22"/>
              <w:szCs w:val="22"/>
            </w:rPr>
          </w:pPr>
          <w:hyperlink w:anchor="_Toc117512824" w:history="1">
            <w:r w:rsidR="008909A9" w:rsidRPr="0092134C">
              <w:rPr>
                <w:rStyle w:val="Hyperlink"/>
                <w:noProof/>
              </w:rPr>
              <w:t>Efficiency Measure for UB and UBMS Projects</w:t>
            </w:r>
            <w:r w:rsidR="008909A9">
              <w:rPr>
                <w:noProof/>
                <w:webHidden/>
              </w:rPr>
              <w:tab/>
            </w:r>
            <w:r w:rsidR="008909A9">
              <w:rPr>
                <w:noProof/>
                <w:webHidden/>
              </w:rPr>
              <w:fldChar w:fldCharType="begin"/>
            </w:r>
            <w:r w:rsidR="008909A9">
              <w:rPr>
                <w:noProof/>
                <w:webHidden/>
              </w:rPr>
              <w:instrText xml:space="preserve"> PAGEREF _Toc117512824 \h </w:instrText>
            </w:r>
            <w:r w:rsidR="008909A9">
              <w:rPr>
                <w:noProof/>
                <w:webHidden/>
              </w:rPr>
            </w:r>
            <w:r w:rsidR="008909A9">
              <w:rPr>
                <w:noProof/>
                <w:webHidden/>
              </w:rPr>
              <w:fldChar w:fldCharType="separate"/>
            </w:r>
            <w:r w:rsidR="001F4AB3">
              <w:rPr>
                <w:noProof/>
                <w:webHidden/>
              </w:rPr>
              <w:t>5</w:t>
            </w:r>
            <w:r w:rsidR="008909A9">
              <w:rPr>
                <w:noProof/>
                <w:webHidden/>
              </w:rPr>
              <w:fldChar w:fldCharType="end"/>
            </w:r>
          </w:hyperlink>
        </w:p>
        <w:p w14:paraId="719A1698" w14:textId="3C1AF295" w:rsidR="008909A9" w:rsidRDefault="00F42BAE">
          <w:pPr>
            <w:pStyle w:val="TOC2"/>
            <w:tabs>
              <w:tab w:val="right" w:leader="dot" w:pos="9350"/>
            </w:tabs>
            <w:rPr>
              <w:rFonts w:cstheme="minorBidi"/>
              <w:i w:val="0"/>
              <w:iCs w:val="0"/>
              <w:noProof/>
              <w:sz w:val="22"/>
              <w:szCs w:val="22"/>
            </w:rPr>
          </w:pPr>
          <w:hyperlink w:anchor="_Toc117512825" w:history="1">
            <w:r w:rsidR="008909A9" w:rsidRPr="0092134C">
              <w:rPr>
                <w:rStyle w:val="Hyperlink"/>
                <w:noProof/>
              </w:rPr>
              <w:t>Efficiency Measure</w:t>
            </w:r>
            <w:r w:rsidR="008909A9">
              <w:rPr>
                <w:noProof/>
                <w:webHidden/>
              </w:rPr>
              <w:tab/>
            </w:r>
            <w:r w:rsidR="008909A9">
              <w:rPr>
                <w:noProof/>
                <w:webHidden/>
              </w:rPr>
              <w:fldChar w:fldCharType="begin"/>
            </w:r>
            <w:r w:rsidR="008909A9">
              <w:rPr>
                <w:noProof/>
                <w:webHidden/>
              </w:rPr>
              <w:instrText xml:space="preserve"> PAGEREF _Toc117512825 \h </w:instrText>
            </w:r>
            <w:r w:rsidR="008909A9">
              <w:rPr>
                <w:noProof/>
                <w:webHidden/>
              </w:rPr>
            </w:r>
            <w:r w:rsidR="008909A9">
              <w:rPr>
                <w:noProof/>
                <w:webHidden/>
              </w:rPr>
              <w:fldChar w:fldCharType="separate"/>
            </w:r>
            <w:r w:rsidR="001F4AB3">
              <w:rPr>
                <w:noProof/>
                <w:webHidden/>
              </w:rPr>
              <w:t>5</w:t>
            </w:r>
            <w:r w:rsidR="008909A9">
              <w:rPr>
                <w:noProof/>
                <w:webHidden/>
              </w:rPr>
              <w:fldChar w:fldCharType="end"/>
            </w:r>
          </w:hyperlink>
        </w:p>
        <w:p w14:paraId="3F61B2FD" w14:textId="51ECA89D" w:rsidR="008909A9" w:rsidRDefault="00F42BAE">
          <w:pPr>
            <w:pStyle w:val="TOC3"/>
            <w:tabs>
              <w:tab w:val="right" w:leader="dot" w:pos="9350"/>
            </w:tabs>
            <w:rPr>
              <w:rFonts w:cstheme="minorBidi"/>
              <w:noProof/>
              <w:sz w:val="22"/>
              <w:szCs w:val="22"/>
            </w:rPr>
          </w:pPr>
          <w:hyperlink w:anchor="_Toc117512826" w:history="1">
            <w:r w:rsidR="008909A9" w:rsidRPr="0092134C">
              <w:rPr>
                <w:rStyle w:val="Hyperlink"/>
                <w:noProof/>
              </w:rPr>
              <w:t>Selected Findings</w:t>
            </w:r>
            <w:r w:rsidR="008909A9">
              <w:rPr>
                <w:noProof/>
                <w:webHidden/>
              </w:rPr>
              <w:tab/>
            </w:r>
            <w:r w:rsidR="008909A9">
              <w:rPr>
                <w:noProof/>
                <w:webHidden/>
              </w:rPr>
              <w:fldChar w:fldCharType="begin"/>
            </w:r>
            <w:r w:rsidR="008909A9">
              <w:rPr>
                <w:noProof/>
                <w:webHidden/>
              </w:rPr>
              <w:instrText xml:space="preserve"> PAGEREF _Toc117512826 \h </w:instrText>
            </w:r>
            <w:r w:rsidR="008909A9">
              <w:rPr>
                <w:noProof/>
                <w:webHidden/>
              </w:rPr>
            </w:r>
            <w:r w:rsidR="008909A9">
              <w:rPr>
                <w:noProof/>
                <w:webHidden/>
              </w:rPr>
              <w:fldChar w:fldCharType="separate"/>
            </w:r>
            <w:r w:rsidR="001F4AB3">
              <w:rPr>
                <w:noProof/>
                <w:webHidden/>
              </w:rPr>
              <w:t>5</w:t>
            </w:r>
            <w:r w:rsidR="008909A9">
              <w:rPr>
                <w:noProof/>
                <w:webHidden/>
              </w:rPr>
              <w:fldChar w:fldCharType="end"/>
            </w:r>
          </w:hyperlink>
        </w:p>
        <w:p w14:paraId="221C71CC" w14:textId="3F693776" w:rsidR="008909A9" w:rsidRDefault="00F42BAE">
          <w:pPr>
            <w:pStyle w:val="TOC1"/>
            <w:rPr>
              <w:rFonts w:cstheme="minorBidi"/>
              <w:noProof/>
              <w:sz w:val="22"/>
              <w:szCs w:val="22"/>
            </w:rPr>
          </w:pPr>
          <w:hyperlink w:anchor="_Toc117512827" w:history="1">
            <w:r w:rsidR="008909A9" w:rsidRPr="0092134C">
              <w:rPr>
                <w:rStyle w:val="Hyperlink"/>
                <w:noProof/>
              </w:rPr>
              <w:t>Limitations of Efficiency Measure Data and Findings</w:t>
            </w:r>
            <w:r w:rsidR="008909A9">
              <w:rPr>
                <w:noProof/>
                <w:webHidden/>
              </w:rPr>
              <w:tab/>
            </w:r>
            <w:r w:rsidR="008909A9">
              <w:rPr>
                <w:noProof/>
                <w:webHidden/>
              </w:rPr>
              <w:fldChar w:fldCharType="begin"/>
            </w:r>
            <w:r w:rsidR="008909A9">
              <w:rPr>
                <w:noProof/>
                <w:webHidden/>
              </w:rPr>
              <w:instrText xml:space="preserve"> PAGEREF _Toc117512827 \h </w:instrText>
            </w:r>
            <w:r w:rsidR="008909A9">
              <w:rPr>
                <w:noProof/>
                <w:webHidden/>
              </w:rPr>
            </w:r>
            <w:r w:rsidR="008909A9">
              <w:rPr>
                <w:noProof/>
                <w:webHidden/>
              </w:rPr>
              <w:fldChar w:fldCharType="separate"/>
            </w:r>
            <w:r w:rsidR="001F4AB3">
              <w:rPr>
                <w:noProof/>
                <w:webHidden/>
              </w:rPr>
              <w:t>6</w:t>
            </w:r>
            <w:r w:rsidR="008909A9">
              <w:rPr>
                <w:noProof/>
                <w:webHidden/>
              </w:rPr>
              <w:fldChar w:fldCharType="end"/>
            </w:r>
          </w:hyperlink>
        </w:p>
        <w:p w14:paraId="38466970" w14:textId="7F66F43F" w:rsidR="008909A9" w:rsidRDefault="00F42BAE">
          <w:pPr>
            <w:pStyle w:val="TOC1"/>
            <w:rPr>
              <w:rFonts w:cstheme="minorBidi"/>
              <w:noProof/>
              <w:sz w:val="22"/>
              <w:szCs w:val="22"/>
            </w:rPr>
          </w:pPr>
          <w:hyperlink w:anchor="_Toc117512828" w:history="1">
            <w:r w:rsidR="008909A9" w:rsidRPr="0092134C">
              <w:rPr>
                <w:rStyle w:val="Hyperlink"/>
                <w:noProof/>
              </w:rPr>
              <w:t>Appendix A. Calculation Methodology for Postsecondary Enrollment Rate (Table 1)</w:t>
            </w:r>
            <w:r w:rsidR="008909A9">
              <w:rPr>
                <w:noProof/>
                <w:webHidden/>
              </w:rPr>
              <w:tab/>
            </w:r>
            <w:r w:rsidR="008909A9">
              <w:rPr>
                <w:noProof/>
                <w:webHidden/>
              </w:rPr>
              <w:fldChar w:fldCharType="begin"/>
            </w:r>
            <w:r w:rsidR="008909A9">
              <w:rPr>
                <w:noProof/>
                <w:webHidden/>
              </w:rPr>
              <w:instrText xml:space="preserve"> PAGEREF _Toc117512828 \h </w:instrText>
            </w:r>
            <w:r w:rsidR="008909A9">
              <w:rPr>
                <w:noProof/>
                <w:webHidden/>
              </w:rPr>
            </w:r>
            <w:r w:rsidR="008909A9">
              <w:rPr>
                <w:noProof/>
                <w:webHidden/>
              </w:rPr>
              <w:fldChar w:fldCharType="separate"/>
            </w:r>
            <w:r w:rsidR="001F4AB3">
              <w:rPr>
                <w:noProof/>
                <w:webHidden/>
              </w:rPr>
              <w:t>7</w:t>
            </w:r>
            <w:r w:rsidR="008909A9">
              <w:rPr>
                <w:noProof/>
                <w:webHidden/>
              </w:rPr>
              <w:fldChar w:fldCharType="end"/>
            </w:r>
          </w:hyperlink>
        </w:p>
        <w:p w14:paraId="0047CEB9" w14:textId="5E4A15D7" w:rsidR="008909A9" w:rsidRDefault="00F42BAE">
          <w:pPr>
            <w:pStyle w:val="TOC2"/>
            <w:tabs>
              <w:tab w:val="right" w:leader="dot" w:pos="9350"/>
            </w:tabs>
            <w:rPr>
              <w:rFonts w:cstheme="minorBidi"/>
              <w:i w:val="0"/>
              <w:iCs w:val="0"/>
              <w:noProof/>
              <w:sz w:val="22"/>
              <w:szCs w:val="22"/>
            </w:rPr>
          </w:pPr>
          <w:hyperlink w:anchor="_Toc117512829" w:history="1">
            <w:r w:rsidR="008909A9" w:rsidRPr="0092134C">
              <w:rPr>
                <w:rStyle w:val="Hyperlink"/>
                <w:noProof/>
              </w:rPr>
              <w:t>High School Graduation Year Cohort</w:t>
            </w:r>
            <w:r w:rsidR="008909A9">
              <w:rPr>
                <w:noProof/>
                <w:webHidden/>
              </w:rPr>
              <w:tab/>
            </w:r>
            <w:r w:rsidR="008909A9">
              <w:rPr>
                <w:noProof/>
                <w:webHidden/>
              </w:rPr>
              <w:fldChar w:fldCharType="begin"/>
            </w:r>
            <w:r w:rsidR="008909A9">
              <w:rPr>
                <w:noProof/>
                <w:webHidden/>
              </w:rPr>
              <w:instrText xml:space="preserve"> PAGEREF _Toc117512829 \h </w:instrText>
            </w:r>
            <w:r w:rsidR="008909A9">
              <w:rPr>
                <w:noProof/>
                <w:webHidden/>
              </w:rPr>
            </w:r>
            <w:r w:rsidR="008909A9">
              <w:rPr>
                <w:noProof/>
                <w:webHidden/>
              </w:rPr>
              <w:fldChar w:fldCharType="separate"/>
            </w:r>
            <w:r w:rsidR="001F4AB3">
              <w:rPr>
                <w:noProof/>
                <w:webHidden/>
              </w:rPr>
              <w:t>7</w:t>
            </w:r>
            <w:r w:rsidR="008909A9">
              <w:rPr>
                <w:noProof/>
                <w:webHidden/>
              </w:rPr>
              <w:fldChar w:fldCharType="end"/>
            </w:r>
          </w:hyperlink>
        </w:p>
        <w:p w14:paraId="5DD24B4C" w14:textId="1298FEDF" w:rsidR="008909A9" w:rsidRDefault="00F42BAE">
          <w:pPr>
            <w:pStyle w:val="TOC2"/>
            <w:tabs>
              <w:tab w:val="right" w:leader="dot" w:pos="9350"/>
            </w:tabs>
            <w:rPr>
              <w:rFonts w:cstheme="minorBidi"/>
              <w:i w:val="0"/>
              <w:iCs w:val="0"/>
              <w:noProof/>
              <w:sz w:val="22"/>
              <w:szCs w:val="22"/>
            </w:rPr>
          </w:pPr>
          <w:hyperlink w:anchor="_Toc117512830" w:history="1">
            <w:r w:rsidR="008909A9" w:rsidRPr="0092134C">
              <w:rPr>
                <w:rStyle w:val="Hyperlink"/>
                <w:noProof/>
              </w:rPr>
              <w:t>Evidence of Postsecondary Enrollment</w:t>
            </w:r>
            <w:r w:rsidR="008909A9">
              <w:rPr>
                <w:noProof/>
                <w:webHidden/>
              </w:rPr>
              <w:tab/>
            </w:r>
            <w:r w:rsidR="008909A9">
              <w:rPr>
                <w:noProof/>
                <w:webHidden/>
              </w:rPr>
              <w:fldChar w:fldCharType="begin"/>
            </w:r>
            <w:r w:rsidR="008909A9">
              <w:rPr>
                <w:noProof/>
                <w:webHidden/>
              </w:rPr>
              <w:instrText xml:space="preserve"> PAGEREF _Toc117512830 \h </w:instrText>
            </w:r>
            <w:r w:rsidR="008909A9">
              <w:rPr>
                <w:noProof/>
                <w:webHidden/>
              </w:rPr>
            </w:r>
            <w:r w:rsidR="008909A9">
              <w:rPr>
                <w:noProof/>
                <w:webHidden/>
              </w:rPr>
              <w:fldChar w:fldCharType="separate"/>
            </w:r>
            <w:r w:rsidR="001F4AB3">
              <w:rPr>
                <w:noProof/>
                <w:webHidden/>
              </w:rPr>
              <w:t>7</w:t>
            </w:r>
            <w:r w:rsidR="008909A9">
              <w:rPr>
                <w:noProof/>
                <w:webHidden/>
              </w:rPr>
              <w:fldChar w:fldCharType="end"/>
            </w:r>
          </w:hyperlink>
        </w:p>
        <w:p w14:paraId="679F965F" w14:textId="61E30DA0" w:rsidR="008909A9" w:rsidRDefault="00F42BAE">
          <w:pPr>
            <w:pStyle w:val="TOC2"/>
            <w:tabs>
              <w:tab w:val="right" w:leader="dot" w:pos="9350"/>
            </w:tabs>
            <w:rPr>
              <w:rFonts w:cstheme="minorBidi"/>
              <w:i w:val="0"/>
              <w:iCs w:val="0"/>
              <w:noProof/>
              <w:sz w:val="22"/>
              <w:szCs w:val="22"/>
            </w:rPr>
          </w:pPr>
          <w:hyperlink w:anchor="_Toc117512831" w:history="1">
            <w:r w:rsidR="008909A9" w:rsidRPr="0092134C">
              <w:rPr>
                <w:rStyle w:val="Hyperlink"/>
                <w:noProof/>
              </w:rPr>
              <w:t>Enrollment Rate Calculation</w:t>
            </w:r>
            <w:r w:rsidR="008909A9">
              <w:rPr>
                <w:noProof/>
                <w:webHidden/>
              </w:rPr>
              <w:tab/>
            </w:r>
            <w:r w:rsidR="008909A9">
              <w:rPr>
                <w:noProof/>
                <w:webHidden/>
              </w:rPr>
              <w:fldChar w:fldCharType="begin"/>
            </w:r>
            <w:r w:rsidR="008909A9">
              <w:rPr>
                <w:noProof/>
                <w:webHidden/>
              </w:rPr>
              <w:instrText xml:space="preserve"> PAGEREF _Toc117512831 \h </w:instrText>
            </w:r>
            <w:r w:rsidR="008909A9">
              <w:rPr>
                <w:noProof/>
                <w:webHidden/>
              </w:rPr>
            </w:r>
            <w:r w:rsidR="008909A9">
              <w:rPr>
                <w:noProof/>
                <w:webHidden/>
              </w:rPr>
              <w:fldChar w:fldCharType="separate"/>
            </w:r>
            <w:r w:rsidR="001F4AB3">
              <w:rPr>
                <w:noProof/>
                <w:webHidden/>
              </w:rPr>
              <w:t>10</w:t>
            </w:r>
            <w:r w:rsidR="008909A9">
              <w:rPr>
                <w:noProof/>
                <w:webHidden/>
              </w:rPr>
              <w:fldChar w:fldCharType="end"/>
            </w:r>
          </w:hyperlink>
        </w:p>
        <w:p w14:paraId="7058BB16" w14:textId="201B7660" w:rsidR="008909A9" w:rsidRDefault="00F42BAE">
          <w:pPr>
            <w:pStyle w:val="TOC2"/>
            <w:tabs>
              <w:tab w:val="right" w:leader="dot" w:pos="9350"/>
            </w:tabs>
            <w:rPr>
              <w:rFonts w:cstheme="minorBidi"/>
              <w:i w:val="0"/>
              <w:iCs w:val="0"/>
              <w:noProof/>
              <w:sz w:val="22"/>
              <w:szCs w:val="22"/>
            </w:rPr>
          </w:pPr>
          <w:hyperlink w:anchor="_Toc117512832" w:history="1">
            <w:r w:rsidR="008909A9" w:rsidRPr="0092134C">
              <w:rPr>
                <w:rStyle w:val="Hyperlink"/>
                <w:noProof/>
              </w:rPr>
              <w:t>Projects excluded from Table 1</w:t>
            </w:r>
            <w:r w:rsidR="008909A9">
              <w:rPr>
                <w:noProof/>
                <w:webHidden/>
              </w:rPr>
              <w:tab/>
            </w:r>
            <w:r w:rsidR="008909A9">
              <w:rPr>
                <w:noProof/>
                <w:webHidden/>
              </w:rPr>
              <w:fldChar w:fldCharType="begin"/>
            </w:r>
            <w:r w:rsidR="008909A9">
              <w:rPr>
                <w:noProof/>
                <w:webHidden/>
              </w:rPr>
              <w:instrText xml:space="preserve"> PAGEREF _Toc117512832 \h </w:instrText>
            </w:r>
            <w:r w:rsidR="008909A9">
              <w:rPr>
                <w:noProof/>
                <w:webHidden/>
              </w:rPr>
            </w:r>
            <w:r w:rsidR="008909A9">
              <w:rPr>
                <w:noProof/>
                <w:webHidden/>
              </w:rPr>
              <w:fldChar w:fldCharType="separate"/>
            </w:r>
            <w:r w:rsidR="001F4AB3">
              <w:rPr>
                <w:noProof/>
                <w:webHidden/>
              </w:rPr>
              <w:t>10</w:t>
            </w:r>
            <w:r w:rsidR="008909A9">
              <w:rPr>
                <w:noProof/>
                <w:webHidden/>
              </w:rPr>
              <w:fldChar w:fldCharType="end"/>
            </w:r>
          </w:hyperlink>
        </w:p>
        <w:p w14:paraId="170E2F82" w14:textId="01F96ECF" w:rsidR="008909A9" w:rsidRDefault="00F42BAE">
          <w:pPr>
            <w:pStyle w:val="TOC1"/>
            <w:rPr>
              <w:rFonts w:cstheme="minorBidi"/>
              <w:noProof/>
              <w:sz w:val="22"/>
              <w:szCs w:val="22"/>
            </w:rPr>
          </w:pPr>
          <w:hyperlink w:anchor="_Toc117512833" w:history="1">
            <w:r w:rsidR="008909A9" w:rsidRPr="0092134C">
              <w:rPr>
                <w:rStyle w:val="Hyperlink"/>
                <w:noProof/>
              </w:rPr>
              <w:t>Appendix B. Calculation Methodology for Postsecondary Degree Completion Rate (Table 2)</w:t>
            </w:r>
            <w:r w:rsidR="008909A9">
              <w:rPr>
                <w:noProof/>
                <w:webHidden/>
              </w:rPr>
              <w:tab/>
            </w:r>
            <w:r w:rsidR="008909A9">
              <w:rPr>
                <w:noProof/>
                <w:webHidden/>
              </w:rPr>
              <w:fldChar w:fldCharType="begin"/>
            </w:r>
            <w:r w:rsidR="008909A9">
              <w:rPr>
                <w:noProof/>
                <w:webHidden/>
              </w:rPr>
              <w:instrText xml:space="preserve"> PAGEREF _Toc117512833 \h </w:instrText>
            </w:r>
            <w:r w:rsidR="008909A9">
              <w:rPr>
                <w:noProof/>
                <w:webHidden/>
              </w:rPr>
            </w:r>
            <w:r w:rsidR="008909A9">
              <w:rPr>
                <w:noProof/>
                <w:webHidden/>
              </w:rPr>
              <w:fldChar w:fldCharType="separate"/>
            </w:r>
            <w:r w:rsidR="001F4AB3">
              <w:rPr>
                <w:noProof/>
                <w:webHidden/>
              </w:rPr>
              <w:t>11</w:t>
            </w:r>
            <w:r w:rsidR="008909A9">
              <w:rPr>
                <w:noProof/>
                <w:webHidden/>
              </w:rPr>
              <w:fldChar w:fldCharType="end"/>
            </w:r>
          </w:hyperlink>
        </w:p>
        <w:p w14:paraId="16415317" w14:textId="3938791F" w:rsidR="008909A9" w:rsidRDefault="00F42BAE">
          <w:pPr>
            <w:pStyle w:val="TOC2"/>
            <w:tabs>
              <w:tab w:val="right" w:leader="dot" w:pos="9350"/>
            </w:tabs>
            <w:rPr>
              <w:rFonts w:cstheme="minorBidi"/>
              <w:i w:val="0"/>
              <w:iCs w:val="0"/>
              <w:noProof/>
              <w:sz w:val="22"/>
              <w:szCs w:val="22"/>
            </w:rPr>
          </w:pPr>
          <w:hyperlink w:anchor="_Toc117512834" w:history="1">
            <w:r w:rsidR="008909A9" w:rsidRPr="0092134C">
              <w:rPr>
                <w:rStyle w:val="Hyperlink"/>
                <w:noProof/>
              </w:rPr>
              <w:t>Postsecondary Education Enrollment Cohort</w:t>
            </w:r>
            <w:r w:rsidR="008909A9">
              <w:rPr>
                <w:noProof/>
                <w:webHidden/>
              </w:rPr>
              <w:tab/>
            </w:r>
            <w:r w:rsidR="008909A9">
              <w:rPr>
                <w:noProof/>
                <w:webHidden/>
              </w:rPr>
              <w:fldChar w:fldCharType="begin"/>
            </w:r>
            <w:r w:rsidR="008909A9">
              <w:rPr>
                <w:noProof/>
                <w:webHidden/>
              </w:rPr>
              <w:instrText xml:space="preserve"> PAGEREF _Toc117512834 \h </w:instrText>
            </w:r>
            <w:r w:rsidR="008909A9">
              <w:rPr>
                <w:noProof/>
                <w:webHidden/>
              </w:rPr>
            </w:r>
            <w:r w:rsidR="008909A9">
              <w:rPr>
                <w:noProof/>
                <w:webHidden/>
              </w:rPr>
              <w:fldChar w:fldCharType="separate"/>
            </w:r>
            <w:r w:rsidR="001F4AB3">
              <w:rPr>
                <w:noProof/>
                <w:webHidden/>
              </w:rPr>
              <w:t>11</w:t>
            </w:r>
            <w:r w:rsidR="008909A9">
              <w:rPr>
                <w:noProof/>
                <w:webHidden/>
              </w:rPr>
              <w:fldChar w:fldCharType="end"/>
            </w:r>
          </w:hyperlink>
        </w:p>
        <w:p w14:paraId="631D4A0F" w14:textId="6EE09BE4" w:rsidR="008909A9" w:rsidRDefault="00F42BAE">
          <w:pPr>
            <w:pStyle w:val="TOC2"/>
            <w:tabs>
              <w:tab w:val="right" w:leader="dot" w:pos="9350"/>
            </w:tabs>
            <w:rPr>
              <w:rFonts w:cstheme="minorBidi"/>
              <w:i w:val="0"/>
              <w:iCs w:val="0"/>
              <w:noProof/>
              <w:sz w:val="22"/>
              <w:szCs w:val="22"/>
            </w:rPr>
          </w:pPr>
          <w:hyperlink w:anchor="_Toc117512835" w:history="1">
            <w:r w:rsidR="008909A9" w:rsidRPr="0092134C">
              <w:rPr>
                <w:rStyle w:val="Hyperlink"/>
                <w:noProof/>
              </w:rPr>
              <w:t>Evidence of Postsecondary Degree Completion</w:t>
            </w:r>
            <w:r w:rsidR="008909A9">
              <w:rPr>
                <w:noProof/>
                <w:webHidden/>
              </w:rPr>
              <w:tab/>
            </w:r>
            <w:r w:rsidR="008909A9">
              <w:rPr>
                <w:noProof/>
                <w:webHidden/>
              </w:rPr>
              <w:fldChar w:fldCharType="begin"/>
            </w:r>
            <w:r w:rsidR="008909A9">
              <w:rPr>
                <w:noProof/>
                <w:webHidden/>
              </w:rPr>
              <w:instrText xml:space="preserve"> PAGEREF _Toc117512835 \h </w:instrText>
            </w:r>
            <w:r w:rsidR="008909A9">
              <w:rPr>
                <w:noProof/>
                <w:webHidden/>
              </w:rPr>
            </w:r>
            <w:r w:rsidR="008909A9">
              <w:rPr>
                <w:noProof/>
                <w:webHidden/>
              </w:rPr>
              <w:fldChar w:fldCharType="separate"/>
            </w:r>
            <w:r w:rsidR="001F4AB3">
              <w:rPr>
                <w:noProof/>
                <w:webHidden/>
              </w:rPr>
              <w:t>11</w:t>
            </w:r>
            <w:r w:rsidR="008909A9">
              <w:rPr>
                <w:noProof/>
                <w:webHidden/>
              </w:rPr>
              <w:fldChar w:fldCharType="end"/>
            </w:r>
          </w:hyperlink>
        </w:p>
        <w:p w14:paraId="75AEFDD5" w14:textId="7F3EEEF6" w:rsidR="008909A9" w:rsidRDefault="00F42BAE">
          <w:pPr>
            <w:pStyle w:val="TOC2"/>
            <w:tabs>
              <w:tab w:val="right" w:leader="dot" w:pos="9350"/>
            </w:tabs>
            <w:rPr>
              <w:rFonts w:cstheme="minorBidi"/>
              <w:i w:val="0"/>
              <w:iCs w:val="0"/>
              <w:noProof/>
              <w:sz w:val="22"/>
              <w:szCs w:val="22"/>
            </w:rPr>
          </w:pPr>
          <w:hyperlink w:anchor="_Toc117512836" w:history="1">
            <w:r w:rsidR="008909A9" w:rsidRPr="0092134C">
              <w:rPr>
                <w:rStyle w:val="Hyperlink"/>
                <w:noProof/>
              </w:rPr>
              <w:t>Postsecondary Degree Completion Rate Calculation</w:t>
            </w:r>
            <w:r w:rsidR="008909A9">
              <w:rPr>
                <w:noProof/>
                <w:webHidden/>
              </w:rPr>
              <w:tab/>
            </w:r>
            <w:r w:rsidR="008909A9">
              <w:rPr>
                <w:noProof/>
                <w:webHidden/>
              </w:rPr>
              <w:fldChar w:fldCharType="begin"/>
            </w:r>
            <w:r w:rsidR="008909A9">
              <w:rPr>
                <w:noProof/>
                <w:webHidden/>
              </w:rPr>
              <w:instrText xml:space="preserve"> PAGEREF _Toc117512836 \h </w:instrText>
            </w:r>
            <w:r w:rsidR="008909A9">
              <w:rPr>
                <w:noProof/>
                <w:webHidden/>
              </w:rPr>
            </w:r>
            <w:r w:rsidR="008909A9">
              <w:rPr>
                <w:noProof/>
                <w:webHidden/>
              </w:rPr>
              <w:fldChar w:fldCharType="separate"/>
            </w:r>
            <w:r w:rsidR="001F4AB3">
              <w:rPr>
                <w:noProof/>
                <w:webHidden/>
              </w:rPr>
              <w:t>11</w:t>
            </w:r>
            <w:r w:rsidR="008909A9">
              <w:rPr>
                <w:noProof/>
                <w:webHidden/>
              </w:rPr>
              <w:fldChar w:fldCharType="end"/>
            </w:r>
          </w:hyperlink>
        </w:p>
        <w:p w14:paraId="554CD328" w14:textId="554661AD" w:rsidR="008909A9" w:rsidRDefault="00F42BAE">
          <w:pPr>
            <w:pStyle w:val="TOC2"/>
            <w:tabs>
              <w:tab w:val="right" w:leader="dot" w:pos="9350"/>
            </w:tabs>
            <w:rPr>
              <w:rFonts w:cstheme="minorBidi"/>
              <w:i w:val="0"/>
              <w:iCs w:val="0"/>
              <w:noProof/>
              <w:sz w:val="22"/>
              <w:szCs w:val="22"/>
            </w:rPr>
          </w:pPr>
          <w:hyperlink w:anchor="_Toc117512837" w:history="1">
            <w:r w:rsidR="008909A9" w:rsidRPr="0092134C">
              <w:rPr>
                <w:rStyle w:val="Hyperlink"/>
                <w:noProof/>
              </w:rPr>
              <w:t>Projects excluded from Table 2</w:t>
            </w:r>
            <w:r w:rsidR="008909A9">
              <w:rPr>
                <w:noProof/>
                <w:webHidden/>
              </w:rPr>
              <w:tab/>
            </w:r>
            <w:r w:rsidR="008909A9">
              <w:rPr>
                <w:noProof/>
                <w:webHidden/>
              </w:rPr>
              <w:fldChar w:fldCharType="begin"/>
            </w:r>
            <w:r w:rsidR="008909A9">
              <w:rPr>
                <w:noProof/>
                <w:webHidden/>
              </w:rPr>
              <w:instrText xml:space="preserve"> PAGEREF _Toc117512837 \h </w:instrText>
            </w:r>
            <w:r w:rsidR="008909A9">
              <w:rPr>
                <w:noProof/>
                <w:webHidden/>
              </w:rPr>
            </w:r>
            <w:r w:rsidR="008909A9">
              <w:rPr>
                <w:noProof/>
                <w:webHidden/>
              </w:rPr>
              <w:fldChar w:fldCharType="separate"/>
            </w:r>
            <w:r w:rsidR="001F4AB3">
              <w:rPr>
                <w:noProof/>
                <w:webHidden/>
              </w:rPr>
              <w:t>12</w:t>
            </w:r>
            <w:r w:rsidR="008909A9">
              <w:rPr>
                <w:noProof/>
                <w:webHidden/>
              </w:rPr>
              <w:fldChar w:fldCharType="end"/>
            </w:r>
          </w:hyperlink>
        </w:p>
        <w:p w14:paraId="7F4D8C41" w14:textId="04045728" w:rsidR="008909A9" w:rsidRDefault="00F42BAE">
          <w:pPr>
            <w:pStyle w:val="TOC1"/>
            <w:rPr>
              <w:rFonts w:cstheme="minorBidi"/>
              <w:noProof/>
              <w:sz w:val="22"/>
              <w:szCs w:val="22"/>
            </w:rPr>
          </w:pPr>
          <w:hyperlink w:anchor="_Toc117512838" w:history="1">
            <w:r w:rsidR="008909A9" w:rsidRPr="0092134C">
              <w:rPr>
                <w:rStyle w:val="Hyperlink"/>
                <w:noProof/>
              </w:rPr>
              <w:t>Appendix C. Calculation Methodology for Efficiency Measure (Table 3)</w:t>
            </w:r>
            <w:r w:rsidR="008909A9">
              <w:rPr>
                <w:noProof/>
                <w:webHidden/>
              </w:rPr>
              <w:tab/>
            </w:r>
            <w:r w:rsidR="008909A9">
              <w:rPr>
                <w:noProof/>
                <w:webHidden/>
              </w:rPr>
              <w:fldChar w:fldCharType="begin"/>
            </w:r>
            <w:r w:rsidR="008909A9">
              <w:rPr>
                <w:noProof/>
                <w:webHidden/>
              </w:rPr>
              <w:instrText xml:space="preserve"> PAGEREF _Toc117512838 \h </w:instrText>
            </w:r>
            <w:r w:rsidR="008909A9">
              <w:rPr>
                <w:noProof/>
                <w:webHidden/>
              </w:rPr>
            </w:r>
            <w:r w:rsidR="008909A9">
              <w:rPr>
                <w:noProof/>
                <w:webHidden/>
              </w:rPr>
              <w:fldChar w:fldCharType="separate"/>
            </w:r>
            <w:r w:rsidR="001F4AB3">
              <w:rPr>
                <w:noProof/>
                <w:webHidden/>
              </w:rPr>
              <w:t>13</w:t>
            </w:r>
            <w:r w:rsidR="008909A9">
              <w:rPr>
                <w:noProof/>
                <w:webHidden/>
              </w:rPr>
              <w:fldChar w:fldCharType="end"/>
            </w:r>
          </w:hyperlink>
        </w:p>
        <w:p w14:paraId="5D0A9AF0" w14:textId="78F31968" w:rsidR="008909A9" w:rsidRDefault="00F42BAE">
          <w:pPr>
            <w:pStyle w:val="TOC2"/>
            <w:tabs>
              <w:tab w:val="right" w:leader="dot" w:pos="9350"/>
            </w:tabs>
            <w:rPr>
              <w:rFonts w:cstheme="minorBidi"/>
              <w:i w:val="0"/>
              <w:iCs w:val="0"/>
              <w:noProof/>
              <w:sz w:val="22"/>
              <w:szCs w:val="22"/>
            </w:rPr>
          </w:pPr>
          <w:hyperlink w:anchor="_Toc117512839" w:history="1">
            <w:r w:rsidR="008909A9" w:rsidRPr="0092134C">
              <w:rPr>
                <w:rStyle w:val="Hyperlink"/>
                <w:noProof/>
              </w:rPr>
              <w:t>Total Participants</w:t>
            </w:r>
            <w:r w:rsidR="008909A9">
              <w:rPr>
                <w:noProof/>
                <w:webHidden/>
              </w:rPr>
              <w:tab/>
            </w:r>
            <w:r w:rsidR="008909A9">
              <w:rPr>
                <w:noProof/>
                <w:webHidden/>
              </w:rPr>
              <w:fldChar w:fldCharType="begin"/>
            </w:r>
            <w:r w:rsidR="008909A9">
              <w:rPr>
                <w:noProof/>
                <w:webHidden/>
              </w:rPr>
              <w:instrText xml:space="preserve"> PAGEREF _Toc117512839 \h </w:instrText>
            </w:r>
            <w:r w:rsidR="008909A9">
              <w:rPr>
                <w:noProof/>
                <w:webHidden/>
              </w:rPr>
            </w:r>
            <w:r w:rsidR="008909A9">
              <w:rPr>
                <w:noProof/>
                <w:webHidden/>
              </w:rPr>
              <w:fldChar w:fldCharType="separate"/>
            </w:r>
            <w:r w:rsidR="001F4AB3">
              <w:rPr>
                <w:noProof/>
                <w:webHidden/>
              </w:rPr>
              <w:t>13</w:t>
            </w:r>
            <w:r w:rsidR="008909A9">
              <w:rPr>
                <w:noProof/>
                <w:webHidden/>
              </w:rPr>
              <w:fldChar w:fldCharType="end"/>
            </w:r>
          </w:hyperlink>
        </w:p>
        <w:p w14:paraId="7AE6D6CE" w14:textId="4B67E776" w:rsidR="008909A9" w:rsidRDefault="00F42BAE">
          <w:pPr>
            <w:pStyle w:val="TOC2"/>
            <w:tabs>
              <w:tab w:val="right" w:leader="dot" w:pos="9350"/>
            </w:tabs>
            <w:rPr>
              <w:rFonts w:cstheme="minorBidi"/>
              <w:i w:val="0"/>
              <w:iCs w:val="0"/>
              <w:noProof/>
              <w:sz w:val="22"/>
              <w:szCs w:val="22"/>
            </w:rPr>
          </w:pPr>
          <w:hyperlink w:anchor="_Toc117512840" w:history="1">
            <w:r w:rsidR="008909A9" w:rsidRPr="0092134C">
              <w:rPr>
                <w:rStyle w:val="Hyperlink"/>
                <w:noProof/>
              </w:rPr>
              <w:t>Persisting Participants</w:t>
            </w:r>
            <w:r w:rsidR="008909A9">
              <w:rPr>
                <w:noProof/>
                <w:webHidden/>
              </w:rPr>
              <w:tab/>
            </w:r>
            <w:r w:rsidR="008909A9">
              <w:rPr>
                <w:noProof/>
                <w:webHidden/>
              </w:rPr>
              <w:fldChar w:fldCharType="begin"/>
            </w:r>
            <w:r w:rsidR="008909A9">
              <w:rPr>
                <w:noProof/>
                <w:webHidden/>
              </w:rPr>
              <w:instrText xml:space="preserve"> PAGEREF _Toc117512840 \h </w:instrText>
            </w:r>
            <w:r w:rsidR="008909A9">
              <w:rPr>
                <w:noProof/>
                <w:webHidden/>
              </w:rPr>
            </w:r>
            <w:r w:rsidR="008909A9">
              <w:rPr>
                <w:noProof/>
                <w:webHidden/>
              </w:rPr>
              <w:fldChar w:fldCharType="separate"/>
            </w:r>
            <w:r w:rsidR="001F4AB3">
              <w:rPr>
                <w:noProof/>
                <w:webHidden/>
              </w:rPr>
              <w:t>13</w:t>
            </w:r>
            <w:r w:rsidR="008909A9">
              <w:rPr>
                <w:noProof/>
                <w:webHidden/>
              </w:rPr>
              <w:fldChar w:fldCharType="end"/>
            </w:r>
          </w:hyperlink>
        </w:p>
        <w:p w14:paraId="04CB9314" w14:textId="415ACF3E" w:rsidR="008909A9" w:rsidRDefault="00F42BAE">
          <w:pPr>
            <w:pStyle w:val="TOC2"/>
            <w:tabs>
              <w:tab w:val="right" w:leader="dot" w:pos="9350"/>
            </w:tabs>
            <w:rPr>
              <w:rFonts w:cstheme="minorBidi"/>
              <w:i w:val="0"/>
              <w:iCs w:val="0"/>
              <w:noProof/>
              <w:sz w:val="22"/>
              <w:szCs w:val="22"/>
            </w:rPr>
          </w:pPr>
          <w:hyperlink w:anchor="_Toc117512841" w:history="1">
            <w:r w:rsidR="008909A9" w:rsidRPr="0092134C">
              <w:rPr>
                <w:rStyle w:val="Hyperlink"/>
                <w:noProof/>
              </w:rPr>
              <w:t>Annual Cost Per Participant</w:t>
            </w:r>
            <w:r w:rsidR="008909A9">
              <w:rPr>
                <w:noProof/>
                <w:webHidden/>
              </w:rPr>
              <w:tab/>
            </w:r>
            <w:r w:rsidR="008909A9">
              <w:rPr>
                <w:noProof/>
                <w:webHidden/>
              </w:rPr>
              <w:fldChar w:fldCharType="begin"/>
            </w:r>
            <w:r w:rsidR="008909A9">
              <w:rPr>
                <w:noProof/>
                <w:webHidden/>
              </w:rPr>
              <w:instrText xml:space="preserve"> PAGEREF _Toc117512841 \h </w:instrText>
            </w:r>
            <w:r w:rsidR="008909A9">
              <w:rPr>
                <w:noProof/>
                <w:webHidden/>
              </w:rPr>
            </w:r>
            <w:r w:rsidR="008909A9">
              <w:rPr>
                <w:noProof/>
                <w:webHidden/>
              </w:rPr>
              <w:fldChar w:fldCharType="separate"/>
            </w:r>
            <w:r w:rsidR="001F4AB3">
              <w:rPr>
                <w:noProof/>
                <w:webHidden/>
              </w:rPr>
              <w:t>16</w:t>
            </w:r>
            <w:r w:rsidR="008909A9">
              <w:rPr>
                <w:noProof/>
                <w:webHidden/>
              </w:rPr>
              <w:fldChar w:fldCharType="end"/>
            </w:r>
          </w:hyperlink>
        </w:p>
        <w:p w14:paraId="10D60BA8" w14:textId="09B40468" w:rsidR="008909A9" w:rsidRDefault="00F42BAE">
          <w:pPr>
            <w:pStyle w:val="TOC2"/>
            <w:tabs>
              <w:tab w:val="right" w:leader="dot" w:pos="9350"/>
            </w:tabs>
            <w:rPr>
              <w:rFonts w:cstheme="minorBidi"/>
              <w:i w:val="0"/>
              <w:iCs w:val="0"/>
              <w:noProof/>
              <w:sz w:val="22"/>
              <w:szCs w:val="22"/>
            </w:rPr>
          </w:pPr>
          <w:hyperlink w:anchor="_Toc117512842" w:history="1">
            <w:r w:rsidR="008909A9" w:rsidRPr="0092134C">
              <w:rPr>
                <w:rStyle w:val="Hyperlink"/>
                <w:noProof/>
              </w:rPr>
              <w:t>Annual Cost Per Successful Participant</w:t>
            </w:r>
            <w:r w:rsidR="008909A9">
              <w:rPr>
                <w:noProof/>
                <w:webHidden/>
              </w:rPr>
              <w:tab/>
            </w:r>
            <w:r w:rsidR="008909A9">
              <w:rPr>
                <w:noProof/>
                <w:webHidden/>
              </w:rPr>
              <w:fldChar w:fldCharType="begin"/>
            </w:r>
            <w:r w:rsidR="008909A9">
              <w:rPr>
                <w:noProof/>
                <w:webHidden/>
              </w:rPr>
              <w:instrText xml:space="preserve"> PAGEREF _Toc117512842 \h </w:instrText>
            </w:r>
            <w:r w:rsidR="008909A9">
              <w:rPr>
                <w:noProof/>
                <w:webHidden/>
              </w:rPr>
            </w:r>
            <w:r w:rsidR="008909A9">
              <w:rPr>
                <w:noProof/>
                <w:webHidden/>
              </w:rPr>
              <w:fldChar w:fldCharType="separate"/>
            </w:r>
            <w:r w:rsidR="001F4AB3">
              <w:rPr>
                <w:noProof/>
                <w:webHidden/>
              </w:rPr>
              <w:t>16</w:t>
            </w:r>
            <w:r w:rsidR="008909A9">
              <w:rPr>
                <w:noProof/>
                <w:webHidden/>
              </w:rPr>
              <w:fldChar w:fldCharType="end"/>
            </w:r>
          </w:hyperlink>
        </w:p>
        <w:p w14:paraId="7E89F801" w14:textId="2889DE22" w:rsidR="008909A9" w:rsidRDefault="00F42BAE">
          <w:pPr>
            <w:pStyle w:val="TOC2"/>
            <w:tabs>
              <w:tab w:val="right" w:leader="dot" w:pos="9350"/>
            </w:tabs>
            <w:rPr>
              <w:rFonts w:cstheme="minorBidi"/>
              <w:i w:val="0"/>
              <w:iCs w:val="0"/>
              <w:noProof/>
              <w:sz w:val="22"/>
              <w:szCs w:val="22"/>
            </w:rPr>
          </w:pPr>
          <w:hyperlink w:anchor="_Toc117512843" w:history="1">
            <w:r w:rsidR="008909A9" w:rsidRPr="0092134C">
              <w:rPr>
                <w:rStyle w:val="Hyperlink"/>
                <w:noProof/>
              </w:rPr>
              <w:t>Efficiency Measure Calculation</w:t>
            </w:r>
            <w:r w:rsidR="008909A9">
              <w:rPr>
                <w:noProof/>
                <w:webHidden/>
              </w:rPr>
              <w:tab/>
            </w:r>
            <w:r w:rsidR="008909A9">
              <w:rPr>
                <w:noProof/>
                <w:webHidden/>
              </w:rPr>
              <w:fldChar w:fldCharType="begin"/>
            </w:r>
            <w:r w:rsidR="008909A9">
              <w:rPr>
                <w:noProof/>
                <w:webHidden/>
              </w:rPr>
              <w:instrText xml:space="preserve"> PAGEREF _Toc117512843 \h </w:instrText>
            </w:r>
            <w:r w:rsidR="008909A9">
              <w:rPr>
                <w:noProof/>
                <w:webHidden/>
              </w:rPr>
            </w:r>
            <w:r w:rsidR="008909A9">
              <w:rPr>
                <w:noProof/>
                <w:webHidden/>
              </w:rPr>
              <w:fldChar w:fldCharType="separate"/>
            </w:r>
            <w:r w:rsidR="001F4AB3">
              <w:rPr>
                <w:noProof/>
                <w:webHidden/>
              </w:rPr>
              <w:t>17</w:t>
            </w:r>
            <w:r w:rsidR="008909A9">
              <w:rPr>
                <w:noProof/>
                <w:webHidden/>
              </w:rPr>
              <w:fldChar w:fldCharType="end"/>
            </w:r>
          </w:hyperlink>
        </w:p>
        <w:p w14:paraId="0DFC459D" w14:textId="5720BEB3" w:rsidR="008909A9" w:rsidRDefault="00F42BAE">
          <w:pPr>
            <w:pStyle w:val="TOC2"/>
            <w:tabs>
              <w:tab w:val="right" w:leader="dot" w:pos="9350"/>
            </w:tabs>
            <w:rPr>
              <w:rFonts w:cstheme="minorBidi"/>
              <w:i w:val="0"/>
              <w:iCs w:val="0"/>
              <w:noProof/>
              <w:sz w:val="22"/>
              <w:szCs w:val="22"/>
            </w:rPr>
          </w:pPr>
          <w:hyperlink w:anchor="_Toc117512844" w:history="1">
            <w:r w:rsidR="008909A9" w:rsidRPr="0092134C">
              <w:rPr>
                <w:rStyle w:val="Hyperlink"/>
                <w:noProof/>
              </w:rPr>
              <w:t>Projects excluded from Table 3</w:t>
            </w:r>
            <w:r w:rsidR="008909A9">
              <w:rPr>
                <w:noProof/>
                <w:webHidden/>
              </w:rPr>
              <w:tab/>
            </w:r>
            <w:r w:rsidR="008909A9">
              <w:rPr>
                <w:noProof/>
                <w:webHidden/>
              </w:rPr>
              <w:fldChar w:fldCharType="begin"/>
            </w:r>
            <w:r w:rsidR="008909A9">
              <w:rPr>
                <w:noProof/>
                <w:webHidden/>
              </w:rPr>
              <w:instrText xml:space="preserve"> PAGEREF _Toc117512844 \h </w:instrText>
            </w:r>
            <w:r w:rsidR="008909A9">
              <w:rPr>
                <w:noProof/>
                <w:webHidden/>
              </w:rPr>
            </w:r>
            <w:r w:rsidR="008909A9">
              <w:rPr>
                <w:noProof/>
                <w:webHidden/>
              </w:rPr>
              <w:fldChar w:fldCharType="separate"/>
            </w:r>
            <w:r w:rsidR="001F4AB3">
              <w:rPr>
                <w:noProof/>
                <w:webHidden/>
              </w:rPr>
              <w:t>17</w:t>
            </w:r>
            <w:r w:rsidR="008909A9">
              <w:rPr>
                <w:noProof/>
                <w:webHidden/>
              </w:rPr>
              <w:fldChar w:fldCharType="end"/>
            </w:r>
          </w:hyperlink>
        </w:p>
        <w:p w14:paraId="14F6810B" w14:textId="22074645" w:rsidR="008D3B4D" w:rsidRPr="008D3B4D" w:rsidRDefault="00E13A09">
          <w:pPr>
            <w:sectPr w:rsidR="008D3B4D" w:rsidRPr="008D3B4D" w:rsidSect="0031666D">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r>
            <w:rPr>
              <w:b/>
              <w:bCs/>
              <w:noProof/>
            </w:rPr>
            <w:fldChar w:fldCharType="end"/>
          </w:r>
        </w:p>
      </w:sdtContent>
    </w:sdt>
    <w:p w14:paraId="0964155D" w14:textId="77777777" w:rsidR="004E2266" w:rsidRPr="00745F16" w:rsidRDefault="7CBC6C8F" w:rsidP="005E07EA">
      <w:pPr>
        <w:pStyle w:val="Heading2"/>
      </w:pPr>
      <w:bookmarkStart w:id="2" w:name="_Toc117512817"/>
      <w:r w:rsidRPr="00745F16">
        <w:lastRenderedPageBreak/>
        <w:t>Introduction</w:t>
      </w:r>
      <w:bookmarkEnd w:id="2"/>
    </w:p>
    <w:p w14:paraId="5F9434E6" w14:textId="14C96943" w:rsidR="004E2266" w:rsidRPr="00745F16" w:rsidRDefault="7CBC6C8F" w:rsidP="7CBC6C8F">
      <w:pPr>
        <w:pStyle w:val="BodyText"/>
        <w:spacing w:line="300" w:lineRule="exact"/>
        <w:ind w:left="0"/>
        <w:rPr>
          <w:rFonts w:ascii="Times New Roman" w:hAnsi="Times New Roman"/>
        </w:rPr>
      </w:pPr>
      <w:r w:rsidRPr="00745F16">
        <w:rPr>
          <w:rFonts w:ascii="Times New Roman" w:hAnsi="Times New Roman"/>
        </w:rPr>
        <w:t>The U.S. Department of Education (Department) is committed to ongoing improvement in managing its programs to improve the educational outcomes of students. In its efforts to strengthen the work of its programs, the Department provides grantees, key stakeholders, and the public with data on the programs’ performance and with contextual information to encourage reflection, action, and collaboration. The Department uses postsecondary enrollment rates and postsecondary degree completion rates, discussed in detail below, as its measures of the Upward Bound (UB) and Upward Bound Math-Science (UBMS) programs’ performance</w:t>
      </w:r>
      <w:r w:rsidR="00E85EC7">
        <w:rPr>
          <w:rFonts w:ascii="Times New Roman" w:hAnsi="Times New Roman"/>
        </w:rPr>
        <w:t xml:space="preserve"> in supporting college entrance and graduation</w:t>
      </w:r>
      <w:r w:rsidRPr="00745F16">
        <w:rPr>
          <w:rFonts w:ascii="Times New Roman" w:hAnsi="Times New Roman"/>
        </w:rPr>
        <w:t>.</w:t>
      </w:r>
    </w:p>
    <w:p w14:paraId="53BE4A86" w14:textId="77777777" w:rsidR="004E2266" w:rsidRPr="00745F16" w:rsidRDefault="7CBC6C8F" w:rsidP="005E07EA">
      <w:pPr>
        <w:pStyle w:val="Heading2"/>
      </w:pPr>
      <w:bookmarkStart w:id="3" w:name="_Toc117512818"/>
      <w:r w:rsidRPr="00745F16">
        <w:t>Performance Measures for UB and UBMS Projects</w:t>
      </w:r>
      <w:bookmarkEnd w:id="3"/>
    </w:p>
    <w:p w14:paraId="463DD0E5" w14:textId="77777777" w:rsidR="004E2266" w:rsidRPr="00745F16" w:rsidRDefault="7CBC6C8F" w:rsidP="7CBC6C8F">
      <w:pPr>
        <w:pStyle w:val="BodyText"/>
        <w:ind w:left="0"/>
        <w:rPr>
          <w:rFonts w:ascii="Times New Roman" w:hAnsi="Times New Roman"/>
        </w:rPr>
      </w:pPr>
      <w:r w:rsidRPr="00745F16">
        <w:rPr>
          <w:rFonts w:ascii="Times New Roman" w:hAnsi="Times New Roman"/>
        </w:rPr>
        <w:t xml:space="preserve">The performance measures for UB and UBMS projects are: </w:t>
      </w:r>
    </w:p>
    <w:p w14:paraId="4C83AF57" w14:textId="6AE1E1E0" w:rsidR="004E2266" w:rsidRPr="00745F16" w:rsidRDefault="68A5A9A8" w:rsidP="00B234DE">
      <w:pPr>
        <w:pStyle w:val="bulletround"/>
        <w:spacing w:line="300" w:lineRule="exact"/>
        <w:ind w:left="357" w:hanging="357"/>
        <w:rPr>
          <w:rFonts w:ascii="Times New Roman" w:hAnsi="Times New Roman"/>
        </w:rPr>
      </w:pPr>
      <w:r w:rsidRPr="68A5A9A8">
        <w:rPr>
          <w:rFonts w:ascii="Times New Roman" w:hAnsi="Times New Roman"/>
          <w:b/>
          <w:bCs/>
        </w:rPr>
        <w:t>Postsecondary enrollment rate</w:t>
      </w:r>
      <w:r w:rsidRPr="68A5A9A8">
        <w:rPr>
          <w:rFonts w:ascii="Times New Roman" w:hAnsi="Times New Roman"/>
        </w:rPr>
        <w:t xml:space="preserve">: the percentage of participants who graduated high school in 2021–22 with a regular diploma and for whom there is evidence of enrollment in a postsecondary educational institution by the fall term immediately following high school graduation (see more details in </w:t>
      </w:r>
      <w:hyperlink w:anchor="_Appendix_A._Calculation_2">
        <w:r w:rsidRPr="68A5A9A8">
          <w:rPr>
            <w:rStyle w:val="Hyperlink"/>
            <w:rFonts w:ascii="Times New Roman" w:hAnsi="Times New Roman"/>
          </w:rPr>
          <w:t>Appendix A</w:t>
        </w:r>
      </w:hyperlink>
      <w:r w:rsidRPr="68A5A9A8">
        <w:rPr>
          <w:rFonts w:ascii="Times New Roman" w:hAnsi="Times New Roman"/>
        </w:rPr>
        <w:t>).</w:t>
      </w:r>
    </w:p>
    <w:p w14:paraId="72EA87C0" w14:textId="6E80DE2C" w:rsidR="004E2266" w:rsidRPr="00745F16" w:rsidRDefault="096D0E5F" w:rsidP="00B234DE">
      <w:pPr>
        <w:pStyle w:val="bulletround"/>
        <w:spacing w:line="300" w:lineRule="exact"/>
        <w:ind w:left="357" w:hanging="357"/>
        <w:rPr>
          <w:rFonts w:ascii="Times New Roman" w:hAnsi="Times New Roman"/>
        </w:rPr>
      </w:pPr>
      <w:r w:rsidRPr="096D0E5F">
        <w:rPr>
          <w:rFonts w:ascii="Times New Roman" w:hAnsi="Times New Roman"/>
          <w:b/>
          <w:bCs/>
        </w:rPr>
        <w:t>Postsecondary degree completion rate</w:t>
      </w:r>
      <w:r w:rsidRPr="096D0E5F">
        <w:rPr>
          <w:rFonts w:ascii="Times New Roman" w:hAnsi="Times New Roman"/>
        </w:rPr>
        <w:t xml:space="preserve">: the percentage of participants who completed high school during the 2015–16 academic year, enrolled in postsecondary education by the fall term immediately following the year they graduated from high school, and for whom there is evidence of completion of a bachelor’s degree within six years of high school graduation or an associate degree within three years of high school graduation (see more details in </w:t>
      </w:r>
      <w:hyperlink w:anchor="_Appendix_B._Calculation">
        <w:r w:rsidRPr="096D0E5F">
          <w:rPr>
            <w:rStyle w:val="Hyperlink"/>
            <w:rFonts w:ascii="Times New Roman" w:hAnsi="Times New Roman"/>
          </w:rPr>
          <w:t>Appendix B</w:t>
        </w:r>
      </w:hyperlink>
      <w:r w:rsidRPr="096D0E5F">
        <w:rPr>
          <w:rFonts w:ascii="Times New Roman" w:hAnsi="Times New Roman"/>
        </w:rPr>
        <w:t xml:space="preserve">). </w:t>
      </w:r>
    </w:p>
    <w:p w14:paraId="43F54333" w14:textId="28929661" w:rsidR="004E2266" w:rsidRPr="005E07EA" w:rsidRDefault="7CBC6C8F" w:rsidP="005E07EA">
      <w:pPr>
        <w:pStyle w:val="Heading3"/>
      </w:pPr>
      <w:bookmarkStart w:id="4" w:name="_Toc117512819"/>
      <w:r w:rsidRPr="005E07EA">
        <w:t>Postsecondary Enrollment Measure</w:t>
      </w:r>
      <w:bookmarkEnd w:id="4"/>
    </w:p>
    <w:p w14:paraId="331FDA8A" w14:textId="77777777" w:rsidR="004E2266" w:rsidRPr="00745F16" w:rsidRDefault="004E2266" w:rsidP="00B234DE">
      <w:pPr>
        <w:pStyle w:val="BodyText"/>
        <w:spacing w:line="300" w:lineRule="exact"/>
        <w:ind w:left="0"/>
        <w:rPr>
          <w:rFonts w:ascii="Times New Roman" w:hAnsi="Times New Roman"/>
        </w:rPr>
      </w:pPr>
      <w:r w:rsidRPr="00745F16">
        <w:rPr>
          <w:rFonts w:ascii="Times New Roman" w:hAnsi="Times New Roman"/>
          <w:spacing w:val="-2"/>
        </w:rPr>
        <w:t>Calculation rules for postsecondary enrollment were revised in the 2012–17 grant cycle (2012–13 through 2016–17)</w:t>
      </w:r>
      <w:r w:rsidRPr="00745F16">
        <w:rPr>
          <w:rFonts w:ascii="Times New Roman" w:hAnsi="Times New Roman"/>
        </w:rPr>
        <w:t xml:space="preserve"> and differ from those of the previous cycle in three ways.</w:t>
      </w:r>
    </w:p>
    <w:p w14:paraId="680F9FE5" w14:textId="77777777" w:rsidR="004E2266" w:rsidRPr="00745F16" w:rsidRDefault="7CBC6C8F" w:rsidP="00B234DE">
      <w:pPr>
        <w:pStyle w:val="bulletround"/>
        <w:spacing w:line="300" w:lineRule="exact"/>
        <w:ind w:left="357" w:hanging="357"/>
        <w:rPr>
          <w:rFonts w:ascii="Times New Roman" w:hAnsi="Times New Roman"/>
        </w:rPr>
      </w:pPr>
      <w:r w:rsidRPr="00745F16">
        <w:rPr>
          <w:rFonts w:ascii="Times New Roman" w:hAnsi="Times New Roman"/>
        </w:rPr>
        <w:t xml:space="preserve">The denominator of the postsecondary enrollment measure has changed from program participants who were </w:t>
      </w:r>
      <w:r w:rsidRPr="00745F16">
        <w:rPr>
          <w:rFonts w:ascii="Times New Roman" w:hAnsi="Times New Roman"/>
          <w:b/>
          <w:bCs/>
          <w:i/>
          <w:iCs/>
        </w:rPr>
        <w:t>expected</w:t>
      </w:r>
      <w:r w:rsidRPr="00745F16">
        <w:rPr>
          <w:rFonts w:ascii="Times New Roman" w:hAnsi="Times New Roman"/>
          <w:b/>
          <w:bCs/>
        </w:rPr>
        <w:t xml:space="preserve"> </w:t>
      </w:r>
      <w:r w:rsidRPr="00745F16">
        <w:rPr>
          <w:rFonts w:ascii="Times New Roman" w:hAnsi="Times New Roman"/>
          <w:b/>
          <w:bCs/>
          <w:i/>
          <w:iCs/>
        </w:rPr>
        <w:t>to graduate</w:t>
      </w:r>
      <w:r w:rsidRPr="00745F16">
        <w:rPr>
          <w:rFonts w:ascii="Times New Roman" w:hAnsi="Times New Roman"/>
        </w:rPr>
        <w:t xml:space="preserve"> high school in a particular reporting period to participants who </w:t>
      </w:r>
      <w:r w:rsidRPr="00745F16">
        <w:rPr>
          <w:rFonts w:ascii="Times New Roman" w:hAnsi="Times New Roman"/>
          <w:b/>
          <w:bCs/>
          <w:i/>
          <w:iCs/>
        </w:rPr>
        <w:t>actually graduated</w:t>
      </w:r>
      <w:r w:rsidRPr="00745F16">
        <w:rPr>
          <w:rFonts w:ascii="Times New Roman" w:hAnsi="Times New Roman"/>
        </w:rPr>
        <w:t xml:space="preserve"> from high school with a regular diploma during that period. This change is consistent with the postsecondary enrollment prior experience objective used in the 2012–17 and 2017–22 grant cycles.</w:t>
      </w:r>
    </w:p>
    <w:p w14:paraId="3A760423" w14:textId="05CB4478" w:rsidR="004E2266" w:rsidRPr="00745F16" w:rsidRDefault="7CBC6C8F" w:rsidP="00B234DE">
      <w:pPr>
        <w:pStyle w:val="bulletround"/>
        <w:spacing w:line="300" w:lineRule="exact"/>
        <w:ind w:left="357" w:right="-144" w:hanging="357"/>
        <w:rPr>
          <w:rFonts w:ascii="Times New Roman" w:hAnsi="Times New Roman"/>
        </w:rPr>
      </w:pPr>
      <w:r w:rsidRPr="00745F16">
        <w:rPr>
          <w:rFonts w:ascii="Times New Roman" w:hAnsi="Times New Roman"/>
        </w:rPr>
        <w:t xml:space="preserve">Postsecondary enrollment rates are now based on one year of </w:t>
      </w:r>
      <w:r w:rsidR="00E85EC7" w:rsidRPr="00745F16">
        <w:rPr>
          <w:rFonts w:ascii="Times New Roman" w:hAnsi="Times New Roman"/>
          <w:i/>
          <w:iCs/>
        </w:rPr>
        <w:t>Annual Performance Report</w:t>
      </w:r>
      <w:r w:rsidRPr="00745F16">
        <w:rPr>
          <w:rFonts w:ascii="Times New Roman" w:hAnsi="Times New Roman"/>
        </w:rPr>
        <w:t xml:space="preserve"> (APR) data rather than two, since the Department has determined that accuracy can be maintained using just one year of data. This change allows us to report postsecondary enrollment in a timelier manner.  </w:t>
      </w:r>
    </w:p>
    <w:p w14:paraId="5C89746D" w14:textId="6573BC6A" w:rsidR="004E2266" w:rsidRPr="00745F16" w:rsidRDefault="7CBC6C8F" w:rsidP="00B234DE">
      <w:pPr>
        <w:pStyle w:val="bulletround"/>
        <w:spacing w:line="300" w:lineRule="exact"/>
        <w:ind w:left="360"/>
        <w:rPr>
          <w:rFonts w:ascii="Times New Roman" w:hAnsi="Times New Roman"/>
        </w:rPr>
      </w:pPr>
      <w:r w:rsidRPr="00745F16">
        <w:rPr>
          <w:rFonts w:ascii="Times New Roman" w:hAnsi="Times New Roman"/>
        </w:rPr>
        <w:t>Data to complement the APRs are now drawn from the National Student Loan Data System (NSLDS) rather than from federal financial aid files.</w:t>
      </w:r>
      <w:r w:rsidR="002A11BB">
        <w:rPr>
          <w:rStyle w:val="FootnoteReference"/>
          <w:rFonts w:eastAsia="SimSun"/>
        </w:rPr>
        <w:footnoteReference w:id="1"/>
      </w:r>
      <w:r w:rsidR="002A11BB">
        <w:rPr>
          <w:rFonts w:eastAsia="SimSun"/>
        </w:rPr>
        <w:t xml:space="preserve"> </w:t>
      </w:r>
      <w:r w:rsidRPr="00745F16">
        <w:rPr>
          <w:rFonts w:ascii="Times New Roman" w:hAnsi="Times New Roman"/>
        </w:rPr>
        <w:t xml:space="preserve">NSLDS data provide more up-to-date </w:t>
      </w:r>
      <w:r w:rsidRPr="00745F16">
        <w:rPr>
          <w:rFonts w:ascii="Times New Roman" w:hAnsi="Times New Roman"/>
        </w:rPr>
        <w:lastRenderedPageBreak/>
        <w:t>and comprehensive postsecondary enrollment information than the Pell Grant recipient data in the federal financial aid files.</w:t>
      </w:r>
    </w:p>
    <w:p w14:paraId="20445EE7" w14:textId="3E626622" w:rsidR="004E2266" w:rsidRPr="00745F16" w:rsidRDefault="7CBC6C8F" w:rsidP="00B234DE">
      <w:pPr>
        <w:spacing w:before="120" w:after="120" w:line="300" w:lineRule="exact"/>
        <w:rPr>
          <w:rFonts w:ascii="Times New Roman" w:eastAsia="Times New Roman" w:hAnsi="Times New Roman" w:cs="Times New Roman"/>
          <w:sz w:val="24"/>
          <w:szCs w:val="24"/>
          <w:lang w:eastAsia="en-US"/>
        </w:rPr>
      </w:pPr>
      <w:r w:rsidRPr="00745F16">
        <w:rPr>
          <w:rFonts w:ascii="Times New Roman" w:eastAsia="Times New Roman" w:hAnsi="Times New Roman" w:cs="Times New Roman"/>
          <w:sz w:val="24"/>
          <w:szCs w:val="24"/>
          <w:lang w:eastAsia="en-US"/>
        </w:rPr>
        <w:t>Following recent years’ calculation for the postsecondary enrollment measure, this year’s calculation includes participants who graduated high school with a regular diploma in the current reporting year (i.e., 202</w:t>
      </w:r>
      <w:r w:rsidR="002A11BB">
        <w:rPr>
          <w:rFonts w:ascii="Times New Roman" w:eastAsia="Times New Roman" w:hAnsi="Times New Roman" w:cs="Times New Roman"/>
          <w:sz w:val="24"/>
          <w:szCs w:val="24"/>
          <w:lang w:eastAsia="en-US"/>
        </w:rPr>
        <w:t>1</w:t>
      </w:r>
      <w:r w:rsidRPr="00745F16">
        <w:rPr>
          <w:rFonts w:ascii="Times New Roman" w:eastAsia="Times New Roman" w:hAnsi="Times New Roman" w:cs="Times New Roman"/>
          <w:sz w:val="24"/>
          <w:szCs w:val="24"/>
          <w:lang w:eastAsia="en-US"/>
        </w:rPr>
        <w:t>–2</w:t>
      </w:r>
      <w:r w:rsidR="002A11BB">
        <w:rPr>
          <w:rFonts w:ascii="Times New Roman" w:eastAsia="Times New Roman" w:hAnsi="Times New Roman" w:cs="Times New Roman"/>
          <w:sz w:val="24"/>
          <w:szCs w:val="24"/>
          <w:lang w:eastAsia="en-US"/>
        </w:rPr>
        <w:t>2</w:t>
      </w:r>
      <w:r w:rsidRPr="00745F16">
        <w:rPr>
          <w:rFonts w:ascii="Times New Roman" w:eastAsia="Times New Roman" w:hAnsi="Times New Roman" w:cs="Times New Roman"/>
          <w:sz w:val="24"/>
          <w:szCs w:val="24"/>
          <w:lang w:eastAsia="en-US"/>
        </w:rPr>
        <w:t xml:space="preserve"> high school graduates). In contrast, the 2014–15 postsecondary enrollment measure included participants who graduated high school in the prior year (i.e., 2013–14 high school graduates). </w:t>
      </w:r>
    </w:p>
    <w:p w14:paraId="79F98D92" w14:textId="77777777" w:rsidR="004E2266" w:rsidRPr="005E07EA" w:rsidRDefault="7CBC6C8F" w:rsidP="005E07EA">
      <w:pPr>
        <w:pStyle w:val="Heading4"/>
      </w:pPr>
      <w:bookmarkStart w:id="6" w:name="_Toc117512820"/>
      <w:r w:rsidRPr="005E07EA">
        <w:t>Selected Findings</w:t>
      </w:r>
      <w:bookmarkEnd w:id="6"/>
    </w:p>
    <w:p w14:paraId="75B90914" w14:textId="60D83797" w:rsidR="004E2266" w:rsidRPr="00745F16" w:rsidRDefault="3A419A25" w:rsidP="00B234DE">
      <w:pPr>
        <w:pStyle w:val="BodyText"/>
        <w:spacing w:line="300" w:lineRule="exact"/>
        <w:ind w:left="0"/>
        <w:rPr>
          <w:rFonts w:ascii="Times New Roman" w:hAnsi="Times New Roman"/>
        </w:rPr>
      </w:pPr>
      <w:r w:rsidRPr="3A419A25">
        <w:rPr>
          <w:rFonts w:ascii="Times New Roman" w:hAnsi="Times New Roman"/>
        </w:rPr>
        <w:t xml:space="preserve">Table 1 (see Excel workbook) displays the number and percentage of program participants who graduated high school with a regular diploma in 2021–22 and for whom there is evidence of enrollment in a postsecondary educational institution by the fall semester immediately following the year of high school graduation. The data are presented at the program and project levels, disaggregated by program type (UB or UBMS) and sector of grantee. The calculation methodology for Table 1 can be found in </w:t>
      </w:r>
      <w:hyperlink w:anchor="_Appendix_A._Calculation_2">
        <w:r w:rsidR="004D73E2" w:rsidRPr="68A5A9A8">
          <w:rPr>
            <w:rStyle w:val="Hyperlink"/>
            <w:rFonts w:ascii="Times New Roman" w:hAnsi="Times New Roman"/>
          </w:rPr>
          <w:t>Appendix A</w:t>
        </w:r>
      </w:hyperlink>
      <w:r w:rsidRPr="3A419A25">
        <w:rPr>
          <w:rFonts w:ascii="Times New Roman" w:hAnsi="Times New Roman"/>
        </w:rPr>
        <w:t>.</w:t>
      </w:r>
    </w:p>
    <w:p w14:paraId="569E4BF6" w14:textId="61D99490" w:rsidR="004E2266" w:rsidRPr="00745F16" w:rsidRDefault="57793FA8" w:rsidP="00B234DE">
      <w:pPr>
        <w:pStyle w:val="BodyText"/>
        <w:spacing w:line="300" w:lineRule="exact"/>
        <w:ind w:left="0"/>
        <w:rPr>
          <w:rFonts w:ascii="Times New Roman" w:hAnsi="Times New Roman"/>
        </w:rPr>
      </w:pPr>
      <w:r w:rsidRPr="57793FA8">
        <w:rPr>
          <w:rFonts w:ascii="Times New Roman" w:hAnsi="Times New Roman"/>
        </w:rPr>
        <w:t xml:space="preserve">The UB and UBMS program-level postsecondary enrollment rate was 74.6 percent among all 2021–22 high school graduates. This is higher than the previous year’s enrollment rate of 73.9 percent for 2020–21 high school graduates </w:t>
      </w:r>
      <w:r w:rsidR="004D73E2">
        <w:rPr>
          <w:rFonts w:ascii="Times New Roman" w:hAnsi="Times New Roman"/>
        </w:rPr>
        <w:t>but lower than</w:t>
      </w:r>
      <w:r w:rsidR="004D73E2" w:rsidRPr="57793FA8">
        <w:rPr>
          <w:rFonts w:ascii="Times New Roman" w:hAnsi="Times New Roman"/>
        </w:rPr>
        <w:t xml:space="preserve"> </w:t>
      </w:r>
      <w:r w:rsidRPr="57793FA8">
        <w:rPr>
          <w:rFonts w:ascii="Times New Roman" w:hAnsi="Times New Roman"/>
        </w:rPr>
        <w:t>the Department’s program-level goal of 84.0 percent.</w:t>
      </w:r>
    </w:p>
    <w:p w14:paraId="11D4F469" w14:textId="4D31DB3C"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Regarding individual program rates for </w:t>
      </w:r>
      <w:r w:rsidR="00F96649">
        <w:rPr>
          <w:rFonts w:ascii="Times New Roman" w:hAnsi="Times New Roman"/>
        </w:rPr>
        <w:t>2021–22</w:t>
      </w:r>
      <w:r w:rsidRPr="00745F16">
        <w:rPr>
          <w:rFonts w:ascii="Times New Roman" w:hAnsi="Times New Roman"/>
        </w:rPr>
        <w:t xml:space="preserve">, the postsecondary enrollment rate for regular UB projects was </w:t>
      </w:r>
      <w:r w:rsidR="00B464BE">
        <w:rPr>
          <w:rFonts w:ascii="Times New Roman" w:hAnsi="Times New Roman"/>
        </w:rPr>
        <w:t>74.3</w:t>
      </w:r>
      <w:r w:rsidRPr="00745F16">
        <w:rPr>
          <w:rFonts w:ascii="Times New Roman" w:hAnsi="Times New Roman"/>
        </w:rPr>
        <w:t xml:space="preserve"> percent, while the postsecondary enrollment rate for UBMS projects was 7</w:t>
      </w:r>
      <w:r w:rsidR="00B464BE">
        <w:rPr>
          <w:rFonts w:ascii="Times New Roman" w:hAnsi="Times New Roman"/>
        </w:rPr>
        <w:t>6.3</w:t>
      </w:r>
      <w:r w:rsidRPr="00745F16">
        <w:rPr>
          <w:rFonts w:ascii="Times New Roman" w:hAnsi="Times New Roman"/>
        </w:rPr>
        <w:t xml:space="preserve"> percent. For funded institutions, the average postsecondary enrollment rate for UB projects was lowest among those at four-year institutions (73.</w:t>
      </w:r>
      <w:r w:rsidR="00B464BE">
        <w:rPr>
          <w:rFonts w:ascii="Times New Roman" w:hAnsi="Times New Roman"/>
        </w:rPr>
        <w:t>3</w:t>
      </w:r>
      <w:r w:rsidRPr="00745F16">
        <w:rPr>
          <w:rFonts w:ascii="Times New Roman" w:hAnsi="Times New Roman"/>
        </w:rPr>
        <w:t xml:space="preserve"> percent) and highest among those UB projects associated with secondary schools, nonprofit organizations, or other institutions (</w:t>
      </w:r>
      <w:r w:rsidR="00B464BE">
        <w:rPr>
          <w:rFonts w:ascii="Times New Roman" w:hAnsi="Times New Roman"/>
        </w:rPr>
        <w:t>78.1</w:t>
      </w:r>
      <w:r w:rsidRPr="00745F16">
        <w:rPr>
          <w:rFonts w:ascii="Times New Roman" w:hAnsi="Times New Roman"/>
        </w:rPr>
        <w:t xml:space="preserve"> percent). Conversely, for UBMS projects, the average postsecondary enrollment rate was lowest among those projects associated with secondary schools, nonprofit organizations, or other institutions </w:t>
      </w:r>
      <w:bookmarkStart w:id="7" w:name="_Hlk79488702"/>
      <w:r w:rsidRPr="00745F16">
        <w:rPr>
          <w:rFonts w:ascii="Times New Roman" w:hAnsi="Times New Roman"/>
        </w:rPr>
        <w:t>(</w:t>
      </w:r>
      <w:r w:rsidR="00B464BE">
        <w:rPr>
          <w:rFonts w:ascii="Times New Roman" w:hAnsi="Times New Roman"/>
        </w:rPr>
        <w:t>69</w:t>
      </w:r>
      <w:r w:rsidRPr="00745F16">
        <w:rPr>
          <w:rFonts w:ascii="Times New Roman" w:hAnsi="Times New Roman"/>
        </w:rPr>
        <w:t>.2 percent) and highest for those UBMS projects at two-year institutions (</w:t>
      </w:r>
      <w:r w:rsidR="00B464BE">
        <w:rPr>
          <w:rFonts w:ascii="Times New Roman" w:hAnsi="Times New Roman"/>
        </w:rPr>
        <w:t>78.0</w:t>
      </w:r>
      <w:r w:rsidRPr="00745F16">
        <w:rPr>
          <w:rFonts w:ascii="Times New Roman" w:hAnsi="Times New Roman"/>
        </w:rPr>
        <w:t xml:space="preserve"> percent).</w:t>
      </w:r>
      <w:bookmarkEnd w:id="7"/>
      <w:r w:rsidRPr="00745F16">
        <w:rPr>
          <w:rFonts w:ascii="Times New Roman" w:hAnsi="Times New Roman"/>
        </w:rPr>
        <w:t xml:space="preserve"> </w:t>
      </w:r>
    </w:p>
    <w:p w14:paraId="31B12408" w14:textId="6DB07ABB" w:rsidR="004E2266" w:rsidRPr="00745F16" w:rsidRDefault="4AB5711E" w:rsidP="00B234DE">
      <w:pPr>
        <w:pStyle w:val="BodyText"/>
        <w:spacing w:line="300" w:lineRule="exact"/>
        <w:ind w:left="0"/>
        <w:rPr>
          <w:rFonts w:ascii="Times New Roman" w:hAnsi="Times New Roman"/>
        </w:rPr>
      </w:pPr>
      <w:r w:rsidRPr="4AB5711E">
        <w:rPr>
          <w:rFonts w:ascii="Times New Roman" w:hAnsi="Times New Roman"/>
        </w:rPr>
        <w:t xml:space="preserve">There were 22 projects funded in 2021–22 that did not report serving any participants who graduated from high school with a regular diploma in 2021–22; </w:t>
      </w:r>
      <w:r w:rsidR="00FA5EBD">
        <w:rPr>
          <w:rFonts w:ascii="Times New Roman" w:hAnsi="Times New Roman"/>
        </w:rPr>
        <w:t>five</w:t>
      </w:r>
      <w:r w:rsidR="00FA5EBD" w:rsidRPr="4AB5711E">
        <w:rPr>
          <w:rFonts w:ascii="Times New Roman" w:hAnsi="Times New Roman"/>
        </w:rPr>
        <w:t xml:space="preserve"> </w:t>
      </w:r>
      <w:r w:rsidRPr="4AB5711E">
        <w:rPr>
          <w:rFonts w:ascii="Times New Roman" w:hAnsi="Times New Roman"/>
        </w:rPr>
        <w:t xml:space="preserve">of these projects were newly funded in the 2017–22 grant cycle.  </w:t>
      </w:r>
    </w:p>
    <w:p w14:paraId="73C0101C" w14:textId="2C22768B" w:rsidR="004E2266" w:rsidRPr="00745F16" w:rsidRDefault="7CBC6C8F" w:rsidP="005E07EA">
      <w:pPr>
        <w:pStyle w:val="Heading3"/>
      </w:pPr>
      <w:bookmarkStart w:id="8" w:name="_Toc117512821"/>
      <w:r w:rsidRPr="00745F16">
        <w:t>Postsecondary Degree Completion Measure</w:t>
      </w:r>
      <w:bookmarkEnd w:id="8"/>
    </w:p>
    <w:p w14:paraId="5FA1908E" w14:textId="1BEE6AA2" w:rsidR="00B234DE" w:rsidRDefault="48A13295" w:rsidP="00962F98">
      <w:pPr>
        <w:pStyle w:val="BodyText"/>
        <w:spacing w:line="300" w:lineRule="exact"/>
        <w:ind w:left="0"/>
      </w:pPr>
      <w:r w:rsidRPr="48A13295">
        <w:rPr>
          <w:rFonts w:ascii="Times New Roman" w:hAnsi="Times New Roman"/>
        </w:rPr>
        <w:t>The postsecondary degree completion rate was introduced in the 2014–15 assessment year. For the current year, 2021–22, this measure was calculated as the percentage of participants who completed high school during the 2015–16 academic year and enrolled in postsecondary education by the fall term immediately following the year they graduated from high school (i.e., participants in the 2016 postsecondary education enrollment cohort) and who completed a bachelor’s degree within six years following high school graduation or completed an associate degree within three years of high school graduation.</w:t>
      </w:r>
      <w:bookmarkStart w:id="9" w:name="_Toc117512822"/>
    </w:p>
    <w:p w14:paraId="47C28A51" w14:textId="4DFF8BC3" w:rsidR="004E2266" w:rsidRPr="00745F16" w:rsidRDefault="7CBC6C8F" w:rsidP="00962F98">
      <w:pPr>
        <w:pStyle w:val="Heading4"/>
        <w:keepNext/>
      </w:pPr>
      <w:r w:rsidRPr="00745F16">
        <w:lastRenderedPageBreak/>
        <w:t>Selected Findings</w:t>
      </w:r>
      <w:bookmarkEnd w:id="9"/>
      <w:r w:rsidRPr="00745F16">
        <w:t xml:space="preserve"> </w:t>
      </w:r>
    </w:p>
    <w:p w14:paraId="0D411FB8" w14:textId="35607609"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Table 2 </w:t>
      </w:r>
      <w:r w:rsidR="00F90ABE">
        <w:rPr>
          <w:rFonts w:ascii="Times New Roman" w:hAnsi="Times New Roman"/>
        </w:rPr>
        <w:t xml:space="preserve">(see Excel workbook) </w:t>
      </w:r>
      <w:r w:rsidRPr="00745F16">
        <w:rPr>
          <w:rFonts w:ascii="Times New Roman" w:hAnsi="Times New Roman"/>
        </w:rPr>
        <w:t xml:space="preserve">displays the number and percentage of program participants who were in the </w:t>
      </w:r>
      <w:r w:rsidR="00F96649">
        <w:rPr>
          <w:rFonts w:ascii="Times New Roman" w:hAnsi="Times New Roman"/>
        </w:rPr>
        <w:t>2016</w:t>
      </w:r>
      <w:r w:rsidRPr="00745F16">
        <w:rPr>
          <w:rFonts w:ascii="Times New Roman" w:hAnsi="Times New Roman"/>
        </w:rPr>
        <w:t xml:space="preserve"> postsecondary education enrollment cohort for whom there is evidence of completion of a bachelor’s degree within six years following high school graduation or completion of an associate degree within three years following high school graduation. The data are presented at the program and project levels, disaggregated by program type (UB or UBMS) and sector of grantee. The calculation methodology for Table 2 can be found in </w:t>
      </w:r>
      <w:hyperlink w:anchor="_Appendix_B._Calculation">
        <w:r w:rsidRPr="00745F16">
          <w:rPr>
            <w:rStyle w:val="Hyperlink"/>
            <w:rFonts w:ascii="Times New Roman" w:hAnsi="Times New Roman"/>
          </w:rPr>
          <w:t>Appendix B</w:t>
        </w:r>
      </w:hyperlink>
      <w:r w:rsidRPr="00745F16">
        <w:rPr>
          <w:rFonts w:ascii="Times New Roman" w:hAnsi="Times New Roman"/>
        </w:rPr>
        <w:t>.</w:t>
      </w:r>
    </w:p>
    <w:p w14:paraId="166A849A" w14:textId="57C94B54" w:rsidR="004E2266" w:rsidRPr="00745F16" w:rsidRDefault="2A47F141" w:rsidP="00B234DE">
      <w:pPr>
        <w:pStyle w:val="BodyText"/>
        <w:spacing w:line="300" w:lineRule="exact"/>
        <w:ind w:left="0"/>
        <w:rPr>
          <w:rFonts w:ascii="Times New Roman" w:hAnsi="Times New Roman"/>
        </w:rPr>
      </w:pPr>
      <w:r w:rsidRPr="2A47F141">
        <w:rPr>
          <w:rFonts w:ascii="Times New Roman" w:hAnsi="Times New Roman"/>
        </w:rPr>
        <w:t xml:space="preserve">The percentage of participants in the 2016 postsecondary education enrollment cohort who completed a bachelor’s degree within six years or an associate degree within three years was 43.2 percent: 37.7 percent completed a bachelor’s degree within six years and 5.5 percent completed an associate degree only within three years. In comparison, for the 2015 postsecondary education enrollment cohort, 43.5 percent completed a bachelor’s degree within six years or an associate degree within three years: 37.8 percent completed a bachelor’s degree within six years and 5.6 percent completed an associate degree only within three years. For UB projects, 42.8 percent of participants in the 2016 postsecondary education enrollment cohort completed a bachelor’s degree within six years or an associate degree within three years: 37.2 percent completed a bachelor’s degree within six years and 5.8 percent completed an associate degree only within three years. The percentage of UBMS participants in the 2016 postsecondary education enrollment cohort who completed a bachelor’s degree within six years or an associate degree within three years was 45.2 percent: 40.4 percent completed a bachelor’s degree within six years and 4.7 percent completed an associate degree only within three years. </w:t>
      </w:r>
    </w:p>
    <w:p w14:paraId="372C922A" w14:textId="77777777" w:rsidR="00FC157D" w:rsidRPr="00FC157D" w:rsidRDefault="00FC157D" w:rsidP="00B234DE">
      <w:pPr>
        <w:pStyle w:val="BodyText"/>
        <w:spacing w:line="300" w:lineRule="exact"/>
        <w:ind w:left="0"/>
        <w:rPr>
          <w:rFonts w:ascii="Times New Roman" w:hAnsi="Times New Roman"/>
        </w:rPr>
      </w:pPr>
      <w:bookmarkStart w:id="10" w:name="_Toc117512823"/>
      <w:r w:rsidRPr="00FC157D">
        <w:rPr>
          <w:rFonts w:ascii="Times New Roman" w:hAnsi="Times New Roman"/>
        </w:rPr>
        <w:t xml:space="preserve">Regarding sectors of funded institutions, UB projects at two-year institutions had a lower percentage of participants who completed a bachelor’s degree within six years or an associate degree within three years (42.1 percent) than did UB projects at four-year institutions (42.6 percent) and secondary schools, non-profit organizations, or other institutions (45.9 percent). For UBMS projects, the percentage of participants who completed a bachelor’s degree within six years or an associate degree within three years was lower for those projects associated with secondary schools, non-profit organizations, or other institutions (34.1 percent) than those projects at four-year institutions (45.9 percent) and two-year institutions (46.2 percent). </w:t>
      </w:r>
    </w:p>
    <w:p w14:paraId="43F01E3D" w14:textId="7F2E8C14" w:rsidR="00FC157D" w:rsidRPr="00FC157D" w:rsidRDefault="05DC70D3" w:rsidP="00B234DE">
      <w:pPr>
        <w:pStyle w:val="BodyText"/>
        <w:spacing w:line="300" w:lineRule="exact"/>
        <w:ind w:left="0"/>
        <w:rPr>
          <w:rFonts w:ascii="Times New Roman" w:hAnsi="Times New Roman"/>
        </w:rPr>
      </w:pPr>
      <w:r w:rsidRPr="05DC70D3">
        <w:rPr>
          <w:rFonts w:ascii="Times New Roman" w:hAnsi="Times New Roman"/>
        </w:rPr>
        <w:t xml:space="preserve">There were 287 projects funded in 2021–22 (all of which submitted a 2021–22 APR) that did not serve any participants who were in the 2016 postsecondary education enrollment cohort. Of these projects, 278 were newly funded in the 2017–22 grant cycle, </w:t>
      </w:r>
      <w:r w:rsidR="003531D0">
        <w:rPr>
          <w:rFonts w:ascii="Times New Roman" w:hAnsi="Times New Roman"/>
        </w:rPr>
        <w:t>one</w:t>
      </w:r>
      <w:r w:rsidR="003531D0" w:rsidRPr="05DC70D3">
        <w:rPr>
          <w:rFonts w:ascii="Times New Roman" w:hAnsi="Times New Roman"/>
        </w:rPr>
        <w:t xml:space="preserve"> </w:t>
      </w:r>
      <w:r w:rsidRPr="05DC70D3">
        <w:rPr>
          <w:rFonts w:ascii="Times New Roman" w:hAnsi="Times New Roman"/>
        </w:rPr>
        <w:t xml:space="preserve">was newly funded in the 2012–17 grant cycle, and </w:t>
      </w:r>
      <w:r w:rsidR="000B2C6B">
        <w:rPr>
          <w:rFonts w:ascii="Times New Roman" w:hAnsi="Times New Roman"/>
        </w:rPr>
        <w:t>eight</w:t>
      </w:r>
      <w:r w:rsidR="000B2C6B" w:rsidRPr="05DC70D3">
        <w:rPr>
          <w:rFonts w:ascii="Times New Roman" w:hAnsi="Times New Roman"/>
        </w:rPr>
        <w:t xml:space="preserve"> </w:t>
      </w:r>
      <w:r w:rsidRPr="05DC70D3">
        <w:rPr>
          <w:rFonts w:ascii="Times New Roman" w:hAnsi="Times New Roman"/>
        </w:rPr>
        <w:t>projects were funded prior to the 2012–17 grant cycle.</w:t>
      </w:r>
    </w:p>
    <w:p w14:paraId="6DC4E0DA" w14:textId="77777777" w:rsidR="00FC157D" w:rsidRPr="00FC157D" w:rsidRDefault="00FC157D" w:rsidP="00B234DE">
      <w:pPr>
        <w:pStyle w:val="BodyText"/>
        <w:spacing w:line="300" w:lineRule="exact"/>
        <w:ind w:left="0"/>
        <w:rPr>
          <w:rFonts w:ascii="Times New Roman" w:hAnsi="Times New Roman"/>
        </w:rPr>
      </w:pPr>
      <w:r w:rsidRPr="00FC157D">
        <w:rPr>
          <w:rFonts w:ascii="Times New Roman" w:hAnsi="Times New Roman"/>
        </w:rPr>
        <w:t>Table 4 shows 11 projects that were excluded from Tables 1 and 2 due to no APR data reported in 2021–22.</w:t>
      </w:r>
    </w:p>
    <w:p w14:paraId="38583D6E" w14:textId="77777777" w:rsidR="004E2266" w:rsidRPr="00745F16" w:rsidRDefault="7CBC6C8F" w:rsidP="005E07EA">
      <w:pPr>
        <w:pStyle w:val="Heading2"/>
      </w:pPr>
      <w:r w:rsidRPr="00745F16">
        <w:t>Limitations of Performance Measures Data and Findings</w:t>
      </w:r>
      <w:bookmarkEnd w:id="10"/>
    </w:p>
    <w:p w14:paraId="2C396866" w14:textId="79FF1F20" w:rsidR="004E2266" w:rsidRPr="00946905" w:rsidRDefault="39B5D5C7" w:rsidP="00B234DE">
      <w:pPr>
        <w:pStyle w:val="bulletround"/>
        <w:numPr>
          <w:ilvl w:val="0"/>
          <w:numId w:val="0"/>
        </w:numPr>
        <w:spacing w:line="300" w:lineRule="exact"/>
        <w:rPr>
          <w:rFonts w:ascii="Times New Roman" w:hAnsi="Times New Roman"/>
        </w:rPr>
      </w:pPr>
      <w:r w:rsidRPr="39B5D5C7">
        <w:rPr>
          <w:rFonts w:ascii="Times New Roman" w:hAnsi="Times New Roman"/>
        </w:rPr>
        <w:t xml:space="preserve">While the postsecondary enrollment rate and postsecondary degree completion rate are outcome measures of project performance, the limitations of the dataset used for this analysis (the APRs) do not permit us to determine project impacts, such as the extent to which the postsecondary </w:t>
      </w:r>
      <w:r w:rsidRPr="39B5D5C7">
        <w:rPr>
          <w:rFonts w:ascii="Times New Roman" w:hAnsi="Times New Roman"/>
        </w:rPr>
        <w:lastRenderedPageBreak/>
        <w:t>enrollment rate and postsecondary degree completion rates are a direct result of participation in UB or UBMS and not influenced by other factors.</w:t>
      </w:r>
    </w:p>
    <w:p w14:paraId="3166EDD1" w14:textId="00C24C1B"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In addition, the performance measures refer exclusively to outcomes of </w:t>
      </w:r>
      <w:r w:rsidR="00F96649">
        <w:rPr>
          <w:rFonts w:ascii="Times New Roman" w:hAnsi="Times New Roman"/>
        </w:rPr>
        <w:t>2021–22</w:t>
      </w:r>
      <w:r w:rsidRPr="00745F16">
        <w:rPr>
          <w:rFonts w:ascii="Times New Roman" w:hAnsi="Times New Roman"/>
        </w:rPr>
        <w:t xml:space="preserve"> participants who received a regular high school diploma for the postsecondary enrollment measure and participants who graduated high school with a regular diploma in </w:t>
      </w:r>
      <w:r w:rsidR="00F96649">
        <w:rPr>
          <w:rFonts w:ascii="Times New Roman" w:hAnsi="Times New Roman"/>
        </w:rPr>
        <w:t>2015–16</w:t>
      </w:r>
      <w:r w:rsidRPr="00745F16">
        <w:rPr>
          <w:rFonts w:ascii="Times New Roman" w:hAnsi="Times New Roman"/>
        </w:rPr>
        <w:t xml:space="preserve"> and enrolled in postsecondary education by fall </w:t>
      </w:r>
      <w:r w:rsidR="00F96649">
        <w:rPr>
          <w:rFonts w:ascii="Times New Roman" w:hAnsi="Times New Roman"/>
        </w:rPr>
        <w:t>2016</w:t>
      </w:r>
      <w:r w:rsidRPr="00745F16">
        <w:rPr>
          <w:rFonts w:ascii="Times New Roman" w:hAnsi="Times New Roman"/>
        </w:rPr>
        <w:t xml:space="preserve"> for the postsecondary degree completion measure. The two program performance measures will include participants in later high school graduation and postsecondary education enrollment cohorts in upcoming years</w:t>
      </w:r>
      <w:r w:rsidR="00E62842">
        <w:rPr>
          <w:rFonts w:ascii="Times New Roman" w:hAnsi="Times New Roman"/>
        </w:rPr>
        <w:t xml:space="preserve"> </w:t>
      </w:r>
      <w:r w:rsidR="00E62842" w:rsidRPr="00745F16">
        <w:rPr>
          <w:rStyle w:val="cf01"/>
          <w:rFonts w:ascii="Times New Roman" w:hAnsi="Times New Roman" w:cs="Times New Roman"/>
          <w:sz w:val="24"/>
          <w:szCs w:val="24"/>
        </w:rPr>
        <w:t>as high school participants move through postsecondary education</w:t>
      </w:r>
      <w:r w:rsidRPr="00745F16">
        <w:rPr>
          <w:rFonts w:ascii="Times New Roman" w:hAnsi="Times New Roman"/>
        </w:rPr>
        <w:t>.</w:t>
      </w:r>
    </w:p>
    <w:p w14:paraId="64FD53E1" w14:textId="4E5F9AC7" w:rsidR="002C1056" w:rsidRPr="00745F16" w:rsidRDefault="096D0E5F" w:rsidP="00B234DE">
      <w:pPr>
        <w:pStyle w:val="BodyText"/>
        <w:spacing w:line="300" w:lineRule="exact"/>
        <w:ind w:left="0"/>
        <w:rPr>
          <w:rFonts w:ascii="Times New Roman" w:hAnsi="Times New Roman"/>
        </w:rPr>
      </w:pPr>
      <w:r w:rsidRPr="096D0E5F">
        <w:rPr>
          <w:rFonts w:ascii="Times New Roman" w:hAnsi="Times New Roman"/>
        </w:rPr>
        <w:t>Because the dataset does not permit analysis of all factors that may affect postsecondary enrollment rates and postsecondary degree completion rates in individual projects, the data should be interpreted with caution; comparing rates between projects could lead to unwarranted conclusions. For example, a project may have a lower-than-average postsecondary enrollment rate or postsecondary degree completion rate because the project may be serving proportionally more students who have a high risk of academic failure, who have low educational aspirations, and who have low levels of readiness for enrollment in postsecondary education.</w:t>
      </w:r>
    </w:p>
    <w:p w14:paraId="6587D067" w14:textId="2B814D93" w:rsidR="002C105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For some projects, only a small number of students graduated high school in </w:t>
      </w:r>
      <w:r w:rsidR="00F96649">
        <w:rPr>
          <w:rFonts w:ascii="Times New Roman" w:hAnsi="Times New Roman"/>
        </w:rPr>
        <w:t>2021–22</w:t>
      </w:r>
      <w:r w:rsidRPr="00745F16">
        <w:rPr>
          <w:rFonts w:ascii="Times New Roman" w:hAnsi="Times New Roman"/>
        </w:rPr>
        <w:t xml:space="preserve"> or, for the postsecondary degree completion measure, graduated high school with a regular diploma in </w:t>
      </w:r>
      <w:r w:rsidR="00F96649">
        <w:rPr>
          <w:rFonts w:ascii="Times New Roman" w:hAnsi="Times New Roman"/>
        </w:rPr>
        <w:t>2015–16</w:t>
      </w:r>
      <w:r w:rsidRPr="00745F16">
        <w:rPr>
          <w:rFonts w:ascii="Times New Roman" w:hAnsi="Times New Roman"/>
        </w:rPr>
        <w:t xml:space="preserve"> and enrolled in postsecondary education by fall </w:t>
      </w:r>
      <w:r w:rsidR="00F96649">
        <w:rPr>
          <w:rFonts w:ascii="Times New Roman" w:hAnsi="Times New Roman"/>
        </w:rPr>
        <w:t>2016</w:t>
      </w:r>
      <w:r w:rsidRPr="00745F16">
        <w:rPr>
          <w:rFonts w:ascii="Times New Roman" w:hAnsi="Times New Roman"/>
        </w:rPr>
        <w:t xml:space="preserve">. Where only a small number of graduates exist, small changes in numbers can cause substantial changes in percentages. For example, a project that served six students who graduated in </w:t>
      </w:r>
      <w:r w:rsidR="00F96649">
        <w:rPr>
          <w:rFonts w:ascii="Times New Roman" w:hAnsi="Times New Roman"/>
        </w:rPr>
        <w:t>2021–22</w:t>
      </w:r>
      <w:r w:rsidRPr="00745F16">
        <w:rPr>
          <w:rFonts w:ascii="Times New Roman" w:hAnsi="Times New Roman"/>
        </w:rPr>
        <w:t xml:space="preserve"> will have an enrollment rate of 100 percent if all enroll in postsecondary education, but a rate of only 83.3 percent if just one student does not matriculate.</w:t>
      </w:r>
    </w:p>
    <w:p w14:paraId="0E20A802" w14:textId="576D7E05" w:rsidR="00350704" w:rsidRPr="00350704" w:rsidRDefault="7AAFBD3F" w:rsidP="00B234DE">
      <w:pPr>
        <w:spacing w:before="120" w:after="120" w:line="300" w:lineRule="exact"/>
        <w:rPr>
          <w:rFonts w:ascii="Times New Roman" w:eastAsia="Times New Roman" w:hAnsi="Times New Roman" w:cs="Times New Roman"/>
          <w:sz w:val="24"/>
          <w:szCs w:val="24"/>
          <w:lang w:eastAsia="en-US"/>
        </w:rPr>
      </w:pPr>
      <w:r w:rsidRPr="7AAFBD3F">
        <w:rPr>
          <w:rFonts w:ascii="Times New Roman" w:eastAsia="Times New Roman" w:hAnsi="Times New Roman" w:cs="Times New Roman"/>
          <w:sz w:val="24"/>
          <w:szCs w:val="24"/>
          <w:lang w:eastAsia="en-US"/>
        </w:rPr>
        <w:t xml:space="preserve">The postsecondary degree completion measure includes a cohort of participants who received UB and UBMS services in the 2015–16 reporting year or earlier. As such, current projects that were first funded in the 2017–22 grant cycle are not included in the calculation (216 UB grantees and 62 UBMS grantees) and one UB grantee first funded in the 2012–17 funding cycle is also not included in the calculation. Six UB grantees and two UBMS grantees that were funded in the two prior funding cycles are also not included in the calculation because they did not serve any participants who were in the 2016 postsecondary enrollment cohort. Further, 10 additional UB projects and </w:t>
      </w:r>
      <w:r w:rsidR="00D81490">
        <w:rPr>
          <w:rFonts w:ascii="Times New Roman" w:eastAsia="Times New Roman" w:hAnsi="Times New Roman" w:cs="Times New Roman"/>
          <w:sz w:val="24"/>
          <w:szCs w:val="24"/>
          <w:lang w:eastAsia="en-US"/>
        </w:rPr>
        <w:t>one</w:t>
      </w:r>
      <w:r w:rsidR="00D81490" w:rsidRPr="7AAFBD3F">
        <w:rPr>
          <w:rFonts w:ascii="Times New Roman" w:eastAsia="Times New Roman" w:hAnsi="Times New Roman" w:cs="Times New Roman"/>
          <w:sz w:val="24"/>
          <w:szCs w:val="24"/>
          <w:lang w:eastAsia="en-US"/>
        </w:rPr>
        <w:t xml:space="preserve"> </w:t>
      </w:r>
      <w:r w:rsidRPr="7AAFBD3F">
        <w:rPr>
          <w:rFonts w:ascii="Times New Roman" w:eastAsia="Times New Roman" w:hAnsi="Times New Roman" w:cs="Times New Roman"/>
          <w:sz w:val="24"/>
          <w:szCs w:val="24"/>
          <w:lang w:eastAsia="en-US"/>
        </w:rPr>
        <w:t xml:space="preserve">additional UBMS project did not submit APR data and are excluded. Overall, 25 percent of the UB and UBMS projects (24 percent of UB projects and 31 percent of UBMS projects) that were funded in 2021–22 are not included in the results for the postsecondary degree completion program performance measure. </w:t>
      </w:r>
    </w:p>
    <w:p w14:paraId="21A32D6A" w14:textId="096FF185" w:rsidR="004E2266" w:rsidRPr="00350704" w:rsidRDefault="03F32580" w:rsidP="00B234DE">
      <w:pPr>
        <w:spacing w:before="120" w:after="120" w:line="300" w:lineRule="exact"/>
        <w:rPr>
          <w:rFonts w:ascii="Times New Roman" w:hAnsi="Times New Roman"/>
          <w:sz w:val="24"/>
          <w:szCs w:val="24"/>
        </w:rPr>
      </w:pPr>
      <w:r w:rsidRPr="03F32580">
        <w:rPr>
          <w:rFonts w:ascii="Times New Roman" w:hAnsi="Times New Roman"/>
          <w:sz w:val="24"/>
          <w:szCs w:val="24"/>
        </w:rPr>
        <w:t xml:space="preserve">Concerning the postsecondary enrollment measure, data from the NSLDS was used to augment APR data on enrollment status in previous years.  However, </w:t>
      </w:r>
      <w:r w:rsidRPr="03F32580">
        <w:rPr>
          <w:rFonts w:ascii="Times New Roman" w:eastAsia="Times New Roman" w:hAnsi="Times New Roman" w:cs="Times New Roman"/>
          <w:sz w:val="24"/>
          <w:szCs w:val="24"/>
        </w:rPr>
        <w:t>NSLDS data was unavailable starting from this reporting year</w:t>
      </w:r>
      <w:r w:rsidRPr="03F32580">
        <w:rPr>
          <w:rFonts w:ascii="Times New Roman" w:hAnsi="Times New Roman"/>
          <w:sz w:val="24"/>
          <w:szCs w:val="24"/>
        </w:rPr>
        <w:t xml:space="preserve">. </w:t>
      </w:r>
    </w:p>
    <w:p w14:paraId="0C11F1FC" w14:textId="0A5089D8" w:rsidR="004E2266" w:rsidRPr="00745F16" w:rsidRDefault="00350704" w:rsidP="00B234DE">
      <w:pPr>
        <w:pStyle w:val="BodyText"/>
        <w:spacing w:line="300" w:lineRule="exact"/>
        <w:ind w:left="0"/>
        <w:rPr>
          <w:rFonts w:ascii="Times New Roman" w:hAnsi="Times New Roman"/>
        </w:rPr>
      </w:pPr>
      <w:r>
        <w:rPr>
          <w:rFonts w:ascii="Times New Roman" w:hAnsi="Times New Roman"/>
        </w:rPr>
        <w:t>Finally, b</w:t>
      </w:r>
      <w:r w:rsidR="7CBC6C8F" w:rsidRPr="00745F16">
        <w:rPr>
          <w:rFonts w:ascii="Times New Roman" w:hAnsi="Times New Roman"/>
        </w:rPr>
        <w:t xml:space="preserve">ecause changes were made to the calculation rules for the postsecondary enrollment measure in the 2012–13, 2013–14, and 2014–15 assessment years, postsecondary enrollment </w:t>
      </w:r>
      <w:r w:rsidR="7CBC6C8F" w:rsidRPr="00745F16">
        <w:rPr>
          <w:rFonts w:ascii="Times New Roman" w:hAnsi="Times New Roman"/>
        </w:rPr>
        <w:lastRenderedPageBreak/>
        <w:t xml:space="preserve">results produced in 2015–16 through </w:t>
      </w:r>
      <w:r w:rsidR="00F96649">
        <w:rPr>
          <w:rFonts w:ascii="Times New Roman" w:hAnsi="Times New Roman"/>
        </w:rPr>
        <w:t>2021–22</w:t>
      </w:r>
      <w:r w:rsidR="7CBC6C8F" w:rsidRPr="00745F16">
        <w:rPr>
          <w:rFonts w:ascii="Times New Roman" w:hAnsi="Times New Roman"/>
        </w:rPr>
        <w:t xml:space="preserve"> should not be directly compared with postsecondary education results from prior years. </w:t>
      </w:r>
    </w:p>
    <w:p w14:paraId="277D060C" w14:textId="38081D51" w:rsidR="004E2266" w:rsidRPr="00745F16" w:rsidRDefault="7CBC6C8F" w:rsidP="005E07EA">
      <w:pPr>
        <w:pStyle w:val="Heading2"/>
      </w:pPr>
      <w:bookmarkStart w:id="11" w:name="_Toc117512824"/>
      <w:r w:rsidRPr="00745F16">
        <w:t>Efficiency Measure for UB and UBMS Projects</w:t>
      </w:r>
      <w:bookmarkEnd w:id="11"/>
    </w:p>
    <w:p w14:paraId="2A59910E" w14:textId="3696BC85" w:rsidR="00625FC3" w:rsidRPr="00745F16" w:rsidRDefault="7CBC6C8F" w:rsidP="005E07EA">
      <w:pPr>
        <w:pStyle w:val="Heading3"/>
      </w:pPr>
      <w:bookmarkStart w:id="12" w:name="_Toc117512825"/>
      <w:r w:rsidRPr="00745F16">
        <w:t>Efficiency Measure</w:t>
      </w:r>
      <w:bookmarkEnd w:id="12"/>
    </w:p>
    <w:p w14:paraId="025DC85D" w14:textId="21A75EFC" w:rsidR="004E2266" w:rsidRPr="00745F16" w:rsidRDefault="3A419A25" w:rsidP="00B234DE">
      <w:pPr>
        <w:pStyle w:val="BodyText"/>
        <w:spacing w:line="300" w:lineRule="exact"/>
        <w:ind w:left="0"/>
        <w:rPr>
          <w:rFonts w:ascii="Times New Roman" w:hAnsi="Times New Roman"/>
        </w:rPr>
      </w:pPr>
      <w:r w:rsidRPr="3A419A25">
        <w:rPr>
          <w:rFonts w:ascii="Times New Roman" w:hAnsi="Times New Roman"/>
        </w:rPr>
        <w:t>For UB and UBMS, the efficiency measure is the difference between the annual cost per participant served and the annual cost per participant served who had a “successful outcome,” also referred to as “persistence.” The efficiency measure was revised in 2012–13 to consider grade promotion and to use only a single year of APR data. This year’s calculation includes participants who were served in 2021–22. These participants are considered to have persisted if they met one of the following criteria:</w:t>
      </w:r>
    </w:p>
    <w:p w14:paraId="62DC4EA2" w14:textId="4FB83936" w:rsidR="004E2266" w:rsidRPr="00745F16" w:rsidRDefault="7CBC6C8F" w:rsidP="00B234DE">
      <w:pPr>
        <w:pStyle w:val="bulletround"/>
        <w:spacing w:line="300" w:lineRule="exact"/>
        <w:ind w:left="360"/>
        <w:rPr>
          <w:rFonts w:ascii="Times New Roman" w:hAnsi="Times New Roman"/>
        </w:rPr>
      </w:pPr>
      <w:r w:rsidRPr="00745F16">
        <w:rPr>
          <w:rFonts w:ascii="Times New Roman" w:hAnsi="Times New Roman"/>
        </w:rPr>
        <w:t xml:space="preserve">They were promoted a grade level in high school between </w:t>
      </w:r>
      <w:r w:rsidR="00F96649">
        <w:rPr>
          <w:rFonts w:ascii="Times New Roman" w:hAnsi="Times New Roman"/>
        </w:rPr>
        <w:t>2021–22</w:t>
      </w:r>
      <w:r w:rsidRPr="00745F16">
        <w:rPr>
          <w:rFonts w:ascii="Times New Roman" w:hAnsi="Times New Roman"/>
        </w:rPr>
        <w:t xml:space="preserve"> and </w:t>
      </w:r>
      <w:r w:rsidR="00D566F7">
        <w:rPr>
          <w:rFonts w:ascii="Times New Roman" w:hAnsi="Times New Roman"/>
        </w:rPr>
        <w:t>2022–23</w:t>
      </w:r>
      <w:r w:rsidRPr="00745F16">
        <w:rPr>
          <w:rFonts w:ascii="Times New Roman" w:hAnsi="Times New Roman"/>
        </w:rPr>
        <w:t>.</w:t>
      </w:r>
    </w:p>
    <w:p w14:paraId="38C17532" w14:textId="7A2C0717" w:rsidR="004E2266" w:rsidRPr="00745F16" w:rsidRDefault="7CBC6C8F" w:rsidP="00B234DE">
      <w:pPr>
        <w:pStyle w:val="bulletround"/>
        <w:spacing w:line="300" w:lineRule="exact"/>
        <w:ind w:left="360"/>
        <w:rPr>
          <w:rFonts w:ascii="Times New Roman" w:hAnsi="Times New Roman"/>
        </w:rPr>
      </w:pPr>
      <w:r w:rsidRPr="00745F16">
        <w:rPr>
          <w:rFonts w:ascii="Times New Roman" w:hAnsi="Times New Roman"/>
        </w:rPr>
        <w:t xml:space="preserve">They were no longer in high school at the beginning of the </w:t>
      </w:r>
      <w:r w:rsidR="00D566F7">
        <w:rPr>
          <w:rFonts w:ascii="Times New Roman" w:hAnsi="Times New Roman"/>
        </w:rPr>
        <w:t>2022–23</w:t>
      </w:r>
      <w:r w:rsidRPr="00745F16">
        <w:rPr>
          <w:rFonts w:ascii="Times New Roman" w:hAnsi="Times New Roman"/>
        </w:rPr>
        <w:t xml:space="preserve"> academic year and had enrolled in postsecondary education. </w:t>
      </w:r>
    </w:p>
    <w:p w14:paraId="70B9CF8F" w14:textId="77777777" w:rsidR="004E2266" w:rsidRPr="00745F16" w:rsidRDefault="7CBC6C8F" w:rsidP="00B234DE">
      <w:pPr>
        <w:pStyle w:val="BodyText"/>
        <w:spacing w:line="300" w:lineRule="exact"/>
        <w:ind w:left="0"/>
        <w:rPr>
          <w:rFonts w:ascii="Times New Roman" w:hAnsi="Times New Roman"/>
          <w:b/>
          <w:bCs/>
        </w:rPr>
      </w:pPr>
      <w:r w:rsidRPr="00745F16">
        <w:rPr>
          <w:rFonts w:ascii="Times New Roman" w:hAnsi="Times New Roman"/>
        </w:rPr>
        <w:t xml:space="preserve">A smaller gap between the cost per participant and the cost per persister generally represents a larger proportion of successful participants; if all participants were successful, the efficiency measure would be $0. </w:t>
      </w:r>
    </w:p>
    <w:p w14:paraId="235C9D55" w14:textId="77777777" w:rsidR="004E2266" w:rsidRPr="00745F16" w:rsidRDefault="7CBC6C8F" w:rsidP="005E07EA">
      <w:pPr>
        <w:pStyle w:val="Heading4"/>
      </w:pPr>
      <w:bookmarkStart w:id="13" w:name="_Toc117512826"/>
      <w:r w:rsidRPr="00745F16">
        <w:t>Selected Findings</w:t>
      </w:r>
      <w:bookmarkEnd w:id="13"/>
    </w:p>
    <w:p w14:paraId="330C8D70" w14:textId="397C8CC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Table 3 </w:t>
      </w:r>
      <w:r w:rsidR="00F90ABE">
        <w:rPr>
          <w:rFonts w:ascii="Times New Roman" w:hAnsi="Times New Roman"/>
        </w:rPr>
        <w:t xml:space="preserve">(see Excel workbook) </w:t>
      </w:r>
      <w:r w:rsidRPr="00745F16">
        <w:rPr>
          <w:rFonts w:ascii="Times New Roman" w:hAnsi="Times New Roman"/>
        </w:rPr>
        <w:t xml:space="preserve">shows the efficiency measure calculations at the program and project levels. It also displays the efficiency measure calculations disaggregated by program type (UB or UBMS) and sector of grantee. </w:t>
      </w:r>
      <w:r w:rsidR="006E149A" w:rsidRPr="006E149A">
        <w:rPr>
          <w:rFonts w:ascii="Times New Roman" w:hAnsi="Times New Roman"/>
        </w:rPr>
        <w:t>The 947 UB projects and 209 UBMS projects reported 79,590 participants who were served in 2021–22, and 91.9 percent of these participants persisted into 2022–23. The annual cost per successful participant was $5,666</w:t>
      </w:r>
      <w:r w:rsidRPr="00745F16">
        <w:rPr>
          <w:rFonts w:ascii="Times New Roman" w:hAnsi="Times New Roman"/>
        </w:rPr>
        <w:t xml:space="preserve">, which was higher than the Department’s program-level goal of $4,510. </w:t>
      </w:r>
    </w:p>
    <w:p w14:paraId="0517597E" w14:textId="477C7510" w:rsidR="006E149A" w:rsidRPr="006E149A" w:rsidRDefault="006E149A" w:rsidP="00B234DE">
      <w:pPr>
        <w:pStyle w:val="BodyText"/>
        <w:spacing w:line="300" w:lineRule="exact"/>
        <w:ind w:left="0"/>
        <w:rPr>
          <w:rFonts w:ascii="Times New Roman" w:hAnsi="Times New Roman"/>
        </w:rPr>
      </w:pPr>
      <w:r w:rsidRPr="006E149A">
        <w:rPr>
          <w:rFonts w:ascii="Times New Roman" w:hAnsi="Times New Roman"/>
        </w:rPr>
        <w:t xml:space="preserve">The 2021–22 program-level efficiency gap was $462. The gap was larger for UB projects ($479) than for UBMS projects ($372). </w:t>
      </w:r>
      <w:r w:rsidR="7CBC6C8F" w:rsidRPr="00745F16">
        <w:rPr>
          <w:rFonts w:ascii="Times New Roman" w:hAnsi="Times New Roman"/>
        </w:rPr>
        <w:t xml:space="preserve">As seen in Table 3, smaller efficiency gaps are generally found among projects with higher proportions of persisting participants. In comparison, </w:t>
      </w:r>
      <w:r w:rsidR="002C6592">
        <w:rPr>
          <w:rFonts w:ascii="Times New Roman" w:hAnsi="Times New Roman"/>
        </w:rPr>
        <w:t>the</w:t>
      </w:r>
      <w:r w:rsidR="7CBC6C8F" w:rsidRPr="00745F16">
        <w:rPr>
          <w:rFonts w:ascii="Times New Roman" w:hAnsi="Times New Roman"/>
        </w:rPr>
        <w:t xml:space="preserve"> program-level efficiency gap for all projects in </w:t>
      </w:r>
      <w:r w:rsidR="00F96649">
        <w:rPr>
          <w:rFonts w:ascii="Times New Roman" w:hAnsi="Times New Roman"/>
        </w:rPr>
        <w:t>2020–21</w:t>
      </w:r>
      <w:r w:rsidR="7CBC6C8F" w:rsidRPr="00745F16">
        <w:rPr>
          <w:rFonts w:ascii="Times New Roman" w:hAnsi="Times New Roman"/>
        </w:rPr>
        <w:t xml:space="preserve"> </w:t>
      </w:r>
      <w:r>
        <w:rPr>
          <w:rFonts w:ascii="Times New Roman" w:hAnsi="Times New Roman"/>
        </w:rPr>
        <w:t xml:space="preserve">was </w:t>
      </w:r>
      <w:r w:rsidRPr="006E149A">
        <w:rPr>
          <w:rFonts w:ascii="Times New Roman" w:hAnsi="Times New Roman"/>
        </w:rPr>
        <w:t xml:space="preserve">$456 ($468 for UB projects and $396 for UBMS projects). Further, of the 80,657 participants who were served in 2020–21, 92.0 percent persisted into 2021–22. </w:t>
      </w:r>
    </w:p>
    <w:p w14:paraId="63D3DF05" w14:textId="0AE469B4" w:rsidR="004E2266" w:rsidRPr="00745F16" w:rsidRDefault="004E2266" w:rsidP="00B234DE">
      <w:pPr>
        <w:pStyle w:val="BodyText"/>
        <w:spacing w:line="300" w:lineRule="exact"/>
        <w:ind w:left="0"/>
        <w:rPr>
          <w:rFonts w:ascii="Times New Roman" w:hAnsi="Times New Roman"/>
        </w:rPr>
      </w:pPr>
      <w:r w:rsidRPr="00745F16">
        <w:rPr>
          <w:rFonts w:ascii="Times New Roman" w:hAnsi="Times New Roman"/>
        </w:rPr>
        <w:t>Beginning in 2014–15, the efficiency measure calculation examined only one APR field for evidence of postsecondary education enrollment;</w:t>
      </w:r>
      <w:r w:rsidR="7CBC6C8F" w:rsidRPr="00745F16">
        <w:rPr>
          <w:rFonts w:ascii="Times New Roman" w:hAnsi="Times New Roman"/>
        </w:rPr>
        <w:t xml:space="preserve"> comparatively,</w:t>
      </w:r>
      <w:r w:rsidRPr="00745F16">
        <w:rPr>
          <w:rFonts w:ascii="Times New Roman" w:hAnsi="Times New Roman"/>
        </w:rPr>
        <w:t xml:space="preserve"> two or more fields were used in </w:t>
      </w:r>
      <w:r w:rsidR="7CBC6C8F" w:rsidRPr="00745F16">
        <w:rPr>
          <w:rFonts w:ascii="Times New Roman" w:hAnsi="Times New Roman"/>
        </w:rPr>
        <w:t>reporting years 2013–14 and earlier</w:t>
      </w:r>
      <w:r w:rsidRPr="00745F16">
        <w:rPr>
          <w:rFonts w:ascii="Times New Roman" w:hAnsi="Times New Roman"/>
        </w:rPr>
        <w:t xml:space="preserve">. Additionally, to identify participants promoted a grade level in high school, the efficiency measure calculations for 2013–14 through </w:t>
      </w:r>
      <w:r w:rsidR="00F96649">
        <w:rPr>
          <w:rFonts w:ascii="Times New Roman" w:hAnsi="Times New Roman"/>
        </w:rPr>
        <w:t>2021–22</w:t>
      </w:r>
      <w:r w:rsidRPr="00745F16">
        <w:rPr>
          <w:rFonts w:ascii="Times New Roman" w:hAnsi="Times New Roman"/>
        </w:rPr>
        <w:t xml:space="preserve"> used a set of APR fields that differed from the set of fields used for this purpose in the 2012–13 efficiency measure calculations. Therefore, the results produced in 2013–14 through </w:t>
      </w:r>
      <w:r w:rsidR="00F96649">
        <w:rPr>
          <w:rFonts w:ascii="Times New Roman" w:hAnsi="Times New Roman"/>
        </w:rPr>
        <w:t>2021–22</w:t>
      </w:r>
      <w:r w:rsidRPr="00745F16">
        <w:rPr>
          <w:rFonts w:ascii="Times New Roman" w:hAnsi="Times New Roman"/>
        </w:rPr>
        <w:t xml:space="preserve"> are not directly comparable to those produced in 2012–13. Finally, </w:t>
      </w:r>
      <w:r w:rsidR="002C6592" w:rsidRPr="00CE5C50">
        <w:rPr>
          <w:rFonts w:ascii="Times New Roman" w:hAnsi="Times New Roman"/>
        </w:rPr>
        <w:t xml:space="preserve">the efficiency results produced for 2012–13 through </w:t>
      </w:r>
      <w:r w:rsidR="00F96649">
        <w:rPr>
          <w:rFonts w:ascii="Times New Roman" w:hAnsi="Times New Roman"/>
        </w:rPr>
        <w:t>2021–22</w:t>
      </w:r>
      <w:r w:rsidR="002C6592" w:rsidRPr="00CE5C50">
        <w:rPr>
          <w:rFonts w:ascii="Times New Roman" w:hAnsi="Times New Roman"/>
        </w:rPr>
        <w:t xml:space="preserve"> should not be compared to results from years prior to 2012–13</w:t>
      </w:r>
      <w:r w:rsidR="006E149A">
        <w:rPr>
          <w:rFonts w:ascii="Times New Roman" w:hAnsi="Times New Roman"/>
        </w:rPr>
        <w:t xml:space="preserve"> </w:t>
      </w:r>
      <w:r w:rsidRPr="00745F16">
        <w:rPr>
          <w:rFonts w:ascii="Times New Roman" w:hAnsi="Times New Roman"/>
        </w:rPr>
        <w:lastRenderedPageBreak/>
        <w:t>because the cohort of participants and the definition of persistence used in the efficiency calculation both differed significantly in years prior to 2012–13.</w:t>
      </w:r>
      <w:r w:rsidRPr="00745F16">
        <w:rPr>
          <w:rStyle w:val="FootnoteReference"/>
          <w:rFonts w:ascii="Times New Roman" w:hAnsi="Times New Roman"/>
        </w:rPr>
        <w:footnoteReference w:id="2"/>
      </w:r>
      <w:r w:rsidRPr="00745F16">
        <w:rPr>
          <w:rFonts w:ascii="Times New Roman" w:hAnsi="Times New Roman"/>
        </w:rPr>
        <w:t xml:space="preserve"> </w:t>
      </w:r>
    </w:p>
    <w:p w14:paraId="521FA8B8" w14:textId="1C5C9881" w:rsidR="004E2266" w:rsidRPr="00745F16" w:rsidRDefault="6BF1DF40" w:rsidP="00B234DE">
      <w:pPr>
        <w:pStyle w:val="BodyText"/>
        <w:spacing w:line="300" w:lineRule="exact"/>
        <w:ind w:left="0"/>
        <w:rPr>
          <w:rFonts w:ascii="Times New Roman" w:hAnsi="Times New Roman"/>
        </w:rPr>
      </w:pPr>
      <w:r w:rsidRPr="6BF1DF40">
        <w:rPr>
          <w:rFonts w:ascii="Times New Roman" w:hAnsi="Times New Roman"/>
        </w:rPr>
        <w:t>Table 5 shows 19 UB projects and 3 UBMS projects that were excluded from Table 3 due to either no 2021–22 APR data reported or significant omissions in fields critical to calculating persistence. The reported efficiency measure calculations include participants and funding from non-excluded projects only; the excluded project</w:t>
      </w:r>
      <w:r w:rsidR="004D73E2">
        <w:rPr>
          <w:rFonts w:ascii="Times New Roman" w:hAnsi="Times New Roman"/>
        </w:rPr>
        <w:t>s</w:t>
      </w:r>
      <w:r w:rsidRPr="6BF1DF40">
        <w:rPr>
          <w:rFonts w:ascii="Times New Roman" w:hAnsi="Times New Roman"/>
        </w:rPr>
        <w:t xml:space="preserve"> accounted for $7,489,746</w:t>
      </w:r>
      <w:r>
        <w:t xml:space="preserve"> </w:t>
      </w:r>
      <w:r w:rsidRPr="6BF1DF40">
        <w:rPr>
          <w:rFonts w:ascii="Times New Roman" w:hAnsi="Times New Roman"/>
        </w:rPr>
        <w:t xml:space="preserve">in program funding. The exclusion methodology is further explained in </w:t>
      </w:r>
      <w:hyperlink w:anchor="_Appendix_C._Calculation">
        <w:r w:rsidRPr="6BF1DF40">
          <w:rPr>
            <w:rStyle w:val="Hyperlink"/>
            <w:rFonts w:ascii="Times New Roman" w:hAnsi="Times New Roman"/>
          </w:rPr>
          <w:t>Appendix C</w:t>
        </w:r>
      </w:hyperlink>
      <w:r w:rsidRPr="6BF1DF40">
        <w:rPr>
          <w:rFonts w:ascii="Times New Roman" w:hAnsi="Times New Roman"/>
        </w:rPr>
        <w:t>.</w:t>
      </w:r>
    </w:p>
    <w:p w14:paraId="278F92DF" w14:textId="0C92C133" w:rsidR="00732E3E" w:rsidRPr="00745F16" w:rsidRDefault="7CBC6C8F" w:rsidP="005B4B21">
      <w:pPr>
        <w:pStyle w:val="Heading2"/>
      </w:pPr>
      <w:bookmarkStart w:id="14" w:name="_Toc117512827"/>
      <w:r w:rsidRPr="00745F16">
        <w:t>Limitations of Efficiency Measure Data and Findings</w:t>
      </w:r>
      <w:bookmarkEnd w:id="14"/>
    </w:p>
    <w:p w14:paraId="5C328E85" w14:textId="1A92613B" w:rsidR="00313E48" w:rsidRDefault="7CBC6C8F" w:rsidP="00313E48">
      <w:pPr>
        <w:pStyle w:val="BodyText"/>
        <w:spacing w:line="300" w:lineRule="exact"/>
        <w:ind w:left="0"/>
        <w:rPr>
          <w:rFonts w:ascii="Times New Roman" w:hAnsi="Times New Roman"/>
        </w:rPr>
      </w:pPr>
      <w:r w:rsidRPr="00745F16">
        <w:rPr>
          <w:rFonts w:ascii="Times New Roman" w:hAnsi="Times New Roman"/>
        </w:rPr>
        <w:t>These efficiency results should be viewed cautiously because they may be misleading in some cases. For example, projects serving higher percentages of students at high risk for academic failure may have lower percentages of successful participants. Therefore, it is important to consider the efficiency measure in the context of the other data in the table, particularly the percentage of successful participants. In sum, comparing rates among projects in Table 3 could lead to flawed conclusions.</w:t>
      </w:r>
      <w:r w:rsidR="00313E48">
        <w:rPr>
          <w:rFonts w:ascii="Times New Roman" w:hAnsi="Times New Roman"/>
        </w:rPr>
        <w:br w:type="page"/>
      </w:r>
    </w:p>
    <w:p w14:paraId="5257643C" w14:textId="3B2C4B4A" w:rsidR="004E2266" w:rsidRPr="00745F16" w:rsidRDefault="7CBC6C8F" w:rsidP="00696A82">
      <w:pPr>
        <w:pStyle w:val="Heading2"/>
        <w:spacing w:before="240"/>
      </w:pPr>
      <w:bookmarkStart w:id="15" w:name="_Appendix_A._Calculation_2"/>
      <w:bookmarkStart w:id="16" w:name="_Toc117512828"/>
      <w:bookmarkStart w:id="17" w:name="_Appendix_A._Calculation"/>
      <w:bookmarkEnd w:id="15"/>
      <w:r w:rsidRPr="00745F16">
        <w:lastRenderedPageBreak/>
        <w:t>Appendix A. Calculation Methodology for Postsecondary Enrollment Rate (Table 1)</w:t>
      </w:r>
      <w:bookmarkEnd w:id="16"/>
      <w:bookmarkEnd w:id="17"/>
    </w:p>
    <w:p w14:paraId="7DAD4422" w14:textId="77777777" w:rsidR="004E2266" w:rsidRPr="00745F16" w:rsidRDefault="7CBC6C8F" w:rsidP="005E07EA">
      <w:pPr>
        <w:pStyle w:val="Heading3"/>
      </w:pPr>
      <w:bookmarkStart w:id="18" w:name="_Toc117512829"/>
      <w:r w:rsidRPr="00745F16">
        <w:t>High School Graduation Year Cohort</w:t>
      </w:r>
      <w:bookmarkEnd w:id="18"/>
    </w:p>
    <w:p w14:paraId="7B1BD398" w14:textId="533F8634"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Participants in UB and UBMS programs who graduated with a regular high school diploma were assigned to a high school graduation cohort year based on the information reported in the APR fields for high school graduation status and the actual date of high school graduation. The Upward Bound longitudinal file (which contains data from 2000–01 through </w:t>
      </w:r>
      <w:r w:rsidR="00F96649">
        <w:rPr>
          <w:rFonts w:ascii="Times New Roman" w:hAnsi="Times New Roman"/>
        </w:rPr>
        <w:t>2021–22</w:t>
      </w:r>
      <w:r w:rsidRPr="00745F16">
        <w:rPr>
          <w:rFonts w:ascii="Times New Roman" w:hAnsi="Times New Roman"/>
        </w:rPr>
        <w:t xml:space="preserve"> APR) maintains a single value for each participant’s actual high school graduation cohort year. </w:t>
      </w:r>
      <w:bookmarkStart w:id="19" w:name="_Hlk14103552"/>
      <w:r w:rsidRPr="00745F16">
        <w:rPr>
          <w:rFonts w:ascii="Times New Roman" w:hAnsi="Times New Roman"/>
        </w:rPr>
        <w:t>(Note: This high school graduation cohort year is not a field in the APR but is derived from APR data.)</w:t>
      </w:r>
    </w:p>
    <w:p w14:paraId="7591692C" w14:textId="77777777" w:rsidR="004E2266" w:rsidRPr="00745F16" w:rsidRDefault="7CBC6C8F" w:rsidP="005E07EA">
      <w:pPr>
        <w:pStyle w:val="Heading3"/>
      </w:pPr>
      <w:bookmarkStart w:id="20" w:name="_Toc117512830"/>
      <w:bookmarkEnd w:id="19"/>
      <w:r w:rsidRPr="00745F16">
        <w:t>Evidence of Postsecondary Enrollment</w:t>
      </w:r>
      <w:bookmarkEnd w:id="20"/>
    </w:p>
    <w:p w14:paraId="707BEF88" w14:textId="36F5F625" w:rsidR="00E6740F" w:rsidRPr="00E6740F" w:rsidRDefault="31CC5181" w:rsidP="00B234DE">
      <w:pPr>
        <w:pStyle w:val="BodyText"/>
        <w:spacing w:line="300" w:lineRule="exact"/>
        <w:ind w:left="0"/>
        <w:rPr>
          <w:rFonts w:ascii="Times New Roman" w:hAnsi="Times New Roman"/>
        </w:rPr>
      </w:pPr>
      <w:r w:rsidRPr="31CC5181">
        <w:rPr>
          <w:rFonts w:ascii="Times New Roman" w:hAnsi="Times New Roman"/>
        </w:rPr>
        <w:t xml:space="preserve">The methods and fields used to calculate postsecondary enrollment changed for reporting year 2012–13; additional changes were made in 2013–14 and 2014–15; and no NSLDS data was available starting from 2021–22. </w:t>
      </w:r>
    </w:p>
    <w:p w14:paraId="5DA12F23" w14:textId="77777777" w:rsidR="00E6740F" w:rsidRPr="00E6740F" w:rsidRDefault="00E6740F" w:rsidP="00B234DE">
      <w:pPr>
        <w:pStyle w:val="BodyText"/>
        <w:spacing w:line="300" w:lineRule="exact"/>
        <w:ind w:left="0"/>
        <w:rPr>
          <w:rFonts w:ascii="Times New Roman" w:hAnsi="Times New Roman"/>
        </w:rPr>
      </w:pPr>
      <w:r w:rsidRPr="00E6740F">
        <w:rPr>
          <w:rFonts w:ascii="Times New Roman" w:hAnsi="Times New Roman"/>
        </w:rPr>
        <w:t>For 2021–22, evidence of postsecondary enrollment is based on one APR field (NSLDS data was unavailable) for participants whose high school graduation cohort year was 2021–22:</w:t>
      </w:r>
    </w:p>
    <w:p w14:paraId="667CC008" w14:textId="6ED87884" w:rsidR="004E2266" w:rsidRPr="00E6740F" w:rsidRDefault="00E6740F" w:rsidP="00962F98">
      <w:pPr>
        <w:pStyle w:val="bulletround"/>
        <w:spacing w:line="300" w:lineRule="exact"/>
        <w:rPr>
          <w:rFonts w:ascii="Times New Roman" w:hAnsi="Times New Roman"/>
        </w:rPr>
      </w:pPr>
      <w:r w:rsidRPr="00E6740F">
        <w:rPr>
          <w:rFonts w:ascii="Times New Roman" w:hAnsi="Times New Roman"/>
        </w:rPr>
        <w:t xml:space="preserve">Date of First Postsecondary School Enrollment (APR Field #53, </w:t>
      </w:r>
      <w:proofErr w:type="spellStart"/>
      <w:r w:rsidRPr="00962F98">
        <w:rPr>
          <w:rFonts w:ascii="Times New Roman" w:hAnsi="Times New Roman"/>
        </w:rPr>
        <w:t>FirstEnrollDT</w:t>
      </w:r>
      <w:proofErr w:type="spellEnd"/>
      <w:r w:rsidRPr="00E6740F">
        <w:rPr>
          <w:rFonts w:ascii="Times New Roman" w:hAnsi="Times New Roman"/>
        </w:rPr>
        <w:t xml:space="preserve">): any date between September 2021 and November 2022, or a response of 66/66/6666 that indicates that the participant had received notification by the fall term from an institution of higher education of acceptance for deferred enrollment in the next academic </w:t>
      </w:r>
      <w:proofErr w:type="gramStart"/>
      <w:r w:rsidRPr="00E6740F">
        <w:rPr>
          <w:rFonts w:ascii="Times New Roman" w:hAnsi="Times New Roman"/>
        </w:rPr>
        <w:t>term</w:t>
      </w:r>
      <w:proofErr w:type="gramEnd"/>
    </w:p>
    <w:p w14:paraId="5ADFE745" w14:textId="5270C45C" w:rsidR="004E2266" w:rsidRPr="00745F16" w:rsidRDefault="7CBC6C8F" w:rsidP="00B234DE">
      <w:pPr>
        <w:pStyle w:val="BodyText"/>
        <w:spacing w:line="300" w:lineRule="exact"/>
        <w:ind w:left="0"/>
        <w:rPr>
          <w:rFonts w:ascii="Times New Roman" w:hAnsi="Times New Roman"/>
        </w:rPr>
      </w:pPr>
      <w:bookmarkStart w:id="21" w:name="_Hlk48547495"/>
      <w:r w:rsidRPr="00745F16">
        <w:rPr>
          <w:rFonts w:ascii="Times New Roman" w:hAnsi="Times New Roman"/>
        </w:rPr>
        <w:t>For 2020–21, evidence of postsecondary enrollment is calculated from NSLDS data in conjunction with one APR field for participants whose high school graduation cohort year was 2020–21:</w:t>
      </w:r>
    </w:p>
    <w:p w14:paraId="6A8E1971" w14:textId="1D6D61E8" w:rsidR="007C09F7"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date between September 2020 and November 2021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p>
    <w:p w14:paraId="6872EE39" w14:textId="119148F1" w:rsidR="007C09F7"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2019–20, evidence of postsecondary enrollment is calculated from NSLDS data in conjunction with one APR field for participants whose high school graduation cohort year was 2019–20:</w:t>
      </w:r>
    </w:p>
    <w:p w14:paraId="5AB81F47" w14:textId="0851BE0D" w:rsidR="004E2266" w:rsidRPr="00745F16"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745F16">
        <w:rPr>
          <w:rFonts w:ascii="Times New Roman" w:hAnsi="Times New Roman"/>
          <w:i/>
          <w:iCs/>
        </w:rPr>
        <w:t>FirstEnrollDT</w:t>
      </w:r>
      <w:proofErr w:type="spellEnd"/>
      <w:r w:rsidRPr="00745F16">
        <w:rPr>
          <w:rFonts w:ascii="Times New Roman" w:hAnsi="Times New Roman"/>
        </w:rPr>
        <w:t xml:space="preserve">): any date between September 2019 and November 2020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6494BF22"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2018–19, evidence of postsecondary enrollment is calculated from NSLDS data in conjunction with one APR field for participants whose high school graduation cohort year was 2018–19:</w:t>
      </w:r>
    </w:p>
    <w:p w14:paraId="39755B1C" w14:textId="42F4B81D" w:rsidR="004E2266" w:rsidRPr="00946905" w:rsidRDefault="7CBC6C8F" w:rsidP="00B234DE">
      <w:pPr>
        <w:pStyle w:val="bulletround"/>
        <w:spacing w:line="300" w:lineRule="exact"/>
        <w:rPr>
          <w:rFonts w:ascii="Times New Roman" w:hAnsi="Times New Roman"/>
        </w:rPr>
      </w:pPr>
      <w:bookmarkStart w:id="22" w:name="_Hlk48547650"/>
      <w:bookmarkEnd w:id="21"/>
      <w:r w:rsidRPr="00745F16">
        <w:rPr>
          <w:rFonts w:ascii="Times New Roman" w:hAnsi="Times New Roman"/>
        </w:rPr>
        <w:lastRenderedPageBreak/>
        <w:t xml:space="preserve">Date of First Postsecondary School Enrollment (APR Field #53, </w:t>
      </w:r>
      <w:proofErr w:type="spellStart"/>
      <w:r w:rsidRPr="00745F16">
        <w:rPr>
          <w:rFonts w:ascii="Times New Roman" w:hAnsi="Times New Roman"/>
          <w:i/>
          <w:iCs/>
        </w:rPr>
        <w:t>FirstEnrollDT</w:t>
      </w:r>
      <w:proofErr w:type="spellEnd"/>
      <w:r w:rsidRPr="00745F16">
        <w:rPr>
          <w:rFonts w:ascii="Times New Roman" w:hAnsi="Times New Roman"/>
        </w:rPr>
        <w:t xml:space="preserve">): any date between September 2018 and November 2019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bookmarkEnd w:id="22"/>
    <w:p w14:paraId="66352041"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2017–18, evidence of postsecondary enrollment is calculated from NSLDS data in conjunction with one APR field for participants whose high school graduation cohort year was 2017–18:</w:t>
      </w:r>
    </w:p>
    <w:p w14:paraId="1F234AB6" w14:textId="72FAA5F5"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date between September 2017 and November 2018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27F5ED94"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2016–17, evidence of postsecondary enrollment is calculated from NSLDS data in conjunction with one APR field for participants whose high school graduation cohort year was 2016–17:</w:t>
      </w:r>
    </w:p>
    <w:p w14:paraId="20A808DB" w14:textId="14BD9F5E"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date between September 2016 and November 2017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696874F9"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2015–16, evidence of postsecondary enrollment is calculated from NSLDS data in conjunction with one APR field for participants whose high school graduation cohort year was 2015–16:</w:t>
      </w:r>
    </w:p>
    <w:p w14:paraId="675C763B" w14:textId="49979A43"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date between September 2015 and November 2016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6130A659"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2014–15, evidence of postsecondary enrollment is calculated from NSLDS data in conjunction with one APR field for participants whose high school graduation cohort year was 2014–15:</w:t>
      </w:r>
    </w:p>
    <w:p w14:paraId="226A9A45" w14:textId="5805D042"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date between September 2014 and November 2015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6EAD1F28" w14:textId="77777777" w:rsidR="004E2266" w:rsidRPr="00745F16" w:rsidRDefault="1333BAF2" w:rsidP="00B234DE">
      <w:pPr>
        <w:pStyle w:val="BodyText"/>
        <w:spacing w:line="300" w:lineRule="exact"/>
        <w:ind w:left="0"/>
        <w:rPr>
          <w:rFonts w:ascii="Times New Roman" w:hAnsi="Times New Roman"/>
        </w:rPr>
      </w:pPr>
      <w:r w:rsidRPr="1333BAF2">
        <w:rPr>
          <w:rFonts w:ascii="Times New Roman" w:hAnsi="Times New Roman"/>
        </w:rPr>
        <w:t>For 2013–14, evidence of postsecondary enrollment is calculated from NSLDS data in conjunction with two APR fields for participants whose high school graduation cohort year was 2012–13:</w:t>
      </w:r>
    </w:p>
    <w:p w14:paraId="0291366C"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Source of Postsecondary Education Information (APR Field #52, </w:t>
      </w:r>
      <w:proofErr w:type="spellStart"/>
      <w:r w:rsidRPr="0082409E">
        <w:rPr>
          <w:rFonts w:ascii="Times New Roman" w:hAnsi="Times New Roman"/>
          <w:i/>
          <w:iCs/>
        </w:rPr>
        <w:t>SelfTranCD</w:t>
      </w:r>
      <w:proofErr w:type="spellEnd"/>
      <w:r w:rsidRPr="00745F16">
        <w:rPr>
          <w:rFonts w:ascii="Times New Roman" w:hAnsi="Times New Roman"/>
        </w:rPr>
        <w:t>): response options 1, 2, 3, or 4</w:t>
      </w:r>
    </w:p>
    <w:p w14:paraId="17E18E80" w14:textId="72135E99"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lastRenderedPageBreak/>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date between September 2012 and November 2013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43247FFF" w14:textId="48FB9AA1"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For 2012–13, evidence of postsecondary enrollment was calculated from two APR fields for participants whose </w:t>
      </w:r>
      <w:r w:rsidRPr="00745F16">
        <w:rPr>
          <w:rFonts w:ascii="Times New Roman" w:hAnsi="Times New Roman"/>
          <w:i/>
          <w:iCs/>
        </w:rPr>
        <w:t>expected</w:t>
      </w:r>
      <w:r w:rsidRPr="00745F16">
        <w:rPr>
          <w:rFonts w:ascii="Times New Roman" w:hAnsi="Times New Roman"/>
        </w:rPr>
        <w:t xml:space="preserve"> high school graduation cohort year was 2011–12 (NSLDS data was not used or available for this calculation, though federal financial aid data were employed):</w:t>
      </w:r>
    </w:p>
    <w:p w14:paraId="6A4F2CA8"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Source of Postsecondary Education Information (APR Field #52, </w:t>
      </w:r>
      <w:proofErr w:type="spellStart"/>
      <w:r w:rsidRPr="0082409E">
        <w:rPr>
          <w:rFonts w:ascii="Times New Roman" w:hAnsi="Times New Roman"/>
          <w:i/>
          <w:iCs/>
        </w:rPr>
        <w:t>SelfTranCD</w:t>
      </w:r>
      <w:proofErr w:type="spellEnd"/>
      <w:r w:rsidRPr="00745F16">
        <w:rPr>
          <w:rFonts w:ascii="Times New Roman" w:hAnsi="Times New Roman"/>
        </w:rPr>
        <w:t>): response options 1, 2, 3, or 4</w:t>
      </w:r>
    </w:p>
    <w:p w14:paraId="7A710CC2" w14:textId="7767F5EA"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First Postsecondary School Enrollment (APR Field #53, </w:t>
      </w:r>
      <w:proofErr w:type="spellStart"/>
      <w:r w:rsidRPr="0082409E">
        <w:rPr>
          <w:rFonts w:ascii="Times New Roman" w:hAnsi="Times New Roman"/>
          <w:i/>
          <w:iCs/>
        </w:rPr>
        <w:t>FirstEnrollDT</w:t>
      </w:r>
      <w:proofErr w:type="spellEnd"/>
      <w:r w:rsidRPr="00745F16">
        <w:rPr>
          <w:rFonts w:ascii="Times New Roman" w:hAnsi="Times New Roman"/>
        </w:rPr>
        <w:t xml:space="preserve">): any valid entry that contains a year between 2010 and 2013 or a response of 66/66/6666 that indicates that the participant had received notification by the fall term from an institution of higher education of acceptance for deferred enrollment in the next academic </w:t>
      </w:r>
      <w:proofErr w:type="gramStart"/>
      <w:r w:rsidRPr="00745F16">
        <w:rPr>
          <w:rFonts w:ascii="Times New Roman" w:hAnsi="Times New Roman"/>
        </w:rPr>
        <w:t>term</w:t>
      </w:r>
      <w:proofErr w:type="gramEnd"/>
      <w:r w:rsidRPr="00745F16">
        <w:rPr>
          <w:rFonts w:ascii="Times New Roman" w:hAnsi="Times New Roman"/>
        </w:rPr>
        <w:t xml:space="preserve"> </w:t>
      </w:r>
    </w:p>
    <w:p w14:paraId="5E03659C" w14:textId="69C810FB"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2007–08 through 2011–12, evidence of postsecondary enrollment was calculated from six APR fields (NSLDS data was not used or available for this calculation, though federal financial aid data were employed):</w:t>
      </w:r>
    </w:p>
    <w:p w14:paraId="435E0AAE"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Reporting of Postsecondary Education Information (APR Field #44, </w:t>
      </w:r>
      <w:proofErr w:type="spellStart"/>
      <w:r w:rsidRPr="0082409E">
        <w:rPr>
          <w:rFonts w:ascii="Times New Roman" w:hAnsi="Times New Roman"/>
          <w:i/>
          <w:iCs/>
        </w:rPr>
        <w:t>SelfTranCD</w:t>
      </w:r>
      <w:proofErr w:type="spellEnd"/>
      <w:r w:rsidRPr="00745F16">
        <w:rPr>
          <w:rFonts w:ascii="Times New Roman" w:hAnsi="Times New Roman"/>
        </w:rPr>
        <w:t>): response options 1, 2, 3, or 4</w:t>
      </w:r>
    </w:p>
    <w:p w14:paraId="09CC9C77"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First Postsecondary Enrollment Date (APR Field #45, </w:t>
      </w:r>
      <w:proofErr w:type="spellStart"/>
      <w:r w:rsidRPr="0082409E">
        <w:rPr>
          <w:rFonts w:ascii="Times New Roman" w:hAnsi="Times New Roman"/>
          <w:i/>
          <w:iCs/>
        </w:rPr>
        <w:t>FirstEnrollDT</w:t>
      </w:r>
      <w:proofErr w:type="spellEnd"/>
      <w:r w:rsidRPr="00745F16">
        <w:rPr>
          <w:rFonts w:ascii="Times New Roman" w:hAnsi="Times New Roman"/>
        </w:rPr>
        <w:t xml:space="preserve">): any valid entry that contains a year between </w:t>
      </w:r>
    </w:p>
    <w:p w14:paraId="099B4040"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2008 and 2012, for 2011–12 calculation</w:t>
      </w:r>
    </w:p>
    <w:p w14:paraId="23FC8183"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2007 and 2012, for 2010–11 calculation</w:t>
      </w:r>
    </w:p>
    <w:p w14:paraId="29014327"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2006 and 2010, for 2009–10 calculation</w:t>
      </w:r>
    </w:p>
    <w:p w14:paraId="3079EA5D"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2005 and 2009, for 2008–09 calculation</w:t>
      </w:r>
    </w:p>
    <w:p w14:paraId="5020B84B"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2005 and 2008, for 2007–08 calculation</w:t>
      </w:r>
    </w:p>
    <w:p w14:paraId="124AEC2B"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School Code for Postsecondary Institutions at First Enrollment (APR Field #46, </w:t>
      </w:r>
      <w:r w:rsidRPr="0082409E">
        <w:rPr>
          <w:rFonts w:ascii="Times New Roman" w:hAnsi="Times New Roman"/>
          <w:i/>
          <w:iCs/>
        </w:rPr>
        <w:t>PSECDFE</w:t>
      </w:r>
      <w:r w:rsidRPr="00745F16">
        <w:rPr>
          <w:rFonts w:ascii="Times New Roman" w:hAnsi="Times New Roman"/>
        </w:rPr>
        <w:t>): any valid institution code (6 digits, or E + 5 digits, except for reserve codes 000000, 888888, and 999999)</w:t>
      </w:r>
    </w:p>
    <w:p w14:paraId="5F52D5B5"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College Status at beginning of academic year being reported, (APR Field #47, </w:t>
      </w:r>
      <w:proofErr w:type="spellStart"/>
      <w:r w:rsidRPr="0082409E">
        <w:rPr>
          <w:rFonts w:ascii="Times New Roman" w:hAnsi="Times New Roman"/>
          <w:i/>
          <w:iCs/>
        </w:rPr>
        <w:t>PSEGradeLV</w:t>
      </w:r>
      <w:proofErr w:type="spellEnd"/>
      <w:r w:rsidRPr="00745F16">
        <w:rPr>
          <w:rFonts w:ascii="Times New Roman" w:hAnsi="Times New Roman"/>
        </w:rPr>
        <w:t xml:space="preserve">): response options 1–5 or </w:t>
      </w:r>
      <w:proofErr w:type="gramStart"/>
      <w:r w:rsidRPr="00745F16">
        <w:rPr>
          <w:rFonts w:ascii="Times New Roman" w:hAnsi="Times New Roman"/>
        </w:rPr>
        <w:t>7</w:t>
      </w:r>
      <w:proofErr w:type="gramEnd"/>
    </w:p>
    <w:p w14:paraId="07DD616A"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Degree/Certificate Completed (APR Field #48, </w:t>
      </w:r>
      <w:proofErr w:type="spellStart"/>
      <w:r w:rsidRPr="0082409E">
        <w:rPr>
          <w:rFonts w:ascii="Times New Roman" w:hAnsi="Times New Roman"/>
          <w:i/>
          <w:iCs/>
        </w:rPr>
        <w:t>DegreeCD</w:t>
      </w:r>
      <w:proofErr w:type="spellEnd"/>
      <w:r w:rsidRPr="00745F16">
        <w:rPr>
          <w:rFonts w:ascii="Times New Roman" w:hAnsi="Times New Roman"/>
        </w:rPr>
        <w:t xml:space="preserve">): response options 1–7 or </w:t>
      </w:r>
      <w:proofErr w:type="gramStart"/>
      <w:r w:rsidRPr="00745F16">
        <w:rPr>
          <w:rFonts w:ascii="Times New Roman" w:hAnsi="Times New Roman"/>
        </w:rPr>
        <w:t>77</w:t>
      </w:r>
      <w:proofErr w:type="gramEnd"/>
    </w:p>
    <w:p w14:paraId="52EEDF1F"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Date of Undergraduate Degree (APR Field #49, </w:t>
      </w:r>
      <w:proofErr w:type="spellStart"/>
      <w:r w:rsidRPr="0082409E">
        <w:rPr>
          <w:rFonts w:ascii="Times New Roman" w:hAnsi="Times New Roman"/>
          <w:i/>
          <w:iCs/>
        </w:rPr>
        <w:t>DegreeDT</w:t>
      </w:r>
      <w:proofErr w:type="spellEnd"/>
      <w:r w:rsidRPr="00745F16">
        <w:rPr>
          <w:rFonts w:ascii="Times New Roman" w:hAnsi="Times New Roman"/>
        </w:rPr>
        <w:t>): any valid entry that contains a year between</w:t>
      </w:r>
    </w:p>
    <w:p w14:paraId="30F28A45"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2008 and 2012, for 2011–12 calculation</w:t>
      </w:r>
    </w:p>
    <w:p w14:paraId="63AF4305"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2007 and 2012, for 2010–11 calculation</w:t>
      </w:r>
    </w:p>
    <w:p w14:paraId="55AAFB5F"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2006 and 2010, for 2009–10 calculation</w:t>
      </w:r>
    </w:p>
    <w:p w14:paraId="1B7A3C36"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lastRenderedPageBreak/>
        <w:t>2005 and 2009, for 2008–09 calculation</w:t>
      </w:r>
    </w:p>
    <w:p w14:paraId="3B64AF25" w14:textId="77777777" w:rsidR="004E2266" w:rsidRPr="00946905" w:rsidRDefault="7CBC6C8F" w:rsidP="00B234DE">
      <w:pPr>
        <w:pStyle w:val="bullet2ndlevel"/>
        <w:numPr>
          <w:ilvl w:val="1"/>
          <w:numId w:val="1"/>
        </w:numPr>
        <w:spacing w:line="300" w:lineRule="exact"/>
        <w:rPr>
          <w:rFonts w:ascii="Times New Roman" w:hAnsi="Times New Roman"/>
        </w:rPr>
      </w:pPr>
      <w:r w:rsidRPr="00745F16">
        <w:rPr>
          <w:rFonts w:ascii="Times New Roman" w:hAnsi="Times New Roman"/>
        </w:rPr>
        <w:t>2005 and 2008, for 2007–08 calculation</w:t>
      </w:r>
    </w:p>
    <w:p w14:paraId="209FFBE1" w14:textId="1251C61C" w:rsidR="004E2266" w:rsidRPr="00745F16" w:rsidRDefault="13D4DE2C" w:rsidP="00B234DE">
      <w:pPr>
        <w:pStyle w:val="BodyText"/>
        <w:spacing w:line="300" w:lineRule="exact"/>
        <w:ind w:left="0"/>
        <w:rPr>
          <w:rFonts w:ascii="Times New Roman" w:hAnsi="Times New Roman"/>
        </w:rPr>
      </w:pPr>
      <w:r w:rsidRPr="13D4DE2C">
        <w:rPr>
          <w:rFonts w:ascii="Times New Roman" w:hAnsi="Times New Roman"/>
        </w:rPr>
        <w:t xml:space="preserve">For this year’s calculation, only 2021–22 APR data were examined for evidence of postsecondary enrollment. The 2013–14 through 2020–21 calculations similarly used APR and NSLDS data (e.g., the 2014–15 calculation examined 2014–15 APR data and fall 2014 through fall 2015 NSLDS data for evidence of postsecondary enrollment). In the past, multiple years of APR and federal financial aid data were examined for evidence of postsecondary enrollment. For the 2012–13 calculation for expected high school graduation cohort year 2011–12, 2010–11 through 2012–13 APR and federal financial aid data were checked to determine whether the participant enrolled in postsecondary education. Prior to 2012–13, all available years of APR data and federal financial aid data were examined for evidence of postsecondary enrollment.  </w:t>
      </w:r>
    </w:p>
    <w:p w14:paraId="348EAD9F" w14:textId="77777777" w:rsidR="004E2266" w:rsidRPr="00745F16" w:rsidRDefault="7CBC6C8F" w:rsidP="005E07EA">
      <w:pPr>
        <w:pStyle w:val="Heading3"/>
      </w:pPr>
      <w:bookmarkStart w:id="23" w:name="_Toc117512831"/>
      <w:r w:rsidRPr="00745F16">
        <w:t>Enrollment Rate Calculation</w:t>
      </w:r>
      <w:bookmarkEnd w:id="23"/>
    </w:p>
    <w:p w14:paraId="14EC5EBE" w14:textId="78FDAF1C"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Each project’s postsecondary enrollment rate (Table 1) was calculated by dividing the number of participants who graduated from high school in 202</w:t>
      </w:r>
      <w:r w:rsidR="00E6740F">
        <w:rPr>
          <w:rFonts w:ascii="Times New Roman" w:hAnsi="Times New Roman"/>
        </w:rPr>
        <w:t>1</w:t>
      </w:r>
      <w:r w:rsidRPr="00745F16">
        <w:rPr>
          <w:rFonts w:ascii="Times New Roman" w:hAnsi="Times New Roman"/>
        </w:rPr>
        <w:t>–2</w:t>
      </w:r>
      <w:r w:rsidR="00E6740F">
        <w:rPr>
          <w:rFonts w:ascii="Times New Roman" w:hAnsi="Times New Roman"/>
        </w:rPr>
        <w:t>2</w:t>
      </w:r>
      <w:r w:rsidRPr="00745F16">
        <w:rPr>
          <w:rFonts w:ascii="Times New Roman" w:hAnsi="Times New Roman"/>
        </w:rPr>
        <w:t xml:space="preserve"> and had evidence of postsecondary enrollment between September 202</w:t>
      </w:r>
      <w:r w:rsidR="00E6740F">
        <w:rPr>
          <w:rFonts w:ascii="Times New Roman" w:hAnsi="Times New Roman"/>
        </w:rPr>
        <w:t>1</w:t>
      </w:r>
      <w:r w:rsidRPr="00745F16">
        <w:rPr>
          <w:rFonts w:ascii="Times New Roman" w:hAnsi="Times New Roman"/>
        </w:rPr>
        <w:t xml:space="preserve"> and November 202</w:t>
      </w:r>
      <w:r w:rsidR="00E6740F">
        <w:rPr>
          <w:rFonts w:ascii="Times New Roman" w:hAnsi="Times New Roman"/>
        </w:rPr>
        <w:t>2</w:t>
      </w:r>
      <w:r w:rsidRPr="00745F16">
        <w:rPr>
          <w:rFonts w:ascii="Times New Roman" w:hAnsi="Times New Roman"/>
        </w:rPr>
        <w:t xml:space="preserve"> by the number of participants in that high school graduation cohort and multiplying the result by 100.</w:t>
      </w:r>
    </w:p>
    <w:p w14:paraId="4859D6C9" w14:textId="4A4257A3" w:rsidR="00682D65" w:rsidRPr="00745F16" w:rsidRDefault="7CBC6C8F" w:rsidP="005E07EA">
      <w:pPr>
        <w:pStyle w:val="Heading3"/>
      </w:pPr>
      <w:bookmarkStart w:id="24" w:name="_Toc117512832"/>
      <w:r w:rsidRPr="00745F16">
        <w:t>Projects Excluded from Table 1</w:t>
      </w:r>
      <w:bookmarkEnd w:id="24"/>
    </w:p>
    <w:p w14:paraId="3991A9E6" w14:textId="004D6074" w:rsidR="00682D65" w:rsidRPr="00745F16" w:rsidRDefault="42E02DD7" w:rsidP="00B234DE">
      <w:pPr>
        <w:pStyle w:val="BodyText"/>
        <w:spacing w:line="300" w:lineRule="exact"/>
        <w:ind w:left="0"/>
        <w:rPr>
          <w:rFonts w:ascii="Times New Roman" w:hAnsi="Times New Roman"/>
        </w:rPr>
      </w:pPr>
      <w:r w:rsidRPr="42E02DD7">
        <w:rPr>
          <w:rFonts w:ascii="Times New Roman" w:hAnsi="Times New Roman"/>
        </w:rPr>
        <w:t>Ten UB projects and one UBMS project were excluded from the calculation of postsecondary enrollment rate</w:t>
      </w:r>
      <w:r w:rsidR="00B234DE" w:rsidRPr="00B234DE">
        <w:rPr>
          <w:rFonts w:ascii="Times New Roman" w:hAnsi="Times New Roman"/>
        </w:rPr>
        <w:t xml:space="preserve"> </w:t>
      </w:r>
      <w:r w:rsidR="00B234DE">
        <w:rPr>
          <w:rFonts w:ascii="Times New Roman" w:hAnsi="Times New Roman"/>
        </w:rPr>
        <w:t>because they</w:t>
      </w:r>
      <w:r w:rsidR="00B234DE" w:rsidRPr="42E02DD7">
        <w:rPr>
          <w:rFonts w:ascii="Times New Roman" w:hAnsi="Times New Roman"/>
        </w:rPr>
        <w:t xml:space="preserve"> did not submit valid APR data in 2021–22</w:t>
      </w:r>
      <w:r w:rsidRPr="42E02DD7">
        <w:rPr>
          <w:rFonts w:ascii="Times New Roman" w:hAnsi="Times New Roman"/>
        </w:rPr>
        <w:t>.</w:t>
      </w:r>
    </w:p>
    <w:p w14:paraId="4AFB5B31" w14:textId="77777777" w:rsidR="004E2266" w:rsidRPr="00745F16" w:rsidRDefault="004E2266" w:rsidP="7CBC6C8F">
      <w:pPr>
        <w:pStyle w:val="BodyText"/>
        <w:rPr>
          <w:rFonts w:ascii="Times New Roman" w:hAnsi="Times New Roman"/>
        </w:rPr>
        <w:sectPr w:rsidR="004E2266" w:rsidRPr="00745F16" w:rsidSect="007D5CF2">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27E63B2C" w14:textId="77777777" w:rsidR="004E2266" w:rsidRPr="00745F16" w:rsidRDefault="009A5458" w:rsidP="005B4B21">
      <w:pPr>
        <w:pStyle w:val="Heading2"/>
      </w:pPr>
      <w:bookmarkStart w:id="25" w:name="_Appendix_B._Calculation"/>
      <w:bookmarkStart w:id="26" w:name="_Toc117512833"/>
      <w:bookmarkEnd w:id="25"/>
      <w:r w:rsidRPr="00745F16">
        <w:lastRenderedPageBreak/>
        <w:t>Appendix B. Calculation Methodology for Postsecondary Degree Completion Rate (Table 2)</w:t>
      </w:r>
      <w:bookmarkEnd w:id="26"/>
    </w:p>
    <w:p w14:paraId="4678CEB1" w14:textId="77777777" w:rsidR="004E2266" w:rsidRPr="00745F16" w:rsidRDefault="009A5458" w:rsidP="005E07EA">
      <w:pPr>
        <w:pStyle w:val="Heading3"/>
      </w:pPr>
      <w:bookmarkStart w:id="27" w:name="_Toc117512834"/>
      <w:r w:rsidRPr="00745F16">
        <w:t>Postsecondary Education Enrollment Cohort</w:t>
      </w:r>
      <w:bookmarkEnd w:id="27"/>
    </w:p>
    <w:p w14:paraId="239E2FA0" w14:textId="302F0A3B" w:rsidR="004E2266" w:rsidRPr="00745F16" w:rsidRDefault="08DC4C78" w:rsidP="00B234DE">
      <w:pPr>
        <w:pStyle w:val="BodyText"/>
        <w:spacing w:line="300" w:lineRule="exact"/>
        <w:ind w:left="0"/>
        <w:rPr>
          <w:rFonts w:ascii="Times New Roman" w:hAnsi="Times New Roman"/>
        </w:rPr>
      </w:pPr>
      <w:r w:rsidRPr="08DC4C78">
        <w:rPr>
          <w:rFonts w:ascii="Times New Roman" w:hAnsi="Times New Roman"/>
        </w:rPr>
        <w:t xml:space="preserve">The cohort for postsecondary degree completion measure includes participants who were in the 2016 postsecondary education enrollment cohort. The APR includes a postsecondary education enrollment cohort field (APR field #54; </w:t>
      </w:r>
      <w:proofErr w:type="spellStart"/>
      <w:r w:rsidRPr="08DC4C78">
        <w:rPr>
          <w:rFonts w:ascii="Times New Roman" w:hAnsi="Times New Roman"/>
          <w:i/>
          <w:iCs/>
        </w:rPr>
        <w:t>PSECohort</w:t>
      </w:r>
      <w:proofErr w:type="spellEnd"/>
      <w:r w:rsidRPr="08DC4C78">
        <w:rPr>
          <w:rFonts w:ascii="Times New Roman" w:hAnsi="Times New Roman"/>
        </w:rPr>
        <w:t xml:space="preserve">) that provides information on participants’ assigned cohort year. The 2016 postsecondary enrollment cohort includes participants who completed high school during the 2015–16 academic year and enrolled in postsecondary education by the fall term immediately following the year they graduated from high school (by fall 2016) or who received notification from their institution of higher education of acceptance but deferred enrollment until the next academic semester. </w:t>
      </w:r>
    </w:p>
    <w:p w14:paraId="0695C001" w14:textId="77777777" w:rsidR="004E2266" w:rsidRPr="00745F16" w:rsidRDefault="009A5458" w:rsidP="005E07EA">
      <w:pPr>
        <w:pStyle w:val="Heading3"/>
      </w:pPr>
      <w:bookmarkStart w:id="28" w:name="_Toc117512835"/>
      <w:r w:rsidRPr="00745F16">
        <w:t>Evidence of Postsecondary Degree Completion</w:t>
      </w:r>
      <w:bookmarkEnd w:id="28"/>
    </w:p>
    <w:p w14:paraId="39F3A6A7" w14:textId="197382FE" w:rsidR="004E2266" w:rsidRPr="00745F16" w:rsidRDefault="40C91BB4" w:rsidP="00B234DE">
      <w:pPr>
        <w:pStyle w:val="BodyText"/>
        <w:spacing w:line="300" w:lineRule="exact"/>
        <w:ind w:left="0"/>
        <w:rPr>
          <w:rFonts w:ascii="Times New Roman" w:hAnsi="Times New Roman"/>
        </w:rPr>
      </w:pPr>
      <w:r w:rsidRPr="40C91BB4">
        <w:rPr>
          <w:rFonts w:ascii="Times New Roman" w:hAnsi="Times New Roman"/>
        </w:rPr>
        <w:t xml:space="preserve">The APR degree completion fields were examined to determine whether cohort participants had evidence of completing a bachelor’s degree within six years following high school graduation or an associate degree within three years following high school graduation. Specifically, the bachelor’s degree attained (APR field #61; </w:t>
      </w:r>
      <w:proofErr w:type="spellStart"/>
      <w:r w:rsidRPr="40C91BB4">
        <w:rPr>
          <w:rFonts w:ascii="Times New Roman" w:hAnsi="Times New Roman"/>
          <w:i/>
          <w:iCs/>
        </w:rPr>
        <w:t>BachDegreeCD</w:t>
      </w:r>
      <w:proofErr w:type="spellEnd"/>
      <w:r w:rsidRPr="40C91BB4">
        <w:rPr>
          <w:rFonts w:ascii="Times New Roman" w:hAnsi="Times New Roman"/>
        </w:rPr>
        <w:t xml:space="preserve">) and date of bachelor’s degree (APR field #62; </w:t>
      </w:r>
      <w:proofErr w:type="spellStart"/>
      <w:r w:rsidRPr="40C91BB4">
        <w:rPr>
          <w:rFonts w:ascii="Times New Roman" w:hAnsi="Times New Roman"/>
          <w:i/>
          <w:iCs/>
        </w:rPr>
        <w:t>BachDegreeDT</w:t>
      </w:r>
      <w:proofErr w:type="spellEnd"/>
      <w:r w:rsidRPr="40C91BB4">
        <w:rPr>
          <w:rFonts w:ascii="Times New Roman" w:hAnsi="Times New Roman"/>
        </w:rPr>
        <w:t xml:space="preserve">) fields were examined for evidence of bachelor’s degree completion. The associate degree attained (APR field #59; </w:t>
      </w:r>
      <w:proofErr w:type="spellStart"/>
      <w:r w:rsidRPr="005449F5">
        <w:rPr>
          <w:rFonts w:ascii="Times New Roman" w:hAnsi="Times New Roman"/>
          <w:i/>
          <w:iCs/>
        </w:rPr>
        <w:t>Assoc</w:t>
      </w:r>
      <w:r w:rsidRPr="40C91BB4">
        <w:rPr>
          <w:rFonts w:ascii="Times New Roman" w:hAnsi="Times New Roman"/>
          <w:i/>
          <w:iCs/>
        </w:rPr>
        <w:t>DegreeCD</w:t>
      </w:r>
      <w:proofErr w:type="spellEnd"/>
      <w:r w:rsidRPr="40C91BB4">
        <w:rPr>
          <w:rFonts w:ascii="Times New Roman" w:hAnsi="Times New Roman"/>
        </w:rPr>
        <w:t xml:space="preserve">) and date of associate degree (APR field #60; </w:t>
      </w:r>
      <w:proofErr w:type="spellStart"/>
      <w:r w:rsidRPr="40C91BB4">
        <w:rPr>
          <w:rFonts w:ascii="Times New Roman" w:hAnsi="Times New Roman"/>
          <w:i/>
          <w:iCs/>
        </w:rPr>
        <w:t>AssocDegreeDT</w:t>
      </w:r>
      <w:proofErr w:type="spellEnd"/>
      <w:r w:rsidRPr="40C91BB4">
        <w:rPr>
          <w:rFonts w:ascii="Times New Roman" w:hAnsi="Times New Roman"/>
        </w:rPr>
        <w:t xml:space="preserve">) fields were examined for evidence of associate degree completion. For postsecondary bachelor’s degree completion, having both a response of “yes, attained bachelor’s degree” (option 1) in the bachelor’s degree attained field and the date of bachelor’s degree that was prior to September 2022 provided evidence of bachelor’s degree completion within six years. For cohort participants who had not completed a bachelor’s degree within six years, the APR data were examined to determine whether the participants had completed an associate degree within three years. Evidence of completing an associate degree within three years required having both a response of “yes, attained associate degree” (option 1) in the associate degree attained field and a date in the date of associate degree field that was prior to September 2019.  </w:t>
      </w:r>
    </w:p>
    <w:p w14:paraId="534D28A9" w14:textId="77777777" w:rsidR="004E2266" w:rsidRPr="00745F16" w:rsidRDefault="009A5458" w:rsidP="005E07EA">
      <w:pPr>
        <w:pStyle w:val="Heading3"/>
      </w:pPr>
      <w:bookmarkStart w:id="29" w:name="_Toc117512836"/>
      <w:r w:rsidRPr="00745F16">
        <w:t>Postsecondary Degree Completion Rate Calculation</w:t>
      </w:r>
      <w:bookmarkEnd w:id="29"/>
    </w:p>
    <w:p w14:paraId="6F82CA4D" w14:textId="32946D67" w:rsidR="00696A82" w:rsidRDefault="009A5458" w:rsidP="00962F98">
      <w:pPr>
        <w:pStyle w:val="BodyText"/>
        <w:spacing w:line="300" w:lineRule="exact"/>
        <w:ind w:left="0"/>
        <w:rPr>
          <w:rFonts w:ascii="Times New Roman" w:hAnsi="Times New Roman"/>
          <w:color w:val="2F5496" w:themeColor="accent1" w:themeShade="BF"/>
          <w:sz w:val="26"/>
          <w:szCs w:val="26"/>
        </w:rPr>
      </w:pPr>
      <w:r w:rsidRPr="00745F16">
        <w:rPr>
          <w:rFonts w:ascii="Times New Roman" w:hAnsi="Times New Roman"/>
        </w:rPr>
        <w:t>Each project’s postsecondary degree completion rate (Table 2) was calculated by dividing the number of participants who were in the 201</w:t>
      </w:r>
      <w:r w:rsidR="00E6740F">
        <w:rPr>
          <w:rFonts w:ascii="Times New Roman" w:hAnsi="Times New Roman"/>
        </w:rPr>
        <w:t>6</w:t>
      </w:r>
      <w:r w:rsidRPr="00745F16">
        <w:rPr>
          <w:rFonts w:ascii="Times New Roman" w:hAnsi="Times New Roman"/>
        </w:rPr>
        <w:t xml:space="preserve"> postsecondary education enrollment cohort and had evidence of completing either a bachelor’s degree within six years of high school graduation (by August 31, 202</w:t>
      </w:r>
      <w:r w:rsidR="00E6740F">
        <w:rPr>
          <w:rFonts w:ascii="Times New Roman" w:hAnsi="Times New Roman"/>
        </w:rPr>
        <w:t>2</w:t>
      </w:r>
      <w:r w:rsidRPr="00745F16">
        <w:rPr>
          <w:rFonts w:ascii="Times New Roman" w:hAnsi="Times New Roman"/>
        </w:rPr>
        <w:t>) or an associate degree within three years of high school graduation (by August 31, 201</w:t>
      </w:r>
      <w:r w:rsidR="00E6740F">
        <w:rPr>
          <w:rFonts w:ascii="Times New Roman" w:hAnsi="Times New Roman"/>
        </w:rPr>
        <w:t>9</w:t>
      </w:r>
      <w:r w:rsidRPr="00745F16">
        <w:rPr>
          <w:rFonts w:ascii="Times New Roman" w:hAnsi="Times New Roman"/>
        </w:rPr>
        <w:t>) by the number of participants in that postsecondary education enrollment cohort, and multiplying the result by 100.</w:t>
      </w:r>
      <w:bookmarkStart w:id="30" w:name="_Toc117512837"/>
      <w:r w:rsidR="00696A82">
        <w:br w:type="page"/>
      </w:r>
    </w:p>
    <w:p w14:paraId="4E945732" w14:textId="1CE7465B" w:rsidR="006F6986" w:rsidRDefault="009A5458" w:rsidP="005E07EA">
      <w:pPr>
        <w:pStyle w:val="Heading3"/>
      </w:pPr>
      <w:r w:rsidRPr="00745F16">
        <w:lastRenderedPageBreak/>
        <w:t>Projects Excluded from Table 2</w:t>
      </w:r>
      <w:bookmarkEnd w:id="30"/>
    </w:p>
    <w:p w14:paraId="62493835" w14:textId="2DFE262B" w:rsidR="00E525BA" w:rsidRDefault="00B234DE" w:rsidP="00E525BA">
      <w:pPr>
        <w:pStyle w:val="BodyText"/>
        <w:spacing w:line="300" w:lineRule="exact"/>
        <w:ind w:left="0"/>
        <w:rPr>
          <w:rFonts w:ascii="Times New Roman" w:hAnsi="Times New Roman"/>
        </w:rPr>
      </w:pPr>
      <w:r w:rsidRPr="42E02DD7">
        <w:rPr>
          <w:rFonts w:ascii="Times New Roman" w:hAnsi="Times New Roman"/>
        </w:rPr>
        <w:t>Ten UB projects and one UBMS project were excluded from the calculation of postsecondary enrollment rate</w:t>
      </w:r>
      <w:r w:rsidRPr="00B234DE">
        <w:rPr>
          <w:rFonts w:ascii="Times New Roman" w:hAnsi="Times New Roman"/>
        </w:rPr>
        <w:t xml:space="preserve"> </w:t>
      </w:r>
      <w:r>
        <w:rPr>
          <w:rFonts w:ascii="Times New Roman" w:hAnsi="Times New Roman"/>
        </w:rPr>
        <w:t>because they</w:t>
      </w:r>
      <w:r w:rsidRPr="42E02DD7">
        <w:rPr>
          <w:rFonts w:ascii="Times New Roman" w:hAnsi="Times New Roman"/>
        </w:rPr>
        <w:t xml:space="preserve"> did not submit valid APR data in 2021–22.</w:t>
      </w:r>
      <w:r w:rsidR="00E525BA">
        <w:rPr>
          <w:rFonts w:ascii="Times New Roman" w:hAnsi="Times New Roman"/>
        </w:rPr>
        <w:br w:type="page"/>
      </w:r>
    </w:p>
    <w:p w14:paraId="5C4DC779" w14:textId="0A0AFC18" w:rsidR="004E2266" w:rsidRPr="00745F16" w:rsidRDefault="7CBC6C8F" w:rsidP="005B4B21">
      <w:pPr>
        <w:pStyle w:val="Heading2"/>
      </w:pPr>
      <w:bookmarkStart w:id="31" w:name="_Appendix_C._Calculation"/>
      <w:bookmarkStart w:id="32" w:name="_Toc117512838"/>
      <w:bookmarkEnd w:id="31"/>
      <w:r w:rsidRPr="00745F16">
        <w:lastRenderedPageBreak/>
        <w:t>Appendix C. Calculation Methodology for Efficiency Measure (Table 3)</w:t>
      </w:r>
      <w:bookmarkEnd w:id="32"/>
    </w:p>
    <w:p w14:paraId="2EEA4453" w14:textId="2012D1E5" w:rsidR="004E2266" w:rsidRPr="00745F16" w:rsidRDefault="3BC7D1B3" w:rsidP="00B234DE">
      <w:pPr>
        <w:pStyle w:val="BodyText"/>
        <w:spacing w:line="300" w:lineRule="exact"/>
        <w:ind w:left="0"/>
        <w:rPr>
          <w:rFonts w:ascii="Times New Roman" w:hAnsi="Times New Roman"/>
        </w:rPr>
      </w:pPr>
      <w:r w:rsidRPr="3BC7D1B3">
        <w:rPr>
          <w:rFonts w:ascii="Times New Roman" w:hAnsi="Times New Roman"/>
        </w:rPr>
        <w:t xml:space="preserve">The efficiency measure (Table 3) was revised in 2012–13 to consider grade promotion and to be calculated from a single year of data. Between the 2012–13 and 2013–14 reporting years, different APR fields were used to determine whether participants were promoted a grade level. For the 2014–15 reporting year, an additional change occurred in the examined APR data to determine whether participants had enrolled in postsecondary education. </w:t>
      </w:r>
    </w:p>
    <w:p w14:paraId="6C4BF60C" w14:textId="77777777" w:rsidR="004E2266" w:rsidRPr="00745F16" w:rsidRDefault="7CBC6C8F" w:rsidP="005E07EA">
      <w:pPr>
        <w:pStyle w:val="Heading3"/>
      </w:pPr>
      <w:bookmarkStart w:id="33" w:name="_Toc117512839"/>
      <w:r w:rsidRPr="00745F16">
        <w:t>Total Participants</w:t>
      </w:r>
      <w:bookmarkEnd w:id="33"/>
    </w:p>
    <w:p w14:paraId="392B18A8" w14:textId="607154BA"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The cohort of program participants was the number of new, continuing, reentry, and transfer participants served in 202</w:t>
      </w:r>
      <w:r w:rsidR="00CE74FC">
        <w:rPr>
          <w:rFonts w:ascii="Times New Roman" w:hAnsi="Times New Roman"/>
        </w:rPr>
        <w:t>1</w:t>
      </w:r>
      <w:r w:rsidRPr="00745F16">
        <w:rPr>
          <w:rFonts w:ascii="Times New Roman" w:hAnsi="Times New Roman"/>
        </w:rPr>
        <w:t>–2</w:t>
      </w:r>
      <w:r w:rsidR="00CE74FC">
        <w:rPr>
          <w:rFonts w:ascii="Times New Roman" w:hAnsi="Times New Roman"/>
        </w:rPr>
        <w:t>2</w:t>
      </w:r>
      <w:r w:rsidRPr="00745F16">
        <w:rPr>
          <w:rFonts w:ascii="Times New Roman" w:hAnsi="Times New Roman"/>
        </w:rPr>
        <w:t xml:space="preserve"> (APR field #27, </w:t>
      </w:r>
      <w:proofErr w:type="spellStart"/>
      <w:r w:rsidRPr="00745F16">
        <w:rPr>
          <w:rFonts w:ascii="Times New Roman" w:hAnsi="Times New Roman"/>
          <w:i/>
          <w:iCs/>
        </w:rPr>
        <w:t>PartCD</w:t>
      </w:r>
      <w:proofErr w:type="spellEnd"/>
      <w:r w:rsidRPr="00745F16">
        <w:rPr>
          <w:rFonts w:ascii="Times New Roman" w:hAnsi="Times New Roman"/>
        </w:rPr>
        <w:t xml:space="preserve"> = 1, 2, 3, or 6).</w:t>
      </w:r>
    </w:p>
    <w:p w14:paraId="455DA6E5" w14:textId="77777777" w:rsidR="004E2266" w:rsidRPr="00745F16" w:rsidRDefault="7CBC6C8F" w:rsidP="005E07EA">
      <w:pPr>
        <w:pStyle w:val="Heading3"/>
      </w:pPr>
      <w:bookmarkStart w:id="34" w:name="_Toc117512840"/>
      <w:r w:rsidRPr="00745F16">
        <w:t>Persisting Participants</w:t>
      </w:r>
      <w:bookmarkEnd w:id="34"/>
    </w:p>
    <w:p w14:paraId="20F594B3" w14:textId="77777777" w:rsidR="00CE74FC" w:rsidRPr="001931C7" w:rsidRDefault="00CE74FC" w:rsidP="00B234DE">
      <w:pPr>
        <w:pStyle w:val="BodyText"/>
        <w:spacing w:line="300" w:lineRule="exact"/>
        <w:ind w:left="0"/>
        <w:rPr>
          <w:rFonts w:ascii="Times New Roman" w:hAnsi="Times New Roman"/>
        </w:rPr>
      </w:pPr>
      <w:r w:rsidRPr="001931C7">
        <w:rPr>
          <w:rFonts w:ascii="Times New Roman" w:hAnsi="Times New Roman"/>
        </w:rPr>
        <w:t>For the 2021–22 calculation, participants in the cohort were considered to be persisting if they met one of the following criteria:</w:t>
      </w:r>
    </w:p>
    <w:p w14:paraId="085660E9" w14:textId="326081D3" w:rsidR="00CE74FC" w:rsidRPr="001931C7" w:rsidRDefault="663EE5AE" w:rsidP="00B234DE">
      <w:pPr>
        <w:pStyle w:val="bulletround"/>
        <w:spacing w:line="300" w:lineRule="exact"/>
        <w:ind w:left="709"/>
        <w:rPr>
          <w:rFonts w:ascii="Times New Roman" w:hAnsi="Times New Roman"/>
        </w:rPr>
      </w:pPr>
      <w:r w:rsidRPr="663EE5AE">
        <w:rPr>
          <w:rFonts w:ascii="Times New Roman" w:hAnsi="Times New Roman"/>
        </w:rPr>
        <w:t xml:space="preserve">Promoted a grade level between 2021–22 and 2022–23: had information reported in the Grade Level at the Beginning of the Academic Year in Current Reporting Year (APR field #30, </w:t>
      </w:r>
      <w:proofErr w:type="spellStart"/>
      <w:r w:rsidRPr="663EE5AE">
        <w:rPr>
          <w:rFonts w:ascii="Times New Roman" w:hAnsi="Times New Roman"/>
          <w:i/>
          <w:iCs/>
        </w:rPr>
        <w:t>StartGradeLV</w:t>
      </w:r>
      <w:proofErr w:type="spellEnd"/>
      <w:r w:rsidRPr="663EE5AE">
        <w:rPr>
          <w:rFonts w:ascii="Times New Roman" w:hAnsi="Times New Roman"/>
        </w:rPr>
        <w:t xml:space="preserve">) and in the Grade Level or Postsecondary Status at the Beginning of the Following Reporting Year (APR field #31; </w:t>
      </w:r>
      <w:proofErr w:type="spellStart"/>
      <w:r w:rsidRPr="663EE5AE">
        <w:rPr>
          <w:rFonts w:ascii="Times New Roman" w:hAnsi="Times New Roman"/>
          <w:i/>
          <w:iCs/>
        </w:rPr>
        <w:t>EndGradeLV</w:t>
      </w:r>
      <w:proofErr w:type="spellEnd"/>
      <w:r w:rsidRPr="663EE5AE">
        <w:rPr>
          <w:rFonts w:ascii="Times New Roman" w:hAnsi="Times New Roman"/>
        </w:rPr>
        <w:t xml:space="preserve">) that indicated that participant had advanced one or two grade levels, or </w:t>
      </w:r>
    </w:p>
    <w:p w14:paraId="74D081DD" w14:textId="77777777" w:rsidR="00CE74FC" w:rsidRPr="001931C7" w:rsidRDefault="663EE5AE" w:rsidP="00B234DE">
      <w:pPr>
        <w:pStyle w:val="bulletround"/>
        <w:spacing w:line="300" w:lineRule="exact"/>
        <w:ind w:left="709"/>
        <w:rPr>
          <w:rFonts w:ascii="Times New Roman" w:hAnsi="Times New Roman"/>
        </w:rPr>
      </w:pPr>
      <w:r w:rsidRPr="663EE5AE">
        <w:rPr>
          <w:rFonts w:ascii="Times New Roman" w:hAnsi="Times New Roman"/>
        </w:rPr>
        <w:t xml:space="preserve">No longer in high school at the beginning of the 2022–23 academic year and had enrolled in postsecondary education: Date of First Postsecondary School Enrollment (APR Field #53, </w:t>
      </w:r>
      <w:proofErr w:type="spellStart"/>
      <w:r w:rsidRPr="663EE5AE">
        <w:rPr>
          <w:rFonts w:ascii="Times New Roman" w:hAnsi="Times New Roman"/>
          <w:i/>
          <w:iCs/>
        </w:rPr>
        <w:t>FirstEnrollDT</w:t>
      </w:r>
      <w:proofErr w:type="spellEnd"/>
      <w:r w:rsidRPr="663EE5AE">
        <w:rPr>
          <w:rFonts w:ascii="Times New Roman" w:hAnsi="Times New Roman"/>
        </w:rPr>
        <w:t xml:space="preserve">) had a date between September 2021 and November 2022, or a response of 66/66/6666 that indicates that the participant had received notification by the fall term from an institution of higher education of acceptance for deferred enrollment in the next academic term (NSLDS data was not available). </w:t>
      </w:r>
    </w:p>
    <w:p w14:paraId="34D86C12" w14:textId="75E46621"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2020–21 calculation, participants in the cohort were considered to be persisting if they met one of the following criteria:</w:t>
      </w:r>
    </w:p>
    <w:p w14:paraId="6DB6AFF3" w14:textId="26444E26"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2020–21 and 2021–22: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1488ED13" w14:textId="2576C97B" w:rsidR="004E2266"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2021–22 academic year and had enrolled in postsecondary education: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2020 and November 2021; a response of 66/66/6666 that indicates that the participant had received notification by the fall term from an institution of higher education of acceptance for deferred enrollment in the next academic term; or NSLDS data indicated enrollment in any term between fall 2020 and spring 2021. </w:t>
      </w:r>
    </w:p>
    <w:p w14:paraId="1EEF1BCD" w14:textId="63ED808E" w:rsidR="003D6495" w:rsidRPr="00745F16" w:rsidRDefault="7CBC6C8F" w:rsidP="00B234DE">
      <w:pPr>
        <w:pStyle w:val="BodyText"/>
        <w:spacing w:line="300" w:lineRule="exact"/>
        <w:ind w:left="0"/>
        <w:rPr>
          <w:rFonts w:ascii="Times New Roman" w:hAnsi="Times New Roman"/>
        </w:rPr>
      </w:pPr>
      <w:r w:rsidRPr="00745F16">
        <w:rPr>
          <w:rFonts w:ascii="Times New Roman" w:hAnsi="Times New Roman"/>
        </w:rPr>
        <w:lastRenderedPageBreak/>
        <w:t>For the 2019–20 calculation, participants in the cohort were considered to be persisting if they met one of the following criteria:</w:t>
      </w:r>
    </w:p>
    <w:p w14:paraId="560A5D1D" w14:textId="26894FDA" w:rsidR="003D6495"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2019–20 and 2020–21: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66A312F9" w14:textId="591C4252" w:rsidR="003D6495"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2020–21 academic year and had enrolled in postsecondary education: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2019 and November 2020; a response of 66/66/6666 that indicates that the participant had received notification by the fall term from an institution of higher education of acceptance for deferred enrollment in the next academic term; or NSLDS data indicated enrollment in any term between fall 2019 and fall 2020. </w:t>
      </w:r>
    </w:p>
    <w:p w14:paraId="63FBA5AD"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 xml:space="preserve">For the 2018–19 calculation, </w:t>
      </w:r>
      <w:bookmarkStart w:id="35" w:name="_Hlk48547962"/>
      <w:r w:rsidRPr="00745F16">
        <w:rPr>
          <w:rFonts w:ascii="Times New Roman" w:hAnsi="Times New Roman"/>
        </w:rPr>
        <w:t>participants in the cohort were considered to be persisting if they met one of the following criteria:</w:t>
      </w:r>
    </w:p>
    <w:p w14:paraId="480FCB65" w14:textId="1FFAF288"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2018–19 and 2019–20: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20FAAA99" w14:textId="2C2922B0" w:rsidR="004E2266"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2019–20 academic year and had enrolled in postsecondary education: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2018 and November 2019; a response of 66/66/6666 that indicates that the participant had received notification by the fall term from an institution of higher education of acceptance for deferred enrollment in the next academic term; or NSLDS data indicated enrollment in any term between fall 2018 and fall 2019. </w:t>
      </w:r>
    </w:p>
    <w:bookmarkEnd w:id="35"/>
    <w:p w14:paraId="4B6F7F4E"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2017–18 calculation, participants in the cohort were considered to be persisting if they met one of the following criteria:</w:t>
      </w:r>
    </w:p>
    <w:p w14:paraId="0F73B75E"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2017–18 and 2018–19: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654E576E" w14:textId="5FE71DA6" w:rsidR="004E2266"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2018–19 academic year and had enrolled in postsecondary education: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2017 and November 2018; a response of 66/66/6666 that indicates that the participant had received notification by the fall term from an institution of higher education of acceptance for deferred enrollment in the next </w:t>
      </w:r>
      <w:r w:rsidRPr="00745F16">
        <w:rPr>
          <w:rFonts w:ascii="Times New Roman" w:hAnsi="Times New Roman"/>
        </w:rPr>
        <w:lastRenderedPageBreak/>
        <w:t xml:space="preserve">academic term; or NSLDS data indicated enrollment in any term between fall 2017 and fall 2018. </w:t>
      </w:r>
    </w:p>
    <w:p w14:paraId="097CFF57" w14:textId="77777777"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2016–17 calculation, participants in the cohort were considered to be persisting if they met one of the following criteria:</w:t>
      </w:r>
    </w:p>
    <w:p w14:paraId="1B5C610F"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2016–17 and 2017–18: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4204359F" w14:textId="4069599F" w:rsidR="004E2266"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2017–18 academic year and had enrolled in postsecondary education: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2016 and November 2017; a response of 66/66/6666 that indicates that the participant had received notification by the fall term from an institution of higher education of acceptance for deferred enrollment in the next academic term; or NSLDS data indicated enrollment in any term between fall 2016 and fall 2017. </w:t>
      </w:r>
    </w:p>
    <w:p w14:paraId="3689DEF1" w14:textId="3CD30B56"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2015–16 calculation, participants in the cohort were persisting if they met one of the following criteria:</w:t>
      </w:r>
    </w:p>
    <w:p w14:paraId="623A96A5"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2015–16 and 2016–17: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7CB222A3" w14:textId="24A00D51" w:rsidR="004E2266"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2016–17 academic year and had enrolled in postsecondary education: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2015 and November 2016; a response of 66/66/6666 that indicates that the participant had received notification by the fall term from an institution of higher education of acceptance for deferred enrollment in the next academic term; or NSLDS data indicated enrollment in any term between fall 2015 and fall 2016. </w:t>
      </w:r>
    </w:p>
    <w:p w14:paraId="58E7BA3B" w14:textId="09A0D672"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2014–15 calculation, participants in the cohort were persisting if they met one of the following criteria:</w:t>
      </w:r>
    </w:p>
    <w:p w14:paraId="4CE03C61"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2014–15 and 2015–16: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51793200" w14:textId="2B2BAD20"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2015–16 academic year and had enrolled in postsecondary education: Date of First Postsecondary School Enrollment (APR Field </w:t>
      </w:r>
      <w:r w:rsidRPr="00745F16">
        <w:rPr>
          <w:rFonts w:ascii="Times New Roman" w:hAnsi="Times New Roman"/>
        </w:rPr>
        <w:lastRenderedPageBreak/>
        <w:t xml:space="preserve">#53,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September 2014 and November 2015; a response of 66/66/6666 that indicates that the participant had received notification by the fall term from an institution of higher education of acceptance for deferred enrollment in the next academic term; or NSLDS data indicated enrollment in any term between fall 2014 and fall 2015. </w:t>
      </w:r>
    </w:p>
    <w:p w14:paraId="317FFEE5" w14:textId="574FF200"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2013–14 calculation, participants in the cohort were persisting if they met one of the following criteria:</w:t>
      </w:r>
    </w:p>
    <w:p w14:paraId="16626951"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Promoted a grade level between 2013–14 and 2014–15: had information reported in the Grade Level at the Beginning of the Academic Year in Current Reporting Year (APR field #30, </w:t>
      </w:r>
      <w:proofErr w:type="spellStart"/>
      <w:r w:rsidRPr="00CB62B5">
        <w:rPr>
          <w:rFonts w:ascii="Times New Roman" w:hAnsi="Times New Roman"/>
          <w:i/>
          <w:iCs/>
        </w:rPr>
        <w:t>StartGradeLV</w:t>
      </w:r>
      <w:proofErr w:type="spellEnd"/>
      <w:r w:rsidRPr="00745F16">
        <w:rPr>
          <w:rFonts w:ascii="Times New Roman" w:hAnsi="Times New Roman"/>
        </w:rPr>
        <w:t xml:space="preserve">) and in the Grade Level or Postsecondary Status at the Beginning of the Following Reporting Year (APR field #31; </w:t>
      </w:r>
      <w:proofErr w:type="spellStart"/>
      <w:r w:rsidRPr="00CB62B5">
        <w:rPr>
          <w:rFonts w:ascii="Times New Roman" w:hAnsi="Times New Roman"/>
          <w:i/>
          <w:iCs/>
        </w:rPr>
        <w:t>EndGradeLV</w:t>
      </w:r>
      <w:proofErr w:type="spellEnd"/>
      <w:r w:rsidRPr="00745F16">
        <w:rPr>
          <w:rFonts w:ascii="Times New Roman" w:hAnsi="Times New Roman"/>
        </w:rPr>
        <w:t xml:space="preserve">) that indicated that participant had advanced one or two grade levels, or </w:t>
      </w:r>
    </w:p>
    <w:p w14:paraId="586EFEE6" w14:textId="459D702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2014–15 academic year and had enrolled in postsecondary education: Source of Postsecondary Education Information (APR Field #52, </w:t>
      </w:r>
      <w:proofErr w:type="spellStart"/>
      <w:r w:rsidRPr="00CB62B5">
        <w:rPr>
          <w:rFonts w:ascii="Times New Roman" w:hAnsi="Times New Roman"/>
          <w:i/>
          <w:iCs/>
        </w:rPr>
        <w:t>SelfTranCD</w:t>
      </w:r>
      <w:proofErr w:type="spellEnd"/>
      <w:r w:rsidRPr="00745F16">
        <w:rPr>
          <w:rFonts w:ascii="Times New Roman" w:hAnsi="Times New Roman"/>
        </w:rPr>
        <w:t xml:space="preserve">) had a response of 1, 2, 3, or 4; or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xml:space="preserve">) had a date between June 2013 and November 2014; a response of 66/66/6666 that indicates that the participant had received notification by the fall term from an institution of higher education of acceptance for deferred enrollment in the next academic term; or NSLDS data indicated enrollment in any term between summer 2013 and fall 2014.  </w:t>
      </w:r>
    </w:p>
    <w:p w14:paraId="3535996B" w14:textId="07936C02"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For the 2012–13 calculation, participants in the cohort (participants who were served 2012–13) were persisting if they met one of the following criteria:</w:t>
      </w:r>
    </w:p>
    <w:p w14:paraId="644B6BDF" w14:textId="77777777"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Still in high school at the beginning of the 2013–14 academic year (APR field #34, </w:t>
      </w:r>
      <w:proofErr w:type="spellStart"/>
      <w:r w:rsidRPr="00CB62B5">
        <w:rPr>
          <w:rFonts w:ascii="Times New Roman" w:hAnsi="Times New Roman"/>
          <w:i/>
          <w:iCs/>
        </w:rPr>
        <w:t>HsGRAD</w:t>
      </w:r>
      <w:proofErr w:type="spellEnd"/>
      <w:r w:rsidRPr="00745F16">
        <w:rPr>
          <w:rFonts w:ascii="Times New Roman" w:hAnsi="Times New Roman"/>
        </w:rPr>
        <w:t xml:space="preserve"> = 1) and promoted a grade level between 2012–13 and 2013–14 (APR field #34, </w:t>
      </w:r>
      <w:proofErr w:type="spellStart"/>
      <w:r w:rsidRPr="00CB62B5">
        <w:rPr>
          <w:rFonts w:ascii="Times New Roman" w:hAnsi="Times New Roman"/>
          <w:i/>
          <w:iCs/>
        </w:rPr>
        <w:t>SchoolPersistNum</w:t>
      </w:r>
      <w:proofErr w:type="spellEnd"/>
      <w:r w:rsidRPr="00745F16">
        <w:rPr>
          <w:rFonts w:ascii="Times New Roman" w:hAnsi="Times New Roman"/>
        </w:rPr>
        <w:t xml:space="preserve"> = 1), or </w:t>
      </w:r>
    </w:p>
    <w:p w14:paraId="3C762739" w14:textId="43E4659B" w:rsidR="004E2266" w:rsidRPr="00946905" w:rsidRDefault="7CBC6C8F" w:rsidP="00B234DE">
      <w:pPr>
        <w:pStyle w:val="bulletround"/>
        <w:spacing w:line="300" w:lineRule="exact"/>
        <w:rPr>
          <w:rFonts w:ascii="Times New Roman" w:hAnsi="Times New Roman"/>
        </w:rPr>
      </w:pPr>
      <w:r w:rsidRPr="00745F16">
        <w:rPr>
          <w:rFonts w:ascii="Times New Roman" w:hAnsi="Times New Roman"/>
        </w:rPr>
        <w:t xml:space="preserve">No longer in high school at the beginning of the 2013–14 academic year and had enrolled in postsecondary education: Source of Postsecondary Education Information (APR Field #52, </w:t>
      </w:r>
      <w:proofErr w:type="spellStart"/>
      <w:r w:rsidRPr="00CB62B5">
        <w:rPr>
          <w:rFonts w:ascii="Times New Roman" w:hAnsi="Times New Roman"/>
          <w:i/>
          <w:iCs/>
        </w:rPr>
        <w:t>SelfTranCD</w:t>
      </w:r>
      <w:proofErr w:type="spellEnd"/>
      <w:r w:rsidRPr="00745F16">
        <w:rPr>
          <w:rFonts w:ascii="Times New Roman" w:hAnsi="Times New Roman"/>
        </w:rPr>
        <w:t xml:space="preserve">) had a response of 1, 2, 3, or 4; Date of First Postsecondary School Enrollment (APR Field #53, </w:t>
      </w:r>
      <w:proofErr w:type="spellStart"/>
      <w:r w:rsidRPr="00CB62B5">
        <w:rPr>
          <w:rFonts w:ascii="Times New Roman" w:hAnsi="Times New Roman"/>
          <w:i/>
          <w:iCs/>
        </w:rPr>
        <w:t>FirstEnrollDT</w:t>
      </w:r>
      <w:proofErr w:type="spellEnd"/>
      <w:r w:rsidRPr="00745F16">
        <w:rPr>
          <w:rFonts w:ascii="Times New Roman" w:hAnsi="Times New Roman"/>
        </w:rPr>
        <w:t>) had any date between 2012 and 2013; or had a disbursement amount in the 2012–13 federal financial aid data.</w:t>
      </w:r>
    </w:p>
    <w:p w14:paraId="1BCB8E0D" w14:textId="77777777" w:rsidR="004E2266" w:rsidRPr="00745F16" w:rsidRDefault="7CBC6C8F" w:rsidP="005E07EA">
      <w:pPr>
        <w:pStyle w:val="Heading3"/>
      </w:pPr>
      <w:bookmarkStart w:id="36" w:name="_Toc117512841"/>
      <w:r w:rsidRPr="00745F16">
        <w:t>Annual Cost Per Participant</w:t>
      </w:r>
      <w:bookmarkEnd w:id="36"/>
    </w:p>
    <w:p w14:paraId="6B15421E" w14:textId="70649C2D"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Each project’s annual cost per participant was calculated by dividing the 202</w:t>
      </w:r>
      <w:r w:rsidR="00CB62B5">
        <w:rPr>
          <w:rFonts w:ascii="Times New Roman" w:hAnsi="Times New Roman"/>
        </w:rPr>
        <w:t>1</w:t>
      </w:r>
      <w:r w:rsidRPr="00745F16">
        <w:rPr>
          <w:rFonts w:ascii="Times New Roman" w:hAnsi="Times New Roman"/>
        </w:rPr>
        <w:t>–2</w:t>
      </w:r>
      <w:r w:rsidR="00CB62B5">
        <w:rPr>
          <w:rFonts w:ascii="Times New Roman" w:hAnsi="Times New Roman"/>
        </w:rPr>
        <w:t>2</w:t>
      </w:r>
      <w:r w:rsidRPr="00745F16">
        <w:rPr>
          <w:rFonts w:ascii="Times New Roman" w:hAnsi="Times New Roman"/>
        </w:rPr>
        <w:t xml:space="preserve"> funding by the total number of participants served included in Table 3, as defined in the Total Participants section above. </w:t>
      </w:r>
    </w:p>
    <w:p w14:paraId="299657FC" w14:textId="77777777" w:rsidR="004E2266" w:rsidRPr="00745F16" w:rsidRDefault="7CBC6C8F" w:rsidP="005E07EA">
      <w:pPr>
        <w:pStyle w:val="Heading3"/>
      </w:pPr>
      <w:bookmarkStart w:id="37" w:name="_Toc117512842"/>
      <w:r w:rsidRPr="00745F16">
        <w:t>Annual Cost Per Successful Participant</w:t>
      </w:r>
      <w:bookmarkEnd w:id="37"/>
    </w:p>
    <w:p w14:paraId="07BA255C" w14:textId="4D19B150" w:rsidR="004E2266" w:rsidRPr="00745F16" w:rsidRDefault="7CBC6C8F" w:rsidP="00B234DE">
      <w:pPr>
        <w:pStyle w:val="BodyText"/>
        <w:spacing w:line="300" w:lineRule="exact"/>
        <w:ind w:left="0"/>
        <w:rPr>
          <w:rFonts w:ascii="Times New Roman" w:hAnsi="Times New Roman"/>
        </w:rPr>
      </w:pPr>
      <w:r w:rsidRPr="00745F16">
        <w:rPr>
          <w:rFonts w:ascii="Times New Roman" w:hAnsi="Times New Roman"/>
        </w:rPr>
        <w:t>Each project’s annual cost per participant was calculated by dividing the 202</w:t>
      </w:r>
      <w:r w:rsidR="00CB62B5">
        <w:rPr>
          <w:rFonts w:ascii="Times New Roman" w:hAnsi="Times New Roman"/>
        </w:rPr>
        <w:t>1</w:t>
      </w:r>
      <w:r w:rsidRPr="00745F16">
        <w:rPr>
          <w:rFonts w:ascii="Times New Roman" w:hAnsi="Times New Roman"/>
        </w:rPr>
        <w:t>–2</w:t>
      </w:r>
      <w:r w:rsidR="00CB62B5">
        <w:rPr>
          <w:rFonts w:ascii="Times New Roman" w:hAnsi="Times New Roman"/>
        </w:rPr>
        <w:t>2</w:t>
      </w:r>
      <w:r w:rsidRPr="00745F16">
        <w:rPr>
          <w:rFonts w:ascii="Times New Roman" w:hAnsi="Times New Roman"/>
        </w:rPr>
        <w:t xml:space="preserve"> program funding by the total number of persisting participants, as defined in the Persisting Participants section above.</w:t>
      </w:r>
    </w:p>
    <w:p w14:paraId="0B37E07D" w14:textId="77777777" w:rsidR="004E2266" w:rsidRPr="00745F16" w:rsidRDefault="7CBC6C8F" w:rsidP="005E07EA">
      <w:pPr>
        <w:pStyle w:val="Heading3"/>
      </w:pPr>
      <w:bookmarkStart w:id="38" w:name="_Toc117512843"/>
      <w:r w:rsidRPr="00745F16">
        <w:lastRenderedPageBreak/>
        <w:t>Efficiency Measure Calculation</w:t>
      </w:r>
      <w:bookmarkEnd w:id="38"/>
    </w:p>
    <w:p w14:paraId="68FEDB18" w14:textId="163DA1DF" w:rsidR="00696A82" w:rsidRDefault="7CBC6C8F" w:rsidP="00B234DE">
      <w:pPr>
        <w:pStyle w:val="BodyText"/>
        <w:spacing w:line="300" w:lineRule="exact"/>
        <w:ind w:left="0"/>
        <w:rPr>
          <w:rFonts w:ascii="Times New Roman" w:hAnsi="Times New Roman"/>
          <w:color w:val="2F5496" w:themeColor="accent1" w:themeShade="BF"/>
          <w:sz w:val="26"/>
          <w:szCs w:val="26"/>
        </w:rPr>
      </w:pPr>
      <w:r w:rsidRPr="00745F16">
        <w:rPr>
          <w:rFonts w:ascii="Times New Roman" w:hAnsi="Times New Roman"/>
        </w:rPr>
        <w:t>Each project’s efficiency measure was calculated by subtracting the annual cost per participant from the annual cost per successful participant.</w:t>
      </w:r>
      <w:bookmarkStart w:id="39" w:name="_Toc117512844"/>
    </w:p>
    <w:p w14:paraId="36A111CB" w14:textId="4FA80D71" w:rsidR="005A7709" w:rsidRDefault="7CBC6C8F" w:rsidP="005E07EA">
      <w:pPr>
        <w:pStyle w:val="Heading3"/>
      </w:pPr>
      <w:r w:rsidRPr="00745F16">
        <w:t>Projects Excluded from Table 3</w:t>
      </w:r>
      <w:bookmarkEnd w:id="39"/>
    </w:p>
    <w:p w14:paraId="4E567CF2" w14:textId="66117A9C" w:rsidR="004E2266" w:rsidRPr="00745F16" w:rsidRDefault="7CBC6C8F" w:rsidP="00B234DE">
      <w:pPr>
        <w:spacing w:before="120" w:after="120" w:line="300" w:lineRule="exact"/>
        <w:rPr>
          <w:rFonts w:ascii="Times New Roman" w:eastAsia="Times New Roman" w:hAnsi="Times New Roman" w:cs="Times New Roman"/>
          <w:sz w:val="24"/>
          <w:szCs w:val="24"/>
          <w:lang w:eastAsia="en-US"/>
        </w:rPr>
      </w:pPr>
      <w:r w:rsidRPr="00745F16">
        <w:rPr>
          <w:rFonts w:ascii="Times New Roman" w:eastAsia="Times New Roman" w:hAnsi="Times New Roman" w:cs="Times New Roman"/>
          <w:sz w:val="24"/>
          <w:szCs w:val="24"/>
          <w:lang w:eastAsia="en-US"/>
        </w:rPr>
        <w:t>Projects that did not submit APR data in 202</w:t>
      </w:r>
      <w:r w:rsidR="0017635F">
        <w:rPr>
          <w:rFonts w:ascii="Times New Roman" w:eastAsia="Times New Roman" w:hAnsi="Times New Roman" w:cs="Times New Roman"/>
          <w:sz w:val="24"/>
          <w:szCs w:val="24"/>
          <w:lang w:eastAsia="en-US"/>
        </w:rPr>
        <w:t>1</w:t>
      </w:r>
      <w:r w:rsidRPr="00745F16">
        <w:rPr>
          <w:rFonts w:ascii="Times New Roman" w:eastAsia="Times New Roman" w:hAnsi="Times New Roman" w:cs="Times New Roman"/>
          <w:sz w:val="24"/>
          <w:szCs w:val="24"/>
          <w:lang w:eastAsia="en-US"/>
        </w:rPr>
        <w:t>–2</w:t>
      </w:r>
      <w:r w:rsidR="0017635F">
        <w:rPr>
          <w:rFonts w:ascii="Times New Roman" w:eastAsia="Times New Roman" w:hAnsi="Times New Roman" w:cs="Times New Roman"/>
          <w:sz w:val="24"/>
          <w:szCs w:val="24"/>
          <w:lang w:eastAsia="en-US"/>
        </w:rPr>
        <w:t>2</w:t>
      </w:r>
      <w:r w:rsidRPr="00745F16">
        <w:rPr>
          <w:rFonts w:ascii="Times New Roman" w:eastAsia="Times New Roman" w:hAnsi="Times New Roman" w:cs="Times New Roman"/>
          <w:sz w:val="24"/>
          <w:szCs w:val="24"/>
          <w:lang w:eastAsia="en-US"/>
        </w:rPr>
        <w:t xml:space="preserve"> or had a high percentage (15 percent or more) of participants who had invalid responses in one or more of the APR fields used to calculate whether participants had a successful outcome (promoted to the next grade level or had enrolled in postsecondary education) are excluded from the efficiency measure calculation. </w:t>
      </w:r>
      <w:r w:rsidR="0017635F" w:rsidRPr="00283BB8">
        <w:rPr>
          <w:rFonts w:ascii="Times New Roman" w:eastAsia="Times New Roman" w:hAnsi="Times New Roman" w:cs="Times New Roman"/>
          <w:sz w:val="24"/>
          <w:szCs w:val="24"/>
          <w:lang w:eastAsia="en-US"/>
        </w:rPr>
        <w:t xml:space="preserve">Ten UB projects and one UBMS project did not submit APR data and were excluded. Two UB projects and one UBMS project did not serve any participants and were excluded. Seven UB projects and one UBMS project </w:t>
      </w:r>
      <w:r w:rsidRPr="00745F16">
        <w:rPr>
          <w:rFonts w:ascii="Times New Roman" w:eastAsia="Times New Roman" w:hAnsi="Times New Roman" w:cs="Times New Roman"/>
          <w:sz w:val="24"/>
          <w:szCs w:val="24"/>
          <w:lang w:eastAsia="en-US"/>
        </w:rPr>
        <w:t>were excluded from the efficiency calculations due to a high percentage of participants who had unknown or other responses in grade level at the beginning of the following reporting year (</w:t>
      </w:r>
      <w:proofErr w:type="spellStart"/>
      <w:r w:rsidRPr="00283BB8">
        <w:rPr>
          <w:rFonts w:ascii="Times New Roman" w:eastAsia="Times New Roman" w:hAnsi="Times New Roman" w:cs="Times New Roman"/>
          <w:i/>
          <w:iCs/>
          <w:sz w:val="24"/>
          <w:szCs w:val="24"/>
          <w:lang w:eastAsia="en-US"/>
        </w:rPr>
        <w:t>EndGradeLV</w:t>
      </w:r>
      <w:proofErr w:type="spellEnd"/>
      <w:r w:rsidRPr="00745F16">
        <w:rPr>
          <w:rFonts w:ascii="Times New Roman" w:eastAsia="Times New Roman" w:hAnsi="Times New Roman" w:cs="Times New Roman"/>
          <w:sz w:val="24"/>
          <w:szCs w:val="24"/>
          <w:lang w:eastAsia="en-US"/>
        </w:rPr>
        <w:t xml:space="preserve">). The excluded projects are included as a stand-alone reference in Table </w:t>
      </w:r>
      <w:r w:rsidR="00E57C52">
        <w:rPr>
          <w:rFonts w:ascii="Times New Roman" w:eastAsia="Times New Roman" w:hAnsi="Times New Roman" w:cs="Times New Roman"/>
          <w:sz w:val="24"/>
          <w:szCs w:val="24"/>
          <w:lang w:eastAsia="en-US"/>
        </w:rPr>
        <w:t>5</w:t>
      </w:r>
      <w:r w:rsidRPr="00745F16">
        <w:rPr>
          <w:rFonts w:ascii="Times New Roman" w:eastAsia="Times New Roman" w:hAnsi="Times New Roman" w:cs="Times New Roman"/>
          <w:sz w:val="24"/>
          <w:szCs w:val="24"/>
          <w:lang w:eastAsia="en-US"/>
        </w:rPr>
        <w:t>.</w:t>
      </w:r>
    </w:p>
    <w:p w14:paraId="67043A29" w14:textId="4739AA8A" w:rsidR="004E2266" w:rsidRPr="00745F16" w:rsidRDefault="45DB2DF4" w:rsidP="00B234DE">
      <w:pPr>
        <w:pStyle w:val="BodyText"/>
        <w:spacing w:line="300" w:lineRule="exact"/>
        <w:ind w:left="0"/>
        <w:rPr>
          <w:rFonts w:ascii="Times New Roman" w:hAnsi="Times New Roman"/>
        </w:rPr>
      </w:pPr>
      <w:r w:rsidRPr="45DB2DF4">
        <w:rPr>
          <w:rFonts w:ascii="Times New Roman" w:hAnsi="Times New Roman"/>
        </w:rPr>
        <w:t>To determine whether a project met the threshold for exclusion of 15 percent or more of participants who had invalid responses, all participants served in the 2021–22 reporting year were included in the denominator. Of those, all participant records having invalid data in fields critical to calculating whether participants were promoted a grade level or had enrolled in postsecondary education were identified. A participant record was deemed to have invalid data if it met one or more of the following criteria:</w:t>
      </w:r>
    </w:p>
    <w:p w14:paraId="28382677" w14:textId="0D0B08D3" w:rsidR="004E2266" w:rsidRPr="008A0E2F" w:rsidRDefault="000C4868" w:rsidP="00B234DE">
      <w:pPr>
        <w:pStyle w:val="BodyText"/>
        <w:numPr>
          <w:ilvl w:val="0"/>
          <w:numId w:val="5"/>
        </w:numPr>
        <w:spacing w:line="300" w:lineRule="exact"/>
        <w:ind w:left="720"/>
        <w:rPr>
          <w:rFonts w:ascii="Times New Roman" w:hAnsi="Times New Roman"/>
        </w:rPr>
      </w:pPr>
      <w:r>
        <w:rPr>
          <w:rFonts w:ascii="Times New Roman" w:hAnsi="Times New Roman"/>
        </w:rPr>
        <w:t>F</w:t>
      </w:r>
      <w:r w:rsidRPr="007F704D">
        <w:rPr>
          <w:rFonts w:ascii="Times New Roman" w:hAnsi="Times New Roman"/>
        </w:rPr>
        <w:t xml:space="preserve">or </w:t>
      </w:r>
      <w:r w:rsidR="00A34EA3" w:rsidRPr="007F704D">
        <w:rPr>
          <w:rFonts w:ascii="Times New Roman" w:hAnsi="Times New Roman"/>
        </w:rPr>
        <w:t>participants who had</w:t>
      </w:r>
      <w:r w:rsidR="00A34EA3" w:rsidRPr="00A34EA3">
        <w:rPr>
          <w:rFonts w:ascii="Times New Roman" w:hAnsi="Times New Roman"/>
        </w:rPr>
        <w:t xml:space="preserve"> </w:t>
      </w:r>
      <w:r w:rsidR="7CBC6C8F" w:rsidRPr="00745F16">
        <w:rPr>
          <w:rFonts w:ascii="Times New Roman" w:hAnsi="Times New Roman"/>
        </w:rPr>
        <w:t>unknown response in the grade level at the beginning of the current reporting year (</w:t>
      </w:r>
      <w:proofErr w:type="spellStart"/>
      <w:r w:rsidR="7CBC6C8F" w:rsidRPr="00283BB8">
        <w:rPr>
          <w:rFonts w:ascii="Times New Roman" w:hAnsi="Times New Roman"/>
          <w:i/>
          <w:iCs/>
        </w:rPr>
        <w:t>StartGradeLV</w:t>
      </w:r>
      <w:proofErr w:type="spellEnd"/>
      <w:r w:rsidR="7CBC6C8F" w:rsidRPr="00745F16">
        <w:rPr>
          <w:rFonts w:ascii="Times New Roman" w:hAnsi="Times New Roman"/>
        </w:rPr>
        <w:t xml:space="preserve"> = 0) and no evidence of postsecondary </w:t>
      </w:r>
      <w:proofErr w:type="gramStart"/>
      <w:r w:rsidR="7CBC6C8F" w:rsidRPr="00745F16">
        <w:rPr>
          <w:rFonts w:ascii="Times New Roman" w:hAnsi="Times New Roman"/>
        </w:rPr>
        <w:t>enrollment;</w:t>
      </w:r>
      <w:proofErr w:type="gramEnd"/>
    </w:p>
    <w:p w14:paraId="0D286878" w14:textId="7B5E36D4" w:rsidR="004E2266" w:rsidRDefault="000C4868" w:rsidP="00B234DE">
      <w:pPr>
        <w:pStyle w:val="BodyText"/>
        <w:numPr>
          <w:ilvl w:val="0"/>
          <w:numId w:val="5"/>
        </w:numPr>
        <w:spacing w:line="300" w:lineRule="exact"/>
        <w:ind w:left="720"/>
        <w:rPr>
          <w:rFonts w:ascii="Times New Roman" w:hAnsi="Times New Roman"/>
        </w:rPr>
      </w:pPr>
      <w:r>
        <w:rPr>
          <w:rFonts w:ascii="Times New Roman" w:hAnsi="Times New Roman"/>
        </w:rPr>
        <w:t>F</w:t>
      </w:r>
      <w:r w:rsidRPr="00745F16">
        <w:rPr>
          <w:rFonts w:ascii="Times New Roman" w:hAnsi="Times New Roman"/>
        </w:rPr>
        <w:t xml:space="preserve">or </w:t>
      </w:r>
      <w:r w:rsidR="7CBC6C8F" w:rsidRPr="00745F16">
        <w:rPr>
          <w:rFonts w:ascii="Times New Roman" w:hAnsi="Times New Roman"/>
        </w:rPr>
        <w:t xml:space="preserve">participants who were in grade levels 8 through 12 at the beginning of the current reporting year; unknown or other response in the grade level </w:t>
      </w:r>
      <w:bookmarkStart w:id="40" w:name="_Hlk76562983"/>
      <w:r w:rsidR="7CBC6C8F" w:rsidRPr="00745F16">
        <w:rPr>
          <w:rFonts w:ascii="Times New Roman" w:hAnsi="Times New Roman"/>
        </w:rPr>
        <w:t>at the beginning of the following reporting year</w:t>
      </w:r>
      <w:bookmarkEnd w:id="40"/>
      <w:r w:rsidR="7CBC6C8F" w:rsidRPr="00745F16">
        <w:rPr>
          <w:rFonts w:ascii="Times New Roman" w:hAnsi="Times New Roman"/>
        </w:rPr>
        <w:t xml:space="preserve"> (</w:t>
      </w:r>
      <w:proofErr w:type="spellStart"/>
      <w:r w:rsidR="7CBC6C8F" w:rsidRPr="00283BB8">
        <w:rPr>
          <w:rFonts w:ascii="Times New Roman" w:hAnsi="Times New Roman"/>
          <w:i/>
          <w:iCs/>
        </w:rPr>
        <w:t>EndGradeLV</w:t>
      </w:r>
      <w:proofErr w:type="spellEnd"/>
      <w:r w:rsidR="7CBC6C8F" w:rsidRPr="00745F16">
        <w:rPr>
          <w:rFonts w:ascii="Times New Roman" w:hAnsi="Times New Roman"/>
        </w:rPr>
        <w:t xml:space="preserve"> = 0 or 14); and no evidence of postsecondary enrollment; or  </w:t>
      </w:r>
    </w:p>
    <w:p w14:paraId="290C0FD0" w14:textId="162472DB" w:rsidR="00185003" w:rsidRPr="00185003" w:rsidRDefault="000C4868" w:rsidP="00185003">
      <w:pPr>
        <w:pStyle w:val="BodyText"/>
        <w:numPr>
          <w:ilvl w:val="0"/>
          <w:numId w:val="5"/>
        </w:numPr>
        <w:spacing w:line="300" w:lineRule="exact"/>
        <w:ind w:left="709"/>
        <w:rPr>
          <w:rFonts w:ascii="Times New Roman" w:hAnsi="Times New Roman"/>
        </w:rPr>
      </w:pPr>
      <w:r>
        <w:rPr>
          <w:rFonts w:ascii="Times New Roman" w:hAnsi="Times New Roman"/>
        </w:rPr>
        <w:t>F</w:t>
      </w:r>
      <w:r w:rsidRPr="00A44747">
        <w:rPr>
          <w:rFonts w:ascii="Times New Roman" w:hAnsi="Times New Roman"/>
        </w:rPr>
        <w:t xml:space="preserve">or </w:t>
      </w:r>
      <w:r w:rsidR="004E2266" w:rsidRPr="00A44747">
        <w:rPr>
          <w:rFonts w:ascii="Times New Roman" w:hAnsi="Times New Roman"/>
        </w:rPr>
        <w:t>participants who had a response of 11–15, 99, or 0</w:t>
      </w:r>
      <w:r w:rsidR="004E2266" w:rsidRPr="00745F16">
        <w:rPr>
          <w:rStyle w:val="FootnoteReference"/>
          <w:rFonts w:ascii="Times New Roman" w:hAnsi="Times New Roman"/>
        </w:rPr>
        <w:footnoteReference w:id="3"/>
      </w:r>
      <w:r w:rsidR="004E2266" w:rsidRPr="00A44747">
        <w:rPr>
          <w:rFonts w:ascii="Times New Roman" w:hAnsi="Times New Roman"/>
        </w:rPr>
        <w:t xml:space="preserve"> in the grade level at the beginning of the current reporting year (</w:t>
      </w:r>
      <w:proofErr w:type="spellStart"/>
      <w:r w:rsidR="004E2266" w:rsidRPr="70DC2FCD">
        <w:rPr>
          <w:rFonts w:ascii="Times New Roman" w:hAnsi="Times New Roman"/>
          <w:i/>
          <w:iCs/>
        </w:rPr>
        <w:t>StartGradeLV</w:t>
      </w:r>
      <w:proofErr w:type="spellEnd"/>
      <w:r w:rsidR="004E2266" w:rsidRPr="00A44747">
        <w:rPr>
          <w:rFonts w:ascii="Times New Roman" w:hAnsi="Times New Roman"/>
        </w:rPr>
        <w:t>) field</w:t>
      </w:r>
      <w:r w:rsidR="7CBC6C8F" w:rsidRPr="00A44747">
        <w:rPr>
          <w:rFonts w:ascii="Times New Roman" w:hAnsi="Times New Roman"/>
        </w:rPr>
        <w:t>;</w:t>
      </w:r>
      <w:r w:rsidR="004E2266" w:rsidRPr="00A44747">
        <w:rPr>
          <w:rFonts w:ascii="Times New Roman" w:hAnsi="Times New Roman"/>
        </w:rPr>
        <w:t xml:space="preserve"> </w:t>
      </w:r>
      <w:r w:rsidR="00A44747" w:rsidRPr="00A44747">
        <w:rPr>
          <w:rFonts w:ascii="Times New Roman" w:hAnsi="Times New Roman"/>
        </w:rPr>
        <w:t>unknown response in the date of first postsecondary enrollment field in the APR data (NSLDS data was not available this year); and no evidence of grade level promotion.</w:t>
      </w:r>
    </w:p>
    <w:sectPr w:rsidR="00185003" w:rsidRPr="00185003" w:rsidSect="006525A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2F88" w14:textId="77777777" w:rsidR="00840997" w:rsidRDefault="00840997" w:rsidP="00964F35">
      <w:pPr>
        <w:spacing w:after="0" w:line="240" w:lineRule="auto"/>
      </w:pPr>
      <w:r>
        <w:separator/>
      </w:r>
    </w:p>
  </w:endnote>
  <w:endnote w:type="continuationSeparator" w:id="0">
    <w:p w14:paraId="5313C623" w14:textId="77777777" w:rsidR="00840997" w:rsidRDefault="00840997"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F4CB" w14:textId="017BE9AC" w:rsidR="008D3B4D" w:rsidRDefault="008D3B4D" w:rsidP="008D3B4D">
    <w:pPr>
      <w:pStyle w:val="Footer"/>
      <w:framePr w:wrap="none" w:vAnchor="text" w:hAnchor="margin" w:xAlign="right" w:y="1"/>
      <w:ind w:right="360"/>
      <w:rPr>
        <w:rStyle w:val="PageNumber"/>
      </w:rPr>
    </w:pPr>
  </w:p>
  <w:p w14:paraId="4E86CB01" w14:textId="43130222" w:rsidR="008D3B4D" w:rsidRDefault="00C34BC0" w:rsidP="008D3B4D">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81016"/>
      <w:docPartObj>
        <w:docPartGallery w:val="Page Numbers (Bottom of Page)"/>
        <w:docPartUnique/>
      </w:docPartObj>
    </w:sdtPr>
    <w:sdtEndPr>
      <w:rPr>
        <w:noProof/>
      </w:rPr>
    </w:sdtEndPr>
    <w:sdtContent>
      <w:p w14:paraId="51FC1837" w14:textId="62BF77D1" w:rsidR="008F4675" w:rsidRDefault="008F46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6CECD1" w14:textId="15254606" w:rsidR="008F4675" w:rsidRDefault="008F4675" w:rsidP="008D3B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A820" w14:textId="7454EF11" w:rsidR="000461FD" w:rsidRDefault="000461FD">
    <w:pPr>
      <w:pStyle w:val="Footer"/>
      <w:jc w:val="right"/>
    </w:pPr>
    <w:r>
      <w:fldChar w:fldCharType="begin"/>
    </w:r>
    <w:r>
      <w:instrText xml:space="preserve"> PAGE   \* MERGEFORMAT </w:instrText>
    </w:r>
    <w:r>
      <w:fldChar w:fldCharType="separate"/>
    </w:r>
    <w:r>
      <w:rPr>
        <w:noProof/>
      </w:rPr>
      <w:t>2</w:t>
    </w:r>
    <w:r>
      <w:rPr>
        <w:noProof/>
      </w:rPr>
      <w:fldChar w:fldCharType="end"/>
    </w:r>
  </w:p>
  <w:p w14:paraId="758C3BA1" w14:textId="77777777" w:rsidR="000461FD" w:rsidRDefault="000461FD" w:rsidP="008D3B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0FA" w14:textId="77777777" w:rsidR="00125B90" w:rsidRDefault="00125B90" w:rsidP="004652D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59574"/>
      <w:docPartObj>
        <w:docPartGallery w:val="Page Numbers (Bottom of Page)"/>
        <w:docPartUnique/>
      </w:docPartObj>
    </w:sdtPr>
    <w:sdtEndPr>
      <w:rPr>
        <w:noProof/>
      </w:rPr>
    </w:sdtEndPr>
    <w:sdtContent>
      <w:p w14:paraId="0D16C4F6" w14:textId="46049F1E" w:rsidR="006525A0" w:rsidRDefault="006525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0683C" w14:textId="463B87A9" w:rsidR="004D01A8" w:rsidRDefault="004D01A8" w:rsidP="008D3B4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D9A" w14:textId="77777777" w:rsidR="000461FD" w:rsidRDefault="000461FD">
    <w:pPr>
      <w:pStyle w:val="Footer"/>
      <w:jc w:val="right"/>
    </w:pPr>
    <w:r>
      <w:fldChar w:fldCharType="begin"/>
    </w:r>
    <w:r>
      <w:instrText xml:space="preserve"> PAGE   \* MERGEFORMAT </w:instrText>
    </w:r>
    <w:r>
      <w:fldChar w:fldCharType="separate"/>
    </w:r>
    <w:r>
      <w:rPr>
        <w:noProof/>
      </w:rPr>
      <w:t>2</w:t>
    </w:r>
    <w:r>
      <w:rPr>
        <w:noProof/>
      </w:rPr>
      <w:fldChar w:fldCharType="end"/>
    </w:r>
  </w:p>
  <w:p w14:paraId="4C5076B7" w14:textId="77777777" w:rsidR="000461FD" w:rsidRDefault="000461FD"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F275" w14:textId="77777777" w:rsidR="00840997" w:rsidRDefault="00840997" w:rsidP="00964F35">
      <w:pPr>
        <w:spacing w:after="0" w:line="240" w:lineRule="auto"/>
      </w:pPr>
      <w:r>
        <w:separator/>
      </w:r>
    </w:p>
  </w:footnote>
  <w:footnote w:type="continuationSeparator" w:id="0">
    <w:p w14:paraId="1B636280" w14:textId="77777777" w:rsidR="00840997" w:rsidRDefault="00840997" w:rsidP="00964F35">
      <w:pPr>
        <w:spacing w:after="0" w:line="240" w:lineRule="auto"/>
      </w:pPr>
      <w:r>
        <w:continuationSeparator/>
      </w:r>
    </w:p>
  </w:footnote>
  <w:footnote w:id="1">
    <w:p w14:paraId="15A94982" w14:textId="6A9D8002" w:rsidR="002A11BB" w:rsidRPr="0050677A" w:rsidRDefault="002A11BB" w:rsidP="002A11BB">
      <w:pPr>
        <w:pStyle w:val="FootnoteText"/>
        <w:rPr>
          <w:rFonts w:ascii="Times New Roman" w:eastAsia="Times New Roman" w:hAnsi="Times New Roman" w:cs="Times New Roman"/>
        </w:rPr>
      </w:pPr>
      <w:bookmarkStart w:id="5" w:name="_Hlk121762009"/>
      <w:r w:rsidRPr="0050677A">
        <w:rPr>
          <w:rStyle w:val="FootnoteReference"/>
          <w:rFonts w:ascii="Times New Roman" w:eastAsia="Times New Roman" w:hAnsi="Times New Roman" w:cs="Times New Roman"/>
        </w:rPr>
        <w:footnoteRef/>
      </w:r>
      <w:r w:rsidRPr="0050677A">
        <w:rPr>
          <w:rFonts w:ascii="Times New Roman" w:eastAsia="Times New Roman" w:hAnsi="Times New Roman" w:cs="Times New Roman"/>
        </w:rPr>
        <w:t xml:space="preserve"> The NSLDS data is </w:t>
      </w:r>
      <w:r w:rsidRPr="00BF1137">
        <w:rPr>
          <w:rFonts w:ascii="Times New Roman" w:eastAsia="Times New Roman" w:hAnsi="Times New Roman" w:cs="Times New Roman"/>
        </w:rPr>
        <w:t>unavailable</w:t>
      </w:r>
      <w:r w:rsidRPr="0050677A">
        <w:rPr>
          <w:rFonts w:ascii="Times New Roman" w:eastAsia="Times New Roman" w:hAnsi="Times New Roman" w:cs="Times New Roman"/>
        </w:rPr>
        <w:t xml:space="preserve"> starting from </w:t>
      </w:r>
      <w:r w:rsidR="00323EDE">
        <w:rPr>
          <w:rFonts w:ascii="Times New Roman" w:eastAsia="Times New Roman" w:hAnsi="Times New Roman" w:cs="Times New Roman"/>
        </w:rPr>
        <w:t xml:space="preserve">the </w:t>
      </w:r>
      <w:r w:rsidRPr="0050677A">
        <w:rPr>
          <w:rFonts w:ascii="Times New Roman" w:eastAsia="Times New Roman" w:hAnsi="Times New Roman" w:cs="Times New Roman"/>
        </w:rPr>
        <w:t xml:space="preserve">2021–22 high school graduate cohort.  </w:t>
      </w:r>
      <w:bookmarkEnd w:id="5"/>
    </w:p>
  </w:footnote>
  <w:footnote w:id="2">
    <w:p w14:paraId="239875E2" w14:textId="61A0DE7D" w:rsidR="004E2266" w:rsidRPr="006E149A" w:rsidRDefault="004E2266" w:rsidP="004E2266">
      <w:pPr>
        <w:pStyle w:val="FootnoteText"/>
        <w:rPr>
          <w:rFonts w:ascii="Times New Roman" w:hAnsi="Times New Roman" w:cs="Times New Roman"/>
        </w:rPr>
      </w:pPr>
      <w:r>
        <w:rPr>
          <w:rStyle w:val="FootnoteReference"/>
        </w:rPr>
        <w:footnoteRef/>
      </w:r>
      <w:r>
        <w:t xml:space="preserve"> </w:t>
      </w:r>
      <w:r w:rsidRPr="006E149A">
        <w:rPr>
          <w:rFonts w:ascii="Times New Roman" w:hAnsi="Times New Roman" w:cs="Times New Roman"/>
        </w:rPr>
        <w:t>Beginning in 2012–13, the cohort for the efficiency measure consisted of participants served in the current funding year. “Persisting” was defined as promotion to the next grade level in high school or enrolling in postsecondary education. In prior years, the efficiency measure cohort included participants who were served in the prior funding year; “persisting” was defined as staying in the UB/UBMS program or persisting in school.</w:t>
      </w:r>
    </w:p>
  </w:footnote>
  <w:footnote w:id="3">
    <w:p w14:paraId="1C899532" w14:textId="77777777" w:rsidR="004E2266" w:rsidRDefault="004E2266" w:rsidP="004E2266">
      <w:pPr>
        <w:pStyle w:val="FootnoteText"/>
      </w:pPr>
      <w:r w:rsidRPr="0052072E">
        <w:rPr>
          <w:rStyle w:val="FootnoteReference"/>
        </w:rPr>
        <w:footnoteRef/>
      </w:r>
      <w:r w:rsidRPr="0052072E">
        <w:t xml:space="preserve"> </w:t>
      </w:r>
      <w:r w:rsidRPr="00283BB8">
        <w:rPr>
          <w:rFonts w:ascii="Times New Roman" w:hAnsi="Times New Roman" w:cs="Times New Roman"/>
        </w:rPr>
        <w:t>For the grade level at the beginning of the current reporting year (</w:t>
      </w:r>
      <w:proofErr w:type="spellStart"/>
      <w:r w:rsidRPr="0075602B">
        <w:rPr>
          <w:rFonts w:ascii="Times New Roman" w:hAnsi="Times New Roman" w:cs="Times New Roman"/>
          <w:i/>
          <w:iCs/>
        </w:rPr>
        <w:t>StartGradeLV</w:t>
      </w:r>
      <w:proofErr w:type="spellEnd"/>
      <w:r w:rsidRPr="00283BB8">
        <w:rPr>
          <w:rFonts w:ascii="Times New Roman" w:hAnsi="Times New Roman" w:cs="Times New Roman"/>
        </w:rPr>
        <w:t>) field, a response of 11 indicates 11th grade; a response of 12 indicates 12th grade; a response of 13 indicates enrolled in or completed postsecondary education; a response of 14 indicates 5th year of high school; a response of 15 indicates “other”; a response of 99 indicates not applicable, enrolled neither in high school nor postsecondary; and a response of 0 indicates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CADF" w14:textId="05316C69" w:rsidR="00313E48" w:rsidRDefault="00313E48">
    <w:pPr>
      <w:pStyle w:val="Header"/>
    </w:pPr>
    <w:r w:rsidRPr="00FC19C1">
      <w:rPr>
        <w:noProof/>
      </w:rPr>
      <w:drawing>
        <wp:anchor distT="0" distB="0" distL="114300" distR="114300" simplePos="0" relativeHeight="251659264" behindDoc="1" locked="0" layoutInCell="1" allowOverlap="1" wp14:anchorId="5418AFBE" wp14:editId="42F0C7DF">
          <wp:simplePos x="0" y="0"/>
          <wp:positionH relativeFrom="margin">
            <wp:posOffset>-374650</wp:posOffset>
          </wp:positionH>
          <wp:positionV relativeFrom="margin">
            <wp:posOffset>905510</wp:posOffset>
          </wp:positionV>
          <wp:extent cx="6638544" cy="6428232"/>
          <wp:effectExtent l="38100" t="0" r="29210" b="298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6638544" cy="6428232"/>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4DEB" w14:textId="49AA7471" w:rsidR="004E2266" w:rsidRPr="00C605B4" w:rsidRDefault="004E2266" w:rsidP="00C60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36B6" w14:textId="3EB338B2" w:rsidR="7BDB12C4" w:rsidRDefault="7BDB12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A7E" w14:textId="205649F4" w:rsidR="00125B90" w:rsidRPr="00EB7BEF" w:rsidRDefault="00714495" w:rsidP="007B4A62">
    <w:pPr>
      <w:pStyle w:val="Header"/>
      <w:rPr>
        <w:rFonts w:ascii="Arial" w:hAnsi="Arial" w:cs="Arial"/>
        <w:color w:val="0A357E"/>
        <w:sz w:val="18"/>
        <w:szCs w:val="18"/>
      </w:rPr>
    </w:pPr>
    <w:r w:rsidRPr="00EB7BEF">
      <w:rPr>
        <w:rFonts w:ascii="Arial" w:hAnsi="Arial" w:cs="Arial"/>
        <w:b/>
        <w:bCs/>
        <w:color w:val="0A357E"/>
        <w:sz w:val="20"/>
        <w:szCs w:val="20"/>
      </w:rPr>
      <w:fldChar w:fldCharType="begin"/>
    </w:r>
    <w:r w:rsidRPr="00EB7BEF">
      <w:rPr>
        <w:rFonts w:ascii="Arial" w:hAnsi="Arial" w:cs="Arial"/>
        <w:b/>
        <w:bCs/>
        <w:color w:val="0A357E"/>
        <w:sz w:val="20"/>
        <w:szCs w:val="20"/>
      </w:rPr>
      <w:instrText xml:space="preserve"> PAGE   \* MERGEFORMAT </w:instrText>
    </w:r>
    <w:r w:rsidRPr="00EB7BEF">
      <w:rPr>
        <w:rFonts w:ascii="Arial" w:hAnsi="Arial" w:cs="Arial"/>
        <w:b/>
        <w:bCs/>
        <w:color w:val="0A357E"/>
        <w:sz w:val="20"/>
        <w:szCs w:val="20"/>
      </w:rPr>
      <w:fldChar w:fldCharType="separate"/>
    </w:r>
    <w:r>
      <w:rPr>
        <w:rFonts w:ascii="Arial" w:hAnsi="Arial" w:cs="Arial"/>
        <w:b/>
        <w:bCs/>
        <w:noProof/>
        <w:color w:val="0A357E"/>
        <w:sz w:val="20"/>
        <w:szCs w:val="20"/>
      </w:rPr>
      <w:t>8</w:t>
    </w:r>
    <w:r w:rsidRPr="00EB7BEF">
      <w:rPr>
        <w:rFonts w:ascii="Arial" w:hAnsi="Arial" w:cs="Arial"/>
        <w:b/>
        <w:bCs/>
        <w:noProof/>
        <w:color w:val="0A357E"/>
        <w:sz w:val="20"/>
        <w:szCs w:val="20"/>
      </w:rPr>
      <w:fldChar w:fldCharType="end"/>
    </w:r>
    <w:r w:rsidRPr="00EB7BEF">
      <w:rPr>
        <w:rFonts w:ascii="Arial" w:hAnsi="Arial" w:cs="Arial"/>
        <w:noProof/>
        <w:color w:val="0A357E"/>
        <w:sz w:val="20"/>
        <w:szCs w:val="20"/>
      </w:rPr>
      <w:t xml:space="preserve"> | </w:t>
    </w:r>
    <w:r w:rsidRPr="00EB7BEF">
      <w:rPr>
        <w:rFonts w:ascii="Arial" w:hAnsi="Arial" w:cs="Arial"/>
        <w:color w:val="0A357E"/>
        <w:sz w:val="16"/>
        <w:szCs w:val="16"/>
      </w:rPr>
      <w:t xml:space="preserve">MCNAIR POSTBACCALAUREATE ACHIEVEMENT PROGRAM PERFORMANCE RESULTS: </w:t>
    </w:r>
    <w:r w:rsidR="00D0066B">
      <w:rPr>
        <w:rFonts w:ascii="Arial" w:hAnsi="Arial" w:cs="Arial"/>
        <w:color w:val="0A357E"/>
        <w:sz w:val="16"/>
        <w:szCs w:val="16"/>
      </w:rPr>
      <w:t>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79ED" w14:textId="10272CBE" w:rsidR="00125B90" w:rsidRPr="00253309" w:rsidRDefault="00125B90" w:rsidP="002533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9E2" w14:textId="26C74743" w:rsidR="7BDB12C4" w:rsidRDefault="7BDB1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600F"/>
    <w:multiLevelType w:val="hybridMultilevel"/>
    <w:tmpl w:val="C5F873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A20BE"/>
    <w:multiLevelType w:val="hybridMultilevel"/>
    <w:tmpl w:val="DFEC25AA"/>
    <w:lvl w:ilvl="0" w:tplc="CA06C056">
      <w:start w:val="2004"/>
      <w:numFmt w:val="bullet"/>
      <w:pStyle w:val="6enspitem"/>
      <w:lvlText w:val=""/>
      <w:lvlJc w:val="left"/>
      <w:pPr>
        <w:tabs>
          <w:tab w:val="num" w:pos="720"/>
        </w:tabs>
        <w:ind w:left="720" w:hanging="360"/>
      </w:pPr>
      <w:rPr>
        <w:rFonts w:ascii="Symbol" w:eastAsia="Times New Roman" w:hAnsi="Symbol" w:cs="Arial" w:hint="default"/>
      </w:rPr>
    </w:lvl>
    <w:lvl w:ilvl="1" w:tplc="302C80C4">
      <w:start w:val="1"/>
      <w:numFmt w:val="decimal"/>
      <w:lvlText w:val="%2."/>
      <w:lvlJc w:val="left"/>
      <w:pPr>
        <w:tabs>
          <w:tab w:val="num" w:pos="1440"/>
        </w:tabs>
        <w:ind w:left="1440" w:hanging="360"/>
      </w:pPr>
      <w:rPr>
        <w:rFonts w:hint="default"/>
      </w:rPr>
    </w:lvl>
    <w:lvl w:ilvl="2" w:tplc="3DA66C4E" w:tentative="1">
      <w:start w:val="1"/>
      <w:numFmt w:val="bullet"/>
      <w:lvlText w:val=""/>
      <w:lvlJc w:val="left"/>
      <w:pPr>
        <w:tabs>
          <w:tab w:val="num" w:pos="2160"/>
        </w:tabs>
        <w:ind w:left="2160" w:hanging="360"/>
      </w:pPr>
      <w:rPr>
        <w:rFonts w:ascii="Wingdings" w:hAnsi="Wingdings" w:hint="default"/>
      </w:rPr>
    </w:lvl>
    <w:lvl w:ilvl="3" w:tplc="440A94D6" w:tentative="1">
      <w:start w:val="1"/>
      <w:numFmt w:val="bullet"/>
      <w:lvlText w:val=""/>
      <w:lvlJc w:val="left"/>
      <w:pPr>
        <w:tabs>
          <w:tab w:val="num" w:pos="2880"/>
        </w:tabs>
        <w:ind w:left="2880" w:hanging="360"/>
      </w:pPr>
      <w:rPr>
        <w:rFonts w:ascii="Symbol" w:hAnsi="Symbol" w:hint="default"/>
      </w:rPr>
    </w:lvl>
    <w:lvl w:ilvl="4" w:tplc="465472B2" w:tentative="1">
      <w:start w:val="1"/>
      <w:numFmt w:val="bullet"/>
      <w:lvlText w:val="o"/>
      <w:lvlJc w:val="left"/>
      <w:pPr>
        <w:tabs>
          <w:tab w:val="num" w:pos="3600"/>
        </w:tabs>
        <w:ind w:left="3600" w:hanging="360"/>
      </w:pPr>
      <w:rPr>
        <w:rFonts w:ascii="Courier New" w:hAnsi="Courier New" w:cs="Courier New" w:hint="default"/>
      </w:rPr>
    </w:lvl>
    <w:lvl w:ilvl="5" w:tplc="93C0C83C" w:tentative="1">
      <w:start w:val="1"/>
      <w:numFmt w:val="bullet"/>
      <w:lvlText w:val=""/>
      <w:lvlJc w:val="left"/>
      <w:pPr>
        <w:tabs>
          <w:tab w:val="num" w:pos="4320"/>
        </w:tabs>
        <w:ind w:left="4320" w:hanging="360"/>
      </w:pPr>
      <w:rPr>
        <w:rFonts w:ascii="Wingdings" w:hAnsi="Wingdings" w:hint="default"/>
      </w:rPr>
    </w:lvl>
    <w:lvl w:ilvl="6" w:tplc="2D80F9E4" w:tentative="1">
      <w:start w:val="1"/>
      <w:numFmt w:val="bullet"/>
      <w:lvlText w:val=""/>
      <w:lvlJc w:val="left"/>
      <w:pPr>
        <w:tabs>
          <w:tab w:val="num" w:pos="5040"/>
        </w:tabs>
        <w:ind w:left="5040" w:hanging="360"/>
      </w:pPr>
      <w:rPr>
        <w:rFonts w:ascii="Symbol" w:hAnsi="Symbol" w:hint="default"/>
      </w:rPr>
    </w:lvl>
    <w:lvl w:ilvl="7" w:tplc="2B20AF56" w:tentative="1">
      <w:start w:val="1"/>
      <w:numFmt w:val="bullet"/>
      <w:lvlText w:val="o"/>
      <w:lvlJc w:val="left"/>
      <w:pPr>
        <w:tabs>
          <w:tab w:val="num" w:pos="5760"/>
        </w:tabs>
        <w:ind w:left="5760" w:hanging="360"/>
      </w:pPr>
      <w:rPr>
        <w:rFonts w:ascii="Courier New" w:hAnsi="Courier New" w:cs="Courier New" w:hint="default"/>
      </w:rPr>
    </w:lvl>
    <w:lvl w:ilvl="8" w:tplc="F3BE87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F3C6B"/>
    <w:multiLevelType w:val="hybridMultilevel"/>
    <w:tmpl w:val="434E69CC"/>
    <w:lvl w:ilvl="0" w:tplc="04090015">
      <w:start w:val="1"/>
      <w:numFmt w:val="upperLetter"/>
      <w:pStyle w:val="AppL2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2321"/>
    <w:multiLevelType w:val="hybridMultilevel"/>
    <w:tmpl w:val="E93EA002"/>
    <w:lvl w:ilvl="0" w:tplc="3DA8B2C6">
      <w:start w:val="1"/>
      <w:numFmt w:val="bullet"/>
      <w:lvlText w:val=""/>
      <w:lvlJc w:val="left"/>
      <w:pPr>
        <w:ind w:left="1080" w:hanging="360"/>
      </w:pPr>
      <w:rPr>
        <w:rFonts w:ascii="Symbol" w:hAnsi="Symbol" w:hint="default"/>
      </w:rPr>
    </w:lvl>
    <w:lvl w:ilvl="1" w:tplc="F474A506" w:tentative="1">
      <w:start w:val="1"/>
      <w:numFmt w:val="bullet"/>
      <w:lvlText w:val="o"/>
      <w:lvlJc w:val="left"/>
      <w:pPr>
        <w:ind w:left="1800" w:hanging="360"/>
      </w:pPr>
      <w:rPr>
        <w:rFonts w:ascii="Courier New" w:hAnsi="Courier New" w:hint="default"/>
      </w:rPr>
    </w:lvl>
    <w:lvl w:ilvl="2" w:tplc="88328986" w:tentative="1">
      <w:start w:val="1"/>
      <w:numFmt w:val="bullet"/>
      <w:lvlText w:val=""/>
      <w:lvlJc w:val="left"/>
      <w:pPr>
        <w:ind w:left="2520" w:hanging="360"/>
      </w:pPr>
      <w:rPr>
        <w:rFonts w:ascii="Wingdings" w:hAnsi="Wingdings" w:hint="default"/>
      </w:rPr>
    </w:lvl>
    <w:lvl w:ilvl="3" w:tplc="3B906FC2" w:tentative="1">
      <w:start w:val="1"/>
      <w:numFmt w:val="bullet"/>
      <w:lvlText w:val=""/>
      <w:lvlJc w:val="left"/>
      <w:pPr>
        <w:ind w:left="3240" w:hanging="360"/>
      </w:pPr>
      <w:rPr>
        <w:rFonts w:ascii="Symbol" w:hAnsi="Symbol" w:hint="default"/>
      </w:rPr>
    </w:lvl>
    <w:lvl w:ilvl="4" w:tplc="F4C25C72" w:tentative="1">
      <w:start w:val="1"/>
      <w:numFmt w:val="bullet"/>
      <w:lvlText w:val="o"/>
      <w:lvlJc w:val="left"/>
      <w:pPr>
        <w:ind w:left="3960" w:hanging="360"/>
      </w:pPr>
      <w:rPr>
        <w:rFonts w:ascii="Courier New" w:hAnsi="Courier New" w:hint="default"/>
      </w:rPr>
    </w:lvl>
    <w:lvl w:ilvl="5" w:tplc="F97804E4" w:tentative="1">
      <w:start w:val="1"/>
      <w:numFmt w:val="bullet"/>
      <w:lvlText w:val=""/>
      <w:lvlJc w:val="left"/>
      <w:pPr>
        <w:ind w:left="4680" w:hanging="360"/>
      </w:pPr>
      <w:rPr>
        <w:rFonts w:ascii="Wingdings" w:hAnsi="Wingdings" w:hint="default"/>
      </w:rPr>
    </w:lvl>
    <w:lvl w:ilvl="6" w:tplc="DFC63EB4" w:tentative="1">
      <w:start w:val="1"/>
      <w:numFmt w:val="bullet"/>
      <w:lvlText w:val=""/>
      <w:lvlJc w:val="left"/>
      <w:pPr>
        <w:ind w:left="5400" w:hanging="360"/>
      </w:pPr>
      <w:rPr>
        <w:rFonts w:ascii="Symbol" w:hAnsi="Symbol" w:hint="default"/>
      </w:rPr>
    </w:lvl>
    <w:lvl w:ilvl="7" w:tplc="FB9C4E0C" w:tentative="1">
      <w:start w:val="1"/>
      <w:numFmt w:val="bullet"/>
      <w:lvlText w:val="o"/>
      <w:lvlJc w:val="left"/>
      <w:pPr>
        <w:ind w:left="6120" w:hanging="360"/>
      </w:pPr>
      <w:rPr>
        <w:rFonts w:ascii="Courier New" w:hAnsi="Courier New" w:hint="default"/>
      </w:rPr>
    </w:lvl>
    <w:lvl w:ilvl="8" w:tplc="A45AA640" w:tentative="1">
      <w:start w:val="1"/>
      <w:numFmt w:val="bullet"/>
      <w:lvlText w:val=""/>
      <w:lvlJc w:val="left"/>
      <w:pPr>
        <w:ind w:left="6840" w:hanging="360"/>
      </w:pPr>
      <w:rPr>
        <w:rFonts w:ascii="Wingdings" w:hAnsi="Wingdings" w:hint="default"/>
      </w:rPr>
    </w:lvl>
  </w:abstractNum>
  <w:abstractNum w:abstractNumId="4" w15:restartNumberingAfterBreak="0">
    <w:nsid w:val="57CB4756"/>
    <w:multiLevelType w:val="hybridMultilevel"/>
    <w:tmpl w:val="7CC4047A"/>
    <w:lvl w:ilvl="0" w:tplc="193EC21E">
      <w:start w:val="1"/>
      <w:numFmt w:val="bullet"/>
      <w:pStyle w:val="bulletround"/>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016668">
    <w:abstractNumId w:val="4"/>
  </w:num>
  <w:num w:numId="2" w16cid:durableId="1149177483">
    <w:abstractNumId w:val="1"/>
  </w:num>
  <w:num w:numId="3" w16cid:durableId="1428890888">
    <w:abstractNumId w:val="2"/>
  </w:num>
  <w:num w:numId="4" w16cid:durableId="1215387819">
    <w:abstractNumId w:val="0"/>
  </w:num>
  <w:num w:numId="5" w16cid:durableId="613907601">
    <w:abstractNumId w:val="3"/>
  </w:num>
  <w:num w:numId="6" w16cid:durableId="499321022">
    <w:abstractNumId w:val="4"/>
  </w:num>
  <w:num w:numId="7" w16cid:durableId="174367707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039AE"/>
    <w:rsid w:val="00015DDD"/>
    <w:rsid w:val="0002031E"/>
    <w:rsid w:val="00025C20"/>
    <w:rsid w:val="00026BE1"/>
    <w:rsid w:val="000317EF"/>
    <w:rsid w:val="000461FD"/>
    <w:rsid w:val="000604D8"/>
    <w:rsid w:val="0007044E"/>
    <w:rsid w:val="00073082"/>
    <w:rsid w:val="00074F11"/>
    <w:rsid w:val="000770A5"/>
    <w:rsid w:val="000778B1"/>
    <w:rsid w:val="0008298A"/>
    <w:rsid w:val="00082A78"/>
    <w:rsid w:val="00083C14"/>
    <w:rsid w:val="00086EA0"/>
    <w:rsid w:val="000902D7"/>
    <w:rsid w:val="00093C12"/>
    <w:rsid w:val="00095F53"/>
    <w:rsid w:val="000A537A"/>
    <w:rsid w:val="000A6BB4"/>
    <w:rsid w:val="000B12E5"/>
    <w:rsid w:val="000B1861"/>
    <w:rsid w:val="000B2C6B"/>
    <w:rsid w:val="000B2E38"/>
    <w:rsid w:val="000B3D3C"/>
    <w:rsid w:val="000B432F"/>
    <w:rsid w:val="000C2193"/>
    <w:rsid w:val="000C4868"/>
    <w:rsid w:val="000E23BE"/>
    <w:rsid w:val="000E2B75"/>
    <w:rsid w:val="000E3D12"/>
    <w:rsid w:val="000F0CB1"/>
    <w:rsid w:val="000F1E38"/>
    <w:rsid w:val="000F4169"/>
    <w:rsid w:val="000F5816"/>
    <w:rsid w:val="001001E5"/>
    <w:rsid w:val="00103D90"/>
    <w:rsid w:val="001073FB"/>
    <w:rsid w:val="00114B7D"/>
    <w:rsid w:val="00114FF7"/>
    <w:rsid w:val="001154E6"/>
    <w:rsid w:val="001245DE"/>
    <w:rsid w:val="00125B90"/>
    <w:rsid w:val="001343E9"/>
    <w:rsid w:val="00137CFB"/>
    <w:rsid w:val="00144950"/>
    <w:rsid w:val="00145C39"/>
    <w:rsid w:val="00146593"/>
    <w:rsid w:val="00151940"/>
    <w:rsid w:val="00160FA0"/>
    <w:rsid w:val="001745AE"/>
    <w:rsid w:val="00175AF4"/>
    <w:rsid w:val="0017635F"/>
    <w:rsid w:val="00176493"/>
    <w:rsid w:val="0018217F"/>
    <w:rsid w:val="001847BA"/>
    <w:rsid w:val="00185003"/>
    <w:rsid w:val="00185843"/>
    <w:rsid w:val="001904D8"/>
    <w:rsid w:val="001931C7"/>
    <w:rsid w:val="001942A0"/>
    <w:rsid w:val="001969A1"/>
    <w:rsid w:val="001A1141"/>
    <w:rsid w:val="001A3F1C"/>
    <w:rsid w:val="001A3FAB"/>
    <w:rsid w:val="001A7DC3"/>
    <w:rsid w:val="001A7F52"/>
    <w:rsid w:val="001B13A3"/>
    <w:rsid w:val="001B4C7E"/>
    <w:rsid w:val="001C5BA5"/>
    <w:rsid w:val="001C7956"/>
    <w:rsid w:val="001D4E53"/>
    <w:rsid w:val="001D7DDD"/>
    <w:rsid w:val="001F0FAD"/>
    <w:rsid w:val="001F159C"/>
    <w:rsid w:val="001F4AB3"/>
    <w:rsid w:val="001F6939"/>
    <w:rsid w:val="002019A0"/>
    <w:rsid w:val="002045A3"/>
    <w:rsid w:val="00221AF6"/>
    <w:rsid w:val="00222352"/>
    <w:rsid w:val="00225851"/>
    <w:rsid w:val="002303B1"/>
    <w:rsid w:val="0023320A"/>
    <w:rsid w:val="0023474F"/>
    <w:rsid w:val="00242A09"/>
    <w:rsid w:val="00245DF4"/>
    <w:rsid w:val="00245E4B"/>
    <w:rsid w:val="002511CC"/>
    <w:rsid w:val="00253309"/>
    <w:rsid w:val="0025662E"/>
    <w:rsid w:val="00263E01"/>
    <w:rsid w:val="0026648E"/>
    <w:rsid w:val="00267403"/>
    <w:rsid w:val="00277709"/>
    <w:rsid w:val="00282A2F"/>
    <w:rsid w:val="00282DF3"/>
    <w:rsid w:val="00283BB8"/>
    <w:rsid w:val="00283E9C"/>
    <w:rsid w:val="002877B0"/>
    <w:rsid w:val="00296D83"/>
    <w:rsid w:val="00297F05"/>
    <w:rsid w:val="002A11BB"/>
    <w:rsid w:val="002A13F6"/>
    <w:rsid w:val="002A3291"/>
    <w:rsid w:val="002B43F2"/>
    <w:rsid w:val="002B4C48"/>
    <w:rsid w:val="002B5B64"/>
    <w:rsid w:val="002C1056"/>
    <w:rsid w:val="002C51D1"/>
    <w:rsid w:val="002C6592"/>
    <w:rsid w:val="002E1898"/>
    <w:rsid w:val="002E1992"/>
    <w:rsid w:val="002E3CF3"/>
    <w:rsid w:val="002E4012"/>
    <w:rsid w:val="002E7112"/>
    <w:rsid w:val="002E7701"/>
    <w:rsid w:val="002F688E"/>
    <w:rsid w:val="00300D77"/>
    <w:rsid w:val="00301290"/>
    <w:rsid w:val="00301931"/>
    <w:rsid w:val="00301B13"/>
    <w:rsid w:val="00304151"/>
    <w:rsid w:val="00311EB0"/>
    <w:rsid w:val="00313E48"/>
    <w:rsid w:val="0031666D"/>
    <w:rsid w:val="00320566"/>
    <w:rsid w:val="00323EDE"/>
    <w:rsid w:val="003270AD"/>
    <w:rsid w:val="00330E37"/>
    <w:rsid w:val="00332B15"/>
    <w:rsid w:val="00332C3D"/>
    <w:rsid w:val="00336111"/>
    <w:rsid w:val="0034195F"/>
    <w:rsid w:val="0034214E"/>
    <w:rsid w:val="00342394"/>
    <w:rsid w:val="0034307D"/>
    <w:rsid w:val="0034416D"/>
    <w:rsid w:val="0034786E"/>
    <w:rsid w:val="00350704"/>
    <w:rsid w:val="00350821"/>
    <w:rsid w:val="003531D0"/>
    <w:rsid w:val="00353518"/>
    <w:rsid w:val="003619D8"/>
    <w:rsid w:val="00367DB9"/>
    <w:rsid w:val="003816DC"/>
    <w:rsid w:val="0039220D"/>
    <w:rsid w:val="003948F9"/>
    <w:rsid w:val="003949C5"/>
    <w:rsid w:val="003A10D9"/>
    <w:rsid w:val="003A228A"/>
    <w:rsid w:val="003A2B9F"/>
    <w:rsid w:val="003A4DC7"/>
    <w:rsid w:val="003A4E18"/>
    <w:rsid w:val="003B6E58"/>
    <w:rsid w:val="003C2203"/>
    <w:rsid w:val="003C44F1"/>
    <w:rsid w:val="003C7427"/>
    <w:rsid w:val="003D0549"/>
    <w:rsid w:val="003D368B"/>
    <w:rsid w:val="003D6495"/>
    <w:rsid w:val="003F0F07"/>
    <w:rsid w:val="00403C87"/>
    <w:rsid w:val="00404B2B"/>
    <w:rsid w:val="00406F37"/>
    <w:rsid w:val="00413D4F"/>
    <w:rsid w:val="00423E0D"/>
    <w:rsid w:val="004329EF"/>
    <w:rsid w:val="00434317"/>
    <w:rsid w:val="004379C5"/>
    <w:rsid w:val="004430FF"/>
    <w:rsid w:val="00453E9F"/>
    <w:rsid w:val="00454703"/>
    <w:rsid w:val="00454990"/>
    <w:rsid w:val="00471531"/>
    <w:rsid w:val="0047269A"/>
    <w:rsid w:val="00480D49"/>
    <w:rsid w:val="00482C43"/>
    <w:rsid w:val="00482F82"/>
    <w:rsid w:val="004842C2"/>
    <w:rsid w:val="00490D4C"/>
    <w:rsid w:val="00493B90"/>
    <w:rsid w:val="00495F28"/>
    <w:rsid w:val="004B0943"/>
    <w:rsid w:val="004B1C2B"/>
    <w:rsid w:val="004BD848"/>
    <w:rsid w:val="004C0C21"/>
    <w:rsid w:val="004C1180"/>
    <w:rsid w:val="004C534D"/>
    <w:rsid w:val="004C6496"/>
    <w:rsid w:val="004D01A8"/>
    <w:rsid w:val="004D0C2E"/>
    <w:rsid w:val="004D1AF6"/>
    <w:rsid w:val="004D2251"/>
    <w:rsid w:val="004D73E2"/>
    <w:rsid w:val="004D79B9"/>
    <w:rsid w:val="004E2266"/>
    <w:rsid w:val="004E2C50"/>
    <w:rsid w:val="004F3907"/>
    <w:rsid w:val="00504D0D"/>
    <w:rsid w:val="005073AA"/>
    <w:rsid w:val="00507D8E"/>
    <w:rsid w:val="00512C87"/>
    <w:rsid w:val="00515A4B"/>
    <w:rsid w:val="005249CA"/>
    <w:rsid w:val="0052725B"/>
    <w:rsid w:val="00532E96"/>
    <w:rsid w:val="00535289"/>
    <w:rsid w:val="005358BA"/>
    <w:rsid w:val="005373DB"/>
    <w:rsid w:val="0054168F"/>
    <w:rsid w:val="005449F5"/>
    <w:rsid w:val="00547C8E"/>
    <w:rsid w:val="00551777"/>
    <w:rsid w:val="00551D5A"/>
    <w:rsid w:val="005527EC"/>
    <w:rsid w:val="00555CE3"/>
    <w:rsid w:val="00557459"/>
    <w:rsid w:val="00557AB4"/>
    <w:rsid w:val="00560512"/>
    <w:rsid w:val="005617F4"/>
    <w:rsid w:val="0056266F"/>
    <w:rsid w:val="00563084"/>
    <w:rsid w:val="00577B7D"/>
    <w:rsid w:val="00584C3D"/>
    <w:rsid w:val="00594F6A"/>
    <w:rsid w:val="005956AE"/>
    <w:rsid w:val="005963C8"/>
    <w:rsid w:val="005A7709"/>
    <w:rsid w:val="005B0FE2"/>
    <w:rsid w:val="005B4B21"/>
    <w:rsid w:val="005B71E1"/>
    <w:rsid w:val="005C377E"/>
    <w:rsid w:val="005D129E"/>
    <w:rsid w:val="005D1B85"/>
    <w:rsid w:val="005D21FD"/>
    <w:rsid w:val="005D2BAE"/>
    <w:rsid w:val="005D358E"/>
    <w:rsid w:val="005E07EA"/>
    <w:rsid w:val="005E4C23"/>
    <w:rsid w:val="005E6DEF"/>
    <w:rsid w:val="0060162D"/>
    <w:rsid w:val="00611832"/>
    <w:rsid w:val="006152D7"/>
    <w:rsid w:val="00617F9B"/>
    <w:rsid w:val="00621AB5"/>
    <w:rsid w:val="00621DAF"/>
    <w:rsid w:val="00622C78"/>
    <w:rsid w:val="0062370D"/>
    <w:rsid w:val="00625FC3"/>
    <w:rsid w:val="00627186"/>
    <w:rsid w:val="00627B56"/>
    <w:rsid w:val="00637EA2"/>
    <w:rsid w:val="006406AF"/>
    <w:rsid w:val="00644182"/>
    <w:rsid w:val="00644B7F"/>
    <w:rsid w:val="00650201"/>
    <w:rsid w:val="00650956"/>
    <w:rsid w:val="006525A0"/>
    <w:rsid w:val="00652D2B"/>
    <w:rsid w:val="00653509"/>
    <w:rsid w:val="00653C08"/>
    <w:rsid w:val="0066358A"/>
    <w:rsid w:val="0067351A"/>
    <w:rsid w:val="00675522"/>
    <w:rsid w:val="00675F06"/>
    <w:rsid w:val="00676114"/>
    <w:rsid w:val="00681674"/>
    <w:rsid w:val="006820DB"/>
    <w:rsid w:val="00682D65"/>
    <w:rsid w:val="00685E31"/>
    <w:rsid w:val="00686AE3"/>
    <w:rsid w:val="00696A82"/>
    <w:rsid w:val="006A5631"/>
    <w:rsid w:val="006A63E8"/>
    <w:rsid w:val="006A6E87"/>
    <w:rsid w:val="006B0599"/>
    <w:rsid w:val="006B0C0D"/>
    <w:rsid w:val="006C1BD1"/>
    <w:rsid w:val="006D0C66"/>
    <w:rsid w:val="006D2A60"/>
    <w:rsid w:val="006D4D5A"/>
    <w:rsid w:val="006D6B4E"/>
    <w:rsid w:val="006E149A"/>
    <w:rsid w:val="006E645E"/>
    <w:rsid w:val="006E6B0A"/>
    <w:rsid w:val="006F1085"/>
    <w:rsid w:val="006F294A"/>
    <w:rsid w:val="006F65CD"/>
    <w:rsid w:val="006F6986"/>
    <w:rsid w:val="0070016F"/>
    <w:rsid w:val="00700366"/>
    <w:rsid w:val="0070376C"/>
    <w:rsid w:val="00707EE7"/>
    <w:rsid w:val="00711DD7"/>
    <w:rsid w:val="00712A34"/>
    <w:rsid w:val="00714495"/>
    <w:rsid w:val="007149D5"/>
    <w:rsid w:val="00721A58"/>
    <w:rsid w:val="007248DA"/>
    <w:rsid w:val="00727107"/>
    <w:rsid w:val="00730B04"/>
    <w:rsid w:val="00732E3E"/>
    <w:rsid w:val="00734090"/>
    <w:rsid w:val="0074472A"/>
    <w:rsid w:val="00745F16"/>
    <w:rsid w:val="00752231"/>
    <w:rsid w:val="0075602B"/>
    <w:rsid w:val="0076083E"/>
    <w:rsid w:val="007623BD"/>
    <w:rsid w:val="007653AF"/>
    <w:rsid w:val="0076729C"/>
    <w:rsid w:val="00770C6A"/>
    <w:rsid w:val="007807D0"/>
    <w:rsid w:val="00783DE3"/>
    <w:rsid w:val="00786E69"/>
    <w:rsid w:val="00792EE4"/>
    <w:rsid w:val="0079381C"/>
    <w:rsid w:val="00795DFF"/>
    <w:rsid w:val="007965AC"/>
    <w:rsid w:val="007A1CB2"/>
    <w:rsid w:val="007B0911"/>
    <w:rsid w:val="007B0A35"/>
    <w:rsid w:val="007B3198"/>
    <w:rsid w:val="007B7647"/>
    <w:rsid w:val="007B7D36"/>
    <w:rsid w:val="007C09F7"/>
    <w:rsid w:val="007C4828"/>
    <w:rsid w:val="007D5CF2"/>
    <w:rsid w:val="007E1C40"/>
    <w:rsid w:val="007E21B5"/>
    <w:rsid w:val="007E7A9B"/>
    <w:rsid w:val="007F0EBB"/>
    <w:rsid w:val="007F1356"/>
    <w:rsid w:val="007F38B6"/>
    <w:rsid w:val="007F3A7C"/>
    <w:rsid w:val="007F3C06"/>
    <w:rsid w:val="007F4309"/>
    <w:rsid w:val="007F4F6D"/>
    <w:rsid w:val="007F4F7F"/>
    <w:rsid w:val="007F516D"/>
    <w:rsid w:val="007F5970"/>
    <w:rsid w:val="00802C8B"/>
    <w:rsid w:val="008033DE"/>
    <w:rsid w:val="0080596A"/>
    <w:rsid w:val="00807B69"/>
    <w:rsid w:val="008230B1"/>
    <w:rsid w:val="0082409E"/>
    <w:rsid w:val="00824B7C"/>
    <w:rsid w:val="0082580D"/>
    <w:rsid w:val="0082728B"/>
    <w:rsid w:val="00837FC0"/>
    <w:rsid w:val="00840997"/>
    <w:rsid w:val="0084139D"/>
    <w:rsid w:val="00842332"/>
    <w:rsid w:val="00843175"/>
    <w:rsid w:val="00843BD0"/>
    <w:rsid w:val="008461A3"/>
    <w:rsid w:val="00851009"/>
    <w:rsid w:val="008531BD"/>
    <w:rsid w:val="008538FF"/>
    <w:rsid w:val="00856CBC"/>
    <w:rsid w:val="00861400"/>
    <w:rsid w:val="00865B56"/>
    <w:rsid w:val="008738E9"/>
    <w:rsid w:val="00876B0E"/>
    <w:rsid w:val="008773E3"/>
    <w:rsid w:val="00881439"/>
    <w:rsid w:val="0088276D"/>
    <w:rsid w:val="0088355C"/>
    <w:rsid w:val="0088387C"/>
    <w:rsid w:val="0088635E"/>
    <w:rsid w:val="00890152"/>
    <w:rsid w:val="008909A9"/>
    <w:rsid w:val="00890F26"/>
    <w:rsid w:val="00892144"/>
    <w:rsid w:val="00893212"/>
    <w:rsid w:val="008944FD"/>
    <w:rsid w:val="008A07B8"/>
    <w:rsid w:val="008A0A7E"/>
    <w:rsid w:val="008A1211"/>
    <w:rsid w:val="008B1037"/>
    <w:rsid w:val="008B3A1B"/>
    <w:rsid w:val="008C02BD"/>
    <w:rsid w:val="008C1EE1"/>
    <w:rsid w:val="008C40C4"/>
    <w:rsid w:val="008C6A15"/>
    <w:rsid w:val="008D3B4D"/>
    <w:rsid w:val="008D4561"/>
    <w:rsid w:val="008D60B0"/>
    <w:rsid w:val="008E10EF"/>
    <w:rsid w:val="008E22E5"/>
    <w:rsid w:val="008E343F"/>
    <w:rsid w:val="008F2BE2"/>
    <w:rsid w:val="008F4675"/>
    <w:rsid w:val="00905FF7"/>
    <w:rsid w:val="00907159"/>
    <w:rsid w:val="00910958"/>
    <w:rsid w:val="009123D0"/>
    <w:rsid w:val="00913AAB"/>
    <w:rsid w:val="00916917"/>
    <w:rsid w:val="009177CE"/>
    <w:rsid w:val="00920F65"/>
    <w:rsid w:val="009219D8"/>
    <w:rsid w:val="009329CC"/>
    <w:rsid w:val="00935D45"/>
    <w:rsid w:val="00937001"/>
    <w:rsid w:val="0093703A"/>
    <w:rsid w:val="0094387D"/>
    <w:rsid w:val="00943FB8"/>
    <w:rsid w:val="0094579C"/>
    <w:rsid w:val="00946232"/>
    <w:rsid w:val="00954CFE"/>
    <w:rsid w:val="009618E4"/>
    <w:rsid w:val="00961C2F"/>
    <w:rsid w:val="00962F98"/>
    <w:rsid w:val="00963D76"/>
    <w:rsid w:val="009645A7"/>
    <w:rsid w:val="00964F35"/>
    <w:rsid w:val="0096515E"/>
    <w:rsid w:val="00971C4D"/>
    <w:rsid w:val="00973C1A"/>
    <w:rsid w:val="00974E84"/>
    <w:rsid w:val="00977483"/>
    <w:rsid w:val="0098169F"/>
    <w:rsid w:val="00983D8A"/>
    <w:rsid w:val="00984E1A"/>
    <w:rsid w:val="009868F4"/>
    <w:rsid w:val="0099489B"/>
    <w:rsid w:val="00994AF9"/>
    <w:rsid w:val="00997FFD"/>
    <w:rsid w:val="009A5458"/>
    <w:rsid w:val="009A7AE6"/>
    <w:rsid w:val="009B3329"/>
    <w:rsid w:val="009B4AF7"/>
    <w:rsid w:val="009C1AD9"/>
    <w:rsid w:val="009C3BD8"/>
    <w:rsid w:val="009C5882"/>
    <w:rsid w:val="009C7B12"/>
    <w:rsid w:val="009D0C7A"/>
    <w:rsid w:val="009D41DE"/>
    <w:rsid w:val="009D4377"/>
    <w:rsid w:val="009D6005"/>
    <w:rsid w:val="009D671A"/>
    <w:rsid w:val="009D74DA"/>
    <w:rsid w:val="009E2B5A"/>
    <w:rsid w:val="009E5297"/>
    <w:rsid w:val="009F02C8"/>
    <w:rsid w:val="009F4415"/>
    <w:rsid w:val="00A00657"/>
    <w:rsid w:val="00A00DF8"/>
    <w:rsid w:val="00A01FEC"/>
    <w:rsid w:val="00A0213E"/>
    <w:rsid w:val="00A034D9"/>
    <w:rsid w:val="00A0767D"/>
    <w:rsid w:val="00A078EC"/>
    <w:rsid w:val="00A10A18"/>
    <w:rsid w:val="00A118F8"/>
    <w:rsid w:val="00A11D69"/>
    <w:rsid w:val="00A12B77"/>
    <w:rsid w:val="00A132BC"/>
    <w:rsid w:val="00A14B5A"/>
    <w:rsid w:val="00A22F41"/>
    <w:rsid w:val="00A273B6"/>
    <w:rsid w:val="00A34EA3"/>
    <w:rsid w:val="00A357FC"/>
    <w:rsid w:val="00A36B4F"/>
    <w:rsid w:val="00A42C02"/>
    <w:rsid w:val="00A44747"/>
    <w:rsid w:val="00A44F33"/>
    <w:rsid w:val="00A47D83"/>
    <w:rsid w:val="00A6292B"/>
    <w:rsid w:val="00A72E5B"/>
    <w:rsid w:val="00A773D3"/>
    <w:rsid w:val="00A77B87"/>
    <w:rsid w:val="00A8304D"/>
    <w:rsid w:val="00A91EFB"/>
    <w:rsid w:val="00A95B19"/>
    <w:rsid w:val="00AA0DEC"/>
    <w:rsid w:val="00AA471F"/>
    <w:rsid w:val="00AA5087"/>
    <w:rsid w:val="00AB279A"/>
    <w:rsid w:val="00AB4138"/>
    <w:rsid w:val="00AC1A0C"/>
    <w:rsid w:val="00AC1CD8"/>
    <w:rsid w:val="00AC632C"/>
    <w:rsid w:val="00AD55BD"/>
    <w:rsid w:val="00AD5CE2"/>
    <w:rsid w:val="00AD65C9"/>
    <w:rsid w:val="00AD68C9"/>
    <w:rsid w:val="00AD6CE6"/>
    <w:rsid w:val="00AD7917"/>
    <w:rsid w:val="00AE2E50"/>
    <w:rsid w:val="00AE3F15"/>
    <w:rsid w:val="00B146AA"/>
    <w:rsid w:val="00B200E0"/>
    <w:rsid w:val="00B205E7"/>
    <w:rsid w:val="00B234DE"/>
    <w:rsid w:val="00B2367A"/>
    <w:rsid w:val="00B23A7A"/>
    <w:rsid w:val="00B31591"/>
    <w:rsid w:val="00B32EFD"/>
    <w:rsid w:val="00B3685A"/>
    <w:rsid w:val="00B40864"/>
    <w:rsid w:val="00B42E2E"/>
    <w:rsid w:val="00B464BE"/>
    <w:rsid w:val="00B4761C"/>
    <w:rsid w:val="00B5194E"/>
    <w:rsid w:val="00B5300D"/>
    <w:rsid w:val="00B53EC1"/>
    <w:rsid w:val="00B57E2F"/>
    <w:rsid w:val="00B653EC"/>
    <w:rsid w:val="00B70891"/>
    <w:rsid w:val="00B74A1E"/>
    <w:rsid w:val="00B7761D"/>
    <w:rsid w:val="00B9062D"/>
    <w:rsid w:val="00B94A21"/>
    <w:rsid w:val="00B95861"/>
    <w:rsid w:val="00B9619C"/>
    <w:rsid w:val="00BA3928"/>
    <w:rsid w:val="00BB1413"/>
    <w:rsid w:val="00BB6CF1"/>
    <w:rsid w:val="00BC0C16"/>
    <w:rsid w:val="00BC0C6F"/>
    <w:rsid w:val="00BC2C0C"/>
    <w:rsid w:val="00BC45AE"/>
    <w:rsid w:val="00BC6C03"/>
    <w:rsid w:val="00BD2798"/>
    <w:rsid w:val="00BD66A6"/>
    <w:rsid w:val="00BD67F2"/>
    <w:rsid w:val="00BD7D7B"/>
    <w:rsid w:val="00BE2BD9"/>
    <w:rsid w:val="00BE4307"/>
    <w:rsid w:val="00BE6D69"/>
    <w:rsid w:val="00BF1137"/>
    <w:rsid w:val="00BF5082"/>
    <w:rsid w:val="00C005B8"/>
    <w:rsid w:val="00C03923"/>
    <w:rsid w:val="00C04015"/>
    <w:rsid w:val="00C0495C"/>
    <w:rsid w:val="00C10DA2"/>
    <w:rsid w:val="00C15466"/>
    <w:rsid w:val="00C20A07"/>
    <w:rsid w:val="00C304EA"/>
    <w:rsid w:val="00C31F96"/>
    <w:rsid w:val="00C33D44"/>
    <w:rsid w:val="00C34BC0"/>
    <w:rsid w:val="00C434FC"/>
    <w:rsid w:val="00C5050A"/>
    <w:rsid w:val="00C605B4"/>
    <w:rsid w:val="00C61DAE"/>
    <w:rsid w:val="00C64C9D"/>
    <w:rsid w:val="00C66F33"/>
    <w:rsid w:val="00C756FF"/>
    <w:rsid w:val="00C763C2"/>
    <w:rsid w:val="00C8755A"/>
    <w:rsid w:val="00C92374"/>
    <w:rsid w:val="00CA2C6C"/>
    <w:rsid w:val="00CA4B99"/>
    <w:rsid w:val="00CA630A"/>
    <w:rsid w:val="00CB62B5"/>
    <w:rsid w:val="00CB76DD"/>
    <w:rsid w:val="00CD01D1"/>
    <w:rsid w:val="00CD4AA4"/>
    <w:rsid w:val="00CD4FD9"/>
    <w:rsid w:val="00CE490A"/>
    <w:rsid w:val="00CE6ADB"/>
    <w:rsid w:val="00CE74FC"/>
    <w:rsid w:val="00D0066B"/>
    <w:rsid w:val="00D020C6"/>
    <w:rsid w:val="00D035EC"/>
    <w:rsid w:val="00D039E9"/>
    <w:rsid w:val="00D052D2"/>
    <w:rsid w:val="00D14152"/>
    <w:rsid w:val="00D177F1"/>
    <w:rsid w:val="00D265C2"/>
    <w:rsid w:val="00D27493"/>
    <w:rsid w:val="00D27988"/>
    <w:rsid w:val="00D32DEE"/>
    <w:rsid w:val="00D33533"/>
    <w:rsid w:val="00D33B05"/>
    <w:rsid w:val="00D34C08"/>
    <w:rsid w:val="00D375C4"/>
    <w:rsid w:val="00D3772E"/>
    <w:rsid w:val="00D40A88"/>
    <w:rsid w:val="00D43F1A"/>
    <w:rsid w:val="00D566F7"/>
    <w:rsid w:val="00D600B6"/>
    <w:rsid w:val="00D624D7"/>
    <w:rsid w:val="00D65016"/>
    <w:rsid w:val="00D67EC1"/>
    <w:rsid w:val="00D7165A"/>
    <w:rsid w:val="00D72841"/>
    <w:rsid w:val="00D7344F"/>
    <w:rsid w:val="00D74AA6"/>
    <w:rsid w:val="00D75B6E"/>
    <w:rsid w:val="00D80ADD"/>
    <w:rsid w:val="00D810C9"/>
    <w:rsid w:val="00D81490"/>
    <w:rsid w:val="00D83991"/>
    <w:rsid w:val="00D97AEE"/>
    <w:rsid w:val="00D97B5E"/>
    <w:rsid w:val="00DA6EA4"/>
    <w:rsid w:val="00DB0A66"/>
    <w:rsid w:val="00DB5897"/>
    <w:rsid w:val="00DC2044"/>
    <w:rsid w:val="00DD2F29"/>
    <w:rsid w:val="00DD4D9D"/>
    <w:rsid w:val="00DE0C30"/>
    <w:rsid w:val="00DE617C"/>
    <w:rsid w:val="00DF394F"/>
    <w:rsid w:val="00DF7A47"/>
    <w:rsid w:val="00E07862"/>
    <w:rsid w:val="00E10C78"/>
    <w:rsid w:val="00E10CB6"/>
    <w:rsid w:val="00E11F17"/>
    <w:rsid w:val="00E12B2E"/>
    <w:rsid w:val="00E12CA0"/>
    <w:rsid w:val="00E13A09"/>
    <w:rsid w:val="00E14DBE"/>
    <w:rsid w:val="00E23BC9"/>
    <w:rsid w:val="00E23F99"/>
    <w:rsid w:val="00E340FC"/>
    <w:rsid w:val="00E41694"/>
    <w:rsid w:val="00E42325"/>
    <w:rsid w:val="00E525BA"/>
    <w:rsid w:val="00E52C83"/>
    <w:rsid w:val="00E5532D"/>
    <w:rsid w:val="00E56A74"/>
    <w:rsid w:val="00E57A5C"/>
    <w:rsid w:val="00E57C52"/>
    <w:rsid w:val="00E62842"/>
    <w:rsid w:val="00E63200"/>
    <w:rsid w:val="00E6740F"/>
    <w:rsid w:val="00E67D9C"/>
    <w:rsid w:val="00E67FCB"/>
    <w:rsid w:val="00E7205B"/>
    <w:rsid w:val="00E72144"/>
    <w:rsid w:val="00E76292"/>
    <w:rsid w:val="00E817FB"/>
    <w:rsid w:val="00E85EC7"/>
    <w:rsid w:val="00E905B0"/>
    <w:rsid w:val="00E91040"/>
    <w:rsid w:val="00E92E9F"/>
    <w:rsid w:val="00E96A52"/>
    <w:rsid w:val="00EA1AC1"/>
    <w:rsid w:val="00EA2309"/>
    <w:rsid w:val="00EA27A4"/>
    <w:rsid w:val="00EA3422"/>
    <w:rsid w:val="00EA6CB0"/>
    <w:rsid w:val="00EB19F7"/>
    <w:rsid w:val="00EB20D4"/>
    <w:rsid w:val="00EB4279"/>
    <w:rsid w:val="00EB6E6B"/>
    <w:rsid w:val="00EC380C"/>
    <w:rsid w:val="00ED0427"/>
    <w:rsid w:val="00ED4076"/>
    <w:rsid w:val="00EE0CC3"/>
    <w:rsid w:val="00EE2FC3"/>
    <w:rsid w:val="00EF1270"/>
    <w:rsid w:val="00EF6995"/>
    <w:rsid w:val="00F0058A"/>
    <w:rsid w:val="00F03F9A"/>
    <w:rsid w:val="00F10BF3"/>
    <w:rsid w:val="00F11C8A"/>
    <w:rsid w:val="00F12A82"/>
    <w:rsid w:val="00F1398F"/>
    <w:rsid w:val="00F22B72"/>
    <w:rsid w:val="00F3183A"/>
    <w:rsid w:val="00F338B0"/>
    <w:rsid w:val="00F35E38"/>
    <w:rsid w:val="00F415B6"/>
    <w:rsid w:val="00F4176B"/>
    <w:rsid w:val="00F42971"/>
    <w:rsid w:val="00F42BAE"/>
    <w:rsid w:val="00F50458"/>
    <w:rsid w:val="00F5549B"/>
    <w:rsid w:val="00F56490"/>
    <w:rsid w:val="00F56886"/>
    <w:rsid w:val="00F63820"/>
    <w:rsid w:val="00F64E83"/>
    <w:rsid w:val="00F659CE"/>
    <w:rsid w:val="00F70202"/>
    <w:rsid w:val="00F70606"/>
    <w:rsid w:val="00F74D95"/>
    <w:rsid w:val="00F77949"/>
    <w:rsid w:val="00F80FD7"/>
    <w:rsid w:val="00F82CC3"/>
    <w:rsid w:val="00F84E0B"/>
    <w:rsid w:val="00F8712E"/>
    <w:rsid w:val="00F87294"/>
    <w:rsid w:val="00F877D5"/>
    <w:rsid w:val="00F90ABE"/>
    <w:rsid w:val="00F94925"/>
    <w:rsid w:val="00F963E8"/>
    <w:rsid w:val="00F96649"/>
    <w:rsid w:val="00FA0B5B"/>
    <w:rsid w:val="00FA5EBD"/>
    <w:rsid w:val="00FA67B9"/>
    <w:rsid w:val="00FA7BB9"/>
    <w:rsid w:val="00FB4505"/>
    <w:rsid w:val="00FC157D"/>
    <w:rsid w:val="00FC2476"/>
    <w:rsid w:val="00FDEEF2"/>
    <w:rsid w:val="00FE3172"/>
    <w:rsid w:val="00FE5732"/>
    <w:rsid w:val="00FE78F8"/>
    <w:rsid w:val="00FF5436"/>
    <w:rsid w:val="0155F4DC"/>
    <w:rsid w:val="01D15306"/>
    <w:rsid w:val="02006AC2"/>
    <w:rsid w:val="039BA4A6"/>
    <w:rsid w:val="03D88A28"/>
    <w:rsid w:val="03F32580"/>
    <w:rsid w:val="0466B403"/>
    <w:rsid w:val="04B9A6F4"/>
    <w:rsid w:val="058C70DF"/>
    <w:rsid w:val="05DC70D3"/>
    <w:rsid w:val="0605CC9B"/>
    <w:rsid w:val="064AF65B"/>
    <w:rsid w:val="08144D58"/>
    <w:rsid w:val="08DC4C78"/>
    <w:rsid w:val="096D0E5F"/>
    <w:rsid w:val="0AD868DD"/>
    <w:rsid w:val="1025289C"/>
    <w:rsid w:val="121D51E1"/>
    <w:rsid w:val="12AB1328"/>
    <w:rsid w:val="12BA5036"/>
    <w:rsid w:val="1333BAF2"/>
    <w:rsid w:val="13887ADD"/>
    <w:rsid w:val="13D4DE2C"/>
    <w:rsid w:val="13EFD932"/>
    <w:rsid w:val="149A95B6"/>
    <w:rsid w:val="14C9694B"/>
    <w:rsid w:val="15911A0B"/>
    <w:rsid w:val="1AE8707A"/>
    <w:rsid w:val="1AF0A442"/>
    <w:rsid w:val="1C0EC137"/>
    <w:rsid w:val="1C189D67"/>
    <w:rsid w:val="1EFA6632"/>
    <w:rsid w:val="1F6315CC"/>
    <w:rsid w:val="222EFBE6"/>
    <w:rsid w:val="22A061F8"/>
    <w:rsid w:val="23C405FD"/>
    <w:rsid w:val="25AA8160"/>
    <w:rsid w:val="27372E19"/>
    <w:rsid w:val="27BA3663"/>
    <w:rsid w:val="2917422A"/>
    <w:rsid w:val="29C30E3E"/>
    <w:rsid w:val="2A47F141"/>
    <w:rsid w:val="2A7FB41C"/>
    <w:rsid w:val="2B116CC9"/>
    <w:rsid w:val="2B32AD0C"/>
    <w:rsid w:val="2C2AC716"/>
    <w:rsid w:val="2C8E3D6C"/>
    <w:rsid w:val="2D51ADAE"/>
    <w:rsid w:val="2F000856"/>
    <w:rsid w:val="2F694973"/>
    <w:rsid w:val="2FF9E41F"/>
    <w:rsid w:val="31CC5181"/>
    <w:rsid w:val="32440510"/>
    <w:rsid w:val="337668F6"/>
    <w:rsid w:val="341873E8"/>
    <w:rsid w:val="355BBADE"/>
    <w:rsid w:val="373B29FE"/>
    <w:rsid w:val="385E4758"/>
    <w:rsid w:val="386A035B"/>
    <w:rsid w:val="38A78214"/>
    <w:rsid w:val="39B5D5C7"/>
    <w:rsid w:val="3A419A25"/>
    <w:rsid w:val="3B06881B"/>
    <w:rsid w:val="3B1697F8"/>
    <w:rsid w:val="3B9887EA"/>
    <w:rsid w:val="3BAC221D"/>
    <w:rsid w:val="3BC7D1B3"/>
    <w:rsid w:val="3BD917A8"/>
    <w:rsid w:val="3ECEB892"/>
    <w:rsid w:val="3F3105C3"/>
    <w:rsid w:val="3F7B2AD6"/>
    <w:rsid w:val="3FB63ED4"/>
    <w:rsid w:val="40C91BB4"/>
    <w:rsid w:val="40D02030"/>
    <w:rsid w:val="417AA34F"/>
    <w:rsid w:val="42E02DD7"/>
    <w:rsid w:val="44F9A0D7"/>
    <w:rsid w:val="45DB2DF4"/>
    <w:rsid w:val="45DEEA7F"/>
    <w:rsid w:val="45E14227"/>
    <w:rsid w:val="46EB5575"/>
    <w:rsid w:val="4861CD91"/>
    <w:rsid w:val="48A13295"/>
    <w:rsid w:val="493249EB"/>
    <w:rsid w:val="49A76EE6"/>
    <w:rsid w:val="49DD8C9F"/>
    <w:rsid w:val="4AB5711E"/>
    <w:rsid w:val="4B8830DB"/>
    <w:rsid w:val="4C66C082"/>
    <w:rsid w:val="4E7B44B0"/>
    <w:rsid w:val="4F6E6B72"/>
    <w:rsid w:val="4FA02C92"/>
    <w:rsid w:val="4FF559B9"/>
    <w:rsid w:val="50F269FD"/>
    <w:rsid w:val="51BCB429"/>
    <w:rsid w:val="5250CB53"/>
    <w:rsid w:val="52FE5AAB"/>
    <w:rsid w:val="537D33D5"/>
    <w:rsid w:val="53BB3FDA"/>
    <w:rsid w:val="54FABD68"/>
    <w:rsid w:val="55C149B7"/>
    <w:rsid w:val="57793FA8"/>
    <w:rsid w:val="58001BCE"/>
    <w:rsid w:val="5897B690"/>
    <w:rsid w:val="5903B8D2"/>
    <w:rsid w:val="5AD5D501"/>
    <w:rsid w:val="5B93682A"/>
    <w:rsid w:val="5BA2816D"/>
    <w:rsid w:val="5CB19B8A"/>
    <w:rsid w:val="5CD7944D"/>
    <w:rsid w:val="5D07CE49"/>
    <w:rsid w:val="5E288A85"/>
    <w:rsid w:val="5F4D8B73"/>
    <w:rsid w:val="5F94383B"/>
    <w:rsid w:val="617EE74E"/>
    <w:rsid w:val="61854775"/>
    <w:rsid w:val="62CB401F"/>
    <w:rsid w:val="6321D054"/>
    <w:rsid w:val="637371A7"/>
    <w:rsid w:val="63E14890"/>
    <w:rsid w:val="648F52E4"/>
    <w:rsid w:val="65B389B8"/>
    <w:rsid w:val="663EE5AE"/>
    <w:rsid w:val="665AB178"/>
    <w:rsid w:val="68A5A9A8"/>
    <w:rsid w:val="6A3358CB"/>
    <w:rsid w:val="6AD6B6AB"/>
    <w:rsid w:val="6BF1DF40"/>
    <w:rsid w:val="6BFA746F"/>
    <w:rsid w:val="6C98C69A"/>
    <w:rsid w:val="6FE305F3"/>
    <w:rsid w:val="70DC2FCD"/>
    <w:rsid w:val="71280B17"/>
    <w:rsid w:val="7286B255"/>
    <w:rsid w:val="729ACBA7"/>
    <w:rsid w:val="73461301"/>
    <w:rsid w:val="748BB7D4"/>
    <w:rsid w:val="749CB83C"/>
    <w:rsid w:val="788D829E"/>
    <w:rsid w:val="79AB9969"/>
    <w:rsid w:val="7AAFBD3F"/>
    <w:rsid w:val="7B360A83"/>
    <w:rsid w:val="7BBD4C2F"/>
    <w:rsid w:val="7BDB12C4"/>
    <w:rsid w:val="7CBC0B20"/>
    <w:rsid w:val="7CBC6C8F"/>
    <w:rsid w:val="7DB3EC21"/>
    <w:rsid w:val="7EB518F4"/>
    <w:rsid w:val="7F4C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Title"/>
    <w:next w:val="Normal"/>
    <w:link w:val="Heading1Char"/>
    <w:qFormat/>
    <w:rsid w:val="00175AF4"/>
    <w:pPr>
      <w:spacing w:before="1920" w:after="1920"/>
      <w:jc w:val="center"/>
      <w:outlineLvl w:val="0"/>
    </w:pPr>
    <w:rPr>
      <w:rFonts w:asciiTheme="minorHAnsi" w:hAnsiTheme="minorHAnsi" w:cstheme="minorHAnsi"/>
      <w:color w:val="auto"/>
      <w:sz w:val="56"/>
      <w:szCs w:val="48"/>
    </w:rPr>
  </w:style>
  <w:style w:type="paragraph" w:styleId="Heading2">
    <w:name w:val="heading 2"/>
    <w:next w:val="Normal"/>
    <w:link w:val="Heading2Char"/>
    <w:unhideWhenUsed/>
    <w:qFormat/>
    <w:rsid w:val="005E07EA"/>
    <w:pPr>
      <w:spacing w:before="160"/>
      <w:outlineLvl w:val="1"/>
    </w:pPr>
    <w:rPr>
      <w:rFonts w:ascii="Times New Roman" w:eastAsia="Times New Roman" w:hAnsi="Times New Roman" w:cs="Times New Roman"/>
      <w:color w:val="2F5496" w:themeColor="accent1" w:themeShade="BF"/>
      <w:sz w:val="32"/>
      <w:szCs w:val="32"/>
    </w:rPr>
  </w:style>
  <w:style w:type="paragraph" w:styleId="Heading3">
    <w:name w:val="heading 3"/>
    <w:next w:val="Normal"/>
    <w:link w:val="Heading3Char"/>
    <w:unhideWhenUsed/>
    <w:qFormat/>
    <w:rsid w:val="005E07EA"/>
    <w:pPr>
      <w:spacing w:before="160"/>
      <w:outlineLvl w:val="2"/>
    </w:pPr>
    <w:rPr>
      <w:rFonts w:ascii="Times New Roman" w:eastAsia="Times New Roman" w:hAnsi="Times New Roman" w:cs="Times New Roman"/>
      <w:color w:val="2F5496" w:themeColor="accent1" w:themeShade="BF"/>
      <w:sz w:val="26"/>
      <w:szCs w:val="26"/>
    </w:rPr>
  </w:style>
  <w:style w:type="paragraph" w:styleId="Heading4">
    <w:name w:val="heading 4"/>
    <w:next w:val="Normal"/>
    <w:link w:val="Heading4Char"/>
    <w:unhideWhenUsed/>
    <w:qFormat/>
    <w:rsid w:val="005E07EA"/>
    <w:pPr>
      <w:outlineLvl w:val="3"/>
    </w:pPr>
    <w:rPr>
      <w:rFonts w:ascii="Times New Roman" w:eastAsia="Times New Roman" w:hAnsi="Times New Roman" w:cs="Times New Roman"/>
      <w:color w:val="2F5496" w:themeColor="accent1" w:themeShade="BF"/>
      <w:sz w:val="24"/>
      <w:szCs w:val="26"/>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175AF4"/>
    <w:rPr>
      <w:rFonts w:eastAsia="Times New Roman" w:cstheme="minorHAnsi"/>
      <w:b/>
      <w:sz w:val="56"/>
      <w:szCs w:val="48"/>
      <w:lang w:eastAsia="en-US"/>
    </w:rPr>
  </w:style>
  <w:style w:type="character" w:customStyle="1" w:styleId="Heading2Char">
    <w:name w:val="Heading 2 Char"/>
    <w:basedOn w:val="DefaultParagraphFont"/>
    <w:link w:val="Heading2"/>
    <w:rsid w:val="005E07EA"/>
    <w:rPr>
      <w:rFonts w:ascii="Times New Roman" w:eastAsia="Times New Roman" w:hAnsi="Times New Roman" w:cs="Times New Roman"/>
      <w:color w:val="2F5496" w:themeColor="accent1" w:themeShade="BF"/>
      <w:sz w:val="32"/>
      <w:szCs w:val="32"/>
    </w:rPr>
  </w:style>
  <w:style w:type="character" w:customStyle="1" w:styleId="Heading3Char">
    <w:name w:val="Heading 3 Char"/>
    <w:basedOn w:val="DefaultParagraphFont"/>
    <w:link w:val="Heading3"/>
    <w:rsid w:val="005E07EA"/>
    <w:rPr>
      <w:rFonts w:ascii="Times New Roman" w:eastAsia="Times New Roman" w:hAnsi="Times New Roman" w:cs="Times New Roman"/>
      <w:color w:val="2F5496" w:themeColor="accent1" w:themeShade="BF"/>
      <w:sz w:val="26"/>
      <w:szCs w:val="26"/>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Normal"/>
    <w:rsid w:val="00E13A09"/>
    <w:pPr>
      <w:spacing w:before="2000" w:after="0" w:line="960" w:lineRule="exact"/>
      <w:outlineLvl w:val="0"/>
    </w:pPr>
    <w:rPr>
      <w:rFonts w:cstheme="minorHAnsi"/>
      <w:noProof/>
      <w:color w:val="5B9BD5" w:themeColor="accent5"/>
      <w:sz w:val="88"/>
      <w:szCs w:val="88"/>
    </w:r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6B0C0D"/>
    <w:rPr>
      <w:rFonts w:eastAsia="Times New Roman" w:cstheme="minorHAnsi"/>
      <w:color w:val="2F5496" w:themeColor="accent1" w:themeShade="BF"/>
      <w:sz w:val="32"/>
      <w:szCs w:val="48"/>
      <w:lang w:eastAsia="en-US"/>
    </w:rPr>
  </w:style>
  <w:style w:type="paragraph" w:styleId="TOC1">
    <w:name w:val="toc 1"/>
    <w:basedOn w:val="Normal"/>
    <w:next w:val="Normal"/>
    <w:autoRedefine/>
    <w:uiPriority w:val="39"/>
    <w:unhideWhenUsed/>
    <w:rsid w:val="0026648E"/>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13A09"/>
    <w:pPr>
      <w:spacing w:before="120" w:after="0"/>
      <w:ind w:left="220"/>
    </w:pPr>
    <w:rPr>
      <w:rFonts w:cstheme="minorHAnsi"/>
      <w:i/>
      <w:iCs/>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5E07EA"/>
    <w:rPr>
      <w:rFonts w:ascii="Times New Roman" w:eastAsia="Times New Roman" w:hAnsi="Times New Roman" w:cs="Times New Roman"/>
      <w:color w:val="2F5496" w:themeColor="accent1" w:themeShade="BF"/>
      <w:sz w:val="24"/>
      <w:szCs w:val="26"/>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numPr>
        <w:numId w:val="2"/>
      </w:numPr>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3"/>
      </w:numPr>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character" w:customStyle="1" w:styleId="cf01">
    <w:name w:val="cf01"/>
    <w:basedOn w:val="DefaultParagraphFont"/>
    <w:rsid w:val="00E62842"/>
    <w:rPr>
      <w:rFonts w:ascii="Segoe UI" w:hAnsi="Segoe UI" w:cs="Segoe UI" w:hint="default"/>
      <w:sz w:val="18"/>
      <w:szCs w:val="18"/>
    </w:rPr>
  </w:style>
  <w:style w:type="paragraph" w:styleId="Subtitle">
    <w:name w:val="Subtitle"/>
    <w:basedOn w:val="Normal"/>
    <w:next w:val="Normal"/>
    <w:link w:val="SubtitleChar"/>
    <w:uiPriority w:val="11"/>
    <w:qFormat/>
    <w:rsid w:val="0031666D"/>
    <w:pPr>
      <w:jc w:val="center"/>
    </w:pPr>
    <w:rPr>
      <w:b/>
      <w:bCs/>
      <w:sz w:val="48"/>
      <w:szCs w:val="48"/>
    </w:rPr>
  </w:style>
  <w:style w:type="character" w:customStyle="1" w:styleId="SubtitleChar">
    <w:name w:val="Subtitle Char"/>
    <w:basedOn w:val="DefaultParagraphFont"/>
    <w:link w:val="Subtitle"/>
    <w:uiPriority w:val="11"/>
    <w:rsid w:val="0031666D"/>
    <w:rPr>
      <w:b/>
      <w:bCs/>
      <w:sz w:val="48"/>
      <w:szCs w:val="48"/>
    </w:rPr>
  </w:style>
  <w:style w:type="paragraph" w:customStyle="1" w:styleId="Heading2-CoverPage">
    <w:name w:val="Heading 2 - Cover Page"/>
    <w:basedOn w:val="Subtitle"/>
    <w:qFormat/>
    <w:rsid w:val="00D265C2"/>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21" ma:contentTypeDescription="Create a new document." ma:contentTypeScope="" ma:versionID="5bdc63f758997044238f9841a7bfdb94">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3d035c03660f5affde011edbebfd4e90"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2.xml><?xml version="1.0" encoding="utf-8"?>
<ds:datastoreItem xmlns:ds="http://schemas.openxmlformats.org/officeDocument/2006/customXml" ds:itemID="{BA84CB2D-80F2-4964-A5D7-C2A620FF83F5}">
  <ds:schemaRefs>
    <ds:schemaRef ds:uri="http://schemas.microsoft.com/sharepoint/v3/contenttype/forms"/>
  </ds:schemaRefs>
</ds:datastoreItem>
</file>

<file path=customXml/itemProps3.xml><?xml version="1.0" encoding="utf-8"?>
<ds:datastoreItem xmlns:ds="http://schemas.openxmlformats.org/officeDocument/2006/customXml" ds:itemID="{15016886-660D-4782-9FDC-A645192AE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224DF-D2AE-414E-9140-41F7F3C17777}">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sharepoint/v3"/>
    <ds:schemaRef ds:uri="2a2db8c4-56ab-4882-a5d0-0fe8165c6658"/>
    <ds:schemaRef ds:uri="http://purl.org/dc/elements/1.1/"/>
    <ds:schemaRef ds:uri="http://schemas.openxmlformats.org/package/2006/metadata/core-properties"/>
    <ds:schemaRef ds:uri="41d6d728-afb5-49e6-a79f-5f3b4d7fb77b"/>
    <ds:schemaRef ds:uri="8fbb3c32-9609-4006-8590-064dc5b075e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6835</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Upward Bound and Upward Bound Math-Science Programs</vt:lpstr>
    </vt:vector>
  </TitlesOfParts>
  <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Bound and Upward Bound Math-Science Programs (MS Word)</dc:title>
  <dc:subject/>
  <dc:creator>U.S. Department of Education</dc:creator>
  <cp:keywords/>
  <dc:description/>
  <cp:lastModifiedBy>Chin, David</cp:lastModifiedBy>
  <cp:revision>2</cp:revision>
  <cp:lastPrinted>2023-12-07T18:17:00Z</cp:lastPrinted>
  <dcterms:created xsi:type="dcterms:W3CDTF">2024-02-28T17:08:00Z</dcterms:created>
  <dcterms:modified xsi:type="dcterms:W3CDTF">2024-02-28T17:08:00Z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y fmtid="{D5CDD505-2E9C-101B-9397-08002B2CF9AE}" pid="3" name="MediaServiceImageTags">
    <vt:lpwstr/>
  </property>
</Properties>
</file>