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EB2C5" w14:textId="77777777" w:rsidR="0084618D" w:rsidRPr="00725BA5" w:rsidRDefault="0084618D" w:rsidP="0084618D">
      <w:pPr>
        <w:tabs>
          <w:tab w:val="left" w:pos="1530"/>
        </w:tabs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  <w:bookmarkStart w:id="0" w:name="_GoBack"/>
      <w:bookmarkEnd w:id="0"/>
      <w:r w:rsidRPr="00725BA5">
        <w:rPr>
          <w:rFonts w:ascii="Calibri" w:eastAsia="Calibri" w:hAnsi="Calibri" w:cs="Times New Roman"/>
          <w:b/>
        </w:rPr>
        <w:t xml:space="preserve">Issue Paper </w:t>
      </w:r>
      <w:r>
        <w:rPr>
          <w:rFonts w:ascii="Calibri" w:eastAsia="Calibri" w:hAnsi="Calibri" w:cs="Times New Roman"/>
          <w:b/>
        </w:rPr>
        <w:t>8</w:t>
      </w:r>
    </w:p>
    <w:p w14:paraId="57FD33BD" w14:textId="77777777" w:rsidR="0084618D" w:rsidRPr="00725BA5" w:rsidRDefault="0084618D" w:rsidP="0084618D">
      <w:pPr>
        <w:tabs>
          <w:tab w:val="left" w:pos="1530"/>
        </w:tabs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  <w:r w:rsidRPr="00725BA5">
        <w:rPr>
          <w:rFonts w:ascii="Calibri" w:eastAsia="Calibri" w:hAnsi="Calibri" w:cs="Times New Roman"/>
          <w:b/>
        </w:rPr>
        <w:t>Session 1:  November 13-1</w:t>
      </w:r>
      <w:r>
        <w:rPr>
          <w:rFonts w:ascii="Calibri" w:eastAsia="Calibri" w:hAnsi="Calibri" w:cs="Times New Roman"/>
          <w:b/>
        </w:rPr>
        <w:t>5</w:t>
      </w:r>
      <w:r w:rsidRPr="00725BA5">
        <w:rPr>
          <w:rFonts w:ascii="Calibri" w:eastAsia="Calibri" w:hAnsi="Calibri" w:cs="Times New Roman"/>
          <w:b/>
        </w:rPr>
        <w:t>, 2017</w:t>
      </w:r>
    </w:p>
    <w:p w14:paraId="27B6C363" w14:textId="77777777" w:rsidR="0084618D" w:rsidRPr="00725BA5" w:rsidRDefault="0084618D" w:rsidP="0084618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9726BC2" w14:textId="77777777" w:rsidR="0084618D" w:rsidRPr="00725BA5" w:rsidRDefault="0084618D" w:rsidP="0084618D">
      <w:pPr>
        <w:spacing w:after="0" w:line="240" w:lineRule="auto"/>
        <w:ind w:left="2160" w:hanging="2160"/>
        <w:rPr>
          <w:rFonts w:ascii="Calibri" w:eastAsia="Calibri" w:hAnsi="Calibri" w:cs="Times New Roman"/>
        </w:rPr>
      </w:pPr>
      <w:r w:rsidRPr="00725BA5">
        <w:rPr>
          <w:rFonts w:ascii="Calibri" w:eastAsia="Calibri" w:hAnsi="Calibri" w:cs="Times New Roman"/>
          <w:b/>
        </w:rPr>
        <w:t>Issue:</w:t>
      </w:r>
      <w:r w:rsidRPr="00725BA5">
        <w:rPr>
          <w:rFonts w:ascii="Calibri" w:eastAsia="Calibri" w:hAnsi="Calibri" w:cs="Times New Roman"/>
        </w:rPr>
        <w:tab/>
        <w:t xml:space="preserve">Whether to </w:t>
      </w:r>
      <w:r>
        <w:rPr>
          <w:rFonts w:ascii="Calibri" w:eastAsia="Calibri" w:hAnsi="Calibri" w:cs="Times New Roman"/>
        </w:rPr>
        <w:t>recalculate a borrower’s Subsidized Usage Period and interest accrual, if applicable, when the borrower receives a discharge of a loan for which he or she has not received all or part of the educational benefit of the loan</w:t>
      </w:r>
    </w:p>
    <w:p w14:paraId="259CAD32" w14:textId="77777777" w:rsidR="0084618D" w:rsidRPr="00725BA5" w:rsidRDefault="0084618D" w:rsidP="0084618D">
      <w:pPr>
        <w:spacing w:after="0" w:line="240" w:lineRule="auto"/>
        <w:ind w:left="2160" w:hanging="2160"/>
        <w:rPr>
          <w:rFonts w:ascii="Calibri" w:eastAsia="Calibri" w:hAnsi="Calibri" w:cs="Times New Roman"/>
          <w:b/>
        </w:rPr>
      </w:pPr>
    </w:p>
    <w:p w14:paraId="06AD2817" w14:textId="77777777" w:rsidR="0084618D" w:rsidRPr="00725BA5" w:rsidRDefault="0084618D" w:rsidP="0084618D">
      <w:pPr>
        <w:spacing w:after="0" w:line="240" w:lineRule="auto"/>
        <w:ind w:left="2160" w:hanging="2160"/>
        <w:rPr>
          <w:rFonts w:ascii="Calibri" w:eastAsia="Calibri" w:hAnsi="Calibri" w:cs="Times New Roman"/>
        </w:rPr>
      </w:pPr>
      <w:r w:rsidRPr="00725BA5">
        <w:rPr>
          <w:rFonts w:ascii="Calibri" w:eastAsia="Calibri" w:hAnsi="Calibri" w:cs="Times New Roman"/>
          <w:b/>
        </w:rPr>
        <w:t>Statutory cite:</w:t>
      </w:r>
      <w:r w:rsidRPr="00725BA5">
        <w:rPr>
          <w:rFonts w:ascii="Calibri" w:eastAsia="Calibri" w:hAnsi="Calibri" w:cs="Times New Roman"/>
          <w:b/>
        </w:rPr>
        <w:tab/>
      </w:r>
      <w:r w:rsidRPr="0023114D">
        <w:rPr>
          <w:rFonts w:ascii="Calibri" w:eastAsia="Calibri" w:hAnsi="Calibri" w:cs="Times New Roman"/>
        </w:rPr>
        <w:t>§</w:t>
      </w:r>
      <w:r>
        <w:rPr>
          <w:rFonts w:ascii="Calibri" w:eastAsia="Calibri" w:hAnsi="Calibri" w:cs="Times New Roman"/>
          <w:b/>
        </w:rPr>
        <w:t xml:space="preserve"> </w:t>
      </w:r>
      <w:r w:rsidRPr="00725BA5">
        <w:rPr>
          <w:rFonts w:ascii="Calibri" w:eastAsia="Calibri" w:hAnsi="Calibri" w:cs="Times New Roman"/>
        </w:rPr>
        <w:t>455(</w:t>
      </w:r>
      <w:r>
        <w:rPr>
          <w:rFonts w:ascii="Calibri" w:eastAsia="Calibri" w:hAnsi="Calibri" w:cs="Times New Roman"/>
        </w:rPr>
        <w:t>q</w:t>
      </w:r>
      <w:r w:rsidRPr="00725BA5">
        <w:rPr>
          <w:rFonts w:ascii="Calibri" w:eastAsia="Calibri" w:hAnsi="Calibri" w:cs="Times New Roman"/>
        </w:rPr>
        <w:t>) of the Higher Education Act of 1965, as amended</w:t>
      </w:r>
      <w:r>
        <w:rPr>
          <w:rFonts w:ascii="Calibri" w:eastAsia="Calibri" w:hAnsi="Calibri" w:cs="Times New Roman"/>
        </w:rPr>
        <w:t xml:space="preserve"> (HEA)</w:t>
      </w:r>
    </w:p>
    <w:p w14:paraId="3BE7B46D" w14:textId="77777777" w:rsidR="0084618D" w:rsidRPr="00725BA5" w:rsidRDefault="0084618D" w:rsidP="0084618D">
      <w:pPr>
        <w:spacing w:after="0" w:line="240" w:lineRule="auto"/>
        <w:rPr>
          <w:rFonts w:ascii="Calibri" w:eastAsia="Calibri" w:hAnsi="Calibri" w:cs="Times New Roman"/>
        </w:rPr>
      </w:pPr>
      <w:r w:rsidRPr="00725BA5">
        <w:rPr>
          <w:rFonts w:ascii="Calibri" w:eastAsia="Calibri" w:hAnsi="Calibri" w:cs="Times New Roman"/>
          <w:b/>
        </w:rPr>
        <w:tab/>
      </w:r>
    </w:p>
    <w:p w14:paraId="43018AAC" w14:textId="77777777" w:rsidR="0084618D" w:rsidRPr="00725BA5" w:rsidRDefault="0084618D" w:rsidP="0084618D">
      <w:pPr>
        <w:spacing w:after="0" w:line="240" w:lineRule="auto"/>
        <w:rPr>
          <w:rFonts w:ascii="Calibri" w:eastAsia="Calibri" w:hAnsi="Calibri" w:cs="Times New Roman"/>
        </w:rPr>
      </w:pPr>
      <w:r w:rsidRPr="00725BA5">
        <w:rPr>
          <w:rFonts w:ascii="Calibri" w:eastAsia="Calibri" w:hAnsi="Calibri" w:cs="Times New Roman"/>
          <w:b/>
        </w:rPr>
        <w:t>Regulatory cite:</w:t>
      </w:r>
      <w:r w:rsidRPr="00725BA5">
        <w:rPr>
          <w:rFonts w:ascii="Calibri" w:eastAsia="Calibri" w:hAnsi="Calibri" w:cs="Times New Roman"/>
          <w:b/>
        </w:rPr>
        <w:tab/>
      </w:r>
      <w:r w:rsidRPr="00725BA5">
        <w:rPr>
          <w:rFonts w:ascii="Calibri" w:eastAsia="Calibri" w:hAnsi="Calibri" w:cs="Times New Roman"/>
        </w:rPr>
        <w:t>34 CFR</w:t>
      </w:r>
      <w:r w:rsidRPr="00725BA5">
        <w:rPr>
          <w:rFonts w:ascii="Calibri" w:eastAsia="Calibri" w:hAnsi="Calibri" w:cs="Times New Roman"/>
          <w:b/>
        </w:rPr>
        <w:t xml:space="preserve"> </w:t>
      </w:r>
      <w:r w:rsidRPr="00725BA5">
        <w:rPr>
          <w:rFonts w:ascii="Calibri" w:eastAsia="Calibri" w:hAnsi="Calibri" w:cs="Times New Roman"/>
        </w:rPr>
        <w:t>685.</w:t>
      </w:r>
      <w:r>
        <w:rPr>
          <w:rFonts w:ascii="Calibri" w:eastAsia="Calibri" w:hAnsi="Calibri" w:cs="Times New Roman"/>
        </w:rPr>
        <w:t>200(f)</w:t>
      </w:r>
    </w:p>
    <w:p w14:paraId="2D31B07E" w14:textId="77777777" w:rsidR="0084618D" w:rsidRPr="00725BA5" w:rsidRDefault="0084618D" w:rsidP="0084618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64C9A9A" w14:textId="77777777" w:rsidR="0084618D" w:rsidRPr="00725BA5" w:rsidRDefault="0084618D" w:rsidP="0084618D">
      <w:pPr>
        <w:spacing w:after="0" w:line="240" w:lineRule="auto"/>
        <w:rPr>
          <w:rFonts w:ascii="Calibri" w:eastAsia="Calibri" w:hAnsi="Calibri" w:cs="Times New Roman"/>
          <w:b/>
        </w:rPr>
      </w:pPr>
      <w:r w:rsidRPr="00725BA5">
        <w:rPr>
          <w:rFonts w:ascii="Calibri" w:eastAsia="Calibri" w:hAnsi="Calibri" w:cs="Times New Roman"/>
          <w:b/>
        </w:rPr>
        <w:t>Summary of issue:</w:t>
      </w:r>
    </w:p>
    <w:p w14:paraId="23D3F511" w14:textId="77777777" w:rsidR="0084618D" w:rsidRPr="00725BA5" w:rsidRDefault="0084618D" w:rsidP="0084618D">
      <w:pPr>
        <w:spacing w:after="0" w:line="240" w:lineRule="auto"/>
        <w:rPr>
          <w:rFonts w:ascii="Calibri" w:eastAsia="Calibri" w:hAnsi="Calibri" w:cs="Times New Roman"/>
        </w:rPr>
      </w:pPr>
    </w:p>
    <w:p w14:paraId="156D4EF7" w14:textId="77777777" w:rsidR="0084618D" w:rsidRDefault="0084618D" w:rsidP="0084618D">
      <w:pPr>
        <w:spacing w:after="0" w:line="240" w:lineRule="auto"/>
        <w:rPr>
          <w:rFonts w:ascii="Calibri" w:hAnsi="Calibri"/>
        </w:rPr>
      </w:pPr>
      <w:r w:rsidRPr="00EA60E4">
        <w:rPr>
          <w:rFonts w:ascii="Calibri" w:hAnsi="Calibri"/>
        </w:rPr>
        <w:t>Section 455(q) of the HEA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provides that a first-time borrower on or</w:t>
      </w:r>
      <w:r>
        <w:rPr>
          <w:rFonts w:ascii="Calibri" w:hAnsi="Calibri"/>
        </w:rPr>
        <w:t xml:space="preserve"> after July 1, 2013,</w:t>
      </w:r>
      <w:r w:rsidRPr="00EA60E4">
        <w:rPr>
          <w:rFonts w:ascii="Calibri" w:hAnsi="Calibri"/>
        </w:rPr>
        <w:t xml:space="preserve"> is not eligible for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additional Direct Subsidized Loans if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the borrower has received Direct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Subsidized Loans for a period that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is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equal to or greater than 150 percent of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the length of the borrower’s current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program of study. In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addition, some borrowers who are not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eligible for Direct Subsidized Loans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because of the 150 percent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limit become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responsible for the interest that accrues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on their loans when it would otherwise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be paid by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 xml:space="preserve">the government. </w:t>
      </w:r>
      <w:r>
        <w:rPr>
          <w:rFonts w:ascii="Calibri" w:hAnsi="Calibri"/>
        </w:rPr>
        <w:t>Neither the</w:t>
      </w:r>
      <w:r w:rsidRPr="00EA60E4">
        <w:rPr>
          <w:rFonts w:ascii="Calibri" w:hAnsi="Calibri"/>
        </w:rPr>
        <w:t xml:space="preserve"> statute</w:t>
      </w:r>
      <w:r>
        <w:rPr>
          <w:rFonts w:ascii="Calibri" w:hAnsi="Calibri"/>
        </w:rPr>
        <w:t xml:space="preserve"> nor regulations issued prior to the delayed 2016 regulations </w:t>
      </w:r>
      <w:r w:rsidRPr="00EA60E4">
        <w:rPr>
          <w:rFonts w:ascii="Calibri" w:hAnsi="Calibri"/>
        </w:rPr>
        <w:t>address what effect a discharge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of a Direct Subsidized Loan has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on the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 xml:space="preserve">150 percent limit. </w:t>
      </w:r>
      <w:r>
        <w:rPr>
          <w:rFonts w:ascii="Calibri" w:hAnsi="Calibri"/>
        </w:rPr>
        <w:t>They</w:t>
      </w:r>
      <w:r w:rsidRPr="00EA60E4">
        <w:rPr>
          <w:rFonts w:ascii="Calibri" w:hAnsi="Calibri"/>
        </w:rPr>
        <w:t xml:space="preserve"> also do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not address whose responsibility it is to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pay the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outstanding interest on any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remaining loans that have not been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discharged, but have previously lost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eligibility for interest subsidy.</w:t>
      </w:r>
    </w:p>
    <w:p w14:paraId="1D7B1FA4" w14:textId="77777777" w:rsidR="0084618D" w:rsidRDefault="0084618D" w:rsidP="0084618D">
      <w:pPr>
        <w:spacing w:after="0" w:line="240" w:lineRule="auto"/>
        <w:rPr>
          <w:rFonts w:ascii="Calibri" w:hAnsi="Calibri"/>
        </w:rPr>
      </w:pPr>
    </w:p>
    <w:p w14:paraId="17799C1D" w14:textId="77777777" w:rsidR="0084618D" w:rsidRDefault="0084618D" w:rsidP="0084618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Currently, the Department does not include in the calculation of a borrower’s subsidized usage period, the subsidized usage period associated with a Direct Subsidized Loan or the portion of a Direct Consolidation Loan that repaid a Direct Subsidized Loan if the borrower receives a discharge that demonstrates the borrower did not receive all or part of the educational benefit of the loan. The discharges that meet this description are: </w:t>
      </w:r>
      <w:r w:rsidRPr="00EA60E4">
        <w:rPr>
          <w:rFonts w:ascii="Calibri" w:hAnsi="Calibri"/>
        </w:rPr>
        <w:t>closed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 xml:space="preserve">school, false certification, </w:t>
      </w:r>
      <w:r>
        <w:rPr>
          <w:rFonts w:ascii="Calibri" w:hAnsi="Calibri"/>
        </w:rPr>
        <w:t xml:space="preserve">unpaid refund, and borrower </w:t>
      </w:r>
      <w:r w:rsidRPr="00EA60E4">
        <w:rPr>
          <w:rFonts w:ascii="Calibri" w:hAnsi="Calibri"/>
        </w:rPr>
        <w:t>defense</w:t>
      </w:r>
      <w:r>
        <w:rPr>
          <w:rFonts w:ascii="Calibri" w:hAnsi="Calibri"/>
        </w:rPr>
        <w:t xml:space="preserve">. </w:t>
      </w:r>
    </w:p>
    <w:p w14:paraId="2F66CD97" w14:textId="77777777" w:rsidR="0084618D" w:rsidRDefault="0084618D" w:rsidP="0084618D">
      <w:pPr>
        <w:spacing w:after="0" w:line="240" w:lineRule="auto"/>
        <w:rPr>
          <w:rFonts w:ascii="Calibri" w:hAnsi="Calibri"/>
        </w:rPr>
      </w:pPr>
    </w:p>
    <w:p w14:paraId="15E9F785" w14:textId="77777777" w:rsidR="0084618D" w:rsidRDefault="0084618D" w:rsidP="0084618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As a part of the November 1, 2016, final regulations, the Department reflected this practice by amending 34 CFR </w:t>
      </w:r>
      <w:r w:rsidRPr="00EA60E4">
        <w:rPr>
          <w:rFonts w:ascii="Calibri" w:hAnsi="Calibri"/>
        </w:rPr>
        <w:t>685.200(f</w:t>
      </w:r>
      <w:proofErr w:type="gramStart"/>
      <w:r w:rsidRPr="00EA60E4">
        <w:rPr>
          <w:rFonts w:ascii="Calibri" w:hAnsi="Calibri"/>
        </w:rPr>
        <w:t>)(</w:t>
      </w:r>
      <w:proofErr w:type="gramEnd"/>
      <w:r w:rsidRPr="00EA60E4">
        <w:rPr>
          <w:rFonts w:ascii="Calibri" w:hAnsi="Calibri"/>
        </w:rPr>
        <w:t xml:space="preserve">4)(iii) </w:t>
      </w:r>
      <w:r>
        <w:rPr>
          <w:rFonts w:ascii="Calibri" w:hAnsi="Calibri"/>
        </w:rPr>
        <w:t xml:space="preserve">to </w:t>
      </w:r>
      <w:r w:rsidRPr="00EA60E4">
        <w:rPr>
          <w:rFonts w:ascii="Calibri" w:hAnsi="Calibri"/>
        </w:rPr>
        <w:t>specify that a</w:t>
      </w:r>
      <w:r>
        <w:rPr>
          <w:rFonts w:ascii="Calibri" w:hAnsi="Calibri"/>
        </w:rPr>
        <w:t xml:space="preserve"> partial or full </w:t>
      </w:r>
      <w:r w:rsidRPr="00EA60E4">
        <w:rPr>
          <w:rFonts w:ascii="Calibri" w:hAnsi="Calibri"/>
        </w:rPr>
        <w:t>discharge based on school closure, false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>certification,</w:t>
      </w:r>
      <w:r>
        <w:rPr>
          <w:rFonts w:ascii="Calibri" w:hAnsi="Calibri"/>
        </w:rPr>
        <w:t xml:space="preserve"> </w:t>
      </w:r>
      <w:r w:rsidRPr="00EA60E4">
        <w:rPr>
          <w:rFonts w:ascii="Calibri" w:hAnsi="Calibri"/>
        </w:rPr>
        <w:t xml:space="preserve">unpaid refund, or </w:t>
      </w:r>
      <w:r>
        <w:rPr>
          <w:rFonts w:ascii="Calibri" w:hAnsi="Calibri"/>
        </w:rPr>
        <w:t xml:space="preserve">borrower defense would result in the elimination or recalculation of the subsidized usage period associated with the loan(s) discharged in calculating a borrower’s subsidized usage period. </w:t>
      </w:r>
      <w:r w:rsidRPr="00EA60E4">
        <w:rPr>
          <w:rFonts w:ascii="Calibri" w:hAnsi="Calibri"/>
        </w:rPr>
        <w:t>The</w:t>
      </w:r>
      <w:r>
        <w:rPr>
          <w:rFonts w:ascii="Calibri" w:hAnsi="Calibri"/>
        </w:rPr>
        <w:t xml:space="preserve"> Department</w:t>
      </w:r>
      <w:r w:rsidRPr="00EA60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also amended 34 CFR </w:t>
      </w:r>
      <w:r w:rsidRPr="00EA60E4">
        <w:rPr>
          <w:rFonts w:ascii="Calibri" w:hAnsi="Calibri"/>
        </w:rPr>
        <w:t>685.200(f)(</w:t>
      </w:r>
      <w:r>
        <w:rPr>
          <w:rFonts w:ascii="Calibri" w:hAnsi="Calibri"/>
        </w:rPr>
        <w:t>3</w:t>
      </w:r>
      <w:r w:rsidRPr="00EA60E4">
        <w:rPr>
          <w:rFonts w:ascii="Calibri" w:hAnsi="Calibri"/>
        </w:rPr>
        <w:t>)(</w:t>
      </w:r>
      <w:r>
        <w:rPr>
          <w:rFonts w:ascii="Calibri" w:hAnsi="Calibri"/>
        </w:rPr>
        <w:t>v</w:t>
      </w:r>
      <w:r w:rsidRPr="00EA60E4">
        <w:rPr>
          <w:rFonts w:ascii="Calibri" w:hAnsi="Calibri"/>
        </w:rPr>
        <w:t>)</w:t>
      </w:r>
      <w:r>
        <w:rPr>
          <w:rFonts w:ascii="Calibri" w:hAnsi="Calibri"/>
        </w:rPr>
        <w:t xml:space="preserve"> to provide that if all or part of a </w:t>
      </w:r>
      <w:r w:rsidRPr="00EA60E4">
        <w:rPr>
          <w:rFonts w:ascii="Calibri" w:hAnsi="Calibri"/>
        </w:rPr>
        <w:t xml:space="preserve">Direct Subsidized Loan </w:t>
      </w:r>
      <w:r>
        <w:rPr>
          <w:rFonts w:ascii="Calibri" w:hAnsi="Calibri"/>
        </w:rPr>
        <w:t xml:space="preserve">(or applicable portion of a Direct Consolidation Loan) is discharged such that a borrower has a remaining eligibility period, the Department </w:t>
      </w:r>
      <w:r w:rsidRPr="00EA60E4">
        <w:rPr>
          <w:rFonts w:ascii="Calibri" w:hAnsi="Calibri"/>
        </w:rPr>
        <w:t>reinstate</w:t>
      </w:r>
      <w:r>
        <w:rPr>
          <w:rFonts w:ascii="Calibri" w:hAnsi="Calibri"/>
        </w:rPr>
        <w:t xml:space="preserve">s the </w:t>
      </w:r>
      <w:r w:rsidRPr="00EA60E4">
        <w:rPr>
          <w:rFonts w:ascii="Calibri" w:hAnsi="Calibri"/>
        </w:rPr>
        <w:t xml:space="preserve">interest subsidy </w:t>
      </w:r>
      <w:r>
        <w:rPr>
          <w:rFonts w:ascii="Calibri" w:hAnsi="Calibri"/>
        </w:rPr>
        <w:t xml:space="preserve">on any eligible loans and refunds applicable amounts already paid by the borrower. </w:t>
      </w:r>
    </w:p>
    <w:p w14:paraId="4BC95EBD" w14:textId="77777777" w:rsidR="0084618D" w:rsidRPr="00725BA5" w:rsidRDefault="0084618D" w:rsidP="0084618D">
      <w:pPr>
        <w:tabs>
          <w:tab w:val="left" w:pos="360"/>
        </w:tabs>
        <w:spacing w:line="240" w:lineRule="auto"/>
        <w:rPr>
          <w:rFonts w:ascii="Calibri" w:hAnsi="Calibri"/>
        </w:rPr>
      </w:pPr>
    </w:p>
    <w:p w14:paraId="0744660F" w14:textId="77777777" w:rsidR="0084618D" w:rsidRPr="00725BA5" w:rsidRDefault="0084618D" w:rsidP="0084618D">
      <w:pPr>
        <w:spacing w:after="0" w:line="240" w:lineRule="auto"/>
        <w:rPr>
          <w:rFonts w:ascii="Calibri" w:eastAsia="Calibri" w:hAnsi="Calibri" w:cs="Times New Roman"/>
        </w:rPr>
      </w:pPr>
      <w:r w:rsidRPr="00725BA5">
        <w:rPr>
          <w:rFonts w:ascii="Calibri" w:eastAsia="Calibri" w:hAnsi="Calibri" w:cs="Times New Roman"/>
        </w:rPr>
        <w:t>Questions for consideration by the committee include:</w:t>
      </w:r>
    </w:p>
    <w:p w14:paraId="660C086A" w14:textId="77777777" w:rsidR="0084618D" w:rsidRPr="00725BA5" w:rsidRDefault="0084618D" w:rsidP="0084618D">
      <w:pPr>
        <w:spacing w:after="0" w:line="240" w:lineRule="auto"/>
        <w:rPr>
          <w:rFonts w:ascii="Calibri" w:eastAsia="Calibri" w:hAnsi="Calibri" w:cs="Times New Roman"/>
        </w:rPr>
      </w:pPr>
    </w:p>
    <w:p w14:paraId="76ABC8D5" w14:textId="77777777" w:rsidR="0084618D" w:rsidRPr="00725BA5" w:rsidRDefault="0084618D" w:rsidP="0084618D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Should the Department recalculate or eliminate the applicable subsidized usage period from calculation of the borrower’s subsidized usage period and reinstate interest subsidy (if applicable) when a borrower receives a loan discharge?</w:t>
      </w:r>
    </w:p>
    <w:p w14:paraId="37449D06" w14:textId="77777777" w:rsidR="0084618D" w:rsidRPr="00725BA5" w:rsidRDefault="0084618D" w:rsidP="0084618D">
      <w:pPr>
        <w:pStyle w:val="ListParagraph"/>
        <w:spacing w:after="0" w:line="240" w:lineRule="auto"/>
        <w:ind w:left="360"/>
        <w:rPr>
          <w:rFonts w:ascii="Calibri" w:eastAsia="Calibri" w:hAnsi="Calibri" w:cs="Times New Roman"/>
        </w:rPr>
      </w:pPr>
      <w:r w:rsidRPr="00725BA5">
        <w:rPr>
          <w:rFonts w:ascii="Calibri" w:eastAsia="Calibri" w:hAnsi="Calibri" w:cs="Times New Roman"/>
        </w:rPr>
        <w:t xml:space="preserve"> </w:t>
      </w:r>
    </w:p>
    <w:p w14:paraId="5E48BC94" w14:textId="77777777" w:rsidR="0084618D" w:rsidRPr="003C2F8D" w:rsidRDefault="0084618D" w:rsidP="003C2F8D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Calibri" w:eastAsia="Calibri" w:hAnsi="Calibri" w:cs="Times New Roman"/>
        </w:rPr>
      </w:pPr>
      <w:r w:rsidRPr="003C2F8D">
        <w:rPr>
          <w:rFonts w:ascii="Calibri" w:hAnsi="Calibri"/>
        </w:rPr>
        <w:t>If so, to which discharges should recalculation or elimination of subsidized usage periods apply?</w:t>
      </w:r>
    </w:p>
    <w:sectPr w:rsidR="0084618D" w:rsidRPr="003C2F8D" w:rsidSect="00E54480"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0607AF" w15:done="0"/>
  <w15:commentEx w15:paraId="018A508B" w15:done="0"/>
  <w15:commentEx w15:paraId="7C3BB32D" w15:done="0"/>
  <w15:commentEx w15:paraId="31412126" w15:done="0"/>
  <w15:commentEx w15:paraId="6B8C1E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71495" w14:textId="77777777" w:rsidR="003414BC" w:rsidRDefault="003414BC" w:rsidP="00C419CD">
      <w:pPr>
        <w:spacing w:after="0" w:line="240" w:lineRule="auto"/>
      </w:pPr>
      <w:r>
        <w:separator/>
      </w:r>
    </w:p>
  </w:endnote>
  <w:endnote w:type="continuationSeparator" w:id="0">
    <w:p w14:paraId="3273DD33" w14:textId="77777777" w:rsidR="003414BC" w:rsidRDefault="003414BC" w:rsidP="00C419CD">
      <w:pPr>
        <w:spacing w:after="0" w:line="240" w:lineRule="auto"/>
      </w:pPr>
      <w:r>
        <w:continuationSeparator/>
      </w:r>
    </w:p>
  </w:endnote>
  <w:endnote w:type="continuationNotice" w:id="1">
    <w:p w14:paraId="0628B569" w14:textId="77777777" w:rsidR="003414BC" w:rsidRDefault="00341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63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34C62" w14:textId="77777777" w:rsidR="0031175B" w:rsidRDefault="003117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A6110F" w14:textId="77777777" w:rsidR="0031175B" w:rsidRDefault="00311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76BF5" w14:textId="77777777" w:rsidR="003414BC" w:rsidRDefault="003414BC" w:rsidP="00C419CD">
      <w:pPr>
        <w:spacing w:after="0" w:line="240" w:lineRule="auto"/>
      </w:pPr>
      <w:r>
        <w:separator/>
      </w:r>
    </w:p>
  </w:footnote>
  <w:footnote w:type="continuationSeparator" w:id="0">
    <w:p w14:paraId="52480F0A" w14:textId="77777777" w:rsidR="003414BC" w:rsidRDefault="003414BC" w:rsidP="00C419CD">
      <w:pPr>
        <w:spacing w:after="0" w:line="240" w:lineRule="auto"/>
      </w:pPr>
      <w:r>
        <w:continuationSeparator/>
      </w:r>
    </w:p>
  </w:footnote>
  <w:footnote w:type="continuationNotice" w:id="1">
    <w:p w14:paraId="0E74582B" w14:textId="77777777" w:rsidR="003414BC" w:rsidRDefault="003414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529"/>
    <w:multiLevelType w:val="hybridMultilevel"/>
    <w:tmpl w:val="81947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E48FA"/>
    <w:multiLevelType w:val="hybridMultilevel"/>
    <w:tmpl w:val="224C2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522EE"/>
    <w:multiLevelType w:val="hybridMultilevel"/>
    <w:tmpl w:val="2D58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6246C"/>
    <w:multiLevelType w:val="hybridMultilevel"/>
    <w:tmpl w:val="D63C4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983270"/>
    <w:multiLevelType w:val="hybridMultilevel"/>
    <w:tmpl w:val="90860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C6C3E"/>
    <w:multiLevelType w:val="hybridMultilevel"/>
    <w:tmpl w:val="3E164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B59B4"/>
    <w:multiLevelType w:val="hybridMultilevel"/>
    <w:tmpl w:val="AC14F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B74294"/>
    <w:multiLevelType w:val="hybridMultilevel"/>
    <w:tmpl w:val="BD307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CF2C54"/>
    <w:multiLevelType w:val="hybridMultilevel"/>
    <w:tmpl w:val="F5F8D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482DAC"/>
    <w:multiLevelType w:val="hybridMultilevel"/>
    <w:tmpl w:val="CE7630E2"/>
    <w:lvl w:ilvl="0" w:tplc="6D4E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A6F6A"/>
    <w:multiLevelType w:val="hybridMultilevel"/>
    <w:tmpl w:val="EC786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63580A"/>
    <w:multiLevelType w:val="hybridMultilevel"/>
    <w:tmpl w:val="824A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E5F59"/>
    <w:multiLevelType w:val="hybridMultilevel"/>
    <w:tmpl w:val="3AE4B748"/>
    <w:lvl w:ilvl="0" w:tplc="7C181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55C43"/>
    <w:multiLevelType w:val="hybridMultilevel"/>
    <w:tmpl w:val="85908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A926C1"/>
    <w:multiLevelType w:val="hybridMultilevel"/>
    <w:tmpl w:val="6694A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C7F3F"/>
    <w:multiLevelType w:val="hybridMultilevel"/>
    <w:tmpl w:val="AF98C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0302E"/>
    <w:multiLevelType w:val="hybridMultilevel"/>
    <w:tmpl w:val="FED4AD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BA360C"/>
    <w:multiLevelType w:val="hybridMultilevel"/>
    <w:tmpl w:val="363AD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E64FF2"/>
    <w:multiLevelType w:val="hybridMultilevel"/>
    <w:tmpl w:val="2D9AE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39052F"/>
    <w:multiLevelType w:val="hybridMultilevel"/>
    <w:tmpl w:val="23B08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865A79"/>
    <w:multiLevelType w:val="hybridMultilevel"/>
    <w:tmpl w:val="2AF2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727768"/>
    <w:multiLevelType w:val="hybridMultilevel"/>
    <w:tmpl w:val="57223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133A86"/>
    <w:multiLevelType w:val="hybridMultilevel"/>
    <w:tmpl w:val="B8A2A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FA67AF"/>
    <w:multiLevelType w:val="hybridMultilevel"/>
    <w:tmpl w:val="CF6CF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352A97"/>
    <w:multiLevelType w:val="hybridMultilevel"/>
    <w:tmpl w:val="BE56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5034B"/>
    <w:multiLevelType w:val="hybridMultilevel"/>
    <w:tmpl w:val="76261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995465"/>
    <w:multiLevelType w:val="hybridMultilevel"/>
    <w:tmpl w:val="6FF0E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A62D5E"/>
    <w:multiLevelType w:val="hybridMultilevel"/>
    <w:tmpl w:val="55806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167E99"/>
    <w:multiLevelType w:val="hybridMultilevel"/>
    <w:tmpl w:val="F2CE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F3B6F"/>
    <w:multiLevelType w:val="hybridMultilevel"/>
    <w:tmpl w:val="4E92B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C159E8"/>
    <w:multiLevelType w:val="hybridMultilevel"/>
    <w:tmpl w:val="B520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53768"/>
    <w:multiLevelType w:val="hybridMultilevel"/>
    <w:tmpl w:val="987E9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2478E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D731F5"/>
    <w:multiLevelType w:val="hybridMultilevel"/>
    <w:tmpl w:val="EA64A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B37E3F"/>
    <w:multiLevelType w:val="hybridMultilevel"/>
    <w:tmpl w:val="9D5C69B0"/>
    <w:lvl w:ilvl="0" w:tplc="D06A013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B13C6"/>
    <w:multiLevelType w:val="hybridMultilevel"/>
    <w:tmpl w:val="AB5A1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91CBF"/>
    <w:multiLevelType w:val="hybridMultilevel"/>
    <w:tmpl w:val="8598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30757"/>
    <w:multiLevelType w:val="hybridMultilevel"/>
    <w:tmpl w:val="479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F5653"/>
    <w:multiLevelType w:val="hybridMultilevel"/>
    <w:tmpl w:val="0888A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643CD9"/>
    <w:multiLevelType w:val="hybridMultilevel"/>
    <w:tmpl w:val="1300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31B2A"/>
    <w:multiLevelType w:val="hybridMultilevel"/>
    <w:tmpl w:val="E432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42D92"/>
    <w:multiLevelType w:val="hybridMultilevel"/>
    <w:tmpl w:val="C9F66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8254AE"/>
    <w:multiLevelType w:val="hybridMultilevel"/>
    <w:tmpl w:val="C728E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310E21"/>
    <w:multiLevelType w:val="hybridMultilevel"/>
    <w:tmpl w:val="B1E09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692AF7"/>
    <w:multiLevelType w:val="hybridMultilevel"/>
    <w:tmpl w:val="F6A4A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670E7C"/>
    <w:multiLevelType w:val="hybridMultilevel"/>
    <w:tmpl w:val="D7D6A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245ECB"/>
    <w:multiLevelType w:val="hybridMultilevel"/>
    <w:tmpl w:val="E062A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1"/>
  </w:num>
  <w:num w:numId="4">
    <w:abstractNumId w:val="18"/>
  </w:num>
  <w:num w:numId="5">
    <w:abstractNumId w:val="39"/>
  </w:num>
  <w:num w:numId="6">
    <w:abstractNumId w:val="45"/>
  </w:num>
  <w:num w:numId="7">
    <w:abstractNumId w:val="42"/>
  </w:num>
  <w:num w:numId="8">
    <w:abstractNumId w:val="19"/>
  </w:num>
  <w:num w:numId="9">
    <w:abstractNumId w:val="23"/>
  </w:num>
  <w:num w:numId="10">
    <w:abstractNumId w:val="2"/>
  </w:num>
  <w:num w:numId="11">
    <w:abstractNumId w:val="41"/>
  </w:num>
  <w:num w:numId="12">
    <w:abstractNumId w:val="6"/>
  </w:num>
  <w:num w:numId="13">
    <w:abstractNumId w:val="14"/>
  </w:num>
  <w:num w:numId="14">
    <w:abstractNumId w:val="21"/>
  </w:num>
  <w:num w:numId="15">
    <w:abstractNumId w:val="30"/>
  </w:num>
  <w:num w:numId="16">
    <w:abstractNumId w:val="31"/>
  </w:num>
  <w:num w:numId="17">
    <w:abstractNumId w:val="34"/>
  </w:num>
  <w:num w:numId="18">
    <w:abstractNumId w:val="0"/>
  </w:num>
  <w:num w:numId="19">
    <w:abstractNumId w:val="20"/>
  </w:num>
  <w:num w:numId="20">
    <w:abstractNumId w:val="27"/>
  </w:num>
  <w:num w:numId="21">
    <w:abstractNumId w:val="38"/>
  </w:num>
  <w:num w:numId="22">
    <w:abstractNumId w:val="29"/>
  </w:num>
  <w:num w:numId="23">
    <w:abstractNumId w:val="3"/>
  </w:num>
  <w:num w:numId="24">
    <w:abstractNumId w:val="5"/>
  </w:num>
  <w:num w:numId="25">
    <w:abstractNumId w:val="13"/>
  </w:num>
  <w:num w:numId="26">
    <w:abstractNumId w:val="10"/>
  </w:num>
  <w:num w:numId="27">
    <w:abstractNumId w:val="26"/>
  </w:num>
  <w:num w:numId="28">
    <w:abstractNumId w:val="4"/>
  </w:num>
  <w:num w:numId="29">
    <w:abstractNumId w:val="25"/>
  </w:num>
  <w:num w:numId="30">
    <w:abstractNumId w:val="32"/>
  </w:num>
  <w:num w:numId="31">
    <w:abstractNumId w:val="22"/>
  </w:num>
  <w:num w:numId="32">
    <w:abstractNumId w:val="8"/>
  </w:num>
  <w:num w:numId="33">
    <w:abstractNumId w:val="40"/>
  </w:num>
  <w:num w:numId="34">
    <w:abstractNumId w:val="12"/>
  </w:num>
  <w:num w:numId="35">
    <w:abstractNumId w:val="15"/>
  </w:num>
  <w:num w:numId="36">
    <w:abstractNumId w:val="36"/>
  </w:num>
  <w:num w:numId="37">
    <w:abstractNumId w:val="7"/>
  </w:num>
  <w:num w:numId="38">
    <w:abstractNumId w:val="16"/>
  </w:num>
  <w:num w:numId="39">
    <w:abstractNumId w:val="9"/>
  </w:num>
  <w:num w:numId="40">
    <w:abstractNumId w:val="44"/>
  </w:num>
  <w:num w:numId="41">
    <w:abstractNumId w:val="24"/>
  </w:num>
  <w:num w:numId="42">
    <w:abstractNumId w:val="28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7"/>
  </w:num>
  <w:num w:numId="46">
    <w:abstractNumId w:val="35"/>
  </w:num>
  <w:num w:numId="47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A9"/>
    <w:rsid w:val="00000397"/>
    <w:rsid w:val="000028FD"/>
    <w:rsid w:val="000104C7"/>
    <w:rsid w:val="0001487F"/>
    <w:rsid w:val="00014975"/>
    <w:rsid w:val="000168CB"/>
    <w:rsid w:val="000223E9"/>
    <w:rsid w:val="000246FB"/>
    <w:rsid w:val="000249CB"/>
    <w:rsid w:val="00025FE9"/>
    <w:rsid w:val="00026CE0"/>
    <w:rsid w:val="00027F18"/>
    <w:rsid w:val="0003124F"/>
    <w:rsid w:val="00031930"/>
    <w:rsid w:val="00032936"/>
    <w:rsid w:val="000335ED"/>
    <w:rsid w:val="00041080"/>
    <w:rsid w:val="00044F7F"/>
    <w:rsid w:val="000570A1"/>
    <w:rsid w:val="00060A1F"/>
    <w:rsid w:val="0006130C"/>
    <w:rsid w:val="00061B77"/>
    <w:rsid w:val="00067EC7"/>
    <w:rsid w:val="000708B6"/>
    <w:rsid w:val="00070E2A"/>
    <w:rsid w:val="0009229C"/>
    <w:rsid w:val="00096BD2"/>
    <w:rsid w:val="000A1729"/>
    <w:rsid w:val="000A19A6"/>
    <w:rsid w:val="000A4AB6"/>
    <w:rsid w:val="000A5D6D"/>
    <w:rsid w:val="000B2143"/>
    <w:rsid w:val="000B2AAE"/>
    <w:rsid w:val="000B5114"/>
    <w:rsid w:val="000B5A9A"/>
    <w:rsid w:val="000C3ABB"/>
    <w:rsid w:val="000D230A"/>
    <w:rsid w:val="000D3D2A"/>
    <w:rsid w:val="000D740F"/>
    <w:rsid w:val="000E621D"/>
    <w:rsid w:val="000E7809"/>
    <w:rsid w:val="000F0DF7"/>
    <w:rsid w:val="000F3267"/>
    <w:rsid w:val="001058C3"/>
    <w:rsid w:val="001165B6"/>
    <w:rsid w:val="001232DD"/>
    <w:rsid w:val="00124732"/>
    <w:rsid w:val="00124D39"/>
    <w:rsid w:val="00125C27"/>
    <w:rsid w:val="00131669"/>
    <w:rsid w:val="00152769"/>
    <w:rsid w:val="001544D3"/>
    <w:rsid w:val="00161605"/>
    <w:rsid w:val="00161767"/>
    <w:rsid w:val="001675E7"/>
    <w:rsid w:val="00174FD9"/>
    <w:rsid w:val="001774FE"/>
    <w:rsid w:val="00181733"/>
    <w:rsid w:val="0018283F"/>
    <w:rsid w:val="00185BB3"/>
    <w:rsid w:val="00187B1A"/>
    <w:rsid w:val="001932A8"/>
    <w:rsid w:val="00194170"/>
    <w:rsid w:val="00196345"/>
    <w:rsid w:val="00197D43"/>
    <w:rsid w:val="001A0BEF"/>
    <w:rsid w:val="001A0D77"/>
    <w:rsid w:val="001A1148"/>
    <w:rsid w:val="001A461F"/>
    <w:rsid w:val="001A5AB2"/>
    <w:rsid w:val="001A70C7"/>
    <w:rsid w:val="001B280B"/>
    <w:rsid w:val="001B2A90"/>
    <w:rsid w:val="001B3E31"/>
    <w:rsid w:val="001C0978"/>
    <w:rsid w:val="001C1E2A"/>
    <w:rsid w:val="001C3758"/>
    <w:rsid w:val="001C48C7"/>
    <w:rsid w:val="001C52D2"/>
    <w:rsid w:val="001D204A"/>
    <w:rsid w:val="001D3BBC"/>
    <w:rsid w:val="001D4FA3"/>
    <w:rsid w:val="001E272C"/>
    <w:rsid w:val="001E2BBC"/>
    <w:rsid w:val="001E3B0F"/>
    <w:rsid w:val="001F514B"/>
    <w:rsid w:val="001F5905"/>
    <w:rsid w:val="001F5FEE"/>
    <w:rsid w:val="00200B63"/>
    <w:rsid w:val="00202F64"/>
    <w:rsid w:val="00216A96"/>
    <w:rsid w:val="00217D95"/>
    <w:rsid w:val="00220BED"/>
    <w:rsid w:val="00221715"/>
    <w:rsid w:val="00223B0A"/>
    <w:rsid w:val="00231574"/>
    <w:rsid w:val="00234647"/>
    <w:rsid w:val="0024033A"/>
    <w:rsid w:val="00245F1D"/>
    <w:rsid w:val="00255B24"/>
    <w:rsid w:val="00260AF4"/>
    <w:rsid w:val="00264238"/>
    <w:rsid w:val="00266B3D"/>
    <w:rsid w:val="002776FB"/>
    <w:rsid w:val="0028090B"/>
    <w:rsid w:val="0028091A"/>
    <w:rsid w:val="002A21FD"/>
    <w:rsid w:val="002A393A"/>
    <w:rsid w:val="002A4AB1"/>
    <w:rsid w:val="002B0E63"/>
    <w:rsid w:val="002B3061"/>
    <w:rsid w:val="002B6968"/>
    <w:rsid w:val="002B7D22"/>
    <w:rsid w:val="002D041B"/>
    <w:rsid w:val="002D25D3"/>
    <w:rsid w:val="002D3544"/>
    <w:rsid w:val="002D4C1D"/>
    <w:rsid w:val="002E2D63"/>
    <w:rsid w:val="002E5641"/>
    <w:rsid w:val="002E7766"/>
    <w:rsid w:val="002F4560"/>
    <w:rsid w:val="002F4693"/>
    <w:rsid w:val="002F7FE0"/>
    <w:rsid w:val="0030539A"/>
    <w:rsid w:val="0031175B"/>
    <w:rsid w:val="0031249F"/>
    <w:rsid w:val="003202C4"/>
    <w:rsid w:val="00322924"/>
    <w:rsid w:val="00322E17"/>
    <w:rsid w:val="00324F12"/>
    <w:rsid w:val="00325743"/>
    <w:rsid w:val="00325E53"/>
    <w:rsid w:val="00327E32"/>
    <w:rsid w:val="003373BA"/>
    <w:rsid w:val="003414BC"/>
    <w:rsid w:val="003423F6"/>
    <w:rsid w:val="003516EC"/>
    <w:rsid w:val="003544BF"/>
    <w:rsid w:val="00357C1B"/>
    <w:rsid w:val="0036012B"/>
    <w:rsid w:val="00364E6F"/>
    <w:rsid w:val="00366459"/>
    <w:rsid w:val="00380019"/>
    <w:rsid w:val="003A2605"/>
    <w:rsid w:val="003A721B"/>
    <w:rsid w:val="003B186A"/>
    <w:rsid w:val="003B69DC"/>
    <w:rsid w:val="003C2F8D"/>
    <w:rsid w:val="003C4F95"/>
    <w:rsid w:val="003D264B"/>
    <w:rsid w:val="003D70CA"/>
    <w:rsid w:val="003E0272"/>
    <w:rsid w:val="003E05B2"/>
    <w:rsid w:val="003E180F"/>
    <w:rsid w:val="003E630E"/>
    <w:rsid w:val="003F7A74"/>
    <w:rsid w:val="00406DD8"/>
    <w:rsid w:val="0040726A"/>
    <w:rsid w:val="0041137E"/>
    <w:rsid w:val="00412BFA"/>
    <w:rsid w:val="004144C6"/>
    <w:rsid w:val="00414AF7"/>
    <w:rsid w:val="00414BAB"/>
    <w:rsid w:val="0041742D"/>
    <w:rsid w:val="00421253"/>
    <w:rsid w:val="0042591A"/>
    <w:rsid w:val="00451D26"/>
    <w:rsid w:val="004558C8"/>
    <w:rsid w:val="00460411"/>
    <w:rsid w:val="00464650"/>
    <w:rsid w:val="004701DD"/>
    <w:rsid w:val="004862F7"/>
    <w:rsid w:val="00487A3B"/>
    <w:rsid w:val="00493709"/>
    <w:rsid w:val="00495415"/>
    <w:rsid w:val="004A46E2"/>
    <w:rsid w:val="004B2866"/>
    <w:rsid w:val="004B2BD6"/>
    <w:rsid w:val="004C0CFE"/>
    <w:rsid w:val="004C1D6B"/>
    <w:rsid w:val="004C2B67"/>
    <w:rsid w:val="004C4158"/>
    <w:rsid w:val="004C4FA5"/>
    <w:rsid w:val="004C7D04"/>
    <w:rsid w:val="004D02F6"/>
    <w:rsid w:val="004D0B4E"/>
    <w:rsid w:val="004D2385"/>
    <w:rsid w:val="004D480C"/>
    <w:rsid w:val="004E0B63"/>
    <w:rsid w:val="004E2FF7"/>
    <w:rsid w:val="004E5ED8"/>
    <w:rsid w:val="004F7748"/>
    <w:rsid w:val="004F7BF6"/>
    <w:rsid w:val="00504313"/>
    <w:rsid w:val="005044F1"/>
    <w:rsid w:val="00504E4C"/>
    <w:rsid w:val="00505DB2"/>
    <w:rsid w:val="00506FA0"/>
    <w:rsid w:val="005105C8"/>
    <w:rsid w:val="005171B8"/>
    <w:rsid w:val="00517CB4"/>
    <w:rsid w:val="005239D5"/>
    <w:rsid w:val="00525296"/>
    <w:rsid w:val="0052559B"/>
    <w:rsid w:val="00525C26"/>
    <w:rsid w:val="00526A4F"/>
    <w:rsid w:val="0055599E"/>
    <w:rsid w:val="005578EA"/>
    <w:rsid w:val="00562647"/>
    <w:rsid w:val="00562D96"/>
    <w:rsid w:val="005671F4"/>
    <w:rsid w:val="00567AB1"/>
    <w:rsid w:val="00573C35"/>
    <w:rsid w:val="00581AD3"/>
    <w:rsid w:val="00582B1E"/>
    <w:rsid w:val="00587BA5"/>
    <w:rsid w:val="005939F1"/>
    <w:rsid w:val="005A2148"/>
    <w:rsid w:val="005A2459"/>
    <w:rsid w:val="005B3DA2"/>
    <w:rsid w:val="005B45D7"/>
    <w:rsid w:val="005B4759"/>
    <w:rsid w:val="005B639C"/>
    <w:rsid w:val="005C08BB"/>
    <w:rsid w:val="005C1991"/>
    <w:rsid w:val="005C421E"/>
    <w:rsid w:val="005C47B9"/>
    <w:rsid w:val="005C6180"/>
    <w:rsid w:val="005D020E"/>
    <w:rsid w:val="005D0FAC"/>
    <w:rsid w:val="005D1B94"/>
    <w:rsid w:val="005D1F8A"/>
    <w:rsid w:val="005D26A3"/>
    <w:rsid w:val="005D3F05"/>
    <w:rsid w:val="005E18D6"/>
    <w:rsid w:val="005E2965"/>
    <w:rsid w:val="005E44EB"/>
    <w:rsid w:val="005E66AA"/>
    <w:rsid w:val="005F7569"/>
    <w:rsid w:val="00604DAF"/>
    <w:rsid w:val="00614213"/>
    <w:rsid w:val="00616E3C"/>
    <w:rsid w:val="0061748A"/>
    <w:rsid w:val="00626AF4"/>
    <w:rsid w:val="00627F7D"/>
    <w:rsid w:val="006331E9"/>
    <w:rsid w:val="0063321D"/>
    <w:rsid w:val="00635D00"/>
    <w:rsid w:val="00637665"/>
    <w:rsid w:val="00640061"/>
    <w:rsid w:val="006501D6"/>
    <w:rsid w:val="006535E4"/>
    <w:rsid w:val="00663B3B"/>
    <w:rsid w:val="00666456"/>
    <w:rsid w:val="00667964"/>
    <w:rsid w:val="00682AAA"/>
    <w:rsid w:val="00685518"/>
    <w:rsid w:val="00690256"/>
    <w:rsid w:val="00697A84"/>
    <w:rsid w:val="006A3EB5"/>
    <w:rsid w:val="006A7219"/>
    <w:rsid w:val="006B0CD0"/>
    <w:rsid w:val="006B12B7"/>
    <w:rsid w:val="006B3A9E"/>
    <w:rsid w:val="006B751B"/>
    <w:rsid w:val="006C144D"/>
    <w:rsid w:val="006C34E9"/>
    <w:rsid w:val="006C4229"/>
    <w:rsid w:val="006E2A60"/>
    <w:rsid w:val="00705899"/>
    <w:rsid w:val="0070725D"/>
    <w:rsid w:val="00707460"/>
    <w:rsid w:val="007133F9"/>
    <w:rsid w:val="00714689"/>
    <w:rsid w:val="00720181"/>
    <w:rsid w:val="00720970"/>
    <w:rsid w:val="00721137"/>
    <w:rsid w:val="00725BA5"/>
    <w:rsid w:val="00727F41"/>
    <w:rsid w:val="007334AF"/>
    <w:rsid w:val="007366B4"/>
    <w:rsid w:val="00741E08"/>
    <w:rsid w:val="00745F2E"/>
    <w:rsid w:val="00745FB2"/>
    <w:rsid w:val="00747833"/>
    <w:rsid w:val="00751985"/>
    <w:rsid w:val="007519BB"/>
    <w:rsid w:val="0075281B"/>
    <w:rsid w:val="00753153"/>
    <w:rsid w:val="007651B4"/>
    <w:rsid w:val="00766FF1"/>
    <w:rsid w:val="007719C1"/>
    <w:rsid w:val="007816E0"/>
    <w:rsid w:val="007827DB"/>
    <w:rsid w:val="007858EB"/>
    <w:rsid w:val="00792698"/>
    <w:rsid w:val="0079357B"/>
    <w:rsid w:val="0079734E"/>
    <w:rsid w:val="007A2DCA"/>
    <w:rsid w:val="007A3D04"/>
    <w:rsid w:val="007B3671"/>
    <w:rsid w:val="007C0AB7"/>
    <w:rsid w:val="007C1708"/>
    <w:rsid w:val="007C280F"/>
    <w:rsid w:val="007C28CE"/>
    <w:rsid w:val="007C466A"/>
    <w:rsid w:val="007D00A8"/>
    <w:rsid w:val="007D0CC6"/>
    <w:rsid w:val="007D1138"/>
    <w:rsid w:val="007D316D"/>
    <w:rsid w:val="007D4291"/>
    <w:rsid w:val="007D46DC"/>
    <w:rsid w:val="007D6E71"/>
    <w:rsid w:val="007E0009"/>
    <w:rsid w:val="007F04D3"/>
    <w:rsid w:val="007F4C3E"/>
    <w:rsid w:val="007F52CB"/>
    <w:rsid w:val="007F6C9D"/>
    <w:rsid w:val="00801C93"/>
    <w:rsid w:val="0080586D"/>
    <w:rsid w:val="00807EEA"/>
    <w:rsid w:val="008150D2"/>
    <w:rsid w:val="00833335"/>
    <w:rsid w:val="008425A1"/>
    <w:rsid w:val="00843268"/>
    <w:rsid w:val="00845717"/>
    <w:rsid w:val="0084618D"/>
    <w:rsid w:val="008461E9"/>
    <w:rsid w:val="00851B98"/>
    <w:rsid w:val="00853E01"/>
    <w:rsid w:val="008557C1"/>
    <w:rsid w:val="008645FA"/>
    <w:rsid w:val="00866C46"/>
    <w:rsid w:val="00872260"/>
    <w:rsid w:val="00873250"/>
    <w:rsid w:val="00877638"/>
    <w:rsid w:val="00877CDE"/>
    <w:rsid w:val="00883DA7"/>
    <w:rsid w:val="008867BF"/>
    <w:rsid w:val="008936B9"/>
    <w:rsid w:val="008979B3"/>
    <w:rsid w:val="008A629A"/>
    <w:rsid w:val="008B2232"/>
    <w:rsid w:val="008B3A93"/>
    <w:rsid w:val="008C2348"/>
    <w:rsid w:val="008D0585"/>
    <w:rsid w:val="008D332A"/>
    <w:rsid w:val="008E7A42"/>
    <w:rsid w:val="008F60D9"/>
    <w:rsid w:val="00901710"/>
    <w:rsid w:val="009070EE"/>
    <w:rsid w:val="009156B0"/>
    <w:rsid w:val="00921592"/>
    <w:rsid w:val="0092344D"/>
    <w:rsid w:val="00924571"/>
    <w:rsid w:val="00925587"/>
    <w:rsid w:val="00925C98"/>
    <w:rsid w:val="0092613D"/>
    <w:rsid w:val="00930E65"/>
    <w:rsid w:val="009318EC"/>
    <w:rsid w:val="0093216E"/>
    <w:rsid w:val="00932E37"/>
    <w:rsid w:val="009350E1"/>
    <w:rsid w:val="0095150C"/>
    <w:rsid w:val="00951A8B"/>
    <w:rsid w:val="00957338"/>
    <w:rsid w:val="009636C4"/>
    <w:rsid w:val="0097181B"/>
    <w:rsid w:val="00972F14"/>
    <w:rsid w:val="00973761"/>
    <w:rsid w:val="00977CCC"/>
    <w:rsid w:val="00983732"/>
    <w:rsid w:val="0098493D"/>
    <w:rsid w:val="00986327"/>
    <w:rsid w:val="009936B6"/>
    <w:rsid w:val="00994DCF"/>
    <w:rsid w:val="009B3F61"/>
    <w:rsid w:val="009B4B75"/>
    <w:rsid w:val="009B6109"/>
    <w:rsid w:val="009C3F2C"/>
    <w:rsid w:val="009C7DB3"/>
    <w:rsid w:val="009D2814"/>
    <w:rsid w:val="009D33FC"/>
    <w:rsid w:val="009D4DB4"/>
    <w:rsid w:val="009D5349"/>
    <w:rsid w:val="009D7EF3"/>
    <w:rsid w:val="009E0D1A"/>
    <w:rsid w:val="009E6374"/>
    <w:rsid w:val="009E7028"/>
    <w:rsid w:val="009E7955"/>
    <w:rsid w:val="009F0EEB"/>
    <w:rsid w:val="009F4890"/>
    <w:rsid w:val="009F5643"/>
    <w:rsid w:val="00A00FA2"/>
    <w:rsid w:val="00A03E5A"/>
    <w:rsid w:val="00A1203D"/>
    <w:rsid w:val="00A16E73"/>
    <w:rsid w:val="00A30806"/>
    <w:rsid w:val="00A30B44"/>
    <w:rsid w:val="00A37B38"/>
    <w:rsid w:val="00A47564"/>
    <w:rsid w:val="00A51145"/>
    <w:rsid w:val="00A62328"/>
    <w:rsid w:val="00A77138"/>
    <w:rsid w:val="00A7770D"/>
    <w:rsid w:val="00A803EA"/>
    <w:rsid w:val="00A81810"/>
    <w:rsid w:val="00A92A92"/>
    <w:rsid w:val="00A93515"/>
    <w:rsid w:val="00A942F4"/>
    <w:rsid w:val="00A95F0D"/>
    <w:rsid w:val="00A972E7"/>
    <w:rsid w:val="00AA10BE"/>
    <w:rsid w:val="00AA16AF"/>
    <w:rsid w:val="00AA32B1"/>
    <w:rsid w:val="00AB0D0D"/>
    <w:rsid w:val="00AD3702"/>
    <w:rsid w:val="00AE7123"/>
    <w:rsid w:val="00AF08D8"/>
    <w:rsid w:val="00AF0988"/>
    <w:rsid w:val="00AF61CA"/>
    <w:rsid w:val="00B019EC"/>
    <w:rsid w:val="00B03673"/>
    <w:rsid w:val="00B0374F"/>
    <w:rsid w:val="00B0555B"/>
    <w:rsid w:val="00B11F62"/>
    <w:rsid w:val="00B14A65"/>
    <w:rsid w:val="00B1504E"/>
    <w:rsid w:val="00B16BAB"/>
    <w:rsid w:val="00B22DC9"/>
    <w:rsid w:val="00B323E6"/>
    <w:rsid w:val="00B3430C"/>
    <w:rsid w:val="00B4192A"/>
    <w:rsid w:val="00B522DD"/>
    <w:rsid w:val="00B55677"/>
    <w:rsid w:val="00B55FB3"/>
    <w:rsid w:val="00B611E6"/>
    <w:rsid w:val="00B7234F"/>
    <w:rsid w:val="00B756F2"/>
    <w:rsid w:val="00B80B09"/>
    <w:rsid w:val="00B84AF1"/>
    <w:rsid w:val="00B91B24"/>
    <w:rsid w:val="00B92FF2"/>
    <w:rsid w:val="00B9630A"/>
    <w:rsid w:val="00BA5A75"/>
    <w:rsid w:val="00BB7B41"/>
    <w:rsid w:val="00BB7C79"/>
    <w:rsid w:val="00BC20EB"/>
    <w:rsid w:val="00BD0AC8"/>
    <w:rsid w:val="00BD4F8D"/>
    <w:rsid w:val="00BD54EB"/>
    <w:rsid w:val="00BD60D9"/>
    <w:rsid w:val="00BE1490"/>
    <w:rsid w:val="00BE59DB"/>
    <w:rsid w:val="00BE6BE9"/>
    <w:rsid w:val="00BE7568"/>
    <w:rsid w:val="00BF34EA"/>
    <w:rsid w:val="00C00813"/>
    <w:rsid w:val="00C0656D"/>
    <w:rsid w:val="00C20B16"/>
    <w:rsid w:val="00C4124D"/>
    <w:rsid w:val="00C419CD"/>
    <w:rsid w:val="00C42BBE"/>
    <w:rsid w:val="00C434AB"/>
    <w:rsid w:val="00C43E5E"/>
    <w:rsid w:val="00C5068E"/>
    <w:rsid w:val="00C521AF"/>
    <w:rsid w:val="00C559D2"/>
    <w:rsid w:val="00C70C96"/>
    <w:rsid w:val="00C71AA2"/>
    <w:rsid w:val="00C72FD9"/>
    <w:rsid w:val="00C75FB6"/>
    <w:rsid w:val="00C8495A"/>
    <w:rsid w:val="00C94E0B"/>
    <w:rsid w:val="00C95A10"/>
    <w:rsid w:val="00CB0E5A"/>
    <w:rsid w:val="00CB369A"/>
    <w:rsid w:val="00CC5315"/>
    <w:rsid w:val="00CC6CC0"/>
    <w:rsid w:val="00CD19C5"/>
    <w:rsid w:val="00CD4167"/>
    <w:rsid w:val="00CD49D2"/>
    <w:rsid w:val="00CD700D"/>
    <w:rsid w:val="00CE1B67"/>
    <w:rsid w:val="00CE46B4"/>
    <w:rsid w:val="00CE5D0F"/>
    <w:rsid w:val="00CF19C2"/>
    <w:rsid w:val="00CF677C"/>
    <w:rsid w:val="00CF6B95"/>
    <w:rsid w:val="00CF6DE5"/>
    <w:rsid w:val="00CF7EEC"/>
    <w:rsid w:val="00D06035"/>
    <w:rsid w:val="00D10F6C"/>
    <w:rsid w:val="00D1172D"/>
    <w:rsid w:val="00D120EA"/>
    <w:rsid w:val="00D12D55"/>
    <w:rsid w:val="00D165A8"/>
    <w:rsid w:val="00D21FB4"/>
    <w:rsid w:val="00D2304A"/>
    <w:rsid w:val="00D31ACC"/>
    <w:rsid w:val="00D36B7A"/>
    <w:rsid w:val="00D3780A"/>
    <w:rsid w:val="00D405DD"/>
    <w:rsid w:val="00D421DB"/>
    <w:rsid w:val="00D4226F"/>
    <w:rsid w:val="00D72BC8"/>
    <w:rsid w:val="00D91169"/>
    <w:rsid w:val="00D94DC4"/>
    <w:rsid w:val="00DA19AE"/>
    <w:rsid w:val="00DA51AB"/>
    <w:rsid w:val="00DA54A5"/>
    <w:rsid w:val="00DA66FA"/>
    <w:rsid w:val="00DA72D3"/>
    <w:rsid w:val="00DB4BBB"/>
    <w:rsid w:val="00DC3C35"/>
    <w:rsid w:val="00DC4E16"/>
    <w:rsid w:val="00DD12CE"/>
    <w:rsid w:val="00DD200E"/>
    <w:rsid w:val="00DE060F"/>
    <w:rsid w:val="00DE0C19"/>
    <w:rsid w:val="00DE45FF"/>
    <w:rsid w:val="00DE502A"/>
    <w:rsid w:val="00DF4877"/>
    <w:rsid w:val="00DF7B9F"/>
    <w:rsid w:val="00E012A8"/>
    <w:rsid w:val="00E03860"/>
    <w:rsid w:val="00E06F8A"/>
    <w:rsid w:val="00E07A9D"/>
    <w:rsid w:val="00E111E1"/>
    <w:rsid w:val="00E145D6"/>
    <w:rsid w:val="00E22BE1"/>
    <w:rsid w:val="00E26233"/>
    <w:rsid w:val="00E31707"/>
    <w:rsid w:val="00E349EB"/>
    <w:rsid w:val="00E36351"/>
    <w:rsid w:val="00E4064E"/>
    <w:rsid w:val="00E415F3"/>
    <w:rsid w:val="00E41F29"/>
    <w:rsid w:val="00E43E7B"/>
    <w:rsid w:val="00E4415E"/>
    <w:rsid w:val="00E444D5"/>
    <w:rsid w:val="00E45651"/>
    <w:rsid w:val="00E54480"/>
    <w:rsid w:val="00E552F8"/>
    <w:rsid w:val="00E60323"/>
    <w:rsid w:val="00E619FF"/>
    <w:rsid w:val="00E714D5"/>
    <w:rsid w:val="00E71B65"/>
    <w:rsid w:val="00E73843"/>
    <w:rsid w:val="00E83297"/>
    <w:rsid w:val="00E85E67"/>
    <w:rsid w:val="00E90948"/>
    <w:rsid w:val="00E92DFD"/>
    <w:rsid w:val="00E96AA5"/>
    <w:rsid w:val="00E97D52"/>
    <w:rsid w:val="00EA5D36"/>
    <w:rsid w:val="00EB75B3"/>
    <w:rsid w:val="00EC26CF"/>
    <w:rsid w:val="00EC4AA9"/>
    <w:rsid w:val="00EC698A"/>
    <w:rsid w:val="00EC7EA5"/>
    <w:rsid w:val="00ED211F"/>
    <w:rsid w:val="00ED2BB4"/>
    <w:rsid w:val="00EE27DB"/>
    <w:rsid w:val="00EE38FA"/>
    <w:rsid w:val="00EE52EA"/>
    <w:rsid w:val="00EE7851"/>
    <w:rsid w:val="00EF238E"/>
    <w:rsid w:val="00F0241F"/>
    <w:rsid w:val="00F0266A"/>
    <w:rsid w:val="00F02964"/>
    <w:rsid w:val="00F02A12"/>
    <w:rsid w:val="00F04959"/>
    <w:rsid w:val="00F073DE"/>
    <w:rsid w:val="00F11922"/>
    <w:rsid w:val="00F11BCE"/>
    <w:rsid w:val="00F238DF"/>
    <w:rsid w:val="00F253C0"/>
    <w:rsid w:val="00F312E2"/>
    <w:rsid w:val="00F33651"/>
    <w:rsid w:val="00F356F0"/>
    <w:rsid w:val="00F37CBC"/>
    <w:rsid w:val="00F42674"/>
    <w:rsid w:val="00F5002B"/>
    <w:rsid w:val="00F50393"/>
    <w:rsid w:val="00F51085"/>
    <w:rsid w:val="00F52CE2"/>
    <w:rsid w:val="00F5728B"/>
    <w:rsid w:val="00F64014"/>
    <w:rsid w:val="00F65D19"/>
    <w:rsid w:val="00F66839"/>
    <w:rsid w:val="00F714AF"/>
    <w:rsid w:val="00F72DE9"/>
    <w:rsid w:val="00F824BF"/>
    <w:rsid w:val="00F8631D"/>
    <w:rsid w:val="00F907DF"/>
    <w:rsid w:val="00FA0CF2"/>
    <w:rsid w:val="00FA4DEF"/>
    <w:rsid w:val="00FA509D"/>
    <w:rsid w:val="00FB03DD"/>
    <w:rsid w:val="00FB7B71"/>
    <w:rsid w:val="00FC2CD2"/>
    <w:rsid w:val="00FC6690"/>
    <w:rsid w:val="00FC6BFE"/>
    <w:rsid w:val="00FD43D7"/>
    <w:rsid w:val="00FD46A4"/>
    <w:rsid w:val="00FD529A"/>
    <w:rsid w:val="00FE0B4F"/>
    <w:rsid w:val="00FE3CAE"/>
    <w:rsid w:val="00FE7525"/>
    <w:rsid w:val="00FF36D9"/>
    <w:rsid w:val="00FF3F11"/>
    <w:rsid w:val="00FF48F8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6DA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CD"/>
  </w:style>
  <w:style w:type="paragraph" w:styleId="Footer">
    <w:name w:val="footer"/>
    <w:basedOn w:val="Normal"/>
    <w:link w:val="FooterChar"/>
    <w:uiPriority w:val="99"/>
    <w:unhideWhenUsed/>
    <w:rsid w:val="00C4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CD"/>
  </w:style>
  <w:style w:type="character" w:styleId="CommentReference">
    <w:name w:val="annotation reference"/>
    <w:basedOn w:val="DefaultParagraphFont"/>
    <w:uiPriority w:val="99"/>
    <w:semiHidden/>
    <w:unhideWhenUsed/>
    <w:rsid w:val="00F5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CE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557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7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7C1"/>
    <w:rPr>
      <w:vertAlign w:val="superscript"/>
    </w:rPr>
  </w:style>
  <w:style w:type="paragraph" w:styleId="Revision">
    <w:name w:val="Revision"/>
    <w:hidden/>
    <w:uiPriority w:val="99"/>
    <w:semiHidden/>
    <w:rsid w:val="00C8495A"/>
    <w:pPr>
      <w:spacing w:after="0" w:line="240" w:lineRule="auto"/>
    </w:pPr>
  </w:style>
  <w:style w:type="character" w:customStyle="1" w:styleId="Hyperlink1">
    <w:name w:val="Hyperlink1"/>
    <w:uiPriority w:val="99"/>
    <w:unhideWhenUsed/>
    <w:rsid w:val="002A393A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932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F8D"/>
    <w:rPr>
      <w:rFonts w:ascii="Times New Roman" w:hAnsi="Times New Roman" w:cs="Times New Roman"/>
      <w:sz w:val="24"/>
      <w:szCs w:val="24"/>
    </w:rPr>
  </w:style>
  <w:style w:type="character" w:customStyle="1" w:styleId="cosearchterm">
    <w:name w:val="co_searchterm"/>
    <w:basedOn w:val="DefaultParagraphFont"/>
    <w:rsid w:val="00E36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CD"/>
  </w:style>
  <w:style w:type="paragraph" w:styleId="Footer">
    <w:name w:val="footer"/>
    <w:basedOn w:val="Normal"/>
    <w:link w:val="FooterChar"/>
    <w:uiPriority w:val="99"/>
    <w:unhideWhenUsed/>
    <w:rsid w:val="00C4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CD"/>
  </w:style>
  <w:style w:type="character" w:styleId="CommentReference">
    <w:name w:val="annotation reference"/>
    <w:basedOn w:val="DefaultParagraphFont"/>
    <w:uiPriority w:val="99"/>
    <w:semiHidden/>
    <w:unhideWhenUsed/>
    <w:rsid w:val="00F5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CE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557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7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7C1"/>
    <w:rPr>
      <w:vertAlign w:val="superscript"/>
    </w:rPr>
  </w:style>
  <w:style w:type="paragraph" w:styleId="Revision">
    <w:name w:val="Revision"/>
    <w:hidden/>
    <w:uiPriority w:val="99"/>
    <w:semiHidden/>
    <w:rsid w:val="00C8495A"/>
    <w:pPr>
      <w:spacing w:after="0" w:line="240" w:lineRule="auto"/>
    </w:pPr>
  </w:style>
  <w:style w:type="character" w:customStyle="1" w:styleId="Hyperlink1">
    <w:name w:val="Hyperlink1"/>
    <w:uiPriority w:val="99"/>
    <w:unhideWhenUsed/>
    <w:rsid w:val="002A393A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932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F8D"/>
    <w:rPr>
      <w:rFonts w:ascii="Times New Roman" w:hAnsi="Times New Roman" w:cs="Times New Roman"/>
      <w:sz w:val="24"/>
      <w:szCs w:val="24"/>
    </w:rPr>
  </w:style>
  <w:style w:type="character" w:customStyle="1" w:styleId="cosearchterm">
    <w:name w:val="co_searchterm"/>
    <w:basedOn w:val="DefaultParagraphFont"/>
    <w:rsid w:val="00E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1C3B-FF24-42F8-B89A-70A53A3E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2017-11-07T12:37:00Z</dcterms:created>
  <dcterms:modified xsi:type="dcterms:W3CDTF">2017-11-07T12:37:00Z</dcterms:modified>
</cp:coreProperties>
</file>