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412AD" w14:textId="6ED13D94" w:rsidR="00031EE7" w:rsidRPr="00031EE7" w:rsidRDefault="00680B5B" w:rsidP="004F4338">
      <w:pPr>
        <w:jc w:val="center"/>
        <w:rPr>
          <w:rFonts w:asciiTheme="majorHAnsi" w:hAnsiTheme="majorHAnsi"/>
          <w:b/>
          <w:sz w:val="22"/>
          <w:szCs w:val="22"/>
        </w:rPr>
      </w:pPr>
      <w:bookmarkStart w:id="0" w:name="_GoBack"/>
      <w:bookmarkEnd w:id="0"/>
      <w:r>
        <w:rPr>
          <w:rFonts w:asciiTheme="majorHAnsi" w:hAnsiTheme="majorHAnsi"/>
          <w:b/>
          <w:sz w:val="22"/>
          <w:szCs w:val="22"/>
        </w:rPr>
        <w:t xml:space="preserve">Issue Paper </w:t>
      </w:r>
      <w:r w:rsidR="00C41CCE">
        <w:rPr>
          <w:rFonts w:asciiTheme="majorHAnsi" w:hAnsiTheme="majorHAnsi"/>
          <w:b/>
          <w:sz w:val="22"/>
          <w:szCs w:val="22"/>
        </w:rPr>
        <w:t>1</w:t>
      </w:r>
    </w:p>
    <w:p w14:paraId="69ED38B5" w14:textId="14FE2A1D" w:rsidR="00031EE7" w:rsidRPr="00031EE7" w:rsidRDefault="00031EE7" w:rsidP="004F4338">
      <w:pPr>
        <w:jc w:val="center"/>
        <w:rPr>
          <w:rFonts w:asciiTheme="majorHAnsi" w:hAnsiTheme="majorHAnsi"/>
          <w:b/>
          <w:sz w:val="22"/>
          <w:szCs w:val="22"/>
        </w:rPr>
      </w:pPr>
      <w:r w:rsidRPr="00031EE7">
        <w:rPr>
          <w:rFonts w:asciiTheme="majorHAnsi" w:hAnsiTheme="majorHAnsi"/>
          <w:b/>
          <w:sz w:val="22"/>
          <w:szCs w:val="22"/>
        </w:rPr>
        <w:t>Session 1:  November 16-17, 2017</w:t>
      </w:r>
    </w:p>
    <w:p w14:paraId="4CA56AFE" w14:textId="77777777" w:rsidR="00031EE7" w:rsidRPr="00031EE7" w:rsidRDefault="00031EE7" w:rsidP="004F4338">
      <w:pPr>
        <w:jc w:val="center"/>
        <w:rPr>
          <w:rFonts w:asciiTheme="majorHAnsi" w:hAnsiTheme="majorHAnsi"/>
          <w:b/>
          <w:sz w:val="22"/>
          <w:szCs w:val="22"/>
        </w:rPr>
      </w:pPr>
    </w:p>
    <w:p w14:paraId="227FA850" w14:textId="2E9FDAFB" w:rsidR="004F4338" w:rsidRDefault="004F4338" w:rsidP="004F4338">
      <w:pPr>
        <w:rPr>
          <w:rFonts w:asciiTheme="majorHAnsi" w:hAnsiTheme="majorHAnsi"/>
          <w:sz w:val="22"/>
          <w:szCs w:val="22"/>
        </w:rPr>
      </w:pPr>
    </w:p>
    <w:p w14:paraId="0973D978" w14:textId="47692AE6" w:rsidR="003C1F74" w:rsidRDefault="004F4338" w:rsidP="00D0797B">
      <w:pPr>
        <w:spacing w:after="200"/>
        <w:ind w:left="2160" w:hanging="2160"/>
        <w:rPr>
          <w:rFonts w:asciiTheme="majorHAnsi" w:hAnsiTheme="majorHAnsi"/>
          <w:sz w:val="22"/>
          <w:szCs w:val="22"/>
        </w:rPr>
      </w:pPr>
      <w:r w:rsidRPr="004F4338">
        <w:rPr>
          <w:rFonts w:asciiTheme="majorHAnsi" w:hAnsiTheme="majorHAnsi"/>
          <w:b/>
          <w:sz w:val="22"/>
          <w:szCs w:val="22"/>
        </w:rPr>
        <w:t xml:space="preserve">Issue: </w:t>
      </w:r>
      <w:r w:rsidRPr="004F4338">
        <w:rPr>
          <w:rFonts w:asciiTheme="majorHAnsi" w:hAnsiTheme="majorHAnsi"/>
          <w:b/>
          <w:sz w:val="22"/>
          <w:szCs w:val="22"/>
        </w:rPr>
        <w:tab/>
      </w:r>
      <w:r w:rsidR="0010297D" w:rsidRPr="0010297D">
        <w:rPr>
          <w:rFonts w:asciiTheme="majorHAnsi" w:hAnsiTheme="majorHAnsi"/>
          <w:sz w:val="22"/>
          <w:szCs w:val="22"/>
        </w:rPr>
        <w:t>Financial Accounting Standards Board (</w:t>
      </w:r>
      <w:r w:rsidR="007873EA" w:rsidRPr="004F4338">
        <w:rPr>
          <w:rFonts w:asciiTheme="majorHAnsi" w:hAnsiTheme="majorHAnsi"/>
          <w:sz w:val="22"/>
          <w:szCs w:val="22"/>
        </w:rPr>
        <w:t>FASB</w:t>
      </w:r>
      <w:r w:rsidR="0010297D">
        <w:rPr>
          <w:rFonts w:asciiTheme="majorHAnsi" w:hAnsiTheme="majorHAnsi"/>
          <w:sz w:val="22"/>
          <w:szCs w:val="22"/>
        </w:rPr>
        <w:t>)</w:t>
      </w:r>
      <w:r w:rsidR="007873EA" w:rsidRPr="004F4338">
        <w:rPr>
          <w:rFonts w:asciiTheme="majorHAnsi" w:hAnsiTheme="majorHAnsi"/>
          <w:sz w:val="22"/>
          <w:szCs w:val="22"/>
        </w:rPr>
        <w:t xml:space="preserve"> Accounting Standards Update, ASU 2016-14</w:t>
      </w:r>
      <w:r w:rsidR="00680B5B">
        <w:rPr>
          <w:rFonts w:asciiTheme="majorHAnsi" w:hAnsiTheme="majorHAnsi"/>
          <w:sz w:val="22"/>
          <w:szCs w:val="22"/>
        </w:rPr>
        <w:t>, Not-for-Profit Entities (Topic 958), Presentation of Financial Statements of Not-for-Profit Entities</w:t>
      </w:r>
      <w:r w:rsidR="00274D43">
        <w:rPr>
          <w:rFonts w:asciiTheme="majorHAnsi" w:hAnsiTheme="majorHAnsi"/>
          <w:sz w:val="22"/>
          <w:szCs w:val="22"/>
        </w:rPr>
        <w:t xml:space="preserve"> and The Department’s Financial Responsibility Standards</w:t>
      </w:r>
      <w:r w:rsidR="00680B5B">
        <w:rPr>
          <w:rFonts w:asciiTheme="majorHAnsi" w:hAnsiTheme="majorHAnsi"/>
          <w:sz w:val="22"/>
          <w:szCs w:val="22"/>
        </w:rPr>
        <w:t>.</w:t>
      </w:r>
    </w:p>
    <w:p w14:paraId="5400689B" w14:textId="06535BB5" w:rsidR="007873EA" w:rsidRDefault="003C1F74" w:rsidP="00D0797B">
      <w:pPr>
        <w:spacing w:after="200"/>
        <w:ind w:left="2160" w:hanging="2160"/>
        <w:rPr>
          <w:rFonts w:asciiTheme="majorHAnsi" w:hAnsiTheme="majorHAnsi"/>
          <w:sz w:val="22"/>
          <w:szCs w:val="22"/>
        </w:rPr>
      </w:pPr>
      <w:r w:rsidRPr="003C1F74">
        <w:rPr>
          <w:rFonts w:asciiTheme="majorHAnsi" w:hAnsiTheme="majorHAnsi"/>
          <w:b/>
          <w:sz w:val="22"/>
          <w:szCs w:val="22"/>
        </w:rPr>
        <w:t>Statutory Cite:</w:t>
      </w:r>
      <w:r>
        <w:rPr>
          <w:rFonts w:asciiTheme="majorHAnsi" w:hAnsiTheme="majorHAnsi"/>
          <w:sz w:val="22"/>
          <w:szCs w:val="22"/>
        </w:rPr>
        <w:t xml:space="preserve">  </w:t>
      </w:r>
      <w:r w:rsidR="005F1290">
        <w:rPr>
          <w:rFonts w:asciiTheme="majorHAnsi" w:hAnsiTheme="majorHAnsi"/>
          <w:sz w:val="22"/>
          <w:szCs w:val="22"/>
        </w:rPr>
        <w:tab/>
      </w:r>
      <w:r w:rsidRPr="00E22627">
        <w:t>§</w:t>
      </w:r>
      <w:r w:rsidRPr="003C1F74">
        <w:rPr>
          <w:rFonts w:asciiTheme="majorHAnsi" w:hAnsiTheme="majorHAnsi"/>
          <w:sz w:val="22"/>
          <w:szCs w:val="22"/>
        </w:rPr>
        <w:t xml:space="preserve">487(c) </w:t>
      </w:r>
      <w:r w:rsidR="0028054C">
        <w:rPr>
          <w:rFonts w:asciiTheme="majorHAnsi" w:hAnsiTheme="majorHAnsi"/>
          <w:sz w:val="22"/>
          <w:szCs w:val="22"/>
        </w:rPr>
        <w:t xml:space="preserve">and 498(c) </w:t>
      </w:r>
      <w:r w:rsidRPr="003C1F74">
        <w:rPr>
          <w:rFonts w:asciiTheme="majorHAnsi" w:hAnsiTheme="majorHAnsi"/>
          <w:sz w:val="22"/>
          <w:szCs w:val="22"/>
        </w:rPr>
        <w:t>of the Higher Education Act of 1965, as amended</w:t>
      </w:r>
    </w:p>
    <w:p w14:paraId="6D2D6337" w14:textId="0C30BC95" w:rsidR="003C1F74" w:rsidRDefault="003C1F74" w:rsidP="00D0797B">
      <w:pPr>
        <w:spacing w:after="200"/>
        <w:ind w:left="2160" w:hanging="2160"/>
        <w:rPr>
          <w:rFonts w:asciiTheme="majorHAnsi" w:hAnsiTheme="majorHAnsi"/>
          <w:sz w:val="22"/>
          <w:szCs w:val="22"/>
        </w:rPr>
      </w:pPr>
      <w:r w:rsidRPr="003C1F74">
        <w:rPr>
          <w:rFonts w:asciiTheme="majorHAnsi" w:hAnsiTheme="majorHAnsi"/>
          <w:b/>
          <w:sz w:val="22"/>
          <w:szCs w:val="22"/>
        </w:rPr>
        <w:t>Regulatory Cite</w:t>
      </w:r>
      <w:r>
        <w:rPr>
          <w:rFonts w:asciiTheme="majorHAnsi" w:hAnsiTheme="majorHAnsi"/>
          <w:sz w:val="22"/>
          <w:szCs w:val="22"/>
        </w:rPr>
        <w:t xml:space="preserve">:  </w:t>
      </w:r>
      <w:r w:rsidR="005F1290">
        <w:rPr>
          <w:rFonts w:asciiTheme="majorHAnsi" w:hAnsiTheme="majorHAnsi"/>
          <w:sz w:val="22"/>
          <w:szCs w:val="22"/>
        </w:rPr>
        <w:tab/>
      </w:r>
      <w:r w:rsidR="000930A5">
        <w:rPr>
          <w:rFonts w:asciiTheme="majorHAnsi" w:hAnsiTheme="majorHAnsi"/>
          <w:sz w:val="22"/>
          <w:szCs w:val="22"/>
        </w:rPr>
        <w:t xml:space="preserve">Subpart L of the General Provisions regulations, specifically </w:t>
      </w:r>
      <w:r>
        <w:rPr>
          <w:rFonts w:asciiTheme="majorHAnsi" w:hAnsiTheme="majorHAnsi"/>
          <w:sz w:val="22"/>
          <w:szCs w:val="22"/>
        </w:rPr>
        <w:t xml:space="preserve">34 CFR </w:t>
      </w:r>
      <w:r w:rsidR="00274D43">
        <w:rPr>
          <w:rFonts w:asciiTheme="majorHAnsi" w:hAnsiTheme="majorHAnsi"/>
          <w:sz w:val="22"/>
          <w:szCs w:val="22"/>
        </w:rPr>
        <w:t>668.172</w:t>
      </w:r>
      <w:r w:rsidR="000930A5">
        <w:rPr>
          <w:rFonts w:asciiTheme="majorHAnsi" w:hAnsiTheme="majorHAnsi"/>
          <w:sz w:val="22"/>
          <w:szCs w:val="22"/>
        </w:rPr>
        <w:t xml:space="preserve"> and the audit submission requirements under 34 CFR 668.23</w:t>
      </w:r>
    </w:p>
    <w:p w14:paraId="68F12B35" w14:textId="35003D26" w:rsidR="003C1F74" w:rsidRDefault="003C1F74" w:rsidP="00D0797B">
      <w:pPr>
        <w:spacing w:after="200"/>
        <w:rPr>
          <w:rFonts w:asciiTheme="majorHAnsi" w:hAnsiTheme="majorHAnsi"/>
          <w:b/>
          <w:sz w:val="22"/>
          <w:szCs w:val="22"/>
        </w:rPr>
      </w:pPr>
      <w:r w:rsidRPr="003C1F74">
        <w:rPr>
          <w:rFonts w:asciiTheme="majorHAnsi" w:hAnsiTheme="majorHAnsi"/>
          <w:b/>
          <w:sz w:val="22"/>
          <w:szCs w:val="22"/>
        </w:rPr>
        <w:t>Summary</w:t>
      </w:r>
      <w:r w:rsidR="009E41D9">
        <w:rPr>
          <w:rFonts w:asciiTheme="majorHAnsi" w:hAnsiTheme="majorHAnsi"/>
          <w:b/>
          <w:sz w:val="22"/>
          <w:szCs w:val="22"/>
        </w:rPr>
        <w:t xml:space="preserve"> of issue</w:t>
      </w:r>
      <w:r w:rsidRPr="003C1F74">
        <w:rPr>
          <w:rFonts w:asciiTheme="majorHAnsi" w:hAnsiTheme="majorHAnsi"/>
          <w:b/>
          <w:sz w:val="22"/>
          <w:szCs w:val="22"/>
        </w:rPr>
        <w:t>:</w:t>
      </w:r>
    </w:p>
    <w:p w14:paraId="634E751E" w14:textId="6A69651B" w:rsidR="00D0797B" w:rsidRDefault="003C1F74" w:rsidP="00D0797B">
      <w:pPr>
        <w:spacing w:after="200"/>
        <w:rPr>
          <w:rFonts w:asciiTheme="majorHAnsi" w:hAnsiTheme="majorHAnsi"/>
          <w:sz w:val="22"/>
          <w:szCs w:val="22"/>
        </w:rPr>
      </w:pPr>
      <w:r>
        <w:rPr>
          <w:rFonts w:asciiTheme="majorHAnsi" w:hAnsiTheme="majorHAnsi"/>
          <w:sz w:val="22"/>
          <w:szCs w:val="22"/>
        </w:rPr>
        <w:t xml:space="preserve">The Higher Education Act </w:t>
      </w:r>
      <w:r w:rsidR="0010297D">
        <w:rPr>
          <w:rFonts w:asciiTheme="majorHAnsi" w:hAnsiTheme="majorHAnsi"/>
          <w:sz w:val="22"/>
          <w:szCs w:val="22"/>
        </w:rPr>
        <w:t xml:space="preserve">requires </w:t>
      </w:r>
      <w:r w:rsidR="0010297D" w:rsidRPr="003C1F74">
        <w:rPr>
          <w:rFonts w:asciiTheme="majorHAnsi" w:hAnsiTheme="majorHAnsi"/>
          <w:sz w:val="22"/>
          <w:szCs w:val="22"/>
        </w:rPr>
        <w:t>all</w:t>
      </w:r>
      <w:r w:rsidRPr="003C1F74">
        <w:rPr>
          <w:rFonts w:asciiTheme="majorHAnsi" w:hAnsiTheme="majorHAnsi"/>
          <w:sz w:val="22"/>
          <w:szCs w:val="22"/>
        </w:rPr>
        <w:t xml:space="preserve"> schools participating in the </w:t>
      </w:r>
      <w:r w:rsidR="00A73281">
        <w:rPr>
          <w:rFonts w:asciiTheme="majorHAnsi" w:hAnsiTheme="majorHAnsi"/>
          <w:sz w:val="22"/>
          <w:szCs w:val="22"/>
        </w:rPr>
        <w:t>title IV Federal student financial aid</w:t>
      </w:r>
      <w:r w:rsidRPr="003C1F74">
        <w:rPr>
          <w:rFonts w:asciiTheme="majorHAnsi" w:hAnsiTheme="majorHAnsi"/>
          <w:sz w:val="22"/>
          <w:szCs w:val="22"/>
        </w:rPr>
        <w:t xml:space="preserve"> programs </w:t>
      </w:r>
      <w:r w:rsidR="0010297D">
        <w:rPr>
          <w:rFonts w:asciiTheme="majorHAnsi" w:hAnsiTheme="majorHAnsi"/>
          <w:sz w:val="22"/>
          <w:szCs w:val="22"/>
        </w:rPr>
        <w:t xml:space="preserve">to </w:t>
      </w:r>
      <w:r w:rsidR="0010297D" w:rsidRPr="003C1F74">
        <w:rPr>
          <w:rFonts w:asciiTheme="majorHAnsi" w:hAnsiTheme="majorHAnsi"/>
          <w:sz w:val="22"/>
          <w:szCs w:val="22"/>
        </w:rPr>
        <w:t>submit</w:t>
      </w:r>
      <w:r>
        <w:rPr>
          <w:rFonts w:asciiTheme="majorHAnsi" w:hAnsiTheme="majorHAnsi"/>
          <w:sz w:val="22"/>
          <w:szCs w:val="22"/>
        </w:rPr>
        <w:t xml:space="preserve"> </w:t>
      </w:r>
      <w:r w:rsidRPr="003C1F74">
        <w:rPr>
          <w:rFonts w:asciiTheme="majorHAnsi" w:hAnsiTheme="majorHAnsi"/>
          <w:sz w:val="22"/>
          <w:szCs w:val="22"/>
        </w:rPr>
        <w:t>annual financial statements to the</w:t>
      </w:r>
      <w:r>
        <w:rPr>
          <w:rFonts w:asciiTheme="majorHAnsi" w:hAnsiTheme="majorHAnsi"/>
          <w:sz w:val="22"/>
          <w:szCs w:val="22"/>
        </w:rPr>
        <w:t xml:space="preserve"> </w:t>
      </w:r>
      <w:r w:rsidRPr="003C1F74">
        <w:rPr>
          <w:rFonts w:asciiTheme="majorHAnsi" w:hAnsiTheme="majorHAnsi"/>
          <w:sz w:val="22"/>
          <w:szCs w:val="22"/>
        </w:rPr>
        <w:t>Department. This applies to all schools,</w:t>
      </w:r>
      <w:r>
        <w:rPr>
          <w:rFonts w:asciiTheme="majorHAnsi" w:hAnsiTheme="majorHAnsi"/>
          <w:sz w:val="22"/>
          <w:szCs w:val="22"/>
        </w:rPr>
        <w:t xml:space="preserve"> </w:t>
      </w:r>
      <w:r w:rsidRPr="003C1F74">
        <w:rPr>
          <w:rFonts w:asciiTheme="majorHAnsi" w:hAnsiTheme="majorHAnsi"/>
          <w:sz w:val="22"/>
          <w:szCs w:val="22"/>
        </w:rPr>
        <w:t>including non</w:t>
      </w:r>
      <w:r w:rsidR="00510638">
        <w:rPr>
          <w:rFonts w:asciiTheme="majorHAnsi" w:hAnsiTheme="majorHAnsi"/>
          <w:sz w:val="22"/>
          <w:szCs w:val="22"/>
        </w:rPr>
        <w:t>-</w:t>
      </w:r>
      <w:r w:rsidRPr="003C1F74">
        <w:rPr>
          <w:rFonts w:asciiTheme="majorHAnsi" w:hAnsiTheme="majorHAnsi"/>
          <w:sz w:val="22"/>
          <w:szCs w:val="22"/>
        </w:rPr>
        <w:t>profit schools that are</w:t>
      </w:r>
      <w:r>
        <w:rPr>
          <w:rFonts w:asciiTheme="majorHAnsi" w:hAnsiTheme="majorHAnsi"/>
          <w:sz w:val="22"/>
          <w:szCs w:val="22"/>
        </w:rPr>
        <w:t xml:space="preserve"> </w:t>
      </w:r>
      <w:r w:rsidR="003C6E11">
        <w:rPr>
          <w:rFonts w:asciiTheme="majorHAnsi" w:hAnsiTheme="majorHAnsi"/>
          <w:sz w:val="22"/>
          <w:szCs w:val="22"/>
        </w:rPr>
        <w:t xml:space="preserve">not </w:t>
      </w:r>
      <w:r w:rsidRPr="003C1F74">
        <w:rPr>
          <w:rFonts w:asciiTheme="majorHAnsi" w:hAnsiTheme="majorHAnsi"/>
          <w:sz w:val="22"/>
          <w:szCs w:val="22"/>
        </w:rPr>
        <w:t xml:space="preserve">otherwise exempt from </w:t>
      </w:r>
      <w:r w:rsidR="005550BB">
        <w:rPr>
          <w:rFonts w:asciiTheme="majorHAnsi" w:hAnsiTheme="majorHAnsi"/>
          <w:sz w:val="22"/>
          <w:szCs w:val="22"/>
        </w:rPr>
        <w:t xml:space="preserve">this requirement </w:t>
      </w:r>
      <w:r w:rsidRPr="003C1F74">
        <w:rPr>
          <w:rFonts w:asciiTheme="majorHAnsi" w:hAnsiTheme="majorHAnsi"/>
          <w:sz w:val="22"/>
          <w:szCs w:val="22"/>
        </w:rPr>
        <w:t>under</w:t>
      </w:r>
      <w:r w:rsidR="007E6C84">
        <w:rPr>
          <w:rFonts w:asciiTheme="majorHAnsi" w:hAnsiTheme="majorHAnsi"/>
          <w:sz w:val="22"/>
          <w:szCs w:val="22"/>
        </w:rPr>
        <w:t xml:space="preserve"> the</w:t>
      </w:r>
      <w:r w:rsidR="00600B38">
        <w:rPr>
          <w:rFonts w:asciiTheme="majorHAnsi" w:hAnsiTheme="majorHAnsi"/>
          <w:sz w:val="22"/>
          <w:szCs w:val="22"/>
        </w:rPr>
        <w:t xml:space="preserve"> OMB Uniform Guidance at </w:t>
      </w:r>
      <w:r w:rsidR="0074669E">
        <w:rPr>
          <w:rFonts w:asciiTheme="majorHAnsi" w:hAnsiTheme="majorHAnsi"/>
          <w:sz w:val="22"/>
          <w:szCs w:val="22"/>
        </w:rPr>
        <w:t>2</w:t>
      </w:r>
      <w:r w:rsidR="00600B38">
        <w:rPr>
          <w:rFonts w:asciiTheme="majorHAnsi" w:hAnsiTheme="majorHAnsi"/>
          <w:sz w:val="22"/>
          <w:szCs w:val="22"/>
        </w:rPr>
        <w:t xml:space="preserve"> CFR </w:t>
      </w:r>
      <w:r w:rsidR="0074669E">
        <w:rPr>
          <w:rFonts w:asciiTheme="majorHAnsi" w:hAnsiTheme="majorHAnsi"/>
          <w:sz w:val="22"/>
          <w:szCs w:val="22"/>
        </w:rPr>
        <w:t xml:space="preserve">Part </w:t>
      </w:r>
      <w:r w:rsidR="00600B38">
        <w:rPr>
          <w:rFonts w:asciiTheme="majorHAnsi" w:hAnsiTheme="majorHAnsi"/>
          <w:sz w:val="22"/>
          <w:szCs w:val="22"/>
        </w:rPr>
        <w:t>200 Subpart F – Audit Requirements.</w:t>
      </w:r>
      <w:r w:rsidR="001E7321">
        <w:rPr>
          <w:rFonts w:asciiTheme="majorHAnsi" w:hAnsiTheme="majorHAnsi"/>
          <w:sz w:val="22"/>
          <w:szCs w:val="22"/>
        </w:rPr>
        <w:t xml:space="preserve">  Under Subpart L of the Department’s General Provisions regulations, the Department determines annually whether an institution is financially responsible, in part, by calculating a composite score based on information contained in its audited financial statements.</w:t>
      </w:r>
      <w:r w:rsidR="00600B38">
        <w:rPr>
          <w:rFonts w:asciiTheme="majorHAnsi" w:hAnsiTheme="majorHAnsi"/>
          <w:sz w:val="22"/>
          <w:szCs w:val="22"/>
        </w:rPr>
        <w:t xml:space="preserve"> </w:t>
      </w:r>
      <w:r>
        <w:rPr>
          <w:rFonts w:asciiTheme="majorHAnsi" w:hAnsiTheme="majorHAnsi"/>
          <w:sz w:val="22"/>
          <w:szCs w:val="22"/>
        </w:rPr>
        <w:t xml:space="preserve"> </w:t>
      </w:r>
      <w:r w:rsidR="00600B38">
        <w:rPr>
          <w:rFonts w:asciiTheme="majorHAnsi" w:hAnsiTheme="majorHAnsi"/>
          <w:sz w:val="22"/>
          <w:szCs w:val="22"/>
        </w:rPr>
        <w:t>ASU 2016-14</w:t>
      </w:r>
      <w:r w:rsidR="0010297D">
        <w:rPr>
          <w:rFonts w:asciiTheme="majorHAnsi" w:hAnsiTheme="majorHAnsi"/>
          <w:sz w:val="22"/>
          <w:szCs w:val="22"/>
        </w:rPr>
        <w:t xml:space="preserve"> </w:t>
      </w:r>
      <w:r w:rsidR="003C6E11">
        <w:rPr>
          <w:rFonts w:asciiTheme="majorHAnsi" w:hAnsiTheme="majorHAnsi"/>
          <w:sz w:val="22"/>
          <w:szCs w:val="22"/>
        </w:rPr>
        <w:t>change</w:t>
      </w:r>
      <w:r w:rsidR="00600B38">
        <w:rPr>
          <w:rFonts w:asciiTheme="majorHAnsi" w:hAnsiTheme="majorHAnsi"/>
          <w:sz w:val="22"/>
          <w:szCs w:val="22"/>
        </w:rPr>
        <w:t>s</w:t>
      </w:r>
      <w:r w:rsidR="003C6E11">
        <w:rPr>
          <w:rFonts w:asciiTheme="majorHAnsi" w:hAnsiTheme="majorHAnsi"/>
          <w:sz w:val="22"/>
          <w:szCs w:val="22"/>
        </w:rPr>
        <w:t xml:space="preserve"> some of the information </w:t>
      </w:r>
      <w:r w:rsidR="00600B38">
        <w:rPr>
          <w:rFonts w:asciiTheme="majorHAnsi" w:hAnsiTheme="majorHAnsi"/>
          <w:sz w:val="22"/>
          <w:szCs w:val="22"/>
        </w:rPr>
        <w:t xml:space="preserve">non-profit </w:t>
      </w:r>
      <w:r w:rsidR="003C6E11">
        <w:rPr>
          <w:rFonts w:asciiTheme="majorHAnsi" w:hAnsiTheme="majorHAnsi"/>
          <w:sz w:val="22"/>
          <w:szCs w:val="22"/>
        </w:rPr>
        <w:t xml:space="preserve">schools must either report </w:t>
      </w:r>
      <w:r w:rsidR="00680B5B">
        <w:rPr>
          <w:rFonts w:asciiTheme="majorHAnsi" w:hAnsiTheme="majorHAnsi"/>
          <w:sz w:val="22"/>
          <w:szCs w:val="22"/>
        </w:rPr>
        <w:t xml:space="preserve">in their financial statements </w:t>
      </w:r>
      <w:r w:rsidR="003C6E11">
        <w:rPr>
          <w:rFonts w:asciiTheme="majorHAnsi" w:hAnsiTheme="majorHAnsi"/>
          <w:sz w:val="22"/>
          <w:szCs w:val="22"/>
        </w:rPr>
        <w:t xml:space="preserve">or disclose in their </w:t>
      </w:r>
      <w:r w:rsidR="00680B5B">
        <w:rPr>
          <w:rFonts w:asciiTheme="majorHAnsi" w:hAnsiTheme="majorHAnsi"/>
          <w:sz w:val="22"/>
          <w:szCs w:val="22"/>
        </w:rPr>
        <w:t xml:space="preserve">notes to </w:t>
      </w:r>
      <w:r w:rsidR="0074669E">
        <w:rPr>
          <w:rFonts w:asciiTheme="majorHAnsi" w:hAnsiTheme="majorHAnsi"/>
          <w:sz w:val="22"/>
          <w:szCs w:val="22"/>
        </w:rPr>
        <w:t xml:space="preserve">their </w:t>
      </w:r>
      <w:r w:rsidR="003C6E11">
        <w:rPr>
          <w:rFonts w:asciiTheme="majorHAnsi" w:hAnsiTheme="majorHAnsi"/>
          <w:sz w:val="22"/>
          <w:szCs w:val="22"/>
        </w:rPr>
        <w:t>financial statements</w:t>
      </w:r>
      <w:r w:rsidR="00600B38">
        <w:rPr>
          <w:rFonts w:asciiTheme="majorHAnsi" w:hAnsiTheme="majorHAnsi"/>
          <w:sz w:val="22"/>
          <w:szCs w:val="22"/>
        </w:rPr>
        <w:t>.</w:t>
      </w:r>
      <w:r w:rsidR="0010297D">
        <w:rPr>
          <w:rFonts w:asciiTheme="majorHAnsi" w:hAnsiTheme="majorHAnsi"/>
          <w:sz w:val="22"/>
          <w:szCs w:val="22"/>
        </w:rPr>
        <w:t xml:space="preserve"> </w:t>
      </w:r>
      <w:r w:rsidR="000930A5">
        <w:rPr>
          <w:rFonts w:asciiTheme="majorHAnsi" w:hAnsiTheme="majorHAnsi"/>
          <w:sz w:val="22"/>
          <w:szCs w:val="22"/>
        </w:rPr>
        <w:t xml:space="preserve"> </w:t>
      </w:r>
    </w:p>
    <w:p w14:paraId="7A7A1DFB" w14:textId="4C3127D3" w:rsidR="005F1290" w:rsidRDefault="005F1290" w:rsidP="00D0797B">
      <w:pPr>
        <w:spacing w:after="200"/>
        <w:rPr>
          <w:rFonts w:asciiTheme="majorHAnsi" w:hAnsiTheme="majorHAnsi" w:cs="Courier New"/>
          <w:sz w:val="22"/>
          <w:szCs w:val="22"/>
        </w:rPr>
      </w:pPr>
      <w:r>
        <w:rPr>
          <w:rFonts w:asciiTheme="majorHAnsi" w:hAnsiTheme="majorHAnsi"/>
          <w:sz w:val="22"/>
          <w:szCs w:val="22"/>
        </w:rPr>
        <w:t xml:space="preserve">Changes to </w:t>
      </w:r>
      <w:r w:rsidR="000930A5">
        <w:rPr>
          <w:rFonts w:asciiTheme="majorHAnsi" w:hAnsiTheme="majorHAnsi"/>
          <w:sz w:val="22"/>
          <w:szCs w:val="22"/>
        </w:rPr>
        <w:t xml:space="preserve">the information that </w:t>
      </w:r>
      <w:r>
        <w:rPr>
          <w:rFonts w:asciiTheme="majorHAnsi" w:hAnsiTheme="majorHAnsi"/>
          <w:sz w:val="22"/>
          <w:szCs w:val="22"/>
        </w:rPr>
        <w:t>non-profit schools report to the Department based on ASU 2016-14 could result in operational</w:t>
      </w:r>
      <w:r w:rsidR="009D15E5">
        <w:rPr>
          <w:rFonts w:asciiTheme="majorHAnsi" w:hAnsiTheme="majorHAnsi"/>
          <w:sz w:val="22"/>
          <w:szCs w:val="22"/>
        </w:rPr>
        <w:t xml:space="preserve"> and/or </w:t>
      </w:r>
      <w:r>
        <w:rPr>
          <w:rFonts w:asciiTheme="majorHAnsi" w:hAnsiTheme="majorHAnsi"/>
          <w:sz w:val="22"/>
          <w:szCs w:val="22"/>
        </w:rPr>
        <w:t xml:space="preserve">administrative changes in how the Department evaluates non-profit schools’ financial statements and how those schools report </w:t>
      </w:r>
      <w:r w:rsidR="002828A2">
        <w:rPr>
          <w:rFonts w:asciiTheme="majorHAnsi" w:hAnsiTheme="majorHAnsi"/>
          <w:sz w:val="22"/>
          <w:szCs w:val="22"/>
        </w:rPr>
        <w:t xml:space="preserve">to, </w:t>
      </w:r>
      <w:r>
        <w:rPr>
          <w:rFonts w:asciiTheme="majorHAnsi" w:hAnsiTheme="majorHAnsi"/>
          <w:sz w:val="22"/>
          <w:szCs w:val="22"/>
        </w:rPr>
        <w:t xml:space="preserve">or input data </w:t>
      </w:r>
      <w:r w:rsidR="002828A2">
        <w:rPr>
          <w:rFonts w:asciiTheme="majorHAnsi" w:hAnsiTheme="majorHAnsi"/>
          <w:sz w:val="22"/>
          <w:szCs w:val="22"/>
        </w:rPr>
        <w:t>in</w:t>
      </w:r>
      <w:r>
        <w:rPr>
          <w:rFonts w:asciiTheme="majorHAnsi" w:hAnsiTheme="majorHAnsi"/>
          <w:sz w:val="22"/>
          <w:szCs w:val="22"/>
        </w:rPr>
        <w:t>to</w:t>
      </w:r>
      <w:r w:rsidR="002828A2">
        <w:rPr>
          <w:rFonts w:asciiTheme="majorHAnsi" w:hAnsiTheme="majorHAnsi"/>
          <w:sz w:val="22"/>
          <w:szCs w:val="22"/>
        </w:rPr>
        <w:t>,</w:t>
      </w:r>
      <w:r>
        <w:rPr>
          <w:rFonts w:asciiTheme="majorHAnsi" w:hAnsiTheme="majorHAnsi"/>
          <w:sz w:val="22"/>
          <w:szCs w:val="22"/>
        </w:rPr>
        <w:t xml:space="preserve"> the Department’s systems.</w:t>
      </w:r>
      <w:r w:rsidR="00B812C9">
        <w:rPr>
          <w:rFonts w:asciiTheme="majorHAnsi" w:hAnsiTheme="majorHAnsi"/>
          <w:sz w:val="22"/>
          <w:szCs w:val="22"/>
        </w:rPr>
        <w:t xml:space="preserve"> ASU 2016-14 moves from three classes of net assets to two classes of net assets, completely eliminating temporarily restricted net assets.  What are currently considered temporarily restricted net assets must be included in one of two new classes of net assets, </w:t>
      </w:r>
      <w:r w:rsidR="00B812C9" w:rsidRPr="00DD4B8E">
        <w:rPr>
          <w:rFonts w:asciiTheme="majorHAnsi" w:hAnsiTheme="majorHAnsi" w:cs="Arial,Italic"/>
          <w:i/>
          <w:iCs/>
          <w:sz w:val="22"/>
          <w:szCs w:val="22"/>
        </w:rPr>
        <w:t xml:space="preserve">net assets with donor restrictions </w:t>
      </w:r>
      <w:r w:rsidR="00B812C9" w:rsidRPr="00DD4B8E">
        <w:rPr>
          <w:rFonts w:asciiTheme="majorHAnsi" w:hAnsiTheme="majorHAnsi" w:cs="Arial"/>
          <w:sz w:val="22"/>
          <w:szCs w:val="22"/>
        </w:rPr>
        <w:t xml:space="preserve">and </w:t>
      </w:r>
      <w:r w:rsidR="00B812C9" w:rsidRPr="00DD4B8E">
        <w:rPr>
          <w:rFonts w:asciiTheme="majorHAnsi" w:hAnsiTheme="majorHAnsi" w:cs="Arial,Italic"/>
          <w:i/>
          <w:iCs/>
          <w:sz w:val="22"/>
          <w:szCs w:val="22"/>
        </w:rPr>
        <w:t>net assets without donor restrictions</w:t>
      </w:r>
      <w:r w:rsidR="00D0797B">
        <w:rPr>
          <w:rFonts w:asciiTheme="majorHAnsi" w:hAnsiTheme="majorHAnsi"/>
          <w:sz w:val="22"/>
          <w:szCs w:val="22"/>
        </w:rPr>
        <w:t xml:space="preserve">. </w:t>
      </w:r>
      <w:r w:rsidR="00D0797B" w:rsidRPr="00DD4B8E">
        <w:rPr>
          <w:rFonts w:asciiTheme="majorHAnsi" w:hAnsiTheme="majorHAnsi" w:cs="Arial,Italic"/>
          <w:iCs/>
          <w:sz w:val="22"/>
          <w:szCs w:val="22"/>
        </w:rPr>
        <w:t xml:space="preserve">While the two classes of net assets correspond to unrestricted net assets and permanently restricted net assets, at the least, the terms used in the regulations for calculating the composite score for </w:t>
      </w:r>
      <w:r w:rsidR="003C50B7">
        <w:rPr>
          <w:rFonts w:asciiTheme="majorHAnsi" w:hAnsiTheme="majorHAnsi" w:cs="Arial,Italic"/>
          <w:iCs/>
          <w:sz w:val="22"/>
          <w:szCs w:val="22"/>
        </w:rPr>
        <w:t>non-profit school</w:t>
      </w:r>
      <w:r w:rsidR="00D0797B" w:rsidRPr="00DD4B8E">
        <w:rPr>
          <w:rFonts w:asciiTheme="majorHAnsi" w:hAnsiTheme="majorHAnsi" w:cs="Arial,Italic"/>
          <w:iCs/>
          <w:sz w:val="22"/>
          <w:szCs w:val="22"/>
        </w:rPr>
        <w:t xml:space="preserve">s will need to </w:t>
      </w:r>
      <w:r w:rsidR="000930A5">
        <w:rPr>
          <w:rFonts w:asciiTheme="majorHAnsi" w:hAnsiTheme="majorHAnsi" w:cs="Arial,Italic"/>
          <w:iCs/>
          <w:sz w:val="22"/>
          <w:szCs w:val="22"/>
        </w:rPr>
        <w:t xml:space="preserve">be </w:t>
      </w:r>
      <w:r w:rsidR="00D0797B" w:rsidRPr="00DD4B8E">
        <w:rPr>
          <w:rFonts w:asciiTheme="majorHAnsi" w:hAnsiTheme="majorHAnsi" w:cs="Arial,Italic"/>
          <w:iCs/>
          <w:sz w:val="22"/>
          <w:szCs w:val="22"/>
        </w:rPr>
        <w:t xml:space="preserve">modified. </w:t>
      </w:r>
      <w:r w:rsidR="00D0797B" w:rsidRPr="00DD4B8E">
        <w:rPr>
          <w:rFonts w:asciiTheme="majorHAnsi" w:hAnsiTheme="majorHAnsi" w:cs="Courier New"/>
          <w:sz w:val="22"/>
          <w:szCs w:val="22"/>
        </w:rPr>
        <w:t xml:space="preserve">  </w:t>
      </w:r>
    </w:p>
    <w:p w14:paraId="2EB9DD33" w14:textId="559BAFD3" w:rsidR="007873EA" w:rsidRPr="00F5414C" w:rsidRDefault="007873EA" w:rsidP="002C3013">
      <w:pPr>
        <w:tabs>
          <w:tab w:val="center" w:pos="4320"/>
        </w:tabs>
        <w:spacing w:after="200"/>
        <w:rPr>
          <w:rFonts w:asciiTheme="majorHAnsi" w:hAnsiTheme="majorHAnsi"/>
          <w:sz w:val="22"/>
          <w:szCs w:val="22"/>
          <w:u w:val="single"/>
        </w:rPr>
      </w:pPr>
      <w:r w:rsidRPr="00F5414C">
        <w:rPr>
          <w:rFonts w:asciiTheme="majorHAnsi" w:hAnsiTheme="majorHAnsi"/>
          <w:sz w:val="22"/>
          <w:szCs w:val="22"/>
          <w:u w:val="single"/>
        </w:rPr>
        <w:t>Major changes</w:t>
      </w:r>
      <w:r w:rsidR="00772962" w:rsidRPr="00F5414C">
        <w:rPr>
          <w:rFonts w:asciiTheme="majorHAnsi" w:hAnsiTheme="majorHAnsi"/>
          <w:sz w:val="22"/>
          <w:szCs w:val="22"/>
          <w:u w:val="single"/>
        </w:rPr>
        <w:t xml:space="preserve"> for ASU 2016-14</w:t>
      </w:r>
      <w:r w:rsidRPr="00F5414C">
        <w:rPr>
          <w:rFonts w:asciiTheme="majorHAnsi" w:hAnsiTheme="majorHAnsi"/>
          <w:sz w:val="22"/>
          <w:szCs w:val="22"/>
          <w:u w:val="single"/>
        </w:rPr>
        <w:t>:</w:t>
      </w:r>
    </w:p>
    <w:p w14:paraId="2B85D928" w14:textId="4E1A6BC4" w:rsidR="00600B38" w:rsidRPr="002C3013" w:rsidRDefault="00600B38" w:rsidP="00D0797B">
      <w:pPr>
        <w:pStyle w:val="ListParagraph"/>
        <w:numPr>
          <w:ilvl w:val="0"/>
          <w:numId w:val="6"/>
        </w:numPr>
        <w:autoSpaceDE w:val="0"/>
        <w:autoSpaceDN w:val="0"/>
        <w:adjustRightInd w:val="0"/>
        <w:spacing w:after="200"/>
        <w:ind w:left="374" w:hanging="374"/>
        <w:rPr>
          <w:rFonts w:asciiTheme="majorHAnsi" w:hAnsiTheme="majorHAnsi" w:cs="Arial"/>
          <w:sz w:val="22"/>
          <w:szCs w:val="22"/>
        </w:rPr>
      </w:pPr>
      <w:r w:rsidRPr="002C3013">
        <w:rPr>
          <w:rFonts w:asciiTheme="majorHAnsi" w:hAnsiTheme="majorHAnsi" w:cs="Arial"/>
          <w:sz w:val="22"/>
          <w:szCs w:val="22"/>
        </w:rPr>
        <w:t>Change from Three Classes of Net Assets to Two Classes of Net Assets</w:t>
      </w:r>
    </w:p>
    <w:p w14:paraId="17D54322" w14:textId="14D1AD16" w:rsidR="00AE78C8" w:rsidRDefault="00600B38" w:rsidP="00D0797B">
      <w:pPr>
        <w:spacing w:after="200"/>
        <w:ind w:left="360"/>
        <w:rPr>
          <w:rFonts w:asciiTheme="majorHAnsi" w:hAnsiTheme="majorHAnsi"/>
          <w:sz w:val="22"/>
          <w:szCs w:val="22"/>
        </w:rPr>
      </w:pPr>
      <w:r w:rsidRPr="00F5414C">
        <w:rPr>
          <w:rFonts w:asciiTheme="majorHAnsi" w:hAnsiTheme="majorHAnsi"/>
          <w:sz w:val="22"/>
          <w:szCs w:val="22"/>
        </w:rPr>
        <w:t>A non-profit school must present on the face of the statement of financial position amounts</w:t>
      </w:r>
      <w:r w:rsidRPr="00600B38">
        <w:rPr>
          <w:rFonts w:asciiTheme="majorHAnsi" w:hAnsiTheme="majorHAnsi"/>
          <w:sz w:val="22"/>
          <w:szCs w:val="22"/>
        </w:rPr>
        <w:t xml:space="preserve"> for two classes of net assets at the end of the period, rather than for the currently required three classes. </w:t>
      </w:r>
      <w:r w:rsidR="00471F0A">
        <w:rPr>
          <w:rFonts w:asciiTheme="majorHAnsi" w:hAnsiTheme="majorHAnsi"/>
          <w:sz w:val="22"/>
          <w:szCs w:val="22"/>
        </w:rPr>
        <w:t xml:space="preserve"> </w:t>
      </w:r>
      <w:r w:rsidRPr="00600B38">
        <w:rPr>
          <w:rFonts w:asciiTheme="majorHAnsi" w:hAnsiTheme="majorHAnsi"/>
          <w:sz w:val="22"/>
          <w:szCs w:val="22"/>
        </w:rPr>
        <w:t xml:space="preserve">That is, the school will report amounts for net assets with donor restrictions and net assets without donor restrictions, as well as the currently required amount for total net assets.  </w:t>
      </w:r>
      <w:r>
        <w:rPr>
          <w:rFonts w:asciiTheme="majorHAnsi" w:hAnsiTheme="majorHAnsi"/>
          <w:sz w:val="22"/>
          <w:szCs w:val="22"/>
        </w:rPr>
        <w:t xml:space="preserve">Temporarily restricted net assets will be eliminated. </w:t>
      </w:r>
      <w:r w:rsidR="00E657A4">
        <w:rPr>
          <w:rFonts w:asciiTheme="majorHAnsi" w:hAnsiTheme="majorHAnsi"/>
          <w:sz w:val="22"/>
          <w:szCs w:val="22"/>
        </w:rPr>
        <w:t xml:space="preserve"> </w:t>
      </w:r>
      <w:r>
        <w:rPr>
          <w:rFonts w:asciiTheme="majorHAnsi" w:hAnsiTheme="majorHAnsi"/>
          <w:sz w:val="22"/>
          <w:szCs w:val="22"/>
        </w:rPr>
        <w:t>A non-profit school</w:t>
      </w:r>
      <w:r w:rsidRPr="00600B38">
        <w:rPr>
          <w:rFonts w:asciiTheme="majorHAnsi" w:hAnsiTheme="majorHAnsi"/>
          <w:sz w:val="22"/>
          <w:szCs w:val="22"/>
        </w:rPr>
        <w:t xml:space="preserve"> must also present on the face of the statement of activities the amount of the change in each of the two classes of net assets rather than that of the currently required three classes</w:t>
      </w:r>
      <w:r w:rsidR="00AA51EB">
        <w:rPr>
          <w:rFonts w:asciiTheme="majorHAnsi" w:hAnsiTheme="majorHAnsi"/>
          <w:sz w:val="22"/>
          <w:szCs w:val="22"/>
        </w:rPr>
        <w:t>,</w:t>
      </w:r>
      <w:r w:rsidRPr="00600B38">
        <w:rPr>
          <w:rFonts w:asciiTheme="majorHAnsi" w:hAnsiTheme="majorHAnsi"/>
          <w:sz w:val="22"/>
          <w:szCs w:val="22"/>
        </w:rPr>
        <w:t xml:space="preserve"> as well as report the currently required amount of the change in total net assets for the period.  These changes were made as a result of complexities about the use of the currently required </w:t>
      </w:r>
      <w:r w:rsidRPr="00600B38">
        <w:rPr>
          <w:rFonts w:asciiTheme="majorHAnsi" w:hAnsiTheme="majorHAnsi"/>
          <w:sz w:val="22"/>
          <w:szCs w:val="22"/>
        </w:rPr>
        <w:lastRenderedPageBreak/>
        <w:t>three classes of net assets that focus on the absence or presence of donor</w:t>
      </w:r>
      <w:r w:rsidR="00AA51EB">
        <w:rPr>
          <w:rFonts w:asciiTheme="majorHAnsi" w:hAnsiTheme="majorHAnsi"/>
          <w:sz w:val="22"/>
          <w:szCs w:val="22"/>
        </w:rPr>
        <w:t>-</w:t>
      </w:r>
      <w:r w:rsidRPr="00600B38">
        <w:rPr>
          <w:rFonts w:asciiTheme="majorHAnsi" w:hAnsiTheme="majorHAnsi"/>
          <w:sz w:val="22"/>
          <w:szCs w:val="22"/>
        </w:rPr>
        <w:t>imposed restrictions and whether those restrictions are temporary or permanent.</w:t>
      </w:r>
    </w:p>
    <w:p w14:paraId="363DB0E9" w14:textId="77777777" w:rsidR="00072F12" w:rsidRPr="00D0797B" w:rsidRDefault="00452404" w:rsidP="00D0797B">
      <w:pPr>
        <w:autoSpaceDE w:val="0"/>
        <w:autoSpaceDN w:val="0"/>
        <w:adjustRightInd w:val="0"/>
        <w:spacing w:after="200"/>
        <w:rPr>
          <w:rFonts w:asciiTheme="majorHAnsi" w:hAnsiTheme="majorHAnsi" w:cs="Arial"/>
          <w:sz w:val="22"/>
          <w:szCs w:val="22"/>
        </w:rPr>
      </w:pPr>
      <w:r w:rsidRPr="002C3013">
        <w:rPr>
          <w:rFonts w:asciiTheme="majorHAnsi" w:hAnsiTheme="majorHAnsi"/>
          <w:sz w:val="22"/>
          <w:szCs w:val="22"/>
        </w:rPr>
        <w:t>2.</w:t>
      </w:r>
      <w:r w:rsidRPr="00072F12">
        <w:rPr>
          <w:rFonts w:asciiTheme="majorHAnsi" w:hAnsiTheme="majorHAnsi"/>
          <w:sz w:val="22"/>
          <w:szCs w:val="22"/>
        </w:rPr>
        <w:t xml:space="preserve">  </w:t>
      </w:r>
      <w:r w:rsidR="004F4338" w:rsidRPr="00072F12">
        <w:rPr>
          <w:rFonts w:asciiTheme="majorHAnsi" w:hAnsiTheme="majorHAnsi"/>
          <w:sz w:val="22"/>
          <w:szCs w:val="22"/>
        </w:rPr>
        <w:t xml:space="preserve">   </w:t>
      </w:r>
      <w:r w:rsidR="00072F12" w:rsidRPr="00D0797B">
        <w:rPr>
          <w:rFonts w:asciiTheme="majorHAnsi" w:hAnsiTheme="majorHAnsi" w:cs="Arial"/>
          <w:sz w:val="22"/>
          <w:szCs w:val="22"/>
        </w:rPr>
        <w:t>Significant Additional Disclosures Concerning Liquidity</w:t>
      </w:r>
    </w:p>
    <w:p w14:paraId="4706829B" w14:textId="0B4B4646" w:rsidR="00072F12" w:rsidRPr="00072F12" w:rsidRDefault="00072F12" w:rsidP="00D0797B">
      <w:pPr>
        <w:autoSpaceDE w:val="0"/>
        <w:autoSpaceDN w:val="0"/>
        <w:adjustRightInd w:val="0"/>
        <w:spacing w:after="200"/>
        <w:ind w:left="360"/>
        <w:rPr>
          <w:rFonts w:asciiTheme="majorHAnsi" w:hAnsiTheme="majorHAnsi" w:cs="Arial"/>
          <w:sz w:val="22"/>
          <w:szCs w:val="22"/>
        </w:rPr>
      </w:pPr>
      <w:r w:rsidRPr="00072F12">
        <w:rPr>
          <w:rFonts w:asciiTheme="majorHAnsi" w:hAnsiTheme="majorHAnsi" w:cs="Arial"/>
          <w:sz w:val="22"/>
          <w:szCs w:val="22"/>
        </w:rPr>
        <w:t xml:space="preserve">The update provides for significant additional disclosures </w:t>
      </w:r>
      <w:r w:rsidR="00830B4C">
        <w:rPr>
          <w:rFonts w:asciiTheme="majorHAnsi" w:hAnsiTheme="majorHAnsi" w:cs="Arial"/>
          <w:sz w:val="22"/>
          <w:szCs w:val="22"/>
        </w:rPr>
        <w:t xml:space="preserve">by the non-profit school </w:t>
      </w:r>
      <w:r w:rsidRPr="00072F12">
        <w:rPr>
          <w:rFonts w:asciiTheme="majorHAnsi" w:hAnsiTheme="majorHAnsi" w:cs="Arial"/>
          <w:sz w:val="22"/>
          <w:szCs w:val="22"/>
        </w:rPr>
        <w:t>concerning liquidity.  The additional disclosures are</w:t>
      </w:r>
      <w:r w:rsidR="00AA51EB">
        <w:rPr>
          <w:rFonts w:asciiTheme="majorHAnsi" w:hAnsiTheme="majorHAnsi" w:cs="Arial"/>
          <w:sz w:val="22"/>
          <w:szCs w:val="22"/>
        </w:rPr>
        <w:t>:</w:t>
      </w:r>
      <w:r w:rsidRPr="00072F12">
        <w:rPr>
          <w:rFonts w:asciiTheme="majorHAnsi" w:hAnsiTheme="majorHAnsi" w:cs="Arial"/>
          <w:sz w:val="22"/>
          <w:szCs w:val="22"/>
        </w:rPr>
        <w:t xml:space="preserve"> </w:t>
      </w:r>
    </w:p>
    <w:p w14:paraId="5FCD587C" w14:textId="300DD2E6" w:rsidR="00072F12" w:rsidRDefault="00072F12" w:rsidP="00124B59">
      <w:pPr>
        <w:pStyle w:val="ListParagraph"/>
        <w:numPr>
          <w:ilvl w:val="1"/>
          <w:numId w:val="7"/>
        </w:numPr>
        <w:autoSpaceDE w:val="0"/>
        <w:autoSpaceDN w:val="0"/>
        <w:adjustRightInd w:val="0"/>
        <w:spacing w:after="200"/>
        <w:rPr>
          <w:rFonts w:asciiTheme="majorHAnsi" w:hAnsiTheme="majorHAnsi" w:cs="Arial"/>
          <w:sz w:val="22"/>
          <w:szCs w:val="22"/>
        </w:rPr>
      </w:pPr>
      <w:r w:rsidRPr="00124B59">
        <w:rPr>
          <w:rFonts w:asciiTheme="majorHAnsi" w:hAnsiTheme="majorHAnsi" w:cs="Arial"/>
          <w:sz w:val="22"/>
          <w:szCs w:val="22"/>
        </w:rPr>
        <w:t>Amounts and purposes of governing board designations, appropriations, and similar actions that result in self-imposed limits on the use of resources without donor-imposed restrictions as of the end of the period.</w:t>
      </w:r>
    </w:p>
    <w:p w14:paraId="7FF689B5" w14:textId="77777777" w:rsidR="00124B59" w:rsidRPr="00124B59" w:rsidRDefault="00124B59" w:rsidP="00124B59">
      <w:pPr>
        <w:pStyle w:val="ListParagraph"/>
        <w:autoSpaceDE w:val="0"/>
        <w:autoSpaceDN w:val="0"/>
        <w:adjustRightInd w:val="0"/>
        <w:spacing w:after="200"/>
        <w:ind w:left="1440"/>
        <w:rPr>
          <w:rFonts w:asciiTheme="majorHAnsi" w:hAnsiTheme="majorHAnsi" w:cs="Arial"/>
          <w:sz w:val="22"/>
          <w:szCs w:val="22"/>
        </w:rPr>
      </w:pPr>
    </w:p>
    <w:p w14:paraId="34AF254E" w14:textId="5546CBEC" w:rsidR="00124B59" w:rsidRDefault="00072F12" w:rsidP="00124B59">
      <w:pPr>
        <w:pStyle w:val="ListParagraph"/>
        <w:numPr>
          <w:ilvl w:val="1"/>
          <w:numId w:val="7"/>
        </w:numPr>
        <w:autoSpaceDE w:val="0"/>
        <w:autoSpaceDN w:val="0"/>
        <w:adjustRightInd w:val="0"/>
        <w:spacing w:after="200"/>
        <w:rPr>
          <w:rFonts w:asciiTheme="majorHAnsi" w:hAnsiTheme="majorHAnsi" w:cs="Arial"/>
          <w:sz w:val="22"/>
          <w:szCs w:val="22"/>
        </w:rPr>
      </w:pPr>
      <w:r w:rsidRPr="00124B59">
        <w:rPr>
          <w:rFonts w:asciiTheme="majorHAnsi" w:hAnsiTheme="majorHAnsi" w:cs="Arial"/>
          <w:sz w:val="22"/>
          <w:szCs w:val="22"/>
        </w:rPr>
        <w:t xml:space="preserve">Composition of net assets with donor restrictions at the end of the period and how the restrictions affect the use of resources. </w:t>
      </w:r>
    </w:p>
    <w:p w14:paraId="0FCCE67F" w14:textId="77777777" w:rsidR="00124B59" w:rsidRPr="00124B59" w:rsidRDefault="00124B59" w:rsidP="00124B59">
      <w:pPr>
        <w:pStyle w:val="ListParagraph"/>
        <w:rPr>
          <w:rFonts w:asciiTheme="majorHAnsi" w:hAnsiTheme="majorHAnsi" w:cs="Arial"/>
          <w:sz w:val="22"/>
          <w:szCs w:val="22"/>
        </w:rPr>
      </w:pPr>
    </w:p>
    <w:p w14:paraId="6BD67EA4" w14:textId="3A61ED4C" w:rsidR="00072F12" w:rsidRDefault="00072F12" w:rsidP="00124B59">
      <w:pPr>
        <w:pStyle w:val="ListParagraph"/>
        <w:numPr>
          <w:ilvl w:val="1"/>
          <w:numId w:val="7"/>
        </w:numPr>
        <w:autoSpaceDE w:val="0"/>
        <w:autoSpaceDN w:val="0"/>
        <w:adjustRightInd w:val="0"/>
        <w:spacing w:after="200"/>
        <w:rPr>
          <w:rFonts w:asciiTheme="majorHAnsi" w:hAnsiTheme="majorHAnsi" w:cs="Arial"/>
          <w:sz w:val="22"/>
          <w:szCs w:val="22"/>
        </w:rPr>
      </w:pPr>
      <w:r w:rsidRPr="00124B59">
        <w:rPr>
          <w:rFonts w:asciiTheme="majorHAnsi" w:hAnsiTheme="majorHAnsi" w:cs="Arial"/>
          <w:sz w:val="22"/>
          <w:szCs w:val="22"/>
        </w:rPr>
        <w:t>Qualitative information that communicates how a</w:t>
      </w:r>
      <w:r w:rsidR="00604B41" w:rsidRPr="00124B59">
        <w:rPr>
          <w:rFonts w:asciiTheme="majorHAnsi" w:hAnsiTheme="majorHAnsi" w:cs="Arial"/>
          <w:sz w:val="22"/>
          <w:szCs w:val="22"/>
        </w:rPr>
        <w:t xml:space="preserve"> non-profit school</w:t>
      </w:r>
      <w:r w:rsidRPr="00124B59">
        <w:rPr>
          <w:rFonts w:asciiTheme="majorHAnsi" w:hAnsiTheme="majorHAnsi" w:cs="Arial"/>
          <w:sz w:val="22"/>
          <w:szCs w:val="22"/>
        </w:rPr>
        <w:t xml:space="preserve"> manages its liquid resources available to meet cash needs for general expenditures within one year of the balance sheet date.</w:t>
      </w:r>
    </w:p>
    <w:p w14:paraId="6BA03537" w14:textId="77777777" w:rsidR="00124B59" w:rsidRPr="00124B59" w:rsidRDefault="00124B59" w:rsidP="00124B59">
      <w:pPr>
        <w:pStyle w:val="ListParagraph"/>
        <w:rPr>
          <w:rFonts w:asciiTheme="majorHAnsi" w:hAnsiTheme="majorHAnsi" w:cs="Arial"/>
          <w:sz w:val="22"/>
          <w:szCs w:val="22"/>
        </w:rPr>
      </w:pPr>
    </w:p>
    <w:p w14:paraId="114C1F46" w14:textId="077623AF" w:rsidR="00072F12" w:rsidRDefault="00072F12" w:rsidP="00124B59">
      <w:pPr>
        <w:pStyle w:val="ListParagraph"/>
        <w:numPr>
          <w:ilvl w:val="1"/>
          <w:numId w:val="7"/>
        </w:numPr>
        <w:autoSpaceDE w:val="0"/>
        <w:autoSpaceDN w:val="0"/>
        <w:adjustRightInd w:val="0"/>
        <w:spacing w:after="200"/>
        <w:rPr>
          <w:rFonts w:asciiTheme="majorHAnsi" w:hAnsiTheme="majorHAnsi" w:cs="Arial"/>
          <w:sz w:val="22"/>
          <w:szCs w:val="22"/>
        </w:rPr>
      </w:pPr>
      <w:r w:rsidRPr="00124B59">
        <w:rPr>
          <w:rFonts w:asciiTheme="majorHAnsi" w:hAnsiTheme="majorHAnsi" w:cs="Arial"/>
          <w:sz w:val="22"/>
          <w:szCs w:val="22"/>
        </w:rPr>
        <w:t xml:space="preserve">Quantitative information, either on the face of the balance sheet or in the notes, and additional qualitative information in the notes as necessary, that communicates the availability of a </w:t>
      </w:r>
      <w:r w:rsidR="00604B41" w:rsidRPr="00124B59">
        <w:rPr>
          <w:rFonts w:asciiTheme="majorHAnsi" w:hAnsiTheme="majorHAnsi" w:cs="Arial"/>
          <w:sz w:val="22"/>
          <w:szCs w:val="22"/>
        </w:rPr>
        <w:t>non-profit school</w:t>
      </w:r>
      <w:r w:rsidRPr="00124B59">
        <w:rPr>
          <w:rFonts w:asciiTheme="majorHAnsi" w:hAnsiTheme="majorHAnsi" w:cs="Arial"/>
          <w:sz w:val="22"/>
          <w:szCs w:val="22"/>
        </w:rPr>
        <w:t>’s financial assets at the balance sheet date to meet cash needs for general expenditures within one year of the balance sheet date. Availability of a financial asset may be affected by (1) its nature, (2) external limits imposed by donors, grantors, laws, and contracts with others, and (3) internal limits imposed by governing board decisions.</w:t>
      </w:r>
    </w:p>
    <w:p w14:paraId="3310A9A5" w14:textId="77777777" w:rsidR="00124B59" w:rsidRPr="00124B59" w:rsidRDefault="00124B59" w:rsidP="00124B59">
      <w:pPr>
        <w:pStyle w:val="ListParagraph"/>
        <w:rPr>
          <w:rFonts w:asciiTheme="majorHAnsi" w:hAnsiTheme="majorHAnsi" w:cs="Arial"/>
          <w:sz w:val="22"/>
          <w:szCs w:val="22"/>
        </w:rPr>
      </w:pPr>
    </w:p>
    <w:p w14:paraId="4F62DA6C" w14:textId="57FCBBCB" w:rsidR="00072F12" w:rsidRDefault="00072F12" w:rsidP="00124B59">
      <w:pPr>
        <w:pStyle w:val="ListParagraph"/>
        <w:numPr>
          <w:ilvl w:val="1"/>
          <w:numId w:val="7"/>
        </w:numPr>
        <w:autoSpaceDE w:val="0"/>
        <w:autoSpaceDN w:val="0"/>
        <w:adjustRightInd w:val="0"/>
        <w:spacing w:after="200"/>
        <w:rPr>
          <w:rFonts w:asciiTheme="majorHAnsi" w:hAnsiTheme="majorHAnsi" w:cs="Arial"/>
          <w:sz w:val="22"/>
          <w:szCs w:val="22"/>
        </w:rPr>
      </w:pPr>
      <w:r w:rsidRPr="00124B59">
        <w:rPr>
          <w:rFonts w:asciiTheme="majorHAnsi" w:hAnsiTheme="majorHAnsi" w:cs="Arial"/>
          <w:sz w:val="22"/>
          <w:szCs w:val="22"/>
        </w:rPr>
        <w:t>Amounts of expenses by both their natural classification and their functional classification. That analysis of expenses is to be provided in one location, which could be on the face of the statement of activities, as a separate statement, or in notes to financial statements.</w:t>
      </w:r>
    </w:p>
    <w:p w14:paraId="33930862" w14:textId="77777777" w:rsidR="00124B59" w:rsidRPr="00124B59" w:rsidRDefault="00124B59" w:rsidP="00124B59">
      <w:pPr>
        <w:pStyle w:val="ListParagraph"/>
        <w:rPr>
          <w:rFonts w:asciiTheme="majorHAnsi" w:hAnsiTheme="majorHAnsi" w:cs="Arial"/>
          <w:sz w:val="22"/>
          <w:szCs w:val="22"/>
        </w:rPr>
      </w:pPr>
    </w:p>
    <w:p w14:paraId="3B446545" w14:textId="141A7927" w:rsidR="00072F12" w:rsidRDefault="00072F12" w:rsidP="00124B59">
      <w:pPr>
        <w:pStyle w:val="ListParagraph"/>
        <w:numPr>
          <w:ilvl w:val="1"/>
          <w:numId w:val="7"/>
        </w:numPr>
        <w:autoSpaceDE w:val="0"/>
        <w:autoSpaceDN w:val="0"/>
        <w:adjustRightInd w:val="0"/>
        <w:spacing w:after="200"/>
        <w:rPr>
          <w:rFonts w:asciiTheme="majorHAnsi" w:hAnsiTheme="majorHAnsi" w:cs="Arial"/>
          <w:sz w:val="22"/>
          <w:szCs w:val="22"/>
        </w:rPr>
      </w:pPr>
      <w:r w:rsidRPr="00124B59">
        <w:rPr>
          <w:rFonts w:asciiTheme="majorHAnsi" w:hAnsiTheme="majorHAnsi" w:cs="Arial"/>
          <w:sz w:val="22"/>
          <w:szCs w:val="22"/>
        </w:rPr>
        <w:t>Method(s) used to allocate costs among program and support functions.</w:t>
      </w:r>
    </w:p>
    <w:p w14:paraId="65E5D0E4" w14:textId="77777777" w:rsidR="00124B59" w:rsidRPr="00124B59" w:rsidRDefault="00124B59" w:rsidP="00124B59">
      <w:pPr>
        <w:pStyle w:val="ListParagraph"/>
        <w:rPr>
          <w:rFonts w:asciiTheme="majorHAnsi" w:hAnsiTheme="majorHAnsi" w:cs="Arial"/>
          <w:sz w:val="22"/>
          <w:szCs w:val="22"/>
        </w:rPr>
      </w:pPr>
    </w:p>
    <w:p w14:paraId="46B56ACE" w14:textId="1C035470" w:rsidR="00072F12" w:rsidRPr="00124B59" w:rsidRDefault="00072F12" w:rsidP="00124B59">
      <w:pPr>
        <w:pStyle w:val="ListParagraph"/>
        <w:numPr>
          <w:ilvl w:val="1"/>
          <w:numId w:val="7"/>
        </w:numPr>
        <w:autoSpaceDE w:val="0"/>
        <w:autoSpaceDN w:val="0"/>
        <w:adjustRightInd w:val="0"/>
        <w:spacing w:after="200"/>
        <w:rPr>
          <w:rFonts w:asciiTheme="majorHAnsi" w:hAnsiTheme="majorHAnsi" w:cs="Arial"/>
          <w:sz w:val="22"/>
          <w:szCs w:val="22"/>
        </w:rPr>
      </w:pPr>
      <w:r w:rsidRPr="00124B59">
        <w:rPr>
          <w:rFonts w:asciiTheme="majorHAnsi" w:hAnsiTheme="majorHAnsi" w:cs="Arial"/>
          <w:sz w:val="22"/>
          <w:szCs w:val="22"/>
        </w:rPr>
        <w:t>Underwater endowment funds, which include required disclosures of (1) the school’s policy, and any actions taken during the period, concerning appropriation from underwater endowment funds, (2) the aggregate fair value of such funds, (3) the aggregate of the original gift amounts (or level required by donor or law) to be maintained, and (4) the aggregate amount by which funds are underwater (deficiencies), which are to be classified as part of net assets with donor restrictions.</w:t>
      </w:r>
    </w:p>
    <w:p w14:paraId="21F0172B" w14:textId="77777777" w:rsidR="00072F12" w:rsidRPr="00D0797B" w:rsidRDefault="00875A3D" w:rsidP="00D0797B">
      <w:pPr>
        <w:autoSpaceDE w:val="0"/>
        <w:autoSpaceDN w:val="0"/>
        <w:adjustRightInd w:val="0"/>
        <w:spacing w:after="200"/>
        <w:rPr>
          <w:rFonts w:ascii="Arial" w:hAnsi="Arial" w:cs="Arial"/>
          <w:sz w:val="18"/>
          <w:szCs w:val="18"/>
        </w:rPr>
      </w:pPr>
      <w:r w:rsidRPr="00D0797B">
        <w:rPr>
          <w:rFonts w:asciiTheme="majorHAnsi" w:hAnsiTheme="majorHAnsi"/>
          <w:sz w:val="22"/>
          <w:szCs w:val="22"/>
        </w:rPr>
        <w:t>3.</w:t>
      </w:r>
      <w:r w:rsidRPr="004F4338">
        <w:rPr>
          <w:rFonts w:asciiTheme="majorHAnsi" w:hAnsiTheme="majorHAnsi"/>
          <w:b/>
          <w:sz w:val="22"/>
          <w:szCs w:val="22"/>
        </w:rPr>
        <w:t xml:space="preserve">  </w:t>
      </w:r>
      <w:r w:rsidR="004F4338">
        <w:rPr>
          <w:rFonts w:asciiTheme="majorHAnsi" w:hAnsiTheme="majorHAnsi"/>
          <w:b/>
          <w:sz w:val="22"/>
          <w:szCs w:val="22"/>
        </w:rPr>
        <w:t xml:space="preserve">  </w:t>
      </w:r>
      <w:r w:rsidR="00072F12" w:rsidRPr="00D0797B">
        <w:rPr>
          <w:rFonts w:asciiTheme="majorHAnsi" w:hAnsiTheme="majorHAnsi" w:cs="Arial"/>
          <w:sz w:val="22"/>
          <w:szCs w:val="22"/>
        </w:rPr>
        <w:t>Investment Return Net of External and Direct Internal Investment Expenses</w:t>
      </w:r>
    </w:p>
    <w:p w14:paraId="0ED96850" w14:textId="08ED743A" w:rsidR="0006212E" w:rsidRPr="004F4338" w:rsidRDefault="00072F12" w:rsidP="00D0797B">
      <w:pPr>
        <w:spacing w:after="200"/>
        <w:ind w:left="360"/>
        <w:rPr>
          <w:rFonts w:asciiTheme="majorHAnsi" w:eastAsia="Times New Roman" w:hAnsiTheme="majorHAnsi" w:cs="Courier New"/>
          <w:color w:val="000000"/>
          <w:sz w:val="22"/>
          <w:szCs w:val="22"/>
          <w:shd w:val="clear" w:color="auto" w:fill="FFFFFF"/>
        </w:rPr>
      </w:pPr>
      <w:r>
        <w:rPr>
          <w:rFonts w:asciiTheme="majorHAnsi" w:hAnsiTheme="majorHAnsi" w:cs="Courier New"/>
          <w:sz w:val="22"/>
          <w:szCs w:val="22"/>
        </w:rPr>
        <w:t>A non-profit school</w:t>
      </w:r>
      <w:r w:rsidRPr="00072F12">
        <w:rPr>
          <w:rFonts w:asciiTheme="majorHAnsi" w:hAnsiTheme="majorHAnsi" w:cs="Courier New"/>
          <w:sz w:val="22"/>
          <w:szCs w:val="22"/>
        </w:rPr>
        <w:t xml:space="preserve"> must present investment returns net of external and internal expenses in the</w:t>
      </w:r>
      <w:r>
        <w:rPr>
          <w:rFonts w:asciiTheme="majorHAnsi" w:hAnsiTheme="majorHAnsi" w:cs="Courier New"/>
          <w:sz w:val="22"/>
          <w:szCs w:val="22"/>
        </w:rPr>
        <w:t xml:space="preserve"> statement of activities.  The </w:t>
      </w:r>
      <w:r w:rsidRPr="00072F12">
        <w:rPr>
          <w:rFonts w:asciiTheme="majorHAnsi" w:hAnsiTheme="majorHAnsi" w:cs="Courier New"/>
          <w:sz w:val="22"/>
          <w:szCs w:val="22"/>
        </w:rPr>
        <w:t xml:space="preserve">school is no longer required to disclose the amount of the netted investment expenses or the investment return components (income earned and net realized and unrealized gains or losses).  </w:t>
      </w:r>
    </w:p>
    <w:p w14:paraId="5209FEEC" w14:textId="18909D3B" w:rsidR="00072F12" w:rsidRPr="00D0797B" w:rsidRDefault="004F4338" w:rsidP="00D0797B">
      <w:pPr>
        <w:autoSpaceDE w:val="0"/>
        <w:autoSpaceDN w:val="0"/>
        <w:adjustRightInd w:val="0"/>
        <w:spacing w:after="200"/>
        <w:rPr>
          <w:rFonts w:asciiTheme="majorHAnsi" w:hAnsiTheme="majorHAnsi" w:cs="Arial"/>
          <w:sz w:val="22"/>
          <w:szCs w:val="22"/>
        </w:rPr>
      </w:pPr>
      <w:r w:rsidRPr="00D0797B">
        <w:rPr>
          <w:rFonts w:asciiTheme="majorHAnsi" w:eastAsia="Times New Roman" w:hAnsiTheme="majorHAnsi" w:cs="Courier New"/>
          <w:color w:val="000000"/>
          <w:sz w:val="22"/>
          <w:szCs w:val="22"/>
          <w:shd w:val="clear" w:color="auto" w:fill="FFFFFF"/>
        </w:rPr>
        <w:lastRenderedPageBreak/>
        <w:t>4.</w:t>
      </w:r>
      <w:r>
        <w:rPr>
          <w:rFonts w:asciiTheme="majorHAnsi" w:eastAsia="Times New Roman" w:hAnsiTheme="majorHAnsi" w:cs="Courier New"/>
          <w:b/>
          <w:color w:val="000000"/>
          <w:sz w:val="22"/>
          <w:szCs w:val="22"/>
          <w:shd w:val="clear" w:color="auto" w:fill="FFFFFF"/>
        </w:rPr>
        <w:t xml:space="preserve">    </w:t>
      </w:r>
      <w:r w:rsidR="00072F12" w:rsidRPr="00D0797B">
        <w:rPr>
          <w:rFonts w:asciiTheme="majorHAnsi" w:hAnsiTheme="majorHAnsi" w:cs="Arial"/>
          <w:sz w:val="22"/>
          <w:szCs w:val="22"/>
        </w:rPr>
        <w:t>Placed-In-Service Approach</w:t>
      </w:r>
    </w:p>
    <w:p w14:paraId="5CDBFCE3" w14:textId="68464CAD" w:rsidR="009A111F" w:rsidRDefault="00072F12" w:rsidP="00D0797B">
      <w:pPr>
        <w:spacing w:after="200"/>
        <w:ind w:left="360"/>
        <w:rPr>
          <w:rFonts w:asciiTheme="majorHAnsi" w:eastAsia="Times New Roman" w:hAnsiTheme="majorHAnsi" w:cs="Courier New"/>
          <w:color w:val="000000"/>
          <w:sz w:val="22"/>
          <w:szCs w:val="22"/>
          <w:shd w:val="clear" w:color="auto" w:fill="FFFFFF"/>
        </w:rPr>
      </w:pPr>
      <w:r w:rsidRPr="00072F12">
        <w:rPr>
          <w:rFonts w:asciiTheme="majorHAnsi" w:eastAsia="Times New Roman" w:hAnsiTheme="majorHAnsi" w:cs="Courier New"/>
          <w:color w:val="000000"/>
          <w:sz w:val="22"/>
          <w:szCs w:val="22"/>
          <w:shd w:val="clear" w:color="auto" w:fill="FFFFFF"/>
        </w:rPr>
        <w:t xml:space="preserve">An </w:t>
      </w:r>
      <w:r w:rsidR="00FE44ED">
        <w:rPr>
          <w:rFonts w:asciiTheme="majorHAnsi" w:eastAsia="Times New Roman" w:hAnsiTheme="majorHAnsi" w:cs="Courier New"/>
          <w:color w:val="000000"/>
          <w:sz w:val="22"/>
          <w:szCs w:val="22"/>
          <w:shd w:val="clear" w:color="auto" w:fill="FFFFFF"/>
        </w:rPr>
        <w:t>non-profit school</w:t>
      </w:r>
      <w:r w:rsidRPr="00072F12">
        <w:rPr>
          <w:rFonts w:asciiTheme="majorHAnsi" w:eastAsia="Times New Roman" w:hAnsiTheme="majorHAnsi" w:cs="Courier New"/>
          <w:color w:val="000000"/>
          <w:sz w:val="22"/>
          <w:szCs w:val="22"/>
          <w:shd w:val="clear" w:color="auto" w:fill="FFFFFF"/>
        </w:rPr>
        <w:t xml:space="preserve"> must use, in the absence of explicit donor stipulations, the placed-in-service approach for reporting expirations of restrictions on gifts of cash or other assets to be used to acquire or construct a long-lived asset and reclassify any amounts from </w:t>
      </w:r>
      <w:r w:rsidRPr="00072F12">
        <w:rPr>
          <w:rFonts w:asciiTheme="majorHAnsi" w:eastAsia="Times New Roman" w:hAnsiTheme="majorHAnsi" w:cs="Courier New"/>
          <w:i/>
          <w:iCs/>
          <w:color w:val="000000"/>
          <w:sz w:val="22"/>
          <w:szCs w:val="22"/>
          <w:shd w:val="clear" w:color="auto" w:fill="FFFFFF"/>
        </w:rPr>
        <w:t xml:space="preserve">net assets with donor restrictions </w:t>
      </w:r>
      <w:r w:rsidRPr="00072F12">
        <w:rPr>
          <w:rFonts w:asciiTheme="majorHAnsi" w:eastAsia="Times New Roman" w:hAnsiTheme="majorHAnsi" w:cs="Courier New"/>
          <w:color w:val="000000"/>
          <w:sz w:val="22"/>
          <w:szCs w:val="22"/>
          <w:shd w:val="clear" w:color="auto" w:fill="FFFFFF"/>
        </w:rPr>
        <w:t xml:space="preserve">to </w:t>
      </w:r>
      <w:r w:rsidRPr="00072F12">
        <w:rPr>
          <w:rFonts w:asciiTheme="majorHAnsi" w:eastAsia="Times New Roman" w:hAnsiTheme="majorHAnsi" w:cs="Courier New"/>
          <w:i/>
          <w:iCs/>
          <w:color w:val="000000"/>
          <w:sz w:val="22"/>
          <w:szCs w:val="22"/>
          <w:shd w:val="clear" w:color="auto" w:fill="FFFFFF"/>
        </w:rPr>
        <w:t xml:space="preserve">net assets without donor restrictions </w:t>
      </w:r>
      <w:r w:rsidRPr="00072F12">
        <w:rPr>
          <w:rFonts w:asciiTheme="majorHAnsi" w:eastAsia="Times New Roman" w:hAnsiTheme="majorHAnsi" w:cs="Courier New"/>
          <w:color w:val="000000"/>
          <w:sz w:val="22"/>
          <w:szCs w:val="22"/>
          <w:shd w:val="clear" w:color="auto" w:fill="FFFFFF"/>
        </w:rPr>
        <w:t>for such long-lived assets that have been placed in service as of the beginning of the period of adoption (thus eliminating the</w:t>
      </w:r>
      <w:r w:rsidR="005E2D32">
        <w:rPr>
          <w:rFonts w:asciiTheme="majorHAnsi" w:eastAsia="Times New Roman" w:hAnsiTheme="majorHAnsi" w:cs="Courier New"/>
          <w:color w:val="000000"/>
          <w:sz w:val="22"/>
          <w:szCs w:val="22"/>
          <w:shd w:val="clear" w:color="auto" w:fill="FFFFFF"/>
        </w:rPr>
        <w:t xml:space="preserve"> </w:t>
      </w:r>
      <w:r w:rsidRPr="00072F12">
        <w:rPr>
          <w:rFonts w:asciiTheme="majorHAnsi" w:eastAsia="Times New Roman" w:hAnsiTheme="majorHAnsi" w:cs="Courier New"/>
          <w:color w:val="000000"/>
          <w:sz w:val="22"/>
          <w:szCs w:val="22"/>
          <w:shd w:val="clear" w:color="auto" w:fill="FFFFFF"/>
        </w:rPr>
        <w:t xml:space="preserve">current option to release the donor-imposed restriction over the estimated useful life of the acquired asset).  </w:t>
      </w:r>
    </w:p>
    <w:p w14:paraId="45FEB4CD" w14:textId="2C5CD294" w:rsidR="0010297D" w:rsidRPr="00D0797B" w:rsidRDefault="0010297D" w:rsidP="00D0797B">
      <w:pPr>
        <w:spacing w:after="200"/>
        <w:rPr>
          <w:rFonts w:asciiTheme="majorHAnsi" w:hAnsiTheme="majorHAnsi" w:cs="Courier New"/>
          <w:sz w:val="22"/>
          <w:szCs w:val="22"/>
        </w:rPr>
      </w:pPr>
      <w:r w:rsidRPr="00D0797B">
        <w:rPr>
          <w:rFonts w:asciiTheme="majorHAnsi" w:hAnsiTheme="majorHAnsi" w:cs="Courier New"/>
          <w:sz w:val="22"/>
          <w:szCs w:val="22"/>
        </w:rPr>
        <w:t xml:space="preserve">Questions for </w:t>
      </w:r>
      <w:r w:rsidR="00D0797B" w:rsidRPr="00D0797B">
        <w:rPr>
          <w:rFonts w:asciiTheme="majorHAnsi" w:hAnsiTheme="majorHAnsi" w:cs="Courier New"/>
          <w:sz w:val="22"/>
          <w:szCs w:val="22"/>
        </w:rPr>
        <w:t xml:space="preserve">consideration by the subcommittee </w:t>
      </w:r>
      <w:r w:rsidRPr="00D0797B">
        <w:rPr>
          <w:rFonts w:asciiTheme="majorHAnsi" w:hAnsiTheme="majorHAnsi" w:cs="Courier New"/>
          <w:sz w:val="22"/>
          <w:szCs w:val="22"/>
        </w:rPr>
        <w:t>include:</w:t>
      </w:r>
    </w:p>
    <w:p w14:paraId="35A17B61" w14:textId="5DE761B4" w:rsidR="00DD4B8E" w:rsidRPr="00124B59" w:rsidRDefault="00DD4B8E" w:rsidP="00D0797B">
      <w:pPr>
        <w:pStyle w:val="ListParagraph"/>
        <w:numPr>
          <w:ilvl w:val="0"/>
          <w:numId w:val="5"/>
        </w:numPr>
        <w:spacing w:after="200"/>
        <w:rPr>
          <w:rFonts w:asciiTheme="majorHAnsi" w:hAnsiTheme="majorHAnsi"/>
          <w:sz w:val="22"/>
          <w:szCs w:val="22"/>
        </w:rPr>
      </w:pPr>
      <w:r>
        <w:rPr>
          <w:rFonts w:asciiTheme="majorHAnsi" w:hAnsiTheme="majorHAnsi" w:cs="Courier New"/>
          <w:sz w:val="22"/>
          <w:szCs w:val="22"/>
        </w:rPr>
        <w:t>Are there implications from the change from three classes of net assets to two classes that should be discussed with regard to calcula</w:t>
      </w:r>
      <w:r w:rsidR="001C41A9">
        <w:rPr>
          <w:rFonts w:asciiTheme="majorHAnsi" w:hAnsiTheme="majorHAnsi" w:cs="Courier New"/>
          <w:sz w:val="22"/>
          <w:szCs w:val="22"/>
        </w:rPr>
        <w:t>ting the composite score?</w:t>
      </w:r>
    </w:p>
    <w:p w14:paraId="411CE240" w14:textId="77777777" w:rsidR="00124B59" w:rsidRPr="00DD4B8E" w:rsidRDefault="00124B59" w:rsidP="00124B59">
      <w:pPr>
        <w:pStyle w:val="ListParagraph"/>
        <w:spacing w:after="200"/>
        <w:rPr>
          <w:rFonts w:asciiTheme="majorHAnsi" w:hAnsiTheme="majorHAnsi"/>
          <w:sz w:val="22"/>
          <w:szCs w:val="22"/>
        </w:rPr>
      </w:pPr>
    </w:p>
    <w:p w14:paraId="4B07DA78" w14:textId="231DBA1E" w:rsidR="00DD4B8E" w:rsidRPr="00124B59" w:rsidRDefault="00DD4B8E" w:rsidP="00D0797B">
      <w:pPr>
        <w:pStyle w:val="ListParagraph"/>
        <w:numPr>
          <w:ilvl w:val="0"/>
          <w:numId w:val="5"/>
        </w:numPr>
        <w:spacing w:after="200"/>
        <w:rPr>
          <w:rFonts w:asciiTheme="majorHAnsi" w:hAnsiTheme="majorHAnsi"/>
          <w:sz w:val="22"/>
          <w:szCs w:val="22"/>
        </w:rPr>
      </w:pPr>
      <w:r>
        <w:rPr>
          <w:rFonts w:asciiTheme="majorHAnsi" w:hAnsiTheme="majorHAnsi" w:cs="Courier New"/>
          <w:sz w:val="22"/>
          <w:szCs w:val="22"/>
        </w:rPr>
        <w:t>How could the Department use the additional liquidity disclosures in evaluating a not-for-</w:t>
      </w:r>
      <w:r w:rsidR="001C41A9">
        <w:rPr>
          <w:rFonts w:asciiTheme="majorHAnsi" w:hAnsiTheme="majorHAnsi" w:cs="Courier New"/>
          <w:sz w:val="22"/>
          <w:szCs w:val="22"/>
        </w:rPr>
        <w:t>profit schools</w:t>
      </w:r>
      <w:r w:rsidR="004D4810">
        <w:rPr>
          <w:rFonts w:asciiTheme="majorHAnsi" w:hAnsiTheme="majorHAnsi" w:cs="Courier New"/>
          <w:sz w:val="22"/>
          <w:szCs w:val="22"/>
        </w:rPr>
        <w:t>’</w:t>
      </w:r>
      <w:r w:rsidR="001C41A9">
        <w:rPr>
          <w:rFonts w:asciiTheme="majorHAnsi" w:hAnsiTheme="majorHAnsi" w:cs="Courier New"/>
          <w:sz w:val="22"/>
          <w:szCs w:val="22"/>
        </w:rPr>
        <w:t xml:space="preserve"> financial health?</w:t>
      </w:r>
    </w:p>
    <w:p w14:paraId="6427168A" w14:textId="66073846" w:rsidR="00124B59" w:rsidRPr="00124B59" w:rsidRDefault="00124B59" w:rsidP="00124B59">
      <w:pPr>
        <w:pStyle w:val="ListParagraph"/>
        <w:rPr>
          <w:rFonts w:asciiTheme="majorHAnsi" w:hAnsiTheme="majorHAnsi"/>
          <w:sz w:val="22"/>
          <w:szCs w:val="22"/>
        </w:rPr>
      </w:pPr>
    </w:p>
    <w:p w14:paraId="661EC712" w14:textId="2F15CCCA" w:rsidR="00DD4B8E" w:rsidRPr="00124B59" w:rsidRDefault="00DD4B8E" w:rsidP="00D0797B">
      <w:pPr>
        <w:pStyle w:val="ListParagraph"/>
        <w:numPr>
          <w:ilvl w:val="0"/>
          <w:numId w:val="5"/>
        </w:numPr>
        <w:spacing w:after="200"/>
        <w:rPr>
          <w:rFonts w:asciiTheme="majorHAnsi" w:hAnsiTheme="majorHAnsi"/>
          <w:sz w:val="22"/>
          <w:szCs w:val="22"/>
        </w:rPr>
      </w:pPr>
      <w:r>
        <w:rPr>
          <w:rFonts w:asciiTheme="majorHAnsi" w:hAnsiTheme="majorHAnsi" w:cs="Courier New"/>
          <w:sz w:val="22"/>
          <w:szCs w:val="22"/>
        </w:rPr>
        <w:t>Are there comparable</w:t>
      </w:r>
      <w:r w:rsidR="008F1D3E">
        <w:rPr>
          <w:rFonts w:asciiTheme="majorHAnsi" w:hAnsiTheme="majorHAnsi" w:cs="Courier New"/>
          <w:sz w:val="22"/>
          <w:szCs w:val="22"/>
        </w:rPr>
        <w:t xml:space="preserve"> liquidity</w:t>
      </w:r>
      <w:r>
        <w:rPr>
          <w:rFonts w:asciiTheme="majorHAnsi" w:hAnsiTheme="majorHAnsi" w:cs="Courier New"/>
          <w:sz w:val="22"/>
          <w:szCs w:val="22"/>
        </w:rPr>
        <w:t xml:space="preserve"> disclosures for proprietary schools and</w:t>
      </w:r>
      <w:r w:rsidR="00570144">
        <w:rPr>
          <w:rFonts w:asciiTheme="majorHAnsi" w:hAnsiTheme="majorHAnsi" w:cs="Courier New"/>
          <w:sz w:val="22"/>
          <w:szCs w:val="22"/>
        </w:rPr>
        <w:t>,</w:t>
      </w:r>
      <w:r>
        <w:rPr>
          <w:rFonts w:asciiTheme="majorHAnsi" w:hAnsiTheme="majorHAnsi" w:cs="Courier New"/>
          <w:sz w:val="22"/>
          <w:szCs w:val="22"/>
        </w:rPr>
        <w:t xml:space="preserve"> if not</w:t>
      </w:r>
      <w:r w:rsidR="00570144">
        <w:rPr>
          <w:rFonts w:asciiTheme="majorHAnsi" w:hAnsiTheme="majorHAnsi" w:cs="Courier New"/>
          <w:sz w:val="22"/>
          <w:szCs w:val="22"/>
        </w:rPr>
        <w:t>,</w:t>
      </w:r>
      <w:r>
        <w:rPr>
          <w:rFonts w:asciiTheme="majorHAnsi" w:hAnsiTheme="majorHAnsi" w:cs="Courier New"/>
          <w:sz w:val="22"/>
          <w:szCs w:val="22"/>
        </w:rPr>
        <w:t xml:space="preserve"> </w:t>
      </w:r>
      <w:r w:rsidR="00570144">
        <w:rPr>
          <w:rFonts w:asciiTheme="majorHAnsi" w:hAnsiTheme="majorHAnsi" w:cs="Courier New"/>
          <w:sz w:val="22"/>
          <w:szCs w:val="22"/>
        </w:rPr>
        <w:t xml:space="preserve">should </w:t>
      </w:r>
      <w:r>
        <w:rPr>
          <w:rFonts w:asciiTheme="majorHAnsi" w:hAnsiTheme="majorHAnsi" w:cs="Courier New"/>
          <w:sz w:val="22"/>
          <w:szCs w:val="22"/>
        </w:rPr>
        <w:t>such disclosures be required of proprietary s</w:t>
      </w:r>
      <w:r w:rsidR="001C41A9">
        <w:rPr>
          <w:rFonts w:asciiTheme="majorHAnsi" w:hAnsiTheme="majorHAnsi" w:cs="Courier New"/>
          <w:sz w:val="22"/>
          <w:szCs w:val="22"/>
        </w:rPr>
        <w:t>chools?</w:t>
      </w:r>
    </w:p>
    <w:p w14:paraId="2324C40A" w14:textId="5C761101" w:rsidR="00124B59" w:rsidRPr="00124B59" w:rsidRDefault="00124B59" w:rsidP="00124B59">
      <w:pPr>
        <w:pStyle w:val="ListParagraph"/>
        <w:rPr>
          <w:rFonts w:asciiTheme="majorHAnsi" w:hAnsiTheme="majorHAnsi"/>
          <w:sz w:val="22"/>
          <w:szCs w:val="22"/>
        </w:rPr>
      </w:pPr>
    </w:p>
    <w:p w14:paraId="34D39606" w14:textId="091ACDCE" w:rsidR="001C41A9" w:rsidRPr="00124B59" w:rsidRDefault="001C41A9" w:rsidP="00D0797B">
      <w:pPr>
        <w:pStyle w:val="ListParagraph"/>
        <w:numPr>
          <w:ilvl w:val="0"/>
          <w:numId w:val="5"/>
        </w:numPr>
        <w:spacing w:after="200"/>
        <w:rPr>
          <w:rFonts w:asciiTheme="majorHAnsi" w:hAnsiTheme="majorHAnsi"/>
          <w:sz w:val="22"/>
          <w:szCs w:val="22"/>
        </w:rPr>
      </w:pPr>
      <w:r>
        <w:rPr>
          <w:rFonts w:asciiTheme="majorHAnsi" w:hAnsiTheme="majorHAnsi" w:cs="Courier New"/>
          <w:sz w:val="22"/>
          <w:szCs w:val="22"/>
        </w:rPr>
        <w:t>Do the additional disclosures address when a school borrows from donor restricted funds without proper authorization?</w:t>
      </w:r>
      <w:r w:rsidR="00D0797B">
        <w:rPr>
          <w:rFonts w:asciiTheme="majorHAnsi" w:hAnsiTheme="majorHAnsi" w:cs="Courier New"/>
          <w:sz w:val="22"/>
          <w:szCs w:val="22"/>
        </w:rPr>
        <w:t xml:space="preserve">  If not</w:t>
      </w:r>
      <w:r w:rsidR="00670C14">
        <w:rPr>
          <w:rFonts w:asciiTheme="majorHAnsi" w:hAnsiTheme="majorHAnsi" w:cs="Courier New"/>
          <w:sz w:val="22"/>
          <w:szCs w:val="22"/>
        </w:rPr>
        <w:t>,</w:t>
      </w:r>
      <w:r w:rsidR="00D0797B">
        <w:rPr>
          <w:rFonts w:asciiTheme="majorHAnsi" w:hAnsiTheme="majorHAnsi" w:cs="Courier New"/>
          <w:sz w:val="22"/>
          <w:szCs w:val="22"/>
        </w:rPr>
        <w:t xml:space="preserve"> should there be a required additional disclosure in the regulations?</w:t>
      </w:r>
    </w:p>
    <w:p w14:paraId="6C884806" w14:textId="3111A99F" w:rsidR="00124B59" w:rsidRPr="00124B59" w:rsidRDefault="00124B59" w:rsidP="00124B59">
      <w:pPr>
        <w:pStyle w:val="ListParagraph"/>
        <w:rPr>
          <w:rFonts w:asciiTheme="majorHAnsi" w:hAnsiTheme="majorHAnsi"/>
          <w:sz w:val="22"/>
          <w:szCs w:val="22"/>
        </w:rPr>
      </w:pPr>
    </w:p>
    <w:p w14:paraId="44EC8E7F" w14:textId="35DECC64" w:rsidR="00124B59" w:rsidRPr="00124B59" w:rsidRDefault="003437DE" w:rsidP="00124B59">
      <w:pPr>
        <w:pStyle w:val="ListParagraph"/>
        <w:numPr>
          <w:ilvl w:val="0"/>
          <w:numId w:val="5"/>
        </w:numPr>
        <w:spacing w:after="200"/>
        <w:rPr>
          <w:rFonts w:asciiTheme="majorHAnsi" w:hAnsiTheme="majorHAnsi"/>
          <w:sz w:val="22"/>
          <w:szCs w:val="22"/>
        </w:rPr>
      </w:pPr>
      <w:r>
        <w:rPr>
          <w:rFonts w:asciiTheme="majorHAnsi" w:hAnsiTheme="majorHAnsi" w:cs="Courier New"/>
          <w:sz w:val="22"/>
          <w:szCs w:val="22"/>
        </w:rPr>
        <w:t>Does</w:t>
      </w:r>
      <w:r w:rsidR="000930A5">
        <w:rPr>
          <w:rFonts w:asciiTheme="majorHAnsi" w:hAnsiTheme="majorHAnsi" w:cs="Courier New"/>
          <w:sz w:val="22"/>
          <w:szCs w:val="22"/>
        </w:rPr>
        <w:t xml:space="preserve"> </w:t>
      </w:r>
      <w:r w:rsidR="001C41A9">
        <w:rPr>
          <w:rFonts w:asciiTheme="majorHAnsi" w:hAnsiTheme="majorHAnsi" w:cs="Courier New"/>
          <w:sz w:val="22"/>
          <w:szCs w:val="22"/>
        </w:rPr>
        <w:t>investment return net of external and direct internal investment expenses</w:t>
      </w:r>
      <w:r w:rsidR="000930A5">
        <w:rPr>
          <w:rFonts w:asciiTheme="majorHAnsi" w:hAnsiTheme="majorHAnsi" w:cs="Courier New"/>
          <w:sz w:val="22"/>
          <w:szCs w:val="22"/>
        </w:rPr>
        <w:t xml:space="preserve"> impact the composite score or the manner in which the Department evaluates</w:t>
      </w:r>
      <w:r w:rsidR="00B2028D">
        <w:rPr>
          <w:rFonts w:asciiTheme="majorHAnsi" w:hAnsiTheme="majorHAnsi" w:cs="Courier New"/>
          <w:sz w:val="22"/>
          <w:szCs w:val="22"/>
        </w:rPr>
        <w:t xml:space="preserve"> a school’s financial responsibility</w:t>
      </w:r>
      <w:r w:rsidR="0074669E">
        <w:rPr>
          <w:rFonts w:asciiTheme="majorHAnsi" w:hAnsiTheme="majorHAnsi" w:cs="Courier New"/>
          <w:sz w:val="22"/>
          <w:szCs w:val="22"/>
        </w:rPr>
        <w:t>?</w:t>
      </w:r>
      <w:r w:rsidR="000930A5">
        <w:rPr>
          <w:rFonts w:asciiTheme="majorHAnsi" w:hAnsiTheme="majorHAnsi" w:cs="Courier New"/>
          <w:sz w:val="22"/>
          <w:szCs w:val="22"/>
        </w:rPr>
        <w:t xml:space="preserve"> </w:t>
      </w:r>
    </w:p>
    <w:p w14:paraId="6CB332D9" w14:textId="77777777" w:rsidR="00124B59" w:rsidRPr="00124B59" w:rsidRDefault="00124B59" w:rsidP="00124B59">
      <w:pPr>
        <w:pStyle w:val="ListParagraph"/>
        <w:rPr>
          <w:rFonts w:asciiTheme="majorHAnsi" w:hAnsiTheme="majorHAnsi"/>
          <w:sz w:val="22"/>
          <w:szCs w:val="22"/>
        </w:rPr>
      </w:pPr>
    </w:p>
    <w:p w14:paraId="31273620" w14:textId="33CE318B" w:rsidR="007803C9" w:rsidRDefault="001C41A9" w:rsidP="00D0797B">
      <w:pPr>
        <w:pStyle w:val="ListParagraph"/>
        <w:numPr>
          <w:ilvl w:val="0"/>
          <w:numId w:val="5"/>
        </w:numPr>
        <w:spacing w:after="200"/>
        <w:rPr>
          <w:rFonts w:asciiTheme="majorHAnsi" w:hAnsiTheme="majorHAnsi" w:cs="Courier New"/>
          <w:sz w:val="22"/>
          <w:szCs w:val="22"/>
        </w:rPr>
      </w:pPr>
      <w:r>
        <w:rPr>
          <w:rFonts w:asciiTheme="majorHAnsi" w:hAnsiTheme="majorHAnsi" w:cs="Courier New"/>
          <w:sz w:val="22"/>
          <w:szCs w:val="22"/>
        </w:rPr>
        <w:t>Requiring the placed-in</w:t>
      </w:r>
      <w:r w:rsidR="000F27EA">
        <w:rPr>
          <w:rFonts w:asciiTheme="majorHAnsi" w:hAnsiTheme="majorHAnsi" w:cs="Courier New"/>
          <w:sz w:val="22"/>
          <w:szCs w:val="22"/>
        </w:rPr>
        <w:t>-</w:t>
      </w:r>
      <w:r>
        <w:rPr>
          <w:rFonts w:asciiTheme="majorHAnsi" w:hAnsiTheme="majorHAnsi" w:cs="Courier New"/>
          <w:sz w:val="22"/>
          <w:szCs w:val="22"/>
        </w:rPr>
        <w:t>service approach would not have an impact on net assets, but in the year the asset is placed in service could have a significant positive impact on net assets without donor restriction. How or should the Department consider this impact in evaluating a non-profit sc</w:t>
      </w:r>
      <w:r w:rsidR="00021A9E">
        <w:rPr>
          <w:rFonts w:asciiTheme="majorHAnsi" w:hAnsiTheme="majorHAnsi" w:cs="Courier New"/>
          <w:sz w:val="22"/>
          <w:szCs w:val="22"/>
        </w:rPr>
        <w:t>hool’s financial responsibility?</w:t>
      </w:r>
    </w:p>
    <w:p w14:paraId="084F63D0" w14:textId="26255788" w:rsidR="007803C9" w:rsidRDefault="007803C9">
      <w:pPr>
        <w:rPr>
          <w:rFonts w:asciiTheme="majorHAnsi" w:hAnsiTheme="majorHAnsi" w:cs="Courier New"/>
          <w:sz w:val="22"/>
          <w:szCs w:val="22"/>
        </w:rPr>
      </w:pPr>
    </w:p>
    <w:sectPr w:rsidR="007803C9" w:rsidSect="0004535C">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1169" w14:textId="77777777" w:rsidR="008D77DD" w:rsidRDefault="008D77DD" w:rsidP="00B34E95">
      <w:r>
        <w:separator/>
      </w:r>
    </w:p>
  </w:endnote>
  <w:endnote w:type="continuationSeparator" w:id="0">
    <w:p w14:paraId="6B0A2A1E" w14:textId="77777777" w:rsidR="008D77DD" w:rsidRDefault="008D77DD" w:rsidP="00B3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7AAF" w14:textId="77777777" w:rsidR="00E5669D" w:rsidRDefault="00E5669D" w:rsidP="00B34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85407" w14:textId="77777777" w:rsidR="00E5669D" w:rsidRDefault="00E5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789E" w14:textId="77777777" w:rsidR="00E5669D" w:rsidRDefault="00E5669D" w:rsidP="00B34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63E">
      <w:rPr>
        <w:rStyle w:val="PageNumber"/>
        <w:noProof/>
      </w:rPr>
      <w:t>1</w:t>
    </w:r>
    <w:r>
      <w:rPr>
        <w:rStyle w:val="PageNumber"/>
      </w:rPr>
      <w:fldChar w:fldCharType="end"/>
    </w:r>
  </w:p>
  <w:p w14:paraId="6F4D175E" w14:textId="77777777" w:rsidR="00E5669D" w:rsidRDefault="00E5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34B1" w14:textId="77777777" w:rsidR="008D77DD" w:rsidRDefault="008D77DD" w:rsidP="00B34E95">
      <w:r>
        <w:separator/>
      </w:r>
    </w:p>
  </w:footnote>
  <w:footnote w:type="continuationSeparator" w:id="0">
    <w:p w14:paraId="4AB0A746" w14:textId="77777777" w:rsidR="008D77DD" w:rsidRDefault="008D77DD" w:rsidP="00B34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A79"/>
    <w:multiLevelType w:val="multilevel"/>
    <w:tmpl w:val="7B480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803D0"/>
    <w:multiLevelType w:val="hybridMultilevel"/>
    <w:tmpl w:val="ED08DA44"/>
    <w:lvl w:ilvl="0" w:tplc="D8C80262">
      <w:start w:val="1"/>
      <w:numFmt w:val="decimal"/>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06C1"/>
    <w:multiLevelType w:val="hybridMultilevel"/>
    <w:tmpl w:val="81CE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57EDA"/>
    <w:multiLevelType w:val="hybridMultilevel"/>
    <w:tmpl w:val="50205B84"/>
    <w:lvl w:ilvl="0" w:tplc="C20CE5B8">
      <w:start w:val="1"/>
      <w:numFmt w:val="decimal"/>
      <w:lvlText w:val="%1."/>
      <w:lvlJc w:val="left"/>
      <w:pPr>
        <w:ind w:left="930" w:hanging="9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AB4332"/>
    <w:multiLevelType w:val="hybridMultilevel"/>
    <w:tmpl w:val="452CFD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094811"/>
    <w:multiLevelType w:val="hybridMultilevel"/>
    <w:tmpl w:val="0994F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464B4"/>
    <w:multiLevelType w:val="hybridMultilevel"/>
    <w:tmpl w:val="A32C58C6"/>
    <w:lvl w:ilvl="0" w:tplc="1E368270">
      <w:start w:val="1"/>
      <w:numFmt w:val="decimal"/>
      <w:lvlText w:val="%1."/>
      <w:lvlJc w:val="left"/>
      <w:pPr>
        <w:ind w:left="735" w:hanging="375"/>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EA"/>
    <w:rsid w:val="00021A9E"/>
    <w:rsid w:val="00031EE7"/>
    <w:rsid w:val="0004535C"/>
    <w:rsid w:val="0006212E"/>
    <w:rsid w:val="00072F12"/>
    <w:rsid w:val="000920B1"/>
    <w:rsid w:val="000930A5"/>
    <w:rsid w:val="000A3749"/>
    <w:rsid w:val="000F27EA"/>
    <w:rsid w:val="0010297D"/>
    <w:rsid w:val="00124B59"/>
    <w:rsid w:val="00154C2C"/>
    <w:rsid w:val="001C41A9"/>
    <w:rsid w:val="001D263E"/>
    <w:rsid w:val="001E39B5"/>
    <w:rsid w:val="001E7321"/>
    <w:rsid w:val="00217DE5"/>
    <w:rsid w:val="002326DC"/>
    <w:rsid w:val="00243298"/>
    <w:rsid w:val="00251E3E"/>
    <w:rsid w:val="00274D43"/>
    <w:rsid w:val="0027541F"/>
    <w:rsid w:val="0028054C"/>
    <w:rsid w:val="002828A2"/>
    <w:rsid w:val="002B67F6"/>
    <w:rsid w:val="002C3013"/>
    <w:rsid w:val="002D5949"/>
    <w:rsid w:val="003437DE"/>
    <w:rsid w:val="00377ACE"/>
    <w:rsid w:val="003C1F74"/>
    <w:rsid w:val="003C50B7"/>
    <w:rsid w:val="003C6E11"/>
    <w:rsid w:val="0043417A"/>
    <w:rsid w:val="00452404"/>
    <w:rsid w:val="00471F0A"/>
    <w:rsid w:val="004902EB"/>
    <w:rsid w:val="004A493F"/>
    <w:rsid w:val="004C0B1D"/>
    <w:rsid w:val="004D4810"/>
    <w:rsid w:val="004F4338"/>
    <w:rsid w:val="00501200"/>
    <w:rsid w:val="00510638"/>
    <w:rsid w:val="00516436"/>
    <w:rsid w:val="005550BB"/>
    <w:rsid w:val="00570144"/>
    <w:rsid w:val="005E2D32"/>
    <w:rsid w:val="005E3385"/>
    <w:rsid w:val="005F1290"/>
    <w:rsid w:val="00600B38"/>
    <w:rsid w:val="00604B41"/>
    <w:rsid w:val="00610B13"/>
    <w:rsid w:val="00670C14"/>
    <w:rsid w:val="00680B5B"/>
    <w:rsid w:val="006B429A"/>
    <w:rsid w:val="006B7ABB"/>
    <w:rsid w:val="006F5E03"/>
    <w:rsid w:val="00706623"/>
    <w:rsid w:val="0071518F"/>
    <w:rsid w:val="0074669E"/>
    <w:rsid w:val="00751C40"/>
    <w:rsid w:val="00772962"/>
    <w:rsid w:val="007803C9"/>
    <w:rsid w:val="00783BA6"/>
    <w:rsid w:val="007873EA"/>
    <w:rsid w:val="007E3B04"/>
    <w:rsid w:val="007E6C84"/>
    <w:rsid w:val="00830B4C"/>
    <w:rsid w:val="0083413A"/>
    <w:rsid w:val="00875A3D"/>
    <w:rsid w:val="00877D5C"/>
    <w:rsid w:val="00896DBC"/>
    <w:rsid w:val="008C114E"/>
    <w:rsid w:val="008D77DD"/>
    <w:rsid w:val="008F1D3E"/>
    <w:rsid w:val="009A111F"/>
    <w:rsid w:val="009C4192"/>
    <w:rsid w:val="009D15E5"/>
    <w:rsid w:val="009E41D9"/>
    <w:rsid w:val="009F015B"/>
    <w:rsid w:val="00A13C40"/>
    <w:rsid w:val="00A23A30"/>
    <w:rsid w:val="00A56480"/>
    <w:rsid w:val="00A73281"/>
    <w:rsid w:val="00AA51EB"/>
    <w:rsid w:val="00AE3510"/>
    <w:rsid w:val="00AE78C8"/>
    <w:rsid w:val="00B2028D"/>
    <w:rsid w:val="00B217DC"/>
    <w:rsid w:val="00B34E95"/>
    <w:rsid w:val="00B516BF"/>
    <w:rsid w:val="00B812C9"/>
    <w:rsid w:val="00BB2641"/>
    <w:rsid w:val="00BB76FB"/>
    <w:rsid w:val="00BD3AB3"/>
    <w:rsid w:val="00C41CCE"/>
    <w:rsid w:val="00C77563"/>
    <w:rsid w:val="00CB1913"/>
    <w:rsid w:val="00D0797B"/>
    <w:rsid w:val="00D318D0"/>
    <w:rsid w:val="00D34CB6"/>
    <w:rsid w:val="00D36461"/>
    <w:rsid w:val="00D56D20"/>
    <w:rsid w:val="00DB3110"/>
    <w:rsid w:val="00DD4B8E"/>
    <w:rsid w:val="00E03353"/>
    <w:rsid w:val="00E5669D"/>
    <w:rsid w:val="00E60052"/>
    <w:rsid w:val="00E657A4"/>
    <w:rsid w:val="00E73892"/>
    <w:rsid w:val="00E807CB"/>
    <w:rsid w:val="00E96531"/>
    <w:rsid w:val="00ED3C59"/>
    <w:rsid w:val="00EE040D"/>
    <w:rsid w:val="00F036A1"/>
    <w:rsid w:val="00F5414C"/>
    <w:rsid w:val="00FA0FCE"/>
    <w:rsid w:val="00FA445E"/>
    <w:rsid w:val="00FB2CB3"/>
    <w:rsid w:val="00FC4451"/>
    <w:rsid w:val="00FE44ED"/>
    <w:rsid w:val="00FF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D4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EA"/>
    <w:pPr>
      <w:ind w:left="720"/>
      <w:contextualSpacing/>
    </w:pPr>
  </w:style>
  <w:style w:type="paragraph" w:styleId="Footer">
    <w:name w:val="footer"/>
    <w:basedOn w:val="Normal"/>
    <w:link w:val="FooterChar"/>
    <w:uiPriority w:val="99"/>
    <w:unhideWhenUsed/>
    <w:rsid w:val="00B34E95"/>
    <w:pPr>
      <w:tabs>
        <w:tab w:val="center" w:pos="4320"/>
        <w:tab w:val="right" w:pos="8640"/>
      </w:tabs>
    </w:pPr>
  </w:style>
  <w:style w:type="character" w:customStyle="1" w:styleId="FooterChar">
    <w:name w:val="Footer Char"/>
    <w:basedOn w:val="DefaultParagraphFont"/>
    <w:link w:val="Footer"/>
    <w:uiPriority w:val="99"/>
    <w:rsid w:val="00B34E95"/>
  </w:style>
  <w:style w:type="character" w:styleId="PageNumber">
    <w:name w:val="page number"/>
    <w:basedOn w:val="DefaultParagraphFont"/>
    <w:uiPriority w:val="99"/>
    <w:semiHidden/>
    <w:unhideWhenUsed/>
    <w:rsid w:val="00B34E95"/>
  </w:style>
  <w:style w:type="table" w:styleId="TableGrid">
    <w:name w:val="Table Grid"/>
    <w:basedOn w:val="TableNormal"/>
    <w:uiPriority w:val="59"/>
    <w:rsid w:val="00DB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C2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31EE7"/>
    <w:rPr>
      <w:rFonts w:ascii="Tahoma" w:hAnsi="Tahoma" w:cs="Tahoma"/>
      <w:sz w:val="16"/>
      <w:szCs w:val="16"/>
    </w:rPr>
  </w:style>
  <w:style w:type="character" w:customStyle="1" w:styleId="BalloonTextChar">
    <w:name w:val="Balloon Text Char"/>
    <w:basedOn w:val="DefaultParagraphFont"/>
    <w:link w:val="BalloonText"/>
    <w:uiPriority w:val="99"/>
    <w:semiHidden/>
    <w:rsid w:val="00031EE7"/>
    <w:rPr>
      <w:rFonts w:ascii="Tahoma" w:hAnsi="Tahoma" w:cs="Tahoma"/>
      <w:sz w:val="16"/>
      <w:szCs w:val="16"/>
    </w:rPr>
  </w:style>
  <w:style w:type="character" w:styleId="CommentReference">
    <w:name w:val="annotation reference"/>
    <w:basedOn w:val="DefaultParagraphFont"/>
    <w:uiPriority w:val="99"/>
    <w:semiHidden/>
    <w:unhideWhenUsed/>
    <w:rsid w:val="00E807CB"/>
    <w:rPr>
      <w:sz w:val="16"/>
      <w:szCs w:val="16"/>
    </w:rPr>
  </w:style>
  <w:style w:type="paragraph" w:styleId="CommentText">
    <w:name w:val="annotation text"/>
    <w:basedOn w:val="Normal"/>
    <w:link w:val="CommentTextChar"/>
    <w:uiPriority w:val="99"/>
    <w:semiHidden/>
    <w:unhideWhenUsed/>
    <w:rsid w:val="00E807CB"/>
    <w:rPr>
      <w:sz w:val="20"/>
      <w:szCs w:val="20"/>
    </w:rPr>
  </w:style>
  <w:style w:type="character" w:customStyle="1" w:styleId="CommentTextChar">
    <w:name w:val="Comment Text Char"/>
    <w:basedOn w:val="DefaultParagraphFont"/>
    <w:link w:val="CommentText"/>
    <w:uiPriority w:val="99"/>
    <w:semiHidden/>
    <w:rsid w:val="00E807CB"/>
    <w:rPr>
      <w:sz w:val="20"/>
      <w:szCs w:val="20"/>
    </w:rPr>
  </w:style>
  <w:style w:type="paragraph" w:styleId="CommentSubject">
    <w:name w:val="annotation subject"/>
    <w:basedOn w:val="CommentText"/>
    <w:next w:val="CommentText"/>
    <w:link w:val="CommentSubjectChar"/>
    <w:uiPriority w:val="99"/>
    <w:semiHidden/>
    <w:unhideWhenUsed/>
    <w:rsid w:val="00E807CB"/>
    <w:rPr>
      <w:b/>
      <w:bCs/>
    </w:rPr>
  </w:style>
  <w:style w:type="character" w:customStyle="1" w:styleId="CommentSubjectChar">
    <w:name w:val="Comment Subject Char"/>
    <w:basedOn w:val="CommentTextChar"/>
    <w:link w:val="CommentSubject"/>
    <w:uiPriority w:val="99"/>
    <w:semiHidden/>
    <w:rsid w:val="00E807CB"/>
    <w:rPr>
      <w:b/>
      <w:bCs/>
      <w:sz w:val="20"/>
      <w:szCs w:val="20"/>
    </w:rPr>
  </w:style>
  <w:style w:type="paragraph" w:styleId="FootnoteText">
    <w:name w:val="footnote text"/>
    <w:basedOn w:val="Normal"/>
    <w:link w:val="FootnoteTextChar"/>
    <w:uiPriority w:val="99"/>
    <w:semiHidden/>
    <w:unhideWhenUsed/>
    <w:rsid w:val="003C1F74"/>
    <w:rPr>
      <w:sz w:val="20"/>
      <w:szCs w:val="20"/>
    </w:rPr>
  </w:style>
  <w:style w:type="character" w:customStyle="1" w:styleId="FootnoteTextChar">
    <w:name w:val="Footnote Text Char"/>
    <w:basedOn w:val="DefaultParagraphFont"/>
    <w:link w:val="FootnoteText"/>
    <w:uiPriority w:val="99"/>
    <w:semiHidden/>
    <w:rsid w:val="003C1F74"/>
    <w:rPr>
      <w:sz w:val="20"/>
      <w:szCs w:val="20"/>
    </w:rPr>
  </w:style>
  <w:style w:type="character" w:styleId="FootnoteReference">
    <w:name w:val="footnote reference"/>
    <w:basedOn w:val="DefaultParagraphFont"/>
    <w:uiPriority w:val="99"/>
    <w:semiHidden/>
    <w:unhideWhenUsed/>
    <w:rsid w:val="003C1F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EA"/>
    <w:pPr>
      <w:ind w:left="720"/>
      <w:contextualSpacing/>
    </w:pPr>
  </w:style>
  <w:style w:type="paragraph" w:styleId="Footer">
    <w:name w:val="footer"/>
    <w:basedOn w:val="Normal"/>
    <w:link w:val="FooterChar"/>
    <w:uiPriority w:val="99"/>
    <w:unhideWhenUsed/>
    <w:rsid w:val="00B34E95"/>
    <w:pPr>
      <w:tabs>
        <w:tab w:val="center" w:pos="4320"/>
        <w:tab w:val="right" w:pos="8640"/>
      </w:tabs>
    </w:pPr>
  </w:style>
  <w:style w:type="character" w:customStyle="1" w:styleId="FooterChar">
    <w:name w:val="Footer Char"/>
    <w:basedOn w:val="DefaultParagraphFont"/>
    <w:link w:val="Footer"/>
    <w:uiPriority w:val="99"/>
    <w:rsid w:val="00B34E95"/>
  </w:style>
  <w:style w:type="character" w:styleId="PageNumber">
    <w:name w:val="page number"/>
    <w:basedOn w:val="DefaultParagraphFont"/>
    <w:uiPriority w:val="99"/>
    <w:semiHidden/>
    <w:unhideWhenUsed/>
    <w:rsid w:val="00B34E95"/>
  </w:style>
  <w:style w:type="table" w:styleId="TableGrid">
    <w:name w:val="Table Grid"/>
    <w:basedOn w:val="TableNormal"/>
    <w:uiPriority w:val="59"/>
    <w:rsid w:val="00DB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C2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31EE7"/>
    <w:rPr>
      <w:rFonts w:ascii="Tahoma" w:hAnsi="Tahoma" w:cs="Tahoma"/>
      <w:sz w:val="16"/>
      <w:szCs w:val="16"/>
    </w:rPr>
  </w:style>
  <w:style w:type="character" w:customStyle="1" w:styleId="BalloonTextChar">
    <w:name w:val="Balloon Text Char"/>
    <w:basedOn w:val="DefaultParagraphFont"/>
    <w:link w:val="BalloonText"/>
    <w:uiPriority w:val="99"/>
    <w:semiHidden/>
    <w:rsid w:val="00031EE7"/>
    <w:rPr>
      <w:rFonts w:ascii="Tahoma" w:hAnsi="Tahoma" w:cs="Tahoma"/>
      <w:sz w:val="16"/>
      <w:szCs w:val="16"/>
    </w:rPr>
  </w:style>
  <w:style w:type="character" w:styleId="CommentReference">
    <w:name w:val="annotation reference"/>
    <w:basedOn w:val="DefaultParagraphFont"/>
    <w:uiPriority w:val="99"/>
    <w:semiHidden/>
    <w:unhideWhenUsed/>
    <w:rsid w:val="00E807CB"/>
    <w:rPr>
      <w:sz w:val="16"/>
      <w:szCs w:val="16"/>
    </w:rPr>
  </w:style>
  <w:style w:type="paragraph" w:styleId="CommentText">
    <w:name w:val="annotation text"/>
    <w:basedOn w:val="Normal"/>
    <w:link w:val="CommentTextChar"/>
    <w:uiPriority w:val="99"/>
    <w:semiHidden/>
    <w:unhideWhenUsed/>
    <w:rsid w:val="00E807CB"/>
    <w:rPr>
      <w:sz w:val="20"/>
      <w:szCs w:val="20"/>
    </w:rPr>
  </w:style>
  <w:style w:type="character" w:customStyle="1" w:styleId="CommentTextChar">
    <w:name w:val="Comment Text Char"/>
    <w:basedOn w:val="DefaultParagraphFont"/>
    <w:link w:val="CommentText"/>
    <w:uiPriority w:val="99"/>
    <w:semiHidden/>
    <w:rsid w:val="00E807CB"/>
    <w:rPr>
      <w:sz w:val="20"/>
      <w:szCs w:val="20"/>
    </w:rPr>
  </w:style>
  <w:style w:type="paragraph" w:styleId="CommentSubject">
    <w:name w:val="annotation subject"/>
    <w:basedOn w:val="CommentText"/>
    <w:next w:val="CommentText"/>
    <w:link w:val="CommentSubjectChar"/>
    <w:uiPriority w:val="99"/>
    <w:semiHidden/>
    <w:unhideWhenUsed/>
    <w:rsid w:val="00E807CB"/>
    <w:rPr>
      <w:b/>
      <w:bCs/>
    </w:rPr>
  </w:style>
  <w:style w:type="character" w:customStyle="1" w:styleId="CommentSubjectChar">
    <w:name w:val="Comment Subject Char"/>
    <w:basedOn w:val="CommentTextChar"/>
    <w:link w:val="CommentSubject"/>
    <w:uiPriority w:val="99"/>
    <w:semiHidden/>
    <w:rsid w:val="00E807CB"/>
    <w:rPr>
      <w:b/>
      <w:bCs/>
      <w:sz w:val="20"/>
      <w:szCs w:val="20"/>
    </w:rPr>
  </w:style>
  <w:style w:type="paragraph" w:styleId="FootnoteText">
    <w:name w:val="footnote text"/>
    <w:basedOn w:val="Normal"/>
    <w:link w:val="FootnoteTextChar"/>
    <w:uiPriority w:val="99"/>
    <w:semiHidden/>
    <w:unhideWhenUsed/>
    <w:rsid w:val="003C1F74"/>
    <w:rPr>
      <w:sz w:val="20"/>
      <w:szCs w:val="20"/>
    </w:rPr>
  </w:style>
  <w:style w:type="character" w:customStyle="1" w:styleId="FootnoteTextChar">
    <w:name w:val="Footnote Text Char"/>
    <w:basedOn w:val="DefaultParagraphFont"/>
    <w:link w:val="FootnoteText"/>
    <w:uiPriority w:val="99"/>
    <w:semiHidden/>
    <w:rsid w:val="003C1F74"/>
    <w:rPr>
      <w:sz w:val="20"/>
      <w:szCs w:val="20"/>
    </w:rPr>
  </w:style>
  <w:style w:type="character" w:styleId="FootnoteReference">
    <w:name w:val="footnote reference"/>
    <w:basedOn w:val="DefaultParagraphFont"/>
    <w:uiPriority w:val="99"/>
    <w:semiHidden/>
    <w:unhideWhenUsed/>
    <w:rsid w:val="003C1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0849">
      <w:bodyDiv w:val="1"/>
      <w:marLeft w:val="0"/>
      <w:marRight w:val="0"/>
      <w:marTop w:val="0"/>
      <w:marBottom w:val="0"/>
      <w:divBdr>
        <w:top w:val="none" w:sz="0" w:space="0" w:color="auto"/>
        <w:left w:val="none" w:sz="0" w:space="0" w:color="auto"/>
        <w:bottom w:val="none" w:sz="0" w:space="0" w:color="auto"/>
        <w:right w:val="none" w:sz="0" w:space="0" w:color="auto"/>
      </w:divBdr>
      <w:divsChild>
        <w:div w:id="346717310">
          <w:marLeft w:val="0"/>
          <w:marRight w:val="0"/>
          <w:marTop w:val="0"/>
          <w:marBottom w:val="0"/>
          <w:divBdr>
            <w:top w:val="none" w:sz="0" w:space="0" w:color="auto"/>
            <w:left w:val="none" w:sz="0" w:space="0" w:color="auto"/>
            <w:bottom w:val="none" w:sz="0" w:space="0" w:color="auto"/>
            <w:right w:val="none" w:sz="0" w:space="0" w:color="auto"/>
          </w:divBdr>
          <w:divsChild>
            <w:div w:id="205407738">
              <w:marLeft w:val="0"/>
              <w:marRight w:val="0"/>
              <w:marTop w:val="0"/>
              <w:marBottom w:val="0"/>
              <w:divBdr>
                <w:top w:val="none" w:sz="0" w:space="0" w:color="auto"/>
                <w:left w:val="none" w:sz="0" w:space="0" w:color="auto"/>
                <w:bottom w:val="none" w:sz="0" w:space="0" w:color="auto"/>
                <w:right w:val="none" w:sz="0" w:space="0" w:color="auto"/>
              </w:divBdr>
              <w:divsChild>
                <w:div w:id="1909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55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7F372126797147B7D3577A6C9B07CD" ma:contentTypeVersion="1" ma:contentTypeDescription="Create a new document." ma:contentTypeScope="" ma:versionID="15adec6d5b0978e4f404674b6f97e1c5">
  <xsd:schema xmlns:xsd="http://www.w3.org/2001/XMLSchema" xmlns:xs="http://www.w3.org/2001/XMLSchema" xmlns:p="http://schemas.microsoft.com/office/2006/metadata/properties" xmlns:ns2="ed92a188-2d2f-467d-a352-9b870f4976c7" targetNamespace="http://schemas.microsoft.com/office/2006/metadata/properties" ma:root="true" ma:fieldsID="978f78542fa980ff7b1f98523a5e12bd"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407C-9880-447B-9A93-77CCB37203ED}">
  <ds:schemaRefs>
    <ds:schemaRef ds:uri="http://schemas.microsoft.com/sharepoint/v3/contenttype/forms"/>
  </ds:schemaRefs>
</ds:datastoreItem>
</file>

<file path=customXml/itemProps2.xml><?xml version="1.0" encoding="utf-8"?>
<ds:datastoreItem xmlns:ds="http://schemas.openxmlformats.org/officeDocument/2006/customXml" ds:itemID="{E66765F0-8997-4AF1-8ADF-29FC30D35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B6295-615B-4FAD-93B9-D33F6072E9FB}">
  <ds:schemaRefs>
    <ds:schemaRef ds:uri="ed92a188-2d2f-467d-a352-9b870f4976c7"/>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99065D6-EEF7-466F-B08A-D0F94779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Hoblitzell, Barbara</dc:creator>
  <cp:lastModifiedBy>Douglas, Terri L.</cp:lastModifiedBy>
  <cp:revision>2</cp:revision>
  <cp:lastPrinted>2017-10-20T18:21:00Z</cp:lastPrinted>
  <dcterms:created xsi:type="dcterms:W3CDTF">2017-11-07T12:39:00Z</dcterms:created>
  <dcterms:modified xsi:type="dcterms:W3CDTF">2017-11-07T12:39:00Z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0x010100967F372126797147B7D3577A6C9B07CD</vt:lpwstr>
  </property>
</Properties>
</file>