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F5C3" w14:textId="77777777" w:rsidR="00AA5A5C" w:rsidRDefault="00AA5A5C" w:rsidP="00AA5A5C">
      <w:pPr>
        <w:jc w:val="center"/>
        <w:rPr>
          <w:rFonts w:ascii="Garamond" w:hAnsi="Garamond"/>
          <w:b/>
          <w:sz w:val="24"/>
          <w:szCs w:val="24"/>
        </w:rPr>
      </w:pPr>
      <w:bookmarkStart w:id="0" w:name="_GoBack"/>
      <w:bookmarkEnd w:id="0"/>
      <w:r>
        <w:rPr>
          <w:rFonts w:ascii="Garamond" w:hAnsi="Garamond"/>
          <w:b/>
          <w:sz w:val="24"/>
          <w:szCs w:val="24"/>
        </w:rPr>
        <w:t>Elementary and Secondary Education Act of 1965, as amended by the Every Student Succeeds Act, Negotiated Rulemaking Committee</w:t>
      </w:r>
    </w:p>
    <w:p w14:paraId="0737F5C4" w14:textId="77777777" w:rsidR="00425E12" w:rsidRDefault="00F4671E" w:rsidP="00425E12">
      <w:pPr>
        <w:jc w:val="center"/>
        <w:rPr>
          <w:rFonts w:ascii="Garamond" w:hAnsi="Garamond"/>
          <w:b/>
          <w:sz w:val="24"/>
          <w:szCs w:val="24"/>
        </w:rPr>
      </w:pPr>
      <w:r>
        <w:rPr>
          <w:rFonts w:ascii="Garamond" w:hAnsi="Garamond"/>
          <w:b/>
          <w:sz w:val="24"/>
          <w:szCs w:val="24"/>
        </w:rPr>
        <w:t>Updated for Session Three</w:t>
      </w:r>
      <w:r w:rsidR="00425E12">
        <w:rPr>
          <w:rFonts w:ascii="Garamond" w:hAnsi="Garamond"/>
          <w:b/>
          <w:sz w:val="24"/>
          <w:szCs w:val="24"/>
        </w:rPr>
        <w:t xml:space="preserve">, April </w:t>
      </w:r>
      <w:r>
        <w:rPr>
          <w:rFonts w:ascii="Garamond" w:hAnsi="Garamond"/>
          <w:b/>
          <w:sz w:val="24"/>
          <w:szCs w:val="24"/>
        </w:rPr>
        <w:t>1</w:t>
      </w:r>
      <w:r w:rsidR="00425E12">
        <w:rPr>
          <w:rFonts w:ascii="Garamond" w:hAnsi="Garamond"/>
          <w:b/>
          <w:sz w:val="24"/>
          <w:szCs w:val="24"/>
        </w:rPr>
        <w:t>8</w:t>
      </w:r>
      <w:r>
        <w:rPr>
          <w:rFonts w:ascii="Garamond" w:hAnsi="Garamond"/>
          <w:b/>
          <w:sz w:val="24"/>
          <w:szCs w:val="24"/>
        </w:rPr>
        <w:t>-19</w:t>
      </w:r>
      <w:r w:rsidR="00425E12">
        <w:rPr>
          <w:rFonts w:ascii="Garamond" w:hAnsi="Garamond"/>
          <w:b/>
          <w:sz w:val="24"/>
          <w:szCs w:val="24"/>
        </w:rPr>
        <w:t>, 2016</w:t>
      </w:r>
    </w:p>
    <w:p w14:paraId="0737F5C5" w14:textId="77777777" w:rsidR="00AA5A5C" w:rsidRPr="00CC05F7" w:rsidRDefault="00AA5A5C" w:rsidP="00AA5A5C">
      <w:pPr>
        <w:jc w:val="center"/>
        <w:rPr>
          <w:rFonts w:ascii="Garamond" w:hAnsi="Garamond"/>
          <w:b/>
          <w:sz w:val="24"/>
          <w:szCs w:val="24"/>
        </w:rPr>
      </w:pPr>
      <w:r>
        <w:rPr>
          <w:rFonts w:ascii="Garamond" w:hAnsi="Garamond"/>
          <w:b/>
          <w:sz w:val="24"/>
          <w:szCs w:val="24"/>
        </w:rPr>
        <w:t>Issue Paper #</w:t>
      </w:r>
      <w:r w:rsidR="00FF795C">
        <w:rPr>
          <w:rFonts w:ascii="Garamond" w:hAnsi="Garamond"/>
          <w:b/>
          <w:sz w:val="24"/>
          <w:szCs w:val="24"/>
        </w:rPr>
        <w:t>5</w:t>
      </w:r>
      <w:r w:rsidR="007605D0" w:rsidRPr="00E45ABE">
        <w:rPr>
          <w:rFonts w:ascii="Garamond" w:hAnsi="Garamond"/>
          <w:b/>
          <w:sz w:val="24"/>
          <w:szCs w:val="24"/>
        </w:rPr>
        <w:t>b</w:t>
      </w:r>
    </w:p>
    <w:p w14:paraId="0737F5C6" w14:textId="77777777" w:rsidR="00AA5A5C" w:rsidRDefault="00AA5A5C" w:rsidP="00AA5A5C">
      <w:pPr>
        <w:spacing w:after="0" w:line="240" w:lineRule="auto"/>
        <w:rPr>
          <w:rFonts w:ascii="Garamond" w:hAnsi="Garamond"/>
          <w:b/>
          <w:sz w:val="24"/>
          <w:szCs w:val="24"/>
        </w:rPr>
      </w:pPr>
      <w:r>
        <w:rPr>
          <w:rFonts w:ascii="Garamond" w:hAnsi="Garamond"/>
          <w:b/>
          <w:sz w:val="24"/>
          <w:szCs w:val="24"/>
          <w:u w:val="single"/>
        </w:rPr>
        <w:t>Issue</w:t>
      </w:r>
      <w:r w:rsidRPr="00057BF0">
        <w:rPr>
          <w:rFonts w:ascii="Garamond" w:hAnsi="Garamond"/>
          <w:b/>
          <w:sz w:val="24"/>
          <w:szCs w:val="24"/>
        </w:rPr>
        <w:t>: Inclusion of English learners in English language proficiency assessments</w:t>
      </w:r>
    </w:p>
    <w:p w14:paraId="0737F5C7" w14:textId="77777777" w:rsidR="00AA5A5C" w:rsidRDefault="00AA5A5C" w:rsidP="00AA5A5C">
      <w:pPr>
        <w:spacing w:after="0" w:line="240" w:lineRule="auto"/>
        <w:rPr>
          <w:rFonts w:ascii="Garamond" w:hAnsi="Garamond"/>
          <w:b/>
          <w:sz w:val="24"/>
          <w:szCs w:val="24"/>
        </w:rPr>
      </w:pPr>
    </w:p>
    <w:p w14:paraId="0737F5C8" w14:textId="77777777" w:rsidR="00AA5A5C" w:rsidRDefault="00AA5A5C" w:rsidP="00AA5A5C">
      <w:pPr>
        <w:rPr>
          <w:rFonts w:ascii="Garamond" w:hAnsi="Garamond"/>
          <w:b/>
          <w:sz w:val="24"/>
          <w:szCs w:val="24"/>
        </w:rPr>
      </w:pPr>
      <w:r>
        <w:rPr>
          <w:rFonts w:ascii="Garamond" w:hAnsi="Garamond"/>
          <w:b/>
          <w:sz w:val="24"/>
          <w:szCs w:val="24"/>
          <w:u w:val="single"/>
        </w:rPr>
        <w:t>Statutory Cite(s)</w:t>
      </w:r>
      <w:r w:rsidRPr="00217CCB">
        <w:rPr>
          <w:rFonts w:ascii="Garamond" w:hAnsi="Garamond"/>
          <w:b/>
          <w:sz w:val="24"/>
          <w:szCs w:val="24"/>
        </w:rPr>
        <w:t>:</w:t>
      </w:r>
      <w:r>
        <w:rPr>
          <w:rFonts w:ascii="Garamond" w:hAnsi="Garamond"/>
          <w:b/>
          <w:sz w:val="24"/>
          <w:szCs w:val="24"/>
        </w:rPr>
        <w:t xml:space="preserve"> 1111(b)(2)(G)</w:t>
      </w:r>
      <w:r w:rsidRPr="00B34C22">
        <w:rPr>
          <w:rFonts w:ascii="Garamond" w:hAnsi="Garamond"/>
          <w:b/>
          <w:sz w:val="24"/>
          <w:szCs w:val="24"/>
        </w:rPr>
        <w:t xml:space="preserve"> </w:t>
      </w:r>
      <w:r>
        <w:rPr>
          <w:rFonts w:ascii="Garamond" w:hAnsi="Garamond"/>
          <w:b/>
          <w:sz w:val="24"/>
          <w:szCs w:val="24"/>
        </w:rPr>
        <w:t>of the Elementary and Secondary Education Act of 1965 (ESEA), as amended by the Every Student Succeeds Act (ESSA)</w:t>
      </w:r>
    </w:p>
    <w:p w14:paraId="0737F5C9" w14:textId="77777777" w:rsidR="00AA5A5C" w:rsidRPr="00C07639" w:rsidRDefault="00AA5A5C" w:rsidP="00AA5A5C">
      <w:pPr>
        <w:spacing w:after="0" w:line="240" w:lineRule="auto"/>
        <w:rPr>
          <w:rFonts w:ascii="Garamond" w:hAnsi="Garamond"/>
          <w:b/>
          <w:sz w:val="24"/>
          <w:szCs w:val="24"/>
        </w:rPr>
      </w:pPr>
      <w:r>
        <w:rPr>
          <w:rFonts w:ascii="Garamond" w:hAnsi="Garamond"/>
          <w:b/>
          <w:sz w:val="24"/>
          <w:szCs w:val="24"/>
          <w:u w:val="single"/>
        </w:rPr>
        <w:t>Regulatory Cite</w:t>
      </w:r>
      <w:r w:rsidRPr="00217CCB">
        <w:rPr>
          <w:rFonts w:ascii="Garamond" w:hAnsi="Garamond"/>
          <w:b/>
          <w:sz w:val="24"/>
          <w:szCs w:val="24"/>
        </w:rPr>
        <w:t>:</w:t>
      </w:r>
      <w:r>
        <w:rPr>
          <w:rFonts w:ascii="Garamond" w:hAnsi="Garamond"/>
          <w:b/>
          <w:sz w:val="24"/>
          <w:szCs w:val="24"/>
        </w:rPr>
        <w:t xml:space="preserve"> Proposed </w:t>
      </w:r>
      <w:r w:rsidR="00E45ABE">
        <w:rPr>
          <w:rFonts w:ascii="Garamond" w:hAnsi="Garamond"/>
          <w:b/>
          <w:sz w:val="24"/>
          <w:szCs w:val="24"/>
        </w:rPr>
        <w:t>updates to §200.6</w:t>
      </w:r>
      <w:r>
        <w:rPr>
          <w:rFonts w:ascii="Garamond" w:hAnsi="Garamond"/>
          <w:b/>
          <w:sz w:val="24"/>
          <w:szCs w:val="24"/>
        </w:rPr>
        <w:t xml:space="preserve"> </w:t>
      </w:r>
    </w:p>
    <w:p w14:paraId="0737F5CA" w14:textId="77777777" w:rsidR="00AA5A5C" w:rsidRDefault="00AA5A5C" w:rsidP="00AA5A5C">
      <w:pPr>
        <w:spacing w:after="0" w:line="240" w:lineRule="auto"/>
        <w:jc w:val="center"/>
        <w:rPr>
          <w:rFonts w:ascii="Garamond" w:hAnsi="Garamond"/>
          <w:sz w:val="24"/>
          <w:szCs w:val="24"/>
        </w:rPr>
      </w:pPr>
    </w:p>
    <w:p w14:paraId="0737F5CB" w14:textId="77777777" w:rsidR="00AA5A5C" w:rsidRDefault="00AA5A5C" w:rsidP="00AA5A5C">
      <w:pPr>
        <w:spacing w:after="0" w:line="240" w:lineRule="auto"/>
        <w:rPr>
          <w:rFonts w:ascii="Garamond" w:hAnsi="Garamond"/>
          <w:b/>
          <w:sz w:val="24"/>
          <w:szCs w:val="24"/>
          <w:u w:val="single"/>
        </w:rPr>
      </w:pPr>
      <w:r>
        <w:rPr>
          <w:rFonts w:ascii="Garamond" w:hAnsi="Garamond"/>
          <w:b/>
          <w:sz w:val="24"/>
          <w:szCs w:val="24"/>
          <w:u w:val="single"/>
        </w:rPr>
        <w:t>Background</w:t>
      </w:r>
      <w:r w:rsidRPr="00217CCB">
        <w:rPr>
          <w:rFonts w:ascii="Garamond" w:hAnsi="Garamond"/>
          <w:b/>
          <w:sz w:val="24"/>
          <w:szCs w:val="24"/>
        </w:rPr>
        <w:t>:</w:t>
      </w:r>
    </w:p>
    <w:p w14:paraId="0737F5CC" w14:textId="77777777" w:rsidR="005E0F71" w:rsidRDefault="00AA5A5C" w:rsidP="00AA5A5C">
      <w:pPr>
        <w:spacing w:after="0" w:line="240" w:lineRule="auto"/>
        <w:rPr>
          <w:rFonts w:ascii="Garamond" w:hAnsi="Garamond" w:cs="Calibri"/>
          <w:sz w:val="24"/>
          <w:szCs w:val="24"/>
        </w:rPr>
      </w:pPr>
      <w:r>
        <w:rPr>
          <w:rFonts w:ascii="Garamond" w:hAnsi="Garamond"/>
          <w:sz w:val="24"/>
          <w:szCs w:val="24"/>
        </w:rPr>
        <w:t xml:space="preserve">Section 1111(b)(2)(G) of the </w:t>
      </w:r>
      <w:r w:rsidR="005E0F71" w:rsidRPr="005E0F71">
        <w:rPr>
          <w:rFonts w:ascii="Garamond" w:hAnsi="Garamond"/>
          <w:sz w:val="24"/>
          <w:szCs w:val="24"/>
        </w:rPr>
        <w:t>Elementary and Secondary Education Act of 1965 (ESEA), as amended by the Every Student Succeeds Act (ESSA)</w:t>
      </w:r>
      <w:r w:rsidRPr="005E0F71">
        <w:rPr>
          <w:rFonts w:ascii="Garamond" w:hAnsi="Garamond"/>
          <w:sz w:val="24"/>
          <w:szCs w:val="24"/>
        </w:rPr>
        <w:t>,</w:t>
      </w:r>
      <w:r>
        <w:rPr>
          <w:rFonts w:ascii="Garamond" w:hAnsi="Garamond"/>
          <w:sz w:val="24"/>
          <w:szCs w:val="24"/>
        </w:rPr>
        <w:t xml:space="preserve"> </w:t>
      </w:r>
      <w:r>
        <w:rPr>
          <w:rFonts w:ascii="Garamond" w:hAnsi="Garamond" w:cs="Calibri"/>
          <w:sz w:val="24"/>
          <w:szCs w:val="24"/>
        </w:rPr>
        <w:t xml:space="preserve">requires that a State ensure that each </w:t>
      </w:r>
      <w:r w:rsidR="00217CCB">
        <w:rPr>
          <w:rFonts w:ascii="Garamond" w:hAnsi="Garamond" w:cs="Calibri"/>
          <w:sz w:val="24"/>
          <w:szCs w:val="24"/>
        </w:rPr>
        <w:t xml:space="preserve">school district </w:t>
      </w:r>
      <w:r>
        <w:rPr>
          <w:rFonts w:ascii="Garamond" w:hAnsi="Garamond" w:cs="Calibri"/>
          <w:sz w:val="24"/>
          <w:szCs w:val="24"/>
        </w:rPr>
        <w:t>in the State provide for an annual assessment of English language proficiency (ELP) for all E</w:t>
      </w:r>
      <w:r w:rsidR="00217CCB">
        <w:rPr>
          <w:rFonts w:ascii="Garamond" w:hAnsi="Garamond" w:cs="Calibri"/>
          <w:sz w:val="24"/>
          <w:szCs w:val="24"/>
        </w:rPr>
        <w:t>nglish learners (E</w:t>
      </w:r>
      <w:r>
        <w:rPr>
          <w:rFonts w:ascii="Garamond" w:hAnsi="Garamond" w:cs="Calibri"/>
          <w:sz w:val="24"/>
          <w:szCs w:val="24"/>
        </w:rPr>
        <w:t>Ls</w:t>
      </w:r>
      <w:r w:rsidR="00217CCB">
        <w:rPr>
          <w:rFonts w:ascii="Garamond" w:hAnsi="Garamond" w:cs="Calibri"/>
          <w:sz w:val="24"/>
          <w:szCs w:val="24"/>
        </w:rPr>
        <w:t>)</w:t>
      </w:r>
      <w:r>
        <w:rPr>
          <w:rFonts w:ascii="Garamond" w:hAnsi="Garamond" w:cs="Calibri"/>
          <w:sz w:val="24"/>
          <w:szCs w:val="24"/>
        </w:rPr>
        <w:t xml:space="preserve">. The </w:t>
      </w:r>
      <w:r w:rsidR="004941CD">
        <w:rPr>
          <w:rFonts w:ascii="Garamond" w:hAnsi="Garamond" w:cs="Calibri"/>
          <w:sz w:val="24"/>
          <w:szCs w:val="24"/>
        </w:rPr>
        <w:t xml:space="preserve">annual </w:t>
      </w:r>
      <w:r>
        <w:rPr>
          <w:rFonts w:ascii="Garamond" w:hAnsi="Garamond" w:cs="Calibri"/>
          <w:sz w:val="24"/>
          <w:szCs w:val="24"/>
        </w:rPr>
        <w:t xml:space="preserve">ELP assessment must be aligned to the </w:t>
      </w:r>
      <w:r w:rsidRPr="00612B2E">
        <w:rPr>
          <w:rFonts w:ascii="Garamond" w:hAnsi="Garamond" w:cs="Calibri"/>
          <w:sz w:val="24"/>
          <w:szCs w:val="24"/>
        </w:rPr>
        <w:t xml:space="preserve">State’s </w:t>
      </w:r>
      <w:r>
        <w:rPr>
          <w:rFonts w:ascii="Garamond" w:hAnsi="Garamond" w:cs="Calibri"/>
          <w:sz w:val="24"/>
          <w:szCs w:val="24"/>
        </w:rPr>
        <w:t>ELP standards (as required under section 1111(b)(1)(F) of the ES</w:t>
      </w:r>
      <w:r w:rsidR="004B3AAA">
        <w:rPr>
          <w:rFonts w:ascii="Garamond" w:hAnsi="Garamond" w:cs="Calibri"/>
          <w:sz w:val="24"/>
          <w:szCs w:val="24"/>
        </w:rPr>
        <w:t>E</w:t>
      </w:r>
      <w:r>
        <w:rPr>
          <w:rFonts w:ascii="Garamond" w:hAnsi="Garamond" w:cs="Calibri"/>
          <w:sz w:val="24"/>
          <w:szCs w:val="24"/>
        </w:rPr>
        <w:t xml:space="preserve">A). </w:t>
      </w:r>
      <w:r w:rsidR="007F028C">
        <w:rPr>
          <w:rFonts w:ascii="Garamond" w:hAnsi="Garamond" w:cs="Calibri"/>
          <w:sz w:val="24"/>
          <w:szCs w:val="24"/>
        </w:rPr>
        <w:t>Other sections of ESEA</w:t>
      </w:r>
      <w:r w:rsidR="004B3AAA">
        <w:rPr>
          <w:rFonts w:ascii="Garamond" w:hAnsi="Garamond" w:cs="Calibri"/>
          <w:sz w:val="24"/>
          <w:szCs w:val="24"/>
        </w:rPr>
        <w:t>,</w:t>
      </w:r>
      <w:r w:rsidR="007F028C">
        <w:rPr>
          <w:rFonts w:ascii="Garamond" w:hAnsi="Garamond" w:cs="Calibri"/>
          <w:sz w:val="24"/>
          <w:szCs w:val="24"/>
        </w:rPr>
        <w:t xml:space="preserve"> as amended by ESSA</w:t>
      </w:r>
      <w:r w:rsidR="004B3AAA">
        <w:rPr>
          <w:rFonts w:ascii="Garamond" w:hAnsi="Garamond" w:cs="Calibri"/>
          <w:sz w:val="24"/>
          <w:szCs w:val="24"/>
        </w:rPr>
        <w:t>,</w:t>
      </w:r>
      <w:r w:rsidR="007F028C">
        <w:rPr>
          <w:rFonts w:ascii="Garamond" w:hAnsi="Garamond" w:cs="Calibri"/>
          <w:sz w:val="24"/>
          <w:szCs w:val="24"/>
        </w:rPr>
        <w:t xml:space="preserve"> explicitly or implicitly indicate that the ELP assessment must be statewide. </w:t>
      </w:r>
    </w:p>
    <w:p w14:paraId="0737F5CD" w14:textId="77777777" w:rsidR="005E0F71" w:rsidRDefault="005E0F71" w:rsidP="00AA5A5C">
      <w:pPr>
        <w:spacing w:after="0" w:line="240" w:lineRule="auto"/>
        <w:rPr>
          <w:rFonts w:ascii="Garamond" w:hAnsi="Garamond" w:cs="Calibri"/>
          <w:sz w:val="24"/>
          <w:szCs w:val="24"/>
        </w:rPr>
      </w:pPr>
    </w:p>
    <w:p w14:paraId="0737F5CE" w14:textId="77777777" w:rsidR="007F028C" w:rsidRDefault="007F028C" w:rsidP="00AA5A5C">
      <w:pPr>
        <w:spacing w:after="0" w:line="240" w:lineRule="auto"/>
        <w:rPr>
          <w:rFonts w:ascii="Garamond" w:hAnsi="Garamond" w:cs="Calibri"/>
          <w:sz w:val="24"/>
          <w:szCs w:val="24"/>
        </w:rPr>
      </w:pPr>
      <w:r>
        <w:rPr>
          <w:rFonts w:ascii="Garamond" w:hAnsi="Garamond" w:cs="Calibri"/>
          <w:sz w:val="24"/>
          <w:szCs w:val="24"/>
        </w:rPr>
        <w:t xml:space="preserve">These provisions include: </w:t>
      </w:r>
    </w:p>
    <w:p w14:paraId="0737F5CF" w14:textId="77777777" w:rsidR="007F028C" w:rsidRDefault="00AA5A5C" w:rsidP="008D2121">
      <w:pPr>
        <w:pStyle w:val="ListParagraph"/>
        <w:numPr>
          <w:ilvl w:val="0"/>
          <w:numId w:val="4"/>
        </w:numPr>
        <w:spacing w:after="0" w:line="240" w:lineRule="auto"/>
        <w:rPr>
          <w:rFonts w:ascii="Garamond" w:hAnsi="Garamond" w:cs="Calibri"/>
          <w:sz w:val="24"/>
          <w:szCs w:val="24"/>
        </w:rPr>
      </w:pPr>
      <w:r w:rsidRPr="008D2121">
        <w:rPr>
          <w:rFonts w:ascii="Garamond" w:hAnsi="Garamond" w:cs="Calibri"/>
          <w:sz w:val="24"/>
          <w:szCs w:val="24"/>
        </w:rPr>
        <w:t>Sections 31</w:t>
      </w:r>
      <w:r w:rsidR="00CE211F">
        <w:rPr>
          <w:rFonts w:ascii="Garamond" w:hAnsi="Garamond" w:cs="Calibri"/>
          <w:sz w:val="24"/>
          <w:szCs w:val="24"/>
        </w:rPr>
        <w:t>11</w:t>
      </w:r>
      <w:r w:rsidRPr="008D2121">
        <w:rPr>
          <w:rFonts w:ascii="Garamond" w:hAnsi="Garamond" w:cs="Calibri"/>
          <w:sz w:val="24"/>
          <w:szCs w:val="24"/>
        </w:rPr>
        <w:t>(b)(</w:t>
      </w:r>
      <w:r w:rsidR="00CE211F">
        <w:rPr>
          <w:rFonts w:ascii="Garamond" w:hAnsi="Garamond" w:cs="Calibri"/>
          <w:sz w:val="24"/>
          <w:szCs w:val="24"/>
        </w:rPr>
        <w:t>2</w:t>
      </w:r>
      <w:r w:rsidRPr="008D2121">
        <w:rPr>
          <w:rFonts w:ascii="Garamond" w:hAnsi="Garamond" w:cs="Calibri"/>
          <w:sz w:val="24"/>
          <w:szCs w:val="24"/>
        </w:rPr>
        <w:t>)(</w:t>
      </w:r>
      <w:r w:rsidR="00CE211F">
        <w:rPr>
          <w:rFonts w:ascii="Garamond" w:hAnsi="Garamond" w:cs="Calibri"/>
          <w:sz w:val="24"/>
          <w:szCs w:val="24"/>
        </w:rPr>
        <w:t>E</w:t>
      </w:r>
      <w:r w:rsidRPr="008D2121">
        <w:rPr>
          <w:rFonts w:ascii="Garamond" w:hAnsi="Garamond" w:cs="Calibri"/>
          <w:sz w:val="24"/>
          <w:szCs w:val="24"/>
        </w:rPr>
        <w:t>)(i)</w:t>
      </w:r>
      <w:r w:rsidR="00CE211F">
        <w:rPr>
          <w:rFonts w:ascii="Garamond" w:hAnsi="Garamond" w:cs="Calibri"/>
          <w:sz w:val="24"/>
          <w:szCs w:val="24"/>
        </w:rPr>
        <w:t>,</w:t>
      </w:r>
      <w:r w:rsidRPr="008D2121">
        <w:rPr>
          <w:rFonts w:ascii="Garamond" w:hAnsi="Garamond" w:cs="Calibri"/>
          <w:sz w:val="24"/>
          <w:szCs w:val="24"/>
        </w:rPr>
        <w:t xml:space="preserve"> </w:t>
      </w:r>
      <w:r w:rsidR="00CE211F">
        <w:rPr>
          <w:rFonts w:ascii="Garamond" w:hAnsi="Garamond" w:cs="Calibri"/>
          <w:sz w:val="24"/>
          <w:szCs w:val="24"/>
        </w:rPr>
        <w:t>3113</w:t>
      </w:r>
      <w:r w:rsidRPr="008D2121">
        <w:rPr>
          <w:rFonts w:ascii="Garamond" w:hAnsi="Garamond" w:cs="Calibri"/>
          <w:sz w:val="24"/>
          <w:szCs w:val="24"/>
        </w:rPr>
        <w:t>(</w:t>
      </w:r>
      <w:r w:rsidR="00CE211F">
        <w:rPr>
          <w:rFonts w:ascii="Garamond" w:hAnsi="Garamond" w:cs="Calibri"/>
          <w:sz w:val="24"/>
          <w:szCs w:val="24"/>
        </w:rPr>
        <w:t>b</w:t>
      </w:r>
      <w:r w:rsidRPr="008D2121">
        <w:rPr>
          <w:rFonts w:ascii="Garamond" w:hAnsi="Garamond" w:cs="Calibri"/>
          <w:sz w:val="24"/>
          <w:szCs w:val="24"/>
        </w:rPr>
        <w:t>)(6)(A), 3115(g)(2)(A), 3116(b)(2)(A), and 3121(a)(3) of the ES</w:t>
      </w:r>
      <w:r w:rsidR="004B3AAA">
        <w:rPr>
          <w:rFonts w:ascii="Garamond" w:hAnsi="Garamond" w:cs="Calibri"/>
          <w:sz w:val="24"/>
          <w:szCs w:val="24"/>
        </w:rPr>
        <w:t>E</w:t>
      </w:r>
      <w:r w:rsidRPr="008D2121">
        <w:rPr>
          <w:rFonts w:ascii="Garamond" w:hAnsi="Garamond" w:cs="Calibri"/>
          <w:sz w:val="24"/>
          <w:szCs w:val="24"/>
        </w:rPr>
        <w:t xml:space="preserve">A refer to the </w:t>
      </w:r>
      <w:r w:rsidRPr="008D2121">
        <w:rPr>
          <w:rFonts w:ascii="Garamond" w:hAnsi="Garamond" w:cs="Calibri"/>
          <w:i/>
          <w:sz w:val="24"/>
          <w:szCs w:val="24"/>
        </w:rPr>
        <w:t xml:space="preserve">State’s </w:t>
      </w:r>
      <w:r w:rsidRPr="008D2121">
        <w:rPr>
          <w:rFonts w:ascii="Garamond" w:hAnsi="Garamond" w:cs="Calibri"/>
          <w:sz w:val="24"/>
          <w:szCs w:val="24"/>
        </w:rPr>
        <w:t>ELP assessment</w:t>
      </w:r>
      <w:r w:rsidR="004B3AAA">
        <w:rPr>
          <w:rFonts w:ascii="Garamond" w:hAnsi="Garamond" w:cs="Calibri"/>
          <w:sz w:val="24"/>
          <w:szCs w:val="24"/>
        </w:rPr>
        <w:t>;</w:t>
      </w:r>
      <w:r w:rsidRPr="008D2121">
        <w:rPr>
          <w:rFonts w:ascii="Garamond" w:hAnsi="Garamond" w:cs="Calibri"/>
          <w:sz w:val="24"/>
          <w:szCs w:val="24"/>
        </w:rPr>
        <w:t xml:space="preserve"> </w:t>
      </w:r>
    </w:p>
    <w:p w14:paraId="0737F5D0" w14:textId="77777777" w:rsidR="007F028C" w:rsidRDefault="008D2121" w:rsidP="008D2121">
      <w:pPr>
        <w:pStyle w:val="ListParagraph"/>
        <w:numPr>
          <w:ilvl w:val="0"/>
          <w:numId w:val="4"/>
        </w:numPr>
        <w:spacing w:after="0" w:line="240" w:lineRule="auto"/>
        <w:rPr>
          <w:rFonts w:ascii="Garamond" w:hAnsi="Garamond" w:cs="Calibri"/>
          <w:sz w:val="24"/>
          <w:szCs w:val="24"/>
        </w:rPr>
      </w:pPr>
      <w:r>
        <w:rPr>
          <w:rFonts w:ascii="Garamond" w:hAnsi="Garamond" w:cs="Calibri"/>
          <w:sz w:val="24"/>
          <w:szCs w:val="24"/>
        </w:rPr>
        <w:t>S</w:t>
      </w:r>
      <w:r w:rsidR="00AA5A5C" w:rsidRPr="008D2121">
        <w:rPr>
          <w:rFonts w:ascii="Garamond" w:hAnsi="Garamond" w:cs="Calibri"/>
          <w:sz w:val="24"/>
          <w:szCs w:val="24"/>
        </w:rPr>
        <w:t>ection 1111(c)(4)(A)(ii) requires a State to establish long-term goals for increasing the percentage of students making progress in achieving English proficiency, and measures of interim progress toward meeting those goals, base</w:t>
      </w:r>
      <w:r w:rsidR="00E247AE" w:rsidRPr="008D2121">
        <w:rPr>
          <w:rFonts w:ascii="Garamond" w:hAnsi="Garamond" w:cs="Calibri"/>
          <w:sz w:val="24"/>
          <w:szCs w:val="24"/>
        </w:rPr>
        <w:t xml:space="preserve">d on the </w:t>
      </w:r>
      <w:r w:rsidR="00E247AE" w:rsidRPr="00217CCB">
        <w:rPr>
          <w:rFonts w:ascii="Garamond" w:hAnsi="Garamond" w:cs="Calibri"/>
          <w:i/>
          <w:sz w:val="24"/>
          <w:szCs w:val="24"/>
        </w:rPr>
        <w:t>State’s</w:t>
      </w:r>
      <w:r w:rsidR="00E247AE" w:rsidRPr="008D2121">
        <w:rPr>
          <w:rFonts w:ascii="Garamond" w:hAnsi="Garamond" w:cs="Calibri"/>
          <w:sz w:val="24"/>
          <w:szCs w:val="24"/>
        </w:rPr>
        <w:t xml:space="preserve"> ELP assessment; </w:t>
      </w:r>
    </w:p>
    <w:p w14:paraId="0737F5D1" w14:textId="77777777" w:rsidR="007F028C" w:rsidRDefault="008D2121" w:rsidP="008D2121">
      <w:pPr>
        <w:pStyle w:val="ListParagraph"/>
        <w:numPr>
          <w:ilvl w:val="0"/>
          <w:numId w:val="4"/>
        </w:numPr>
        <w:spacing w:after="0" w:line="240" w:lineRule="auto"/>
        <w:rPr>
          <w:rFonts w:ascii="Garamond" w:hAnsi="Garamond" w:cs="Calibri"/>
          <w:sz w:val="24"/>
          <w:szCs w:val="24"/>
        </w:rPr>
      </w:pPr>
      <w:r>
        <w:rPr>
          <w:rFonts w:ascii="Garamond" w:hAnsi="Garamond" w:cs="Calibri"/>
          <w:sz w:val="24"/>
          <w:szCs w:val="24"/>
        </w:rPr>
        <w:t>S</w:t>
      </w:r>
      <w:r w:rsidR="00E247AE" w:rsidRPr="008D2121">
        <w:rPr>
          <w:rFonts w:ascii="Garamond" w:hAnsi="Garamond" w:cs="Calibri"/>
          <w:sz w:val="24"/>
          <w:szCs w:val="24"/>
        </w:rPr>
        <w:t>ection 1111(c)(4)(B)(iv) requires a State to include an indicator in its statewide accountability system that annually measures progress in achieving English language proficiency;</w:t>
      </w:r>
      <w:r w:rsidR="00AA5A5C" w:rsidRPr="008D2121">
        <w:rPr>
          <w:rFonts w:ascii="Garamond" w:hAnsi="Garamond" w:cs="Calibri"/>
          <w:sz w:val="24"/>
          <w:szCs w:val="24"/>
        </w:rPr>
        <w:t xml:space="preserve"> and </w:t>
      </w:r>
    </w:p>
    <w:p w14:paraId="0737F5D2" w14:textId="77777777" w:rsidR="00AA5A5C" w:rsidRPr="008D2121" w:rsidRDefault="008D2121" w:rsidP="008D2121">
      <w:pPr>
        <w:pStyle w:val="ListParagraph"/>
        <w:numPr>
          <w:ilvl w:val="0"/>
          <w:numId w:val="4"/>
        </w:numPr>
        <w:spacing w:after="0" w:line="240" w:lineRule="auto"/>
        <w:rPr>
          <w:rFonts w:ascii="Garamond" w:hAnsi="Garamond" w:cs="Calibri"/>
          <w:sz w:val="24"/>
          <w:szCs w:val="24"/>
        </w:rPr>
      </w:pPr>
      <w:r>
        <w:rPr>
          <w:rFonts w:ascii="Garamond" w:hAnsi="Garamond" w:cs="Calibri"/>
          <w:sz w:val="24"/>
          <w:szCs w:val="24"/>
        </w:rPr>
        <w:t>S</w:t>
      </w:r>
      <w:r w:rsidR="00AA5A5C" w:rsidRPr="008D2121">
        <w:rPr>
          <w:rFonts w:ascii="Garamond" w:hAnsi="Garamond" w:cs="Calibri"/>
          <w:sz w:val="24"/>
          <w:szCs w:val="24"/>
        </w:rPr>
        <w:t>ection 3113(b)(2) requires a State to establish standardized, statewide entrance and exit procedures for ELs</w:t>
      </w:r>
      <w:r w:rsidR="001A3165">
        <w:rPr>
          <w:rFonts w:ascii="Garamond" w:hAnsi="Garamond" w:cs="Calibri"/>
          <w:sz w:val="24"/>
          <w:szCs w:val="24"/>
        </w:rPr>
        <w:t xml:space="preserve"> to identify and reclassify ELs</w:t>
      </w:r>
      <w:r w:rsidR="00AA5A5C" w:rsidRPr="008D2121">
        <w:rPr>
          <w:rFonts w:ascii="Garamond" w:hAnsi="Garamond" w:cs="Calibri"/>
          <w:sz w:val="24"/>
          <w:szCs w:val="24"/>
        </w:rPr>
        <w:t>.</w:t>
      </w:r>
    </w:p>
    <w:p w14:paraId="0737F5D3" w14:textId="77777777" w:rsidR="00C92F77" w:rsidRDefault="00C92F77" w:rsidP="00AA5A5C">
      <w:pPr>
        <w:spacing w:after="0" w:line="240" w:lineRule="auto"/>
        <w:rPr>
          <w:rFonts w:ascii="Garamond" w:hAnsi="Garamond" w:cs="Calibri"/>
          <w:sz w:val="24"/>
          <w:szCs w:val="24"/>
        </w:rPr>
      </w:pPr>
    </w:p>
    <w:p w14:paraId="0737F5D4" w14:textId="77777777" w:rsidR="00E531C6" w:rsidRPr="00E531C6" w:rsidRDefault="00E531C6" w:rsidP="00E531C6">
      <w:pPr>
        <w:spacing w:after="0" w:line="240" w:lineRule="auto"/>
        <w:rPr>
          <w:rFonts w:ascii="Garamond" w:hAnsi="Garamond" w:cs="Calibri"/>
          <w:b/>
          <w:sz w:val="24"/>
          <w:szCs w:val="24"/>
          <w:u w:val="single"/>
        </w:rPr>
      </w:pPr>
      <w:r w:rsidRPr="00E531C6">
        <w:rPr>
          <w:rFonts w:ascii="Garamond" w:hAnsi="Garamond" w:cs="Calibri"/>
          <w:sz w:val="24"/>
          <w:szCs w:val="24"/>
        </w:rPr>
        <w:t xml:space="preserve">Notably, </w:t>
      </w:r>
      <w:r w:rsidR="00217CCB">
        <w:rPr>
          <w:rFonts w:ascii="Garamond" w:hAnsi="Garamond" w:cs="Calibri"/>
          <w:sz w:val="24"/>
          <w:szCs w:val="24"/>
        </w:rPr>
        <w:t>each State</w:t>
      </w:r>
      <w:r w:rsidRPr="00E531C6">
        <w:rPr>
          <w:rFonts w:ascii="Garamond" w:hAnsi="Garamond" w:cs="Calibri"/>
          <w:sz w:val="24"/>
          <w:szCs w:val="24"/>
        </w:rPr>
        <w:t xml:space="preserve"> currently </w:t>
      </w:r>
      <w:r w:rsidR="00217CCB">
        <w:rPr>
          <w:rFonts w:ascii="Garamond" w:hAnsi="Garamond" w:cs="Calibri"/>
          <w:sz w:val="24"/>
          <w:szCs w:val="24"/>
        </w:rPr>
        <w:t xml:space="preserve">administers </w:t>
      </w:r>
      <w:r w:rsidRPr="00E531C6">
        <w:rPr>
          <w:rFonts w:ascii="Garamond" w:hAnsi="Garamond" w:cs="Calibri"/>
          <w:sz w:val="24"/>
          <w:szCs w:val="24"/>
        </w:rPr>
        <w:t xml:space="preserve">a single, statewide annual ELP assessment. </w:t>
      </w:r>
      <w:r w:rsidR="00465B4D">
        <w:rPr>
          <w:rFonts w:ascii="Garamond" w:hAnsi="Garamond" w:cs="Calibri"/>
          <w:sz w:val="24"/>
          <w:szCs w:val="24"/>
        </w:rPr>
        <w:t>In part, this reflects recent progress</w:t>
      </w:r>
      <w:r w:rsidRPr="00E531C6">
        <w:rPr>
          <w:rFonts w:ascii="Garamond" w:hAnsi="Garamond" w:cs="Calibri"/>
          <w:sz w:val="24"/>
          <w:szCs w:val="24"/>
        </w:rPr>
        <w:t xml:space="preserve"> in developing high-quality ELP assessments. Two consortia – WIDA and English Language Proficiency Assessments for the 21</w:t>
      </w:r>
      <w:r w:rsidRPr="00E531C6">
        <w:rPr>
          <w:rFonts w:ascii="Garamond" w:hAnsi="Garamond" w:cs="Calibri"/>
          <w:sz w:val="24"/>
          <w:szCs w:val="24"/>
          <w:vertAlign w:val="superscript"/>
        </w:rPr>
        <w:t>st</w:t>
      </w:r>
      <w:r w:rsidRPr="00E531C6">
        <w:rPr>
          <w:rFonts w:ascii="Garamond" w:hAnsi="Garamond" w:cs="Calibri"/>
          <w:sz w:val="24"/>
          <w:szCs w:val="24"/>
        </w:rPr>
        <w:t xml:space="preserve"> Century (ELPA21) – have brought together 45 States plus the District of Columbia and certain outlying areas </w:t>
      </w:r>
      <w:r w:rsidR="004B3AAA">
        <w:rPr>
          <w:rFonts w:ascii="Garamond" w:hAnsi="Garamond" w:cs="Calibri"/>
          <w:sz w:val="24"/>
          <w:szCs w:val="24"/>
        </w:rPr>
        <w:t>to advance</w:t>
      </w:r>
      <w:r w:rsidRPr="00E531C6">
        <w:rPr>
          <w:rFonts w:ascii="Garamond" w:hAnsi="Garamond" w:cs="Calibri"/>
          <w:sz w:val="24"/>
          <w:szCs w:val="24"/>
        </w:rPr>
        <w:t xml:space="preserve"> language development and academic achievement for linguistically diverse students. These collective efforts have included the development of high-quality ELP standards and aligned ELP assessments</w:t>
      </w:r>
      <w:r w:rsidR="00217CCB">
        <w:rPr>
          <w:rFonts w:ascii="Garamond" w:hAnsi="Garamond" w:cs="Calibri"/>
          <w:sz w:val="24"/>
          <w:szCs w:val="24"/>
        </w:rPr>
        <w:t>.</w:t>
      </w:r>
      <w:r w:rsidR="004B3AAA">
        <w:rPr>
          <w:rFonts w:ascii="Garamond" w:hAnsi="Garamond" w:cs="Calibri"/>
          <w:sz w:val="24"/>
          <w:szCs w:val="24"/>
        </w:rPr>
        <w:t xml:space="preserve"> In the 201</w:t>
      </w:r>
      <w:r w:rsidR="001B1B5B">
        <w:rPr>
          <w:rFonts w:ascii="Garamond" w:hAnsi="Garamond" w:cs="Calibri"/>
          <w:sz w:val="24"/>
          <w:szCs w:val="24"/>
        </w:rPr>
        <w:t>3</w:t>
      </w:r>
      <w:r w:rsidR="004941CD">
        <w:rPr>
          <w:rFonts w:ascii="Garamond" w:hAnsi="Garamond" w:cs="Calibri"/>
          <w:sz w:val="24"/>
          <w:szCs w:val="24"/>
        </w:rPr>
        <w:t>-</w:t>
      </w:r>
      <w:r w:rsidR="004B3AAA">
        <w:rPr>
          <w:rFonts w:ascii="Garamond" w:hAnsi="Garamond" w:cs="Calibri"/>
          <w:sz w:val="24"/>
          <w:szCs w:val="24"/>
        </w:rPr>
        <w:t>201</w:t>
      </w:r>
      <w:r w:rsidR="001B1B5B">
        <w:rPr>
          <w:rFonts w:ascii="Garamond" w:hAnsi="Garamond" w:cs="Calibri"/>
          <w:sz w:val="24"/>
          <w:szCs w:val="24"/>
        </w:rPr>
        <w:t>4</w:t>
      </w:r>
      <w:r w:rsidR="004B3AAA">
        <w:rPr>
          <w:rFonts w:ascii="Garamond" w:hAnsi="Garamond" w:cs="Calibri"/>
          <w:sz w:val="24"/>
          <w:szCs w:val="24"/>
        </w:rPr>
        <w:t xml:space="preserve"> school year, </w:t>
      </w:r>
      <w:r w:rsidR="001B1B5B">
        <w:rPr>
          <w:rFonts w:ascii="Garamond" w:hAnsi="Garamond" w:cs="Calibri"/>
          <w:sz w:val="24"/>
          <w:szCs w:val="24"/>
        </w:rPr>
        <w:t>33</w:t>
      </w:r>
      <w:r w:rsidRPr="00E531C6">
        <w:rPr>
          <w:rFonts w:ascii="Garamond" w:hAnsi="Garamond" w:cs="Calibri"/>
          <w:sz w:val="24"/>
          <w:szCs w:val="24"/>
        </w:rPr>
        <w:t xml:space="preserve"> States plus the District of Columbia administered the WIDA ACCESS for ELLs assessment as the </w:t>
      </w:r>
      <w:r w:rsidR="004941CD">
        <w:rPr>
          <w:rFonts w:ascii="Garamond" w:hAnsi="Garamond" w:cs="Calibri"/>
          <w:sz w:val="24"/>
          <w:szCs w:val="24"/>
        </w:rPr>
        <w:t>State’s</w:t>
      </w:r>
      <w:r w:rsidR="004941CD" w:rsidRPr="00E531C6">
        <w:rPr>
          <w:rFonts w:ascii="Garamond" w:hAnsi="Garamond" w:cs="Calibri"/>
          <w:sz w:val="24"/>
          <w:szCs w:val="24"/>
        </w:rPr>
        <w:t xml:space="preserve"> </w:t>
      </w:r>
      <w:r w:rsidRPr="00E531C6">
        <w:rPr>
          <w:rFonts w:ascii="Garamond" w:hAnsi="Garamond" w:cs="Calibri"/>
          <w:sz w:val="24"/>
          <w:szCs w:val="24"/>
        </w:rPr>
        <w:t>annual ELP assessment.</w:t>
      </w:r>
    </w:p>
    <w:p w14:paraId="0737F5D5" w14:textId="77777777" w:rsidR="00640EB7" w:rsidRDefault="00640EB7" w:rsidP="00AA5A5C">
      <w:pPr>
        <w:spacing w:after="0" w:line="240" w:lineRule="auto"/>
        <w:rPr>
          <w:rFonts w:ascii="Garamond" w:hAnsi="Garamond" w:cs="Calibri"/>
          <w:sz w:val="24"/>
          <w:szCs w:val="24"/>
        </w:rPr>
      </w:pPr>
    </w:p>
    <w:p w14:paraId="0737F5D6" w14:textId="77777777" w:rsidR="0088613B" w:rsidRDefault="005E0F71" w:rsidP="00AA5A5C">
      <w:pPr>
        <w:spacing w:after="0" w:line="240" w:lineRule="auto"/>
        <w:rPr>
          <w:rFonts w:ascii="Garamond" w:hAnsi="Garamond" w:cs="Calibri"/>
          <w:b/>
          <w:sz w:val="24"/>
          <w:szCs w:val="24"/>
        </w:rPr>
      </w:pPr>
      <w:r>
        <w:rPr>
          <w:rFonts w:ascii="Garamond" w:hAnsi="Garamond" w:cs="Calibri"/>
          <w:b/>
          <w:sz w:val="24"/>
          <w:szCs w:val="24"/>
          <w:u w:val="single"/>
        </w:rPr>
        <w:t>Discussion Questions</w:t>
      </w:r>
      <w:r w:rsidR="0088613B">
        <w:rPr>
          <w:rFonts w:ascii="Garamond" w:hAnsi="Garamond" w:cs="Calibri"/>
          <w:b/>
          <w:sz w:val="24"/>
          <w:szCs w:val="24"/>
        </w:rPr>
        <w:t>:</w:t>
      </w:r>
    </w:p>
    <w:p w14:paraId="0737F5D7" w14:textId="77777777" w:rsidR="0090098F" w:rsidRDefault="0090098F" w:rsidP="0090098F">
      <w:pPr>
        <w:spacing w:after="0" w:line="240" w:lineRule="auto"/>
        <w:rPr>
          <w:rFonts w:ascii="Garamond" w:hAnsi="Garamond"/>
          <w:sz w:val="24"/>
          <w:szCs w:val="24"/>
        </w:rPr>
      </w:pPr>
      <w:r w:rsidRPr="0090098F">
        <w:rPr>
          <w:rFonts w:ascii="Garamond" w:hAnsi="Garamond"/>
          <w:sz w:val="24"/>
          <w:szCs w:val="24"/>
        </w:rPr>
        <w:t xml:space="preserve">While these statutory provisions </w:t>
      </w:r>
      <w:r w:rsidR="00217CCB">
        <w:rPr>
          <w:rFonts w:ascii="Garamond" w:hAnsi="Garamond"/>
          <w:sz w:val="24"/>
          <w:szCs w:val="24"/>
        </w:rPr>
        <w:t xml:space="preserve">promote the purpose of Title I – </w:t>
      </w:r>
      <w:r w:rsidRPr="0090098F">
        <w:rPr>
          <w:rFonts w:ascii="Garamond" w:hAnsi="Garamond"/>
          <w:sz w:val="24"/>
          <w:szCs w:val="24"/>
        </w:rPr>
        <w:t>to</w:t>
      </w:r>
      <w:r>
        <w:rPr>
          <w:rFonts w:ascii="Garamond" w:hAnsi="Garamond"/>
          <w:sz w:val="24"/>
          <w:szCs w:val="24"/>
        </w:rPr>
        <w:t xml:space="preserve"> provide a fair, equitable, and</w:t>
      </w:r>
    </w:p>
    <w:p w14:paraId="0737F5D8" w14:textId="77777777" w:rsidR="00AA5A5C" w:rsidRPr="00217CCB" w:rsidRDefault="0090098F" w:rsidP="00217CCB">
      <w:pPr>
        <w:spacing w:after="0" w:line="240" w:lineRule="auto"/>
        <w:rPr>
          <w:rFonts w:ascii="Garamond" w:hAnsi="Garamond"/>
          <w:sz w:val="24"/>
          <w:szCs w:val="24"/>
        </w:rPr>
      </w:pPr>
      <w:r w:rsidRPr="0090098F">
        <w:rPr>
          <w:rFonts w:ascii="Garamond" w:hAnsi="Garamond"/>
          <w:sz w:val="24"/>
          <w:szCs w:val="24"/>
        </w:rPr>
        <w:t>high quality education f</w:t>
      </w:r>
      <w:r w:rsidR="00217CCB">
        <w:rPr>
          <w:rFonts w:ascii="Garamond" w:hAnsi="Garamond"/>
          <w:sz w:val="24"/>
          <w:szCs w:val="24"/>
        </w:rPr>
        <w:t xml:space="preserve">or all students, including ELs – they also raise questions. </w:t>
      </w:r>
      <w:r w:rsidRPr="0090098F">
        <w:rPr>
          <w:rFonts w:ascii="Garamond" w:hAnsi="Garamond"/>
          <w:sz w:val="24"/>
          <w:szCs w:val="24"/>
        </w:rPr>
        <w:t xml:space="preserve">For example: </w:t>
      </w:r>
    </w:p>
    <w:p w14:paraId="0737F5D9" w14:textId="77777777" w:rsidR="00AA5A5C" w:rsidRPr="00AA5A5C" w:rsidRDefault="00AA5A5C" w:rsidP="00AA5A5C">
      <w:pPr>
        <w:pStyle w:val="ListParagraph"/>
        <w:numPr>
          <w:ilvl w:val="0"/>
          <w:numId w:val="2"/>
        </w:numPr>
        <w:spacing w:after="0" w:line="240" w:lineRule="auto"/>
        <w:rPr>
          <w:rFonts w:ascii="Garamond" w:hAnsi="Garamond"/>
          <w:sz w:val="24"/>
          <w:szCs w:val="24"/>
        </w:rPr>
      </w:pPr>
      <w:r w:rsidRPr="00AA5A5C">
        <w:rPr>
          <w:rFonts w:ascii="Garamond" w:hAnsi="Garamond"/>
          <w:sz w:val="24"/>
          <w:szCs w:val="24"/>
        </w:rPr>
        <w:lastRenderedPageBreak/>
        <w:t xml:space="preserve">How </w:t>
      </w:r>
      <w:r w:rsidR="005C5C9A">
        <w:rPr>
          <w:rFonts w:ascii="Garamond" w:hAnsi="Garamond"/>
          <w:sz w:val="24"/>
          <w:szCs w:val="24"/>
        </w:rPr>
        <w:t xml:space="preserve">can regulations related to ELP assessments help provide consistency and clarity that ELP assessments must be statewide? </w:t>
      </w:r>
    </w:p>
    <w:p w14:paraId="0737F5DA" w14:textId="77777777" w:rsidR="00110203" w:rsidRPr="00416997" w:rsidRDefault="001A3165" w:rsidP="00110203">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With </w:t>
      </w:r>
      <w:r w:rsidR="00125FCB">
        <w:rPr>
          <w:rFonts w:ascii="Garamond" w:hAnsi="Garamond"/>
          <w:sz w:val="24"/>
          <w:szCs w:val="24"/>
        </w:rPr>
        <w:t xml:space="preserve">performance on </w:t>
      </w:r>
      <w:r>
        <w:rPr>
          <w:rFonts w:ascii="Garamond" w:hAnsi="Garamond"/>
          <w:sz w:val="24"/>
          <w:szCs w:val="24"/>
        </w:rPr>
        <w:t>ELP assessments now included within school accountability under Title I, h</w:t>
      </w:r>
      <w:r w:rsidR="00110203" w:rsidRPr="00416997">
        <w:rPr>
          <w:rFonts w:ascii="Garamond" w:hAnsi="Garamond"/>
          <w:sz w:val="24"/>
          <w:szCs w:val="24"/>
        </w:rPr>
        <w:t xml:space="preserve">ow might </w:t>
      </w:r>
      <w:r w:rsidR="004941CD">
        <w:rPr>
          <w:rFonts w:ascii="Garamond" w:hAnsi="Garamond"/>
          <w:sz w:val="24"/>
          <w:szCs w:val="24"/>
        </w:rPr>
        <w:t>regulations</w:t>
      </w:r>
      <w:r w:rsidR="004941CD" w:rsidRPr="00416997">
        <w:rPr>
          <w:rFonts w:ascii="Garamond" w:hAnsi="Garamond"/>
          <w:sz w:val="24"/>
          <w:szCs w:val="24"/>
        </w:rPr>
        <w:t xml:space="preserve"> </w:t>
      </w:r>
      <w:r w:rsidR="00110203" w:rsidRPr="00416997">
        <w:rPr>
          <w:rFonts w:ascii="Garamond" w:hAnsi="Garamond"/>
          <w:sz w:val="24"/>
          <w:szCs w:val="24"/>
        </w:rPr>
        <w:t xml:space="preserve">ensure that </w:t>
      </w:r>
      <w:r w:rsidR="00110203">
        <w:rPr>
          <w:rFonts w:ascii="Garamond" w:hAnsi="Garamond"/>
          <w:sz w:val="24"/>
          <w:szCs w:val="24"/>
        </w:rPr>
        <w:t xml:space="preserve">the </w:t>
      </w:r>
      <w:r w:rsidR="004941CD">
        <w:rPr>
          <w:rFonts w:ascii="Garamond" w:hAnsi="Garamond"/>
          <w:sz w:val="24"/>
          <w:szCs w:val="24"/>
        </w:rPr>
        <w:t>annual ELP</w:t>
      </w:r>
      <w:r w:rsidR="00110203" w:rsidRPr="00416997">
        <w:rPr>
          <w:rFonts w:ascii="Garamond" w:hAnsi="Garamond"/>
          <w:sz w:val="24"/>
          <w:szCs w:val="24"/>
        </w:rPr>
        <w:t xml:space="preserve"> assessments used to meet Federal accountability requirements fulfill the rigorous technical standards for quality under Title I? </w:t>
      </w:r>
    </w:p>
    <w:p w14:paraId="0737F5DB" w14:textId="77777777" w:rsidR="00E247AE" w:rsidRDefault="00E247AE" w:rsidP="00E247AE">
      <w:pPr>
        <w:pStyle w:val="ListParagraph"/>
        <w:spacing w:after="0" w:line="240" w:lineRule="auto"/>
        <w:rPr>
          <w:rFonts w:ascii="Garamond" w:hAnsi="Garamond"/>
          <w:sz w:val="24"/>
          <w:szCs w:val="24"/>
          <w:highlight w:val="yellow"/>
        </w:rPr>
      </w:pPr>
    </w:p>
    <w:p w14:paraId="0737F5DC" w14:textId="77777777" w:rsidR="00A1052C" w:rsidRPr="004F17E3" w:rsidRDefault="00491D82" w:rsidP="004F17E3">
      <w:pPr>
        <w:spacing w:after="0" w:line="240" w:lineRule="auto"/>
        <w:rPr>
          <w:rFonts w:ascii="Garamond" w:hAnsi="Garamond"/>
          <w:sz w:val="24"/>
          <w:szCs w:val="24"/>
        </w:rPr>
      </w:pPr>
      <w:r w:rsidRPr="004F17E3">
        <w:rPr>
          <w:rFonts w:ascii="Garamond" w:hAnsi="Garamond"/>
          <w:b/>
          <w:sz w:val="24"/>
          <w:szCs w:val="24"/>
          <w:u w:val="single"/>
        </w:rPr>
        <w:t xml:space="preserve">Draft </w:t>
      </w:r>
      <w:r w:rsidR="00465B4D">
        <w:rPr>
          <w:rFonts w:ascii="Garamond" w:hAnsi="Garamond"/>
          <w:b/>
          <w:sz w:val="24"/>
          <w:szCs w:val="24"/>
          <w:u w:val="single"/>
        </w:rPr>
        <w:t>regulatory language</w:t>
      </w:r>
      <w:r w:rsidR="00A1052C" w:rsidRPr="004F17E3">
        <w:rPr>
          <w:rFonts w:ascii="Garamond" w:hAnsi="Garamond"/>
          <w:sz w:val="24"/>
          <w:szCs w:val="24"/>
        </w:rPr>
        <w:t>:</w:t>
      </w:r>
    </w:p>
    <w:p w14:paraId="75CF3ED3" w14:textId="77777777" w:rsidR="004129CB" w:rsidRDefault="005E0F71" w:rsidP="004129CB">
      <w:pPr>
        <w:spacing w:line="240" w:lineRule="auto"/>
        <w:rPr>
          <w:rFonts w:ascii="Garamond" w:hAnsi="Garamond"/>
          <w:sz w:val="24"/>
          <w:szCs w:val="24"/>
        </w:rPr>
      </w:pPr>
      <w:r w:rsidRPr="005E0F71">
        <w:rPr>
          <w:rFonts w:ascii="Garamond" w:hAnsi="Garamond"/>
          <w:sz w:val="24"/>
          <w:szCs w:val="24"/>
        </w:rPr>
        <w:t xml:space="preserve">Below is draft regulatory language intended to support discussions on this issue among the </w:t>
      </w:r>
      <w:r w:rsidR="00217CCB">
        <w:rPr>
          <w:rFonts w:ascii="Garamond" w:hAnsi="Garamond"/>
          <w:sz w:val="24"/>
          <w:szCs w:val="24"/>
        </w:rPr>
        <w:t>c</w:t>
      </w:r>
      <w:r w:rsidRPr="005E0F71">
        <w:rPr>
          <w:rFonts w:ascii="Garamond" w:hAnsi="Garamond"/>
          <w:sz w:val="24"/>
          <w:szCs w:val="24"/>
        </w:rPr>
        <w:t xml:space="preserve">ommittee members. The existing regulations </w:t>
      </w:r>
      <w:r w:rsidR="00125FCB">
        <w:rPr>
          <w:rFonts w:ascii="Garamond" w:hAnsi="Garamond"/>
          <w:sz w:val="24"/>
          <w:szCs w:val="24"/>
        </w:rPr>
        <w:t>(</w:t>
      </w:r>
      <w:r w:rsidRPr="005E0F71">
        <w:rPr>
          <w:rFonts w:ascii="Garamond" w:hAnsi="Garamond"/>
          <w:sz w:val="24"/>
          <w:szCs w:val="24"/>
        </w:rPr>
        <w:t>under 34 C.F.R. §200.</w:t>
      </w:r>
      <w:r>
        <w:rPr>
          <w:rFonts w:ascii="Garamond" w:hAnsi="Garamond"/>
          <w:sz w:val="24"/>
          <w:szCs w:val="24"/>
        </w:rPr>
        <w:t>6</w:t>
      </w:r>
      <w:r w:rsidRPr="005E0F71">
        <w:rPr>
          <w:rFonts w:ascii="Garamond" w:hAnsi="Garamond"/>
          <w:sz w:val="24"/>
          <w:szCs w:val="24"/>
        </w:rPr>
        <w:t xml:space="preserve"> – </w:t>
      </w:r>
      <w:r>
        <w:rPr>
          <w:rFonts w:ascii="Garamond" w:hAnsi="Garamond"/>
          <w:sz w:val="24"/>
          <w:szCs w:val="24"/>
        </w:rPr>
        <w:t>Inclusion of all students)</w:t>
      </w:r>
      <w:r w:rsidRPr="005E0F71">
        <w:rPr>
          <w:rFonts w:ascii="Garamond" w:hAnsi="Garamond"/>
          <w:sz w:val="24"/>
          <w:szCs w:val="24"/>
        </w:rPr>
        <w:t xml:space="preserve"> are provided in black text. Blue text indicates regulatory revisions that restate the new ESSA statutory language or related technicalities (i.e. renumbering). Text provided in red is offered as proposed responses to the questions above</w:t>
      </w:r>
      <w:r>
        <w:rPr>
          <w:rFonts w:ascii="Garamond" w:hAnsi="Garamond"/>
          <w:sz w:val="24"/>
          <w:szCs w:val="24"/>
        </w:rPr>
        <w:t>.</w:t>
      </w:r>
    </w:p>
    <w:p w14:paraId="0737F5DF" w14:textId="2AAA1472" w:rsidR="00600CDC" w:rsidRPr="005335A2" w:rsidRDefault="00A35FDB" w:rsidP="004129CB">
      <w:pPr>
        <w:spacing w:after="0" w:line="240" w:lineRule="auto"/>
        <w:rPr>
          <w:rFonts w:ascii="Garamond" w:hAnsi="Garamond"/>
          <w:b/>
          <w:sz w:val="24"/>
          <w:szCs w:val="24"/>
          <w:u w:val="single"/>
        </w:rPr>
      </w:pPr>
      <w:r>
        <w:rPr>
          <w:rFonts w:ascii="Garamond" w:hAnsi="Garamond"/>
          <w:b/>
          <w:sz w:val="24"/>
          <w:szCs w:val="24"/>
          <w:u w:val="single"/>
        </w:rPr>
        <w:t>Session 3</w:t>
      </w:r>
      <w:r w:rsidR="00600CDC">
        <w:rPr>
          <w:rFonts w:ascii="Garamond" w:hAnsi="Garamond"/>
          <w:b/>
          <w:sz w:val="24"/>
          <w:szCs w:val="24"/>
          <w:u w:val="single"/>
        </w:rPr>
        <w:t xml:space="preserve"> Update</w:t>
      </w:r>
    </w:p>
    <w:p w14:paraId="0737F5E0" w14:textId="5F6FAEC4" w:rsidR="00A35FDB" w:rsidRPr="004C423B" w:rsidRDefault="00A35FDB" w:rsidP="00A35FDB">
      <w:pPr>
        <w:spacing w:after="0" w:line="240" w:lineRule="auto"/>
        <w:rPr>
          <w:rFonts w:ascii="Garamond" w:hAnsi="Garamond"/>
          <w:sz w:val="24"/>
          <w:szCs w:val="24"/>
        </w:rPr>
      </w:pPr>
      <w:r>
        <w:rPr>
          <w:rFonts w:ascii="Garamond" w:hAnsi="Garamond"/>
          <w:sz w:val="24"/>
          <w:szCs w:val="24"/>
        </w:rPr>
        <w:t>The language below is suggested for inclusion in paragraph (f) of §200.6.</w:t>
      </w:r>
      <w:r w:rsidRPr="00724194">
        <w:rPr>
          <w:rFonts w:ascii="Garamond" w:hAnsi="Garamond"/>
          <w:sz w:val="24"/>
          <w:szCs w:val="24"/>
        </w:rPr>
        <w:t xml:space="preserve"> </w:t>
      </w:r>
      <w:r w:rsidR="004129CB">
        <w:rPr>
          <w:rFonts w:ascii="Garamond" w:hAnsi="Garamond"/>
          <w:sz w:val="24"/>
          <w:szCs w:val="24"/>
        </w:rPr>
        <w:t xml:space="preserve">Unshaded text denotes areas of primary consideration for session 3. These sections were identified as outstanding items during session 2. </w:t>
      </w:r>
      <w:r w:rsidR="004129CB">
        <w:rPr>
          <w:rFonts w:ascii="Garamond" w:hAnsi="Garamond"/>
          <w:sz w:val="24"/>
          <w:szCs w:val="24"/>
          <w:highlight w:val="lightGray"/>
        </w:rPr>
        <w:t>Gray shaded</w:t>
      </w:r>
      <w:r w:rsidR="004129CB">
        <w:rPr>
          <w:rFonts w:ascii="Garamond" w:hAnsi="Garamond"/>
          <w:sz w:val="24"/>
          <w:szCs w:val="24"/>
        </w:rPr>
        <w:t xml:space="preserve"> areas are not expected to require substantial additional conversation.  </w:t>
      </w:r>
      <w:r w:rsidRPr="003F7A7E">
        <w:rPr>
          <w:rFonts w:ascii="Garamond" w:hAnsi="Garamond"/>
          <w:sz w:val="24"/>
          <w:szCs w:val="24"/>
          <w:u w:val="single"/>
        </w:rPr>
        <w:t>Underlined</w:t>
      </w:r>
      <w:r>
        <w:rPr>
          <w:rFonts w:ascii="Garamond" w:hAnsi="Garamond"/>
          <w:sz w:val="24"/>
          <w:szCs w:val="24"/>
        </w:rPr>
        <w:t xml:space="preserve"> text has changed since session 2 (except where it is used as the title of a paragraph). As it did previously, </w:t>
      </w:r>
      <w:r>
        <w:rPr>
          <w:rFonts w:ascii="Garamond" w:hAnsi="Garamond"/>
          <w:color w:val="1F497D" w:themeColor="text2"/>
          <w:sz w:val="24"/>
          <w:szCs w:val="24"/>
        </w:rPr>
        <w:t xml:space="preserve">blue </w:t>
      </w:r>
      <w:r>
        <w:rPr>
          <w:rFonts w:ascii="Garamond" w:hAnsi="Garamond"/>
          <w:sz w:val="24"/>
          <w:szCs w:val="24"/>
        </w:rPr>
        <w:t xml:space="preserve">text denotes statutory language, </w:t>
      </w:r>
      <w:r>
        <w:rPr>
          <w:rFonts w:ascii="Garamond" w:hAnsi="Garamond"/>
          <w:b/>
          <w:color w:val="1F497D" w:themeColor="text2"/>
          <w:sz w:val="24"/>
          <w:szCs w:val="24"/>
        </w:rPr>
        <w:t>bold blue</w:t>
      </w:r>
      <w:r>
        <w:rPr>
          <w:rFonts w:ascii="Garamond" w:hAnsi="Garamond"/>
          <w:color w:val="1F497D" w:themeColor="text2"/>
          <w:sz w:val="24"/>
          <w:szCs w:val="24"/>
        </w:rPr>
        <w:t xml:space="preserve"> </w:t>
      </w:r>
      <w:r>
        <w:rPr>
          <w:rFonts w:ascii="Garamond" w:hAnsi="Garamond"/>
          <w:sz w:val="24"/>
          <w:szCs w:val="24"/>
        </w:rPr>
        <w:t xml:space="preserve">text indicates corrections to language shown as statutory in a prior version, and </w:t>
      </w:r>
      <w:r>
        <w:rPr>
          <w:rFonts w:ascii="Garamond" w:hAnsi="Garamond"/>
          <w:color w:val="FF0000"/>
          <w:sz w:val="24"/>
          <w:szCs w:val="24"/>
        </w:rPr>
        <w:t xml:space="preserve">red </w:t>
      </w:r>
      <w:r>
        <w:rPr>
          <w:rFonts w:ascii="Garamond" w:hAnsi="Garamond"/>
          <w:sz w:val="24"/>
          <w:szCs w:val="24"/>
        </w:rPr>
        <w:t>text indicates proposed regulatory language.</w:t>
      </w:r>
    </w:p>
    <w:p w14:paraId="0737F5E1" w14:textId="77777777" w:rsidR="00600CDC" w:rsidRDefault="00600CDC" w:rsidP="00E45ABE">
      <w:pPr>
        <w:spacing w:after="0" w:line="240" w:lineRule="auto"/>
        <w:rPr>
          <w:rFonts w:ascii="Garamond" w:eastAsiaTheme="minorHAnsi" w:hAnsi="Garamond" w:cstheme="minorBidi"/>
          <w:b/>
          <w:sz w:val="24"/>
          <w:u w:val="single"/>
        </w:rPr>
      </w:pPr>
    </w:p>
    <w:p w14:paraId="0737F5E2" w14:textId="77777777" w:rsidR="00E45ABE" w:rsidRPr="00E45ABE" w:rsidRDefault="00E45ABE" w:rsidP="00E45ABE">
      <w:pPr>
        <w:spacing w:after="0" w:line="240" w:lineRule="auto"/>
        <w:rPr>
          <w:rFonts w:ascii="Courier New" w:eastAsiaTheme="minorHAnsi" w:hAnsi="Courier New" w:cstheme="minorBidi"/>
          <w:sz w:val="24"/>
        </w:rPr>
      </w:pPr>
      <w:r w:rsidRPr="00BD1D22">
        <w:rPr>
          <w:rFonts w:ascii="Garamond" w:eastAsiaTheme="minorHAnsi" w:hAnsi="Garamond" w:cstheme="minorBidi"/>
          <w:b/>
          <w:sz w:val="24"/>
          <w:u w:val="single"/>
        </w:rPr>
        <w:t>§200.6.  Inclusion of all students</w:t>
      </w:r>
      <w:r w:rsidRPr="00E45ABE">
        <w:rPr>
          <w:rFonts w:ascii="Courier New" w:eastAsiaTheme="minorHAnsi" w:hAnsi="Courier New" w:cstheme="minorBidi"/>
          <w:sz w:val="24"/>
        </w:rPr>
        <w:t>.</w:t>
      </w:r>
    </w:p>
    <w:p w14:paraId="0737F5E3" w14:textId="77777777" w:rsidR="00E45ABE" w:rsidRDefault="00E45ABE" w:rsidP="00E45ABE">
      <w:pPr>
        <w:spacing w:before="100" w:beforeAutospacing="1" w:after="0" w:line="240" w:lineRule="auto"/>
        <w:ind w:firstLine="475"/>
        <w:contextualSpacing/>
        <w:rPr>
          <w:rFonts w:ascii="Courier New" w:eastAsia="Times New Roman" w:hAnsi="Courier New" w:cs="Courier New"/>
          <w:sz w:val="24"/>
          <w:szCs w:val="24"/>
        </w:rPr>
      </w:pPr>
      <w:r w:rsidRPr="00E45ABE">
        <w:rPr>
          <w:rFonts w:ascii="Courier New" w:eastAsia="Times New Roman" w:hAnsi="Courier New" w:cs="Courier New"/>
          <w:sz w:val="24"/>
          <w:szCs w:val="24"/>
        </w:rPr>
        <w:t xml:space="preserve">A State's academic assessment system required under §200.2 must provide for the participation of all students in the grades assessed </w:t>
      </w:r>
      <w:r w:rsidRPr="008D2121">
        <w:rPr>
          <w:rFonts w:ascii="Courier New" w:eastAsia="Times New Roman" w:hAnsi="Courier New" w:cs="Courier New"/>
          <w:color w:val="1F497D" w:themeColor="text2"/>
          <w:sz w:val="24"/>
          <w:szCs w:val="24"/>
        </w:rPr>
        <w:t>under §200.5</w:t>
      </w:r>
      <w:r w:rsidR="00C500F3">
        <w:rPr>
          <w:rFonts w:ascii="Courier New" w:eastAsia="Times New Roman" w:hAnsi="Courier New" w:cs="Courier New"/>
          <w:color w:val="1F497D" w:themeColor="text2"/>
          <w:sz w:val="24"/>
          <w:szCs w:val="24"/>
        </w:rPr>
        <w:t xml:space="preserve"> </w:t>
      </w:r>
      <w:r w:rsidRPr="00E45ABE">
        <w:rPr>
          <w:rFonts w:ascii="Courier New" w:eastAsia="Times New Roman" w:hAnsi="Courier New" w:cs="Courier New"/>
          <w:sz w:val="24"/>
          <w:szCs w:val="24"/>
        </w:rPr>
        <w:t>in accordance with this section.</w:t>
      </w:r>
    </w:p>
    <w:p w14:paraId="0737F5E4" w14:textId="77777777" w:rsidR="00E45ABE" w:rsidRDefault="00E45ABE" w:rsidP="00E45ABE">
      <w:pPr>
        <w:spacing w:before="100" w:beforeAutospacing="1" w:after="0" w:line="240" w:lineRule="auto"/>
        <w:ind w:firstLine="475"/>
        <w:contextualSpacing/>
        <w:rPr>
          <w:rFonts w:ascii="Courier New" w:eastAsia="Times New Roman" w:hAnsi="Courier New" w:cs="Courier New"/>
          <w:sz w:val="24"/>
          <w:szCs w:val="24"/>
        </w:rPr>
      </w:pPr>
    </w:p>
    <w:p w14:paraId="0737F5E5" w14:textId="45479AF8" w:rsidR="00B74E59" w:rsidRPr="00B74E59" w:rsidRDefault="00B74E59" w:rsidP="00B74E59">
      <w:pPr>
        <w:spacing w:after="0" w:line="240" w:lineRule="auto"/>
        <w:ind w:firstLine="475"/>
        <w:contextualSpacing/>
        <w:rPr>
          <w:rFonts w:ascii="Courier New" w:eastAsia="Times New Roman" w:hAnsi="Courier New" w:cs="Courier New"/>
          <w:strike/>
          <w:color w:val="FF0000"/>
          <w:sz w:val="24"/>
          <w:szCs w:val="24"/>
        </w:rPr>
      </w:pPr>
      <w:r w:rsidRPr="00B74E59">
        <w:rPr>
          <w:rFonts w:ascii="Courier New" w:eastAsia="Times New Roman" w:hAnsi="Courier New" w:cs="Courier New"/>
          <w:sz w:val="24"/>
          <w:szCs w:val="24"/>
        </w:rPr>
        <w:t xml:space="preserve">(3)  </w:t>
      </w:r>
      <w:r w:rsidRPr="00B74E59">
        <w:rPr>
          <w:rFonts w:ascii="Courier New" w:eastAsia="Times New Roman" w:hAnsi="Courier New" w:cs="Courier New"/>
          <w:iCs/>
          <w:sz w:val="24"/>
          <w:szCs w:val="24"/>
          <w:u w:val="single"/>
        </w:rPr>
        <w:t>Assessing English proficiency</w:t>
      </w:r>
      <w:r w:rsidRPr="00B74E59">
        <w:rPr>
          <w:rFonts w:ascii="Courier New" w:eastAsia="Times New Roman" w:hAnsi="Courier New" w:cs="Courier New"/>
          <w:i/>
          <w:iCs/>
          <w:sz w:val="24"/>
          <w:szCs w:val="24"/>
        </w:rPr>
        <w:t xml:space="preserve">. </w:t>
      </w:r>
      <w:r w:rsidRPr="00B74E59">
        <w:rPr>
          <w:rFonts w:ascii="Courier New" w:eastAsia="Times New Roman" w:hAnsi="Courier New" w:cs="Courier New"/>
          <w:sz w:val="24"/>
          <w:szCs w:val="24"/>
        </w:rPr>
        <w:t xml:space="preserve"> (i)  </w:t>
      </w:r>
      <w:r w:rsidRPr="00B74E59">
        <w:rPr>
          <w:rFonts w:ascii="Courier New" w:eastAsia="Times New Roman" w:hAnsi="Courier New" w:cs="Courier New"/>
          <w:color w:val="1F497D" w:themeColor="text2"/>
          <w:sz w:val="24"/>
          <w:szCs w:val="24"/>
        </w:rPr>
        <w:t>Each</w:t>
      </w:r>
      <w:r w:rsidRPr="00B74E59">
        <w:rPr>
          <w:rFonts w:ascii="Courier New" w:eastAsia="Times New Roman" w:hAnsi="Courier New" w:cs="Courier New"/>
          <w:color w:val="FF0000"/>
          <w:sz w:val="24"/>
          <w:szCs w:val="24"/>
        </w:rPr>
        <w:t xml:space="preserve"> </w:t>
      </w:r>
      <w:r w:rsidRPr="00B74E59">
        <w:rPr>
          <w:rFonts w:ascii="Courier New" w:eastAsia="Times New Roman" w:hAnsi="Courier New" w:cs="Courier New"/>
          <w:sz w:val="24"/>
          <w:szCs w:val="24"/>
        </w:rPr>
        <w:t>State must--</w:t>
      </w:r>
      <w:r w:rsidRPr="00B74E59">
        <w:rPr>
          <w:rFonts w:ascii="Courier New" w:eastAsia="Times New Roman" w:hAnsi="Courier New" w:cs="Courier New"/>
          <w:strike/>
          <w:color w:val="FF0000"/>
          <w:sz w:val="24"/>
          <w:szCs w:val="24"/>
        </w:rPr>
        <w:t xml:space="preserve"> </w:t>
      </w:r>
    </w:p>
    <w:p w14:paraId="0737F5E6" w14:textId="1335C6CA" w:rsidR="00B74E59" w:rsidRPr="00B74E59" w:rsidRDefault="00B74E59" w:rsidP="00B74E59">
      <w:pPr>
        <w:spacing w:after="0" w:line="240" w:lineRule="auto"/>
        <w:ind w:firstLine="475"/>
        <w:contextualSpacing/>
        <w:rPr>
          <w:rFonts w:ascii="Courier New" w:eastAsia="Times New Roman" w:hAnsi="Courier New" w:cs="Courier New"/>
          <w:sz w:val="24"/>
          <w:szCs w:val="24"/>
        </w:rPr>
      </w:pPr>
      <w:r w:rsidRPr="00B74E59">
        <w:rPr>
          <w:rFonts w:ascii="Courier New" w:eastAsia="Times New Roman" w:hAnsi="Courier New" w:cs="Courier New"/>
          <w:color w:val="FF0000"/>
          <w:sz w:val="24"/>
          <w:szCs w:val="24"/>
        </w:rPr>
        <w:t xml:space="preserve">(A)  Develop a uniform statewide assessment of English language </w:t>
      </w:r>
      <w:r w:rsidRPr="00B74E59">
        <w:rPr>
          <w:rFonts w:ascii="Courier New" w:eastAsia="Times New Roman" w:hAnsi="Courier New" w:cs="Courier New"/>
          <w:sz w:val="24"/>
          <w:szCs w:val="24"/>
        </w:rPr>
        <w:t>proficiency, including reading, writing, speaking, and listening skills</w:t>
      </w:r>
      <w:r w:rsidRPr="00B74E59">
        <w:rPr>
          <w:rFonts w:ascii="Courier New" w:eastAsia="Times New Roman" w:hAnsi="Courier New" w:cs="Courier New"/>
          <w:color w:val="FF0000"/>
          <w:sz w:val="24"/>
          <w:szCs w:val="24"/>
        </w:rPr>
        <w:t>; and</w:t>
      </w:r>
    </w:p>
    <w:p w14:paraId="0737F5E7" w14:textId="7976DEDF" w:rsidR="00B74E59" w:rsidRPr="00B74E59" w:rsidRDefault="00B74E59" w:rsidP="00B74E59">
      <w:pPr>
        <w:spacing w:after="0" w:line="240" w:lineRule="auto"/>
        <w:ind w:firstLine="475"/>
        <w:contextualSpacing/>
        <w:rPr>
          <w:rFonts w:ascii="Courier New" w:eastAsia="Times New Roman" w:hAnsi="Courier New" w:cs="Courier New"/>
          <w:sz w:val="24"/>
          <w:szCs w:val="24"/>
        </w:rPr>
      </w:pPr>
      <w:r w:rsidRPr="00B74E59">
        <w:rPr>
          <w:rFonts w:ascii="Courier New" w:eastAsia="Times New Roman" w:hAnsi="Courier New" w:cs="Courier New"/>
          <w:sz w:val="24"/>
          <w:szCs w:val="24"/>
        </w:rPr>
        <w:t xml:space="preserve">(B)  Require each LEA to use such assessment to assess annually the English language proficiency, including reading, writing, speaking, and listening skills, of all English </w:t>
      </w:r>
      <w:r w:rsidRPr="00B74E59">
        <w:rPr>
          <w:rFonts w:ascii="Courier New" w:eastAsia="Times New Roman" w:hAnsi="Courier New" w:cs="Courier New"/>
          <w:color w:val="1F497D" w:themeColor="text2"/>
          <w:sz w:val="24"/>
          <w:szCs w:val="24"/>
        </w:rPr>
        <w:t>learners</w:t>
      </w:r>
      <w:r w:rsidRPr="00B74E59">
        <w:rPr>
          <w:rFonts w:ascii="Courier New" w:eastAsia="Times New Roman" w:hAnsi="Courier New" w:cs="Courier New"/>
          <w:sz w:val="24"/>
          <w:szCs w:val="24"/>
        </w:rPr>
        <w:t xml:space="preserve"> in schools </w:t>
      </w:r>
      <w:r w:rsidRPr="00B74E59">
        <w:rPr>
          <w:rFonts w:ascii="Courier New" w:eastAsia="Times New Roman" w:hAnsi="Courier New" w:cs="Courier New"/>
          <w:color w:val="1F497D" w:themeColor="text2"/>
          <w:sz w:val="24"/>
          <w:szCs w:val="24"/>
        </w:rPr>
        <w:t xml:space="preserve">served by </w:t>
      </w:r>
      <w:r w:rsidRPr="00B74E59">
        <w:rPr>
          <w:rFonts w:ascii="Courier New" w:eastAsia="Times New Roman" w:hAnsi="Courier New" w:cs="Courier New"/>
          <w:sz w:val="24"/>
          <w:szCs w:val="24"/>
        </w:rPr>
        <w:t>the LEA.</w:t>
      </w:r>
    </w:p>
    <w:p w14:paraId="0737F5ED" w14:textId="6E80BD73" w:rsidR="00B74E59" w:rsidRPr="00B74E59" w:rsidRDefault="00B74E59" w:rsidP="00B74E59">
      <w:pPr>
        <w:spacing w:after="0" w:line="240" w:lineRule="auto"/>
        <w:ind w:firstLine="475"/>
        <w:contextualSpacing/>
        <w:rPr>
          <w:rFonts w:ascii="Courier New" w:eastAsia="Times New Roman" w:hAnsi="Courier New" w:cs="Courier New"/>
          <w:color w:val="1F497D" w:themeColor="text2"/>
          <w:sz w:val="24"/>
          <w:szCs w:val="24"/>
        </w:rPr>
      </w:pPr>
      <w:r w:rsidRPr="00B74E59">
        <w:rPr>
          <w:rFonts w:ascii="Courier New" w:eastAsia="Times New Roman" w:hAnsi="Courier New" w:cs="Courier New"/>
          <w:color w:val="1F497D" w:themeColor="text2"/>
          <w:sz w:val="24"/>
          <w:szCs w:val="24"/>
        </w:rPr>
        <w:t xml:space="preserve">(ii) </w:t>
      </w:r>
      <w:r w:rsidRPr="00B74E59">
        <w:rPr>
          <w:rFonts w:ascii="Courier New" w:eastAsia="Times New Roman" w:hAnsi="Courier New" w:cs="Courier New"/>
          <w:sz w:val="24"/>
          <w:szCs w:val="24"/>
        </w:rPr>
        <w:t xml:space="preserve">The </w:t>
      </w:r>
      <w:r w:rsidRPr="00B74E59">
        <w:rPr>
          <w:rFonts w:ascii="Courier New" w:eastAsia="Times New Roman" w:hAnsi="Courier New" w:cs="Courier New"/>
          <w:color w:val="1F497D" w:themeColor="text2"/>
          <w:sz w:val="24"/>
          <w:szCs w:val="24"/>
        </w:rPr>
        <w:t xml:space="preserve">assessment under </w:t>
      </w:r>
      <w:r w:rsidRPr="00B74E59">
        <w:rPr>
          <w:rFonts w:ascii="Courier New" w:eastAsia="Times New Roman" w:hAnsi="Courier New" w:cs="Courier New"/>
          <w:sz w:val="24"/>
          <w:szCs w:val="24"/>
        </w:rPr>
        <w:t xml:space="preserve">paragraph </w:t>
      </w:r>
      <w:r w:rsidRPr="00B74E59">
        <w:rPr>
          <w:rFonts w:ascii="Courier New" w:eastAsia="Times New Roman" w:hAnsi="Courier New" w:cs="Courier New"/>
          <w:strike/>
          <w:sz w:val="24"/>
          <w:szCs w:val="24"/>
        </w:rPr>
        <w:t>(b)</w:t>
      </w:r>
      <w:r w:rsidRPr="00B74E59">
        <w:rPr>
          <w:rFonts w:ascii="Courier New" w:eastAsia="Times New Roman" w:hAnsi="Courier New" w:cs="Courier New"/>
          <w:sz w:val="24"/>
          <w:szCs w:val="24"/>
        </w:rPr>
        <w:t xml:space="preserve">(3)(i) of this section </w:t>
      </w:r>
      <w:r w:rsidRPr="00B74E59">
        <w:rPr>
          <w:rFonts w:ascii="Courier New" w:eastAsia="Times New Roman" w:hAnsi="Courier New" w:cs="Courier New"/>
          <w:color w:val="1F497D" w:themeColor="text2"/>
          <w:sz w:val="24"/>
          <w:szCs w:val="24"/>
        </w:rPr>
        <w:t>must be–-</w:t>
      </w:r>
    </w:p>
    <w:p w14:paraId="0737F5EE" w14:textId="77777777" w:rsidR="00B74E59" w:rsidRPr="00E45ABE" w:rsidRDefault="00B74E59" w:rsidP="00B74E59">
      <w:pPr>
        <w:spacing w:after="0" w:line="240" w:lineRule="auto"/>
        <w:ind w:firstLine="475"/>
        <w:contextualSpacing/>
        <w:rPr>
          <w:rFonts w:ascii="Courier New" w:eastAsia="Times New Roman" w:hAnsi="Courier New" w:cs="Courier New"/>
          <w:sz w:val="24"/>
          <w:szCs w:val="24"/>
        </w:rPr>
      </w:pPr>
      <w:r w:rsidRPr="00B74E59">
        <w:rPr>
          <w:rFonts w:ascii="Courier New" w:eastAsia="Times New Roman" w:hAnsi="Courier New" w:cs="Courier New"/>
          <w:color w:val="1F497D" w:themeColor="text2"/>
          <w:sz w:val="24"/>
          <w:szCs w:val="24"/>
        </w:rPr>
        <w:t xml:space="preserve">(A)  Aligned with the State’s English language proficiency standards under section 1111(b)(1)(F) of the Act </w:t>
      </w:r>
      <w:r w:rsidRPr="00B74E59">
        <w:rPr>
          <w:rFonts w:ascii="Courier New" w:eastAsia="Times New Roman" w:hAnsi="Courier New" w:cs="Courier New"/>
          <w:color w:val="FF0000"/>
          <w:sz w:val="24"/>
          <w:szCs w:val="24"/>
        </w:rPr>
        <w:t>and provide coherent and timely information about each student’s attainment of those standards</w:t>
      </w:r>
      <w:r w:rsidRPr="00B74E59">
        <w:rPr>
          <w:rFonts w:ascii="Courier New" w:eastAsia="Times New Roman" w:hAnsi="Courier New" w:cs="Courier New"/>
          <w:color w:val="FF0000"/>
          <w:sz w:val="24"/>
          <w:szCs w:val="24"/>
          <w:u w:val="single"/>
        </w:rPr>
        <w:t>, including information provided to parents consistent with §200.2(e)</w:t>
      </w:r>
      <w:r w:rsidRPr="00B74E59">
        <w:rPr>
          <w:rFonts w:ascii="Courier New" w:eastAsia="Times New Roman" w:hAnsi="Courier New" w:cs="Courier New"/>
          <w:color w:val="FF0000"/>
          <w:sz w:val="24"/>
          <w:szCs w:val="24"/>
        </w:rPr>
        <w:t>; and</w:t>
      </w:r>
    </w:p>
    <w:p w14:paraId="0737F5EF" w14:textId="77777777" w:rsidR="00B74E59" w:rsidRPr="008D2121" w:rsidRDefault="00B74E59" w:rsidP="00B74E59">
      <w:pPr>
        <w:spacing w:after="0" w:line="240" w:lineRule="auto"/>
        <w:ind w:firstLine="475"/>
        <w:contextualSpacing/>
        <w:rPr>
          <w:rFonts w:ascii="Courier New" w:eastAsia="Times New Roman" w:hAnsi="Courier New" w:cs="Courier New"/>
          <w:color w:val="FF0000"/>
          <w:sz w:val="24"/>
          <w:szCs w:val="24"/>
        </w:rPr>
      </w:pPr>
      <w:r w:rsidRPr="00ED280D">
        <w:rPr>
          <w:rFonts w:ascii="Courier New" w:eastAsia="Times New Roman" w:hAnsi="Courier New" w:cs="Courier New"/>
          <w:color w:val="FF0000"/>
          <w:sz w:val="24"/>
          <w:szCs w:val="24"/>
          <w:highlight w:val="lightGray"/>
        </w:rPr>
        <w:t>(B)  Developed and used consistent with the requirements of §200.2(b)(2), (b)(4),</w:t>
      </w:r>
      <w:r>
        <w:rPr>
          <w:rFonts w:ascii="Courier New" w:eastAsia="Times New Roman" w:hAnsi="Courier New" w:cs="Courier New"/>
          <w:color w:val="FF0000"/>
          <w:sz w:val="24"/>
          <w:szCs w:val="24"/>
          <w:highlight w:val="lightGray"/>
          <w:u w:val="single"/>
        </w:rPr>
        <w:t xml:space="preserve"> </w:t>
      </w:r>
      <w:r w:rsidRPr="00ED280D">
        <w:rPr>
          <w:rFonts w:ascii="Courier New" w:eastAsia="Times New Roman" w:hAnsi="Courier New" w:cs="Courier New"/>
          <w:color w:val="FF0000"/>
          <w:sz w:val="24"/>
          <w:szCs w:val="24"/>
          <w:highlight w:val="lightGray"/>
        </w:rPr>
        <w:t>and (b)(5).</w:t>
      </w:r>
    </w:p>
    <w:p w14:paraId="0737F5F0" w14:textId="77777777" w:rsidR="00B74E59" w:rsidRPr="00A35FDB" w:rsidRDefault="00B74E59" w:rsidP="00B74E5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lastRenderedPageBreak/>
        <w:t>(iii)  If a State develops a computer-adaptive assessment to measure English language proficiency, the State must ensure that the computer-adaptive assessment--</w:t>
      </w:r>
    </w:p>
    <w:p w14:paraId="0737F5F1" w14:textId="77777777" w:rsidR="00B74E59" w:rsidRPr="00A35FDB" w:rsidRDefault="00B74E59" w:rsidP="00B74E5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t>(A)  Assesses a student’s language proficiency, which may include growth toward proficiency, in order to measure the student’s acquisition of English; and</w:t>
      </w:r>
    </w:p>
    <w:p w14:paraId="0737F5F2" w14:textId="66FCED57" w:rsidR="00B74E59" w:rsidRPr="00A35FDB" w:rsidRDefault="00B74E59" w:rsidP="00B74E5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highlight w:val="lightGray"/>
        </w:rPr>
      </w:pPr>
      <w:r w:rsidRPr="00A35FDB">
        <w:rPr>
          <w:rFonts w:ascii="Courier New" w:eastAsia="Times New Roman" w:hAnsi="Courier New" w:cs="Courier New"/>
          <w:color w:val="1F497D" w:themeColor="text2"/>
          <w:sz w:val="24"/>
          <w:szCs w:val="24"/>
          <w:highlight w:val="lightGray"/>
        </w:rPr>
        <w:t>(B)  Meets</w:t>
      </w:r>
      <w:r w:rsidR="006422CB" w:rsidRPr="006422CB">
        <w:rPr>
          <w:rFonts w:ascii="Courier New" w:eastAsia="Times New Roman" w:hAnsi="Courier New" w:cs="Courier New"/>
          <w:color w:val="1F497D" w:themeColor="text2"/>
          <w:sz w:val="24"/>
          <w:szCs w:val="24"/>
          <w:highlight w:val="lightGray"/>
        </w:rPr>
        <w:t xml:space="preserve"> </w:t>
      </w:r>
      <w:r w:rsidRPr="00A35FDB">
        <w:rPr>
          <w:rFonts w:ascii="Courier New" w:eastAsia="Times New Roman" w:hAnsi="Courier New" w:cs="Courier New"/>
          <w:color w:val="1F497D" w:themeColor="text2"/>
          <w:sz w:val="24"/>
          <w:szCs w:val="24"/>
          <w:highlight w:val="lightGray"/>
        </w:rPr>
        <w:t>the requirements for English language proficiency assessments in paragraph (f) of this section</w:t>
      </w:r>
      <w:r>
        <w:rPr>
          <w:rFonts w:ascii="Courier New" w:eastAsia="Times New Roman" w:hAnsi="Courier New" w:cs="Courier New"/>
          <w:color w:val="1F497D" w:themeColor="text2"/>
          <w:sz w:val="24"/>
          <w:szCs w:val="24"/>
          <w:highlight w:val="lightGray"/>
          <w:u w:val="single"/>
        </w:rPr>
        <w:t>.</w:t>
      </w:r>
      <w:r w:rsidRPr="00A35FDB">
        <w:rPr>
          <w:rFonts w:ascii="Courier New" w:eastAsia="Times New Roman" w:hAnsi="Courier New" w:cs="Courier New"/>
          <w:color w:val="1F497D" w:themeColor="text2"/>
          <w:sz w:val="24"/>
          <w:szCs w:val="24"/>
          <w:highlight w:val="lightGray"/>
        </w:rPr>
        <w:t xml:space="preserve"> </w:t>
      </w:r>
    </w:p>
    <w:p w14:paraId="0737F5F3" w14:textId="7A844A5B" w:rsidR="00B74E59" w:rsidRPr="00A35FDB" w:rsidRDefault="00B74E59" w:rsidP="00B74E59">
      <w:pPr>
        <w:spacing w:after="0" w:line="240" w:lineRule="auto"/>
        <w:ind w:firstLine="475"/>
        <w:contextualSpacing/>
        <w:rPr>
          <w:rFonts w:ascii="Courier New" w:eastAsia="Times New Roman" w:hAnsi="Courier New" w:cs="Courier New"/>
          <w:b/>
          <w:color w:val="1F497D" w:themeColor="text2"/>
          <w:sz w:val="24"/>
          <w:szCs w:val="24"/>
        </w:rPr>
      </w:pPr>
      <w:r w:rsidRPr="00A35FDB">
        <w:rPr>
          <w:rFonts w:ascii="Courier New" w:eastAsia="Times New Roman" w:hAnsi="Courier New" w:cs="Courier New"/>
          <w:b/>
          <w:color w:val="1F497D" w:themeColor="text2"/>
          <w:sz w:val="24"/>
          <w:szCs w:val="24"/>
          <w:highlight w:val="lightGray"/>
        </w:rPr>
        <w:t>(iv)  A State must provide appropriate accommodations that are necessary to measure a student’s English language proficiency relative to the State’s English language proficiency standards under section 1111(b)(1)(F) of the Act for each English learner covered under paragraph (a)(1)</w:t>
      </w:r>
      <w:r w:rsidRPr="00A35FDB">
        <w:rPr>
          <w:rFonts w:ascii="Courier New" w:eastAsia="Times New Roman" w:hAnsi="Courier New" w:cs="Courier New"/>
          <w:b/>
          <w:color w:val="1F497D" w:themeColor="text2"/>
          <w:sz w:val="24"/>
          <w:szCs w:val="24"/>
          <w:highlight w:val="lightGray"/>
          <w:u w:val="single"/>
        </w:rPr>
        <w:t>(i)</w:t>
      </w:r>
      <w:r w:rsidRPr="00A35FDB">
        <w:rPr>
          <w:rFonts w:ascii="Courier New" w:eastAsia="Times New Roman" w:hAnsi="Courier New" w:cs="Courier New"/>
          <w:b/>
          <w:color w:val="1F497D" w:themeColor="text2"/>
          <w:sz w:val="24"/>
          <w:szCs w:val="24"/>
          <w:highlight w:val="lightGray"/>
        </w:rPr>
        <w:t xml:space="preserve"> or (a)</w:t>
      </w:r>
      <w:r w:rsidRPr="00A35FDB">
        <w:rPr>
          <w:rFonts w:ascii="Courier New" w:eastAsia="Times New Roman" w:hAnsi="Courier New" w:cs="Courier New"/>
          <w:b/>
          <w:color w:val="1F497D" w:themeColor="text2"/>
          <w:sz w:val="24"/>
          <w:szCs w:val="24"/>
          <w:highlight w:val="lightGray"/>
          <w:u w:val="single"/>
        </w:rPr>
        <w:t>(1)(iii)</w:t>
      </w:r>
      <w:r w:rsidRPr="00A35FDB">
        <w:rPr>
          <w:rFonts w:ascii="Courier New" w:eastAsia="Times New Roman" w:hAnsi="Courier New" w:cs="Courier New"/>
          <w:b/>
          <w:color w:val="1F497D" w:themeColor="text2"/>
          <w:sz w:val="24"/>
          <w:szCs w:val="24"/>
          <w:highlight w:val="lightGray"/>
        </w:rPr>
        <w:t xml:space="preserve"> of this section</w:t>
      </w:r>
      <w:r>
        <w:rPr>
          <w:rFonts w:ascii="Courier New" w:eastAsia="Times New Roman" w:hAnsi="Courier New" w:cs="Courier New"/>
          <w:b/>
          <w:color w:val="1F497D" w:themeColor="text2"/>
          <w:sz w:val="24"/>
          <w:szCs w:val="24"/>
          <w:highlight w:val="lightGray"/>
          <w:u w:val="single"/>
        </w:rPr>
        <w:t>.</w:t>
      </w:r>
      <w:r w:rsidRPr="00A35FDB">
        <w:rPr>
          <w:rFonts w:ascii="Courier New" w:eastAsia="Times New Roman" w:hAnsi="Courier New" w:cs="Courier New"/>
          <w:b/>
          <w:color w:val="1F497D" w:themeColor="text2"/>
          <w:sz w:val="24"/>
          <w:szCs w:val="24"/>
        </w:rPr>
        <w:t xml:space="preserve"> </w:t>
      </w:r>
    </w:p>
    <w:p w14:paraId="0737F5F4" w14:textId="26D164D7" w:rsidR="00B74E59" w:rsidRPr="00DB2B72" w:rsidRDefault="00B74E59" w:rsidP="00B74E59">
      <w:pPr>
        <w:spacing w:after="0" w:line="240" w:lineRule="auto"/>
        <w:ind w:firstLine="475"/>
        <w:rPr>
          <w:rFonts w:ascii="Courier New" w:eastAsia="Times New Roman" w:hAnsi="Courier New" w:cs="Courier New"/>
          <w:strike/>
          <w:sz w:val="24"/>
          <w:szCs w:val="24"/>
        </w:rPr>
      </w:pPr>
      <w:r w:rsidRPr="00ED280D">
        <w:rPr>
          <w:rFonts w:ascii="Courier New" w:eastAsia="Times New Roman" w:hAnsi="Courier New" w:cs="Courier New"/>
          <w:b/>
          <w:color w:val="1F497D" w:themeColor="text2"/>
          <w:sz w:val="24"/>
          <w:szCs w:val="24"/>
          <w:highlight w:val="lightGray"/>
        </w:rPr>
        <w:t>(v)  A State must provide for</w:t>
      </w:r>
      <w:r>
        <w:rPr>
          <w:rFonts w:ascii="Courier New" w:eastAsia="Times New Roman" w:hAnsi="Courier New" w:cs="Courier New"/>
          <w:b/>
          <w:color w:val="1F497D" w:themeColor="text2"/>
          <w:sz w:val="24"/>
          <w:szCs w:val="24"/>
          <w:highlight w:val="lightGray"/>
        </w:rPr>
        <w:t xml:space="preserve"> an alternate English language </w:t>
      </w:r>
      <w:r w:rsidRPr="00ED280D">
        <w:rPr>
          <w:rFonts w:ascii="Courier New" w:eastAsia="Times New Roman" w:hAnsi="Courier New" w:cs="Courier New"/>
          <w:b/>
          <w:color w:val="1F497D" w:themeColor="text2"/>
          <w:sz w:val="24"/>
          <w:szCs w:val="24"/>
          <w:highlight w:val="lightGray"/>
        </w:rPr>
        <w:t xml:space="preserve">proficiency assessment for each English learner covered under paragraph (a)(1)(ii) of this section who cannot participate in the  assessment under paragraph (f)(3)(i) of this section even with appropriate </w:t>
      </w:r>
      <w:r w:rsidRPr="003C121D">
        <w:rPr>
          <w:rFonts w:ascii="Courier New" w:eastAsia="Times New Roman" w:hAnsi="Courier New" w:cs="Courier New"/>
          <w:b/>
          <w:color w:val="1F497D" w:themeColor="text2"/>
          <w:sz w:val="24"/>
          <w:szCs w:val="24"/>
          <w:highlight w:val="lightGray"/>
        </w:rPr>
        <w:t>accommodations.</w:t>
      </w:r>
      <w:r w:rsidRPr="00B74E59">
        <w:rPr>
          <w:rFonts w:ascii="Courier New" w:hAnsi="Courier New" w:cs="Courier New"/>
          <w:sz w:val="24"/>
          <w:szCs w:val="24"/>
        </w:rPr>
        <w:tab/>
      </w:r>
      <w:r w:rsidRPr="00DB2B72">
        <w:rPr>
          <w:rFonts w:ascii="Courier New" w:eastAsia="Times New Roman" w:hAnsi="Courier New" w:cs="Courier New"/>
          <w:strike/>
          <w:sz w:val="24"/>
          <w:szCs w:val="24"/>
        </w:rPr>
        <w:t xml:space="preserve"> </w:t>
      </w:r>
    </w:p>
    <w:p w14:paraId="0737F5F5" w14:textId="77777777" w:rsidR="00E45ABE" w:rsidRPr="00A1052C" w:rsidRDefault="00E45ABE" w:rsidP="00B74E59">
      <w:pPr>
        <w:spacing w:after="0" w:line="240" w:lineRule="auto"/>
        <w:ind w:firstLine="475"/>
        <w:contextualSpacing/>
        <w:rPr>
          <w:rFonts w:ascii="Garamond" w:hAnsi="Garamond"/>
          <w:sz w:val="24"/>
          <w:szCs w:val="24"/>
        </w:rPr>
      </w:pPr>
    </w:p>
    <w:sectPr w:rsidR="00E45ABE" w:rsidRPr="00A1052C" w:rsidSect="00F4671E">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D4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C5FF" w14:textId="77777777" w:rsidR="006422A9" w:rsidRDefault="006422A9" w:rsidP="00514170">
      <w:pPr>
        <w:spacing w:after="0" w:line="240" w:lineRule="auto"/>
      </w:pPr>
      <w:r>
        <w:separator/>
      </w:r>
    </w:p>
  </w:endnote>
  <w:endnote w:type="continuationSeparator" w:id="0">
    <w:p w14:paraId="06F6B202" w14:textId="77777777" w:rsidR="006422A9" w:rsidRDefault="006422A9" w:rsidP="0051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685634178"/>
      <w:docPartObj>
        <w:docPartGallery w:val="Page Numbers (Bottom of Page)"/>
        <w:docPartUnique/>
      </w:docPartObj>
    </w:sdtPr>
    <w:sdtEndPr>
      <w:rPr>
        <w:noProof/>
      </w:rPr>
    </w:sdtEndPr>
    <w:sdtContent>
      <w:p w14:paraId="0737F5FB" w14:textId="68E23890" w:rsidR="00425E12" w:rsidRPr="00425E12" w:rsidRDefault="00F4671E">
        <w:pPr>
          <w:pStyle w:val="Footer"/>
          <w:rPr>
            <w:rFonts w:ascii="Garamond" w:hAnsi="Garamond"/>
            <w:sz w:val="24"/>
            <w:szCs w:val="24"/>
          </w:rPr>
        </w:pPr>
        <w:r w:rsidRPr="00A04FC2">
          <w:rPr>
            <w:rFonts w:ascii="Garamond" w:hAnsi="Garamond"/>
            <w:noProof/>
            <w:sz w:val="24"/>
            <w:szCs w:val="24"/>
          </w:rPr>
          <w:t xml:space="preserve">Key: Black text is carried over from previous regulations.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b/>
            <w:noProof/>
            <w:color w:val="1F497D" w:themeColor="text2"/>
            <w:sz w:val="24"/>
            <w:szCs w:val="24"/>
          </w:rPr>
          <w:t>Bolded</w:t>
        </w:r>
        <w:r w:rsidRPr="00A04FC2">
          <w:rPr>
            <w:rFonts w:ascii="Garamond" w:hAnsi="Garamond"/>
            <w:noProof/>
            <w:color w:val="1F497D" w:themeColor="text2"/>
            <w:sz w:val="24"/>
            <w:szCs w:val="24"/>
          </w:rPr>
          <w:t xml:space="preserve"> </w:t>
        </w:r>
        <w:r w:rsidRPr="00A04FC2">
          <w:rPr>
            <w:rFonts w:ascii="Garamond" w:hAnsi="Garamond"/>
            <w:noProof/>
            <w:sz w:val="24"/>
            <w:szCs w:val="24"/>
          </w:rPr>
          <w:t xml:space="preserve">items are factual corrections.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w:t>
        </w:r>
        <w:r w:rsidR="00506BF3" w:rsidRPr="00506BF3">
          <w:rPr>
            <w:rFonts w:ascii="Garamond" w:hAnsi="Garamond"/>
            <w:sz w:val="24"/>
            <w:szCs w:val="24"/>
          </w:rPr>
          <w:t xml:space="preserve"> </w:t>
        </w:r>
        <w:r w:rsidR="00506BF3">
          <w:rPr>
            <w:rFonts w:ascii="Garamond" w:hAnsi="Garamond"/>
            <w:sz w:val="24"/>
            <w:szCs w:val="24"/>
          </w:rPr>
          <w:t>Unshaded text denotes areas of primary consideration for session 3.</w:t>
        </w:r>
      </w:p>
    </w:sdtContent>
  </w:sdt>
  <w:p w14:paraId="0737F5FC" w14:textId="3FD868C7" w:rsidR="00514170" w:rsidRPr="00217CCB" w:rsidRDefault="00506BF3" w:rsidP="00506BF3">
    <w:pPr>
      <w:pStyle w:val="Footer"/>
      <w:tabs>
        <w:tab w:val="clear" w:pos="4680"/>
        <w:tab w:val="clear" w:pos="9360"/>
        <w:tab w:val="left" w:pos="6510"/>
      </w:tabs>
      <w:rPr>
        <w:rFonts w:ascii="Garamond" w:hAnsi="Garamond"/>
        <w:sz w:val="24"/>
        <w:szCs w:val="24"/>
      </w:rPr>
    </w:pPr>
    <w:r>
      <w:rPr>
        <w:rFonts w:ascii="Garamond" w:hAnsi="Garamond"/>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F5FD" w14:textId="44F593F0" w:rsidR="00F4671E" w:rsidRPr="00F4671E" w:rsidRDefault="004129CB">
    <w:pPr>
      <w:pStyle w:val="Footer"/>
      <w:rPr>
        <w:rFonts w:ascii="Garamond" w:hAnsi="Garamond"/>
        <w:sz w:val="24"/>
        <w:szCs w:val="24"/>
      </w:rPr>
    </w:pPr>
    <w:r>
      <w:rPr>
        <w:rFonts w:ascii="Garamond" w:hAnsi="Garamond"/>
        <w:sz w:val="24"/>
        <w:szCs w:val="24"/>
      </w:rPr>
      <w:t>4/15</w:t>
    </w:r>
    <w:r w:rsidR="00F4671E" w:rsidRPr="00F4671E">
      <w:rPr>
        <w:rFonts w:ascii="Garamond" w:hAnsi="Garamond"/>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56EBC" w14:textId="77777777" w:rsidR="006422A9" w:rsidRDefault="006422A9" w:rsidP="00514170">
      <w:pPr>
        <w:spacing w:after="0" w:line="240" w:lineRule="auto"/>
      </w:pPr>
      <w:r>
        <w:separator/>
      </w:r>
    </w:p>
  </w:footnote>
  <w:footnote w:type="continuationSeparator" w:id="0">
    <w:p w14:paraId="0B8D4456" w14:textId="77777777" w:rsidR="006422A9" w:rsidRDefault="006422A9" w:rsidP="0051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598E" w14:textId="59FEF806" w:rsidR="00C265D1" w:rsidRDefault="00C265D1" w:rsidP="00C265D1">
    <w:pPr>
      <w:pStyle w:val="Footer"/>
      <w:rPr>
        <w:rFonts w:ascii="Garamond" w:hAnsi="Garamond"/>
        <w:noProof/>
        <w:sz w:val="24"/>
        <w:szCs w:val="24"/>
      </w:rPr>
    </w:pPr>
    <w:r w:rsidRPr="00425E12">
      <w:rPr>
        <w:rFonts w:ascii="Garamond" w:hAnsi="Garamond"/>
        <w:sz w:val="24"/>
        <w:szCs w:val="24"/>
      </w:rPr>
      <w:t>4/1</w:t>
    </w:r>
    <w:r w:rsidR="004129CB">
      <w:rPr>
        <w:rFonts w:ascii="Garamond" w:hAnsi="Garamond"/>
        <w:sz w:val="24"/>
        <w:szCs w:val="24"/>
      </w:rPr>
      <w:t>5</w:t>
    </w:r>
    <w:r w:rsidRPr="00425E12">
      <w:rPr>
        <w:rFonts w:ascii="Garamond" w:hAnsi="Garamond"/>
        <w:sz w:val="24"/>
        <w:szCs w:val="24"/>
      </w:rPr>
      <w:t>/2016</w:t>
    </w:r>
    <w:r w:rsidRPr="00425E12">
      <w:rPr>
        <w:rFonts w:ascii="Garamond" w:hAnsi="Garamond"/>
        <w:sz w:val="24"/>
        <w:szCs w:val="24"/>
      </w:rPr>
      <w:tab/>
    </w:r>
    <w:r w:rsidRPr="00425E12">
      <w:rPr>
        <w:rFonts w:ascii="Garamond" w:hAnsi="Garamond"/>
        <w:sz w:val="24"/>
        <w:szCs w:val="24"/>
      </w:rPr>
      <w:tab/>
    </w:r>
    <w:r w:rsidRPr="00425E12">
      <w:rPr>
        <w:rFonts w:ascii="Garamond" w:hAnsi="Garamond"/>
        <w:sz w:val="24"/>
        <w:szCs w:val="24"/>
      </w:rPr>
      <w:fldChar w:fldCharType="begin"/>
    </w:r>
    <w:r w:rsidRPr="00425E12">
      <w:rPr>
        <w:rFonts w:ascii="Garamond" w:hAnsi="Garamond"/>
        <w:sz w:val="24"/>
        <w:szCs w:val="24"/>
      </w:rPr>
      <w:instrText xml:space="preserve"> PAGE   \* MERGEFORMAT </w:instrText>
    </w:r>
    <w:r w:rsidRPr="00425E12">
      <w:rPr>
        <w:rFonts w:ascii="Garamond" w:hAnsi="Garamond"/>
        <w:sz w:val="24"/>
        <w:szCs w:val="24"/>
      </w:rPr>
      <w:fldChar w:fldCharType="separate"/>
    </w:r>
    <w:r w:rsidR="000B3267">
      <w:rPr>
        <w:rFonts w:ascii="Garamond" w:hAnsi="Garamond"/>
        <w:noProof/>
        <w:sz w:val="24"/>
        <w:szCs w:val="24"/>
      </w:rPr>
      <w:t>3</w:t>
    </w:r>
    <w:r w:rsidRPr="00425E12">
      <w:rPr>
        <w:rFonts w:ascii="Garamond" w:hAnsi="Garamond"/>
        <w:noProof/>
        <w:sz w:val="24"/>
        <w:szCs w:val="24"/>
      </w:rPr>
      <w:fldChar w:fldCharType="end"/>
    </w:r>
  </w:p>
  <w:p w14:paraId="030BEF62" w14:textId="77777777" w:rsidR="00C265D1" w:rsidRDefault="00C26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E75"/>
    <w:multiLevelType w:val="hybridMultilevel"/>
    <w:tmpl w:val="18E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088B"/>
    <w:multiLevelType w:val="hybridMultilevel"/>
    <w:tmpl w:val="DE4A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41006"/>
    <w:multiLevelType w:val="hybridMultilevel"/>
    <w:tmpl w:val="B5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F2606"/>
    <w:multiLevelType w:val="hybridMultilevel"/>
    <w:tmpl w:val="F7C606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5C"/>
    <w:rsid w:val="0001198A"/>
    <w:rsid w:val="000179C7"/>
    <w:rsid w:val="000447B1"/>
    <w:rsid w:val="00057F45"/>
    <w:rsid w:val="00092A01"/>
    <w:rsid w:val="000A4110"/>
    <w:rsid w:val="000B3267"/>
    <w:rsid w:val="000C501A"/>
    <w:rsid w:val="000F2D13"/>
    <w:rsid w:val="000F31E3"/>
    <w:rsid w:val="00110203"/>
    <w:rsid w:val="00124FF0"/>
    <w:rsid w:val="00125FCB"/>
    <w:rsid w:val="00145EBB"/>
    <w:rsid w:val="0015613F"/>
    <w:rsid w:val="001A3165"/>
    <w:rsid w:val="001B1B5B"/>
    <w:rsid w:val="001F0124"/>
    <w:rsid w:val="00217CCB"/>
    <w:rsid w:val="00227419"/>
    <w:rsid w:val="00242F05"/>
    <w:rsid w:val="002715AA"/>
    <w:rsid w:val="00291F5F"/>
    <w:rsid w:val="002C6D30"/>
    <w:rsid w:val="00303A29"/>
    <w:rsid w:val="00336790"/>
    <w:rsid w:val="003750F7"/>
    <w:rsid w:val="00376E9D"/>
    <w:rsid w:val="00391DCA"/>
    <w:rsid w:val="003B4198"/>
    <w:rsid w:val="003F7A7E"/>
    <w:rsid w:val="004129CB"/>
    <w:rsid w:val="00421A6A"/>
    <w:rsid w:val="00425E12"/>
    <w:rsid w:val="0042669A"/>
    <w:rsid w:val="004419FE"/>
    <w:rsid w:val="00457AC1"/>
    <w:rsid w:val="00465B4D"/>
    <w:rsid w:val="00491D82"/>
    <w:rsid w:val="004941CD"/>
    <w:rsid w:val="004B3AAA"/>
    <w:rsid w:val="004F17E3"/>
    <w:rsid w:val="00505913"/>
    <w:rsid w:val="00506BF3"/>
    <w:rsid w:val="00514170"/>
    <w:rsid w:val="0051650E"/>
    <w:rsid w:val="005506D0"/>
    <w:rsid w:val="00560431"/>
    <w:rsid w:val="005C5C9A"/>
    <w:rsid w:val="005E0F71"/>
    <w:rsid w:val="005E1668"/>
    <w:rsid w:val="00600CDC"/>
    <w:rsid w:val="0060779A"/>
    <w:rsid w:val="00640EB7"/>
    <w:rsid w:val="006422A9"/>
    <w:rsid w:val="006422CB"/>
    <w:rsid w:val="0065572A"/>
    <w:rsid w:val="00657937"/>
    <w:rsid w:val="0066380B"/>
    <w:rsid w:val="0068342E"/>
    <w:rsid w:val="006B3346"/>
    <w:rsid w:val="006C2E68"/>
    <w:rsid w:val="007037FA"/>
    <w:rsid w:val="00710855"/>
    <w:rsid w:val="00750AD6"/>
    <w:rsid w:val="007605D0"/>
    <w:rsid w:val="007A6F18"/>
    <w:rsid w:val="007D4974"/>
    <w:rsid w:val="007F028C"/>
    <w:rsid w:val="007F1044"/>
    <w:rsid w:val="0088613B"/>
    <w:rsid w:val="008A671A"/>
    <w:rsid w:val="008D2121"/>
    <w:rsid w:val="0090098F"/>
    <w:rsid w:val="00916811"/>
    <w:rsid w:val="00923B5D"/>
    <w:rsid w:val="00923BD2"/>
    <w:rsid w:val="009C4AE6"/>
    <w:rsid w:val="009D4F36"/>
    <w:rsid w:val="00A0506E"/>
    <w:rsid w:val="00A1052C"/>
    <w:rsid w:val="00A158ED"/>
    <w:rsid w:val="00A25541"/>
    <w:rsid w:val="00A35FDB"/>
    <w:rsid w:val="00A61772"/>
    <w:rsid w:val="00AA14FA"/>
    <w:rsid w:val="00AA273B"/>
    <w:rsid w:val="00AA5A5C"/>
    <w:rsid w:val="00AF5FAF"/>
    <w:rsid w:val="00B0536E"/>
    <w:rsid w:val="00B41EC8"/>
    <w:rsid w:val="00B651F8"/>
    <w:rsid w:val="00B74E35"/>
    <w:rsid w:val="00B74E59"/>
    <w:rsid w:val="00B85750"/>
    <w:rsid w:val="00BD1D22"/>
    <w:rsid w:val="00BD3B4F"/>
    <w:rsid w:val="00BE68F2"/>
    <w:rsid w:val="00C07AAE"/>
    <w:rsid w:val="00C22F99"/>
    <w:rsid w:val="00C265D1"/>
    <w:rsid w:val="00C3054E"/>
    <w:rsid w:val="00C500F3"/>
    <w:rsid w:val="00C52761"/>
    <w:rsid w:val="00C67F6C"/>
    <w:rsid w:val="00C87984"/>
    <w:rsid w:val="00C92F77"/>
    <w:rsid w:val="00C976CD"/>
    <w:rsid w:val="00CC688E"/>
    <w:rsid w:val="00CE211F"/>
    <w:rsid w:val="00CF2BD9"/>
    <w:rsid w:val="00D06304"/>
    <w:rsid w:val="00D26B45"/>
    <w:rsid w:val="00D47D4F"/>
    <w:rsid w:val="00D611D9"/>
    <w:rsid w:val="00D67665"/>
    <w:rsid w:val="00D83706"/>
    <w:rsid w:val="00DB74F1"/>
    <w:rsid w:val="00DC1DE2"/>
    <w:rsid w:val="00DE74AE"/>
    <w:rsid w:val="00DF28F8"/>
    <w:rsid w:val="00E247AE"/>
    <w:rsid w:val="00E44426"/>
    <w:rsid w:val="00E45ABE"/>
    <w:rsid w:val="00E531C6"/>
    <w:rsid w:val="00E5592B"/>
    <w:rsid w:val="00EA0C39"/>
    <w:rsid w:val="00EA27F6"/>
    <w:rsid w:val="00ED280D"/>
    <w:rsid w:val="00EE3749"/>
    <w:rsid w:val="00EE7315"/>
    <w:rsid w:val="00F05665"/>
    <w:rsid w:val="00F4671E"/>
    <w:rsid w:val="00F51BD2"/>
    <w:rsid w:val="00F6059E"/>
    <w:rsid w:val="00FA3EBA"/>
    <w:rsid w:val="00FD2F29"/>
    <w:rsid w:val="00FD55FA"/>
    <w:rsid w:val="00FF6F75"/>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5C"/>
    <w:pPr>
      <w:ind w:left="720"/>
      <w:contextualSpacing/>
    </w:pPr>
  </w:style>
  <w:style w:type="character" w:styleId="CommentReference">
    <w:name w:val="annotation reference"/>
    <w:basedOn w:val="DefaultParagraphFont"/>
    <w:uiPriority w:val="99"/>
    <w:semiHidden/>
    <w:unhideWhenUsed/>
    <w:rsid w:val="0088613B"/>
    <w:rPr>
      <w:sz w:val="16"/>
      <w:szCs w:val="16"/>
    </w:rPr>
  </w:style>
  <w:style w:type="paragraph" w:styleId="CommentText">
    <w:name w:val="annotation text"/>
    <w:basedOn w:val="Normal"/>
    <w:link w:val="CommentTextChar"/>
    <w:uiPriority w:val="99"/>
    <w:unhideWhenUsed/>
    <w:rsid w:val="0088613B"/>
    <w:pPr>
      <w:spacing w:line="240" w:lineRule="auto"/>
    </w:pPr>
    <w:rPr>
      <w:sz w:val="20"/>
      <w:szCs w:val="20"/>
    </w:rPr>
  </w:style>
  <w:style w:type="character" w:customStyle="1" w:styleId="CommentTextChar">
    <w:name w:val="Comment Text Char"/>
    <w:basedOn w:val="DefaultParagraphFont"/>
    <w:link w:val="CommentText"/>
    <w:uiPriority w:val="99"/>
    <w:rsid w:val="008861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13B"/>
    <w:rPr>
      <w:b/>
      <w:bCs/>
    </w:rPr>
  </w:style>
  <w:style w:type="character" w:customStyle="1" w:styleId="CommentSubjectChar">
    <w:name w:val="Comment Subject Char"/>
    <w:basedOn w:val="CommentTextChar"/>
    <w:link w:val="CommentSubject"/>
    <w:uiPriority w:val="99"/>
    <w:semiHidden/>
    <w:rsid w:val="008861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3B"/>
    <w:rPr>
      <w:rFonts w:ascii="Tahoma" w:eastAsia="Calibri" w:hAnsi="Tahoma" w:cs="Tahoma"/>
      <w:sz w:val="16"/>
      <w:szCs w:val="16"/>
    </w:rPr>
  </w:style>
  <w:style w:type="paragraph" w:styleId="Header">
    <w:name w:val="header"/>
    <w:basedOn w:val="Normal"/>
    <w:link w:val="HeaderChar"/>
    <w:uiPriority w:val="99"/>
    <w:unhideWhenUsed/>
    <w:rsid w:val="0051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70"/>
    <w:rPr>
      <w:rFonts w:ascii="Calibri" w:eastAsia="Calibri" w:hAnsi="Calibri" w:cs="Times New Roman"/>
    </w:rPr>
  </w:style>
  <w:style w:type="paragraph" w:styleId="Footer">
    <w:name w:val="footer"/>
    <w:basedOn w:val="Normal"/>
    <w:link w:val="FooterChar"/>
    <w:uiPriority w:val="99"/>
    <w:unhideWhenUsed/>
    <w:rsid w:val="0051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70"/>
    <w:rPr>
      <w:rFonts w:ascii="Calibri" w:eastAsia="Calibri" w:hAnsi="Calibri" w:cs="Times New Roman"/>
    </w:rPr>
  </w:style>
  <w:style w:type="character" w:styleId="SubtleEmphasis">
    <w:name w:val="Subtle Emphasis"/>
    <w:basedOn w:val="DefaultParagraphFont"/>
    <w:uiPriority w:val="19"/>
    <w:qFormat/>
    <w:rsid w:val="00C500F3"/>
    <w:rPr>
      <w:i/>
      <w:iCs/>
      <w:color w:val="808080" w:themeColor="text1" w:themeTint="7F"/>
    </w:rPr>
  </w:style>
  <w:style w:type="paragraph" w:customStyle="1" w:styleId="Default">
    <w:name w:val="Default"/>
    <w:rsid w:val="0066380B"/>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5C"/>
    <w:pPr>
      <w:ind w:left="720"/>
      <w:contextualSpacing/>
    </w:pPr>
  </w:style>
  <w:style w:type="character" w:styleId="CommentReference">
    <w:name w:val="annotation reference"/>
    <w:basedOn w:val="DefaultParagraphFont"/>
    <w:uiPriority w:val="99"/>
    <w:semiHidden/>
    <w:unhideWhenUsed/>
    <w:rsid w:val="0088613B"/>
    <w:rPr>
      <w:sz w:val="16"/>
      <w:szCs w:val="16"/>
    </w:rPr>
  </w:style>
  <w:style w:type="paragraph" w:styleId="CommentText">
    <w:name w:val="annotation text"/>
    <w:basedOn w:val="Normal"/>
    <w:link w:val="CommentTextChar"/>
    <w:uiPriority w:val="99"/>
    <w:unhideWhenUsed/>
    <w:rsid w:val="0088613B"/>
    <w:pPr>
      <w:spacing w:line="240" w:lineRule="auto"/>
    </w:pPr>
    <w:rPr>
      <w:sz w:val="20"/>
      <w:szCs w:val="20"/>
    </w:rPr>
  </w:style>
  <w:style w:type="character" w:customStyle="1" w:styleId="CommentTextChar">
    <w:name w:val="Comment Text Char"/>
    <w:basedOn w:val="DefaultParagraphFont"/>
    <w:link w:val="CommentText"/>
    <w:uiPriority w:val="99"/>
    <w:rsid w:val="008861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13B"/>
    <w:rPr>
      <w:b/>
      <w:bCs/>
    </w:rPr>
  </w:style>
  <w:style w:type="character" w:customStyle="1" w:styleId="CommentSubjectChar">
    <w:name w:val="Comment Subject Char"/>
    <w:basedOn w:val="CommentTextChar"/>
    <w:link w:val="CommentSubject"/>
    <w:uiPriority w:val="99"/>
    <w:semiHidden/>
    <w:rsid w:val="008861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3B"/>
    <w:rPr>
      <w:rFonts w:ascii="Tahoma" w:eastAsia="Calibri" w:hAnsi="Tahoma" w:cs="Tahoma"/>
      <w:sz w:val="16"/>
      <w:szCs w:val="16"/>
    </w:rPr>
  </w:style>
  <w:style w:type="paragraph" w:styleId="Header">
    <w:name w:val="header"/>
    <w:basedOn w:val="Normal"/>
    <w:link w:val="HeaderChar"/>
    <w:uiPriority w:val="99"/>
    <w:unhideWhenUsed/>
    <w:rsid w:val="0051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70"/>
    <w:rPr>
      <w:rFonts w:ascii="Calibri" w:eastAsia="Calibri" w:hAnsi="Calibri" w:cs="Times New Roman"/>
    </w:rPr>
  </w:style>
  <w:style w:type="paragraph" w:styleId="Footer">
    <w:name w:val="footer"/>
    <w:basedOn w:val="Normal"/>
    <w:link w:val="FooterChar"/>
    <w:uiPriority w:val="99"/>
    <w:unhideWhenUsed/>
    <w:rsid w:val="0051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70"/>
    <w:rPr>
      <w:rFonts w:ascii="Calibri" w:eastAsia="Calibri" w:hAnsi="Calibri" w:cs="Times New Roman"/>
    </w:rPr>
  </w:style>
  <w:style w:type="character" w:styleId="SubtleEmphasis">
    <w:name w:val="Subtle Emphasis"/>
    <w:basedOn w:val="DefaultParagraphFont"/>
    <w:uiPriority w:val="19"/>
    <w:qFormat/>
    <w:rsid w:val="00C500F3"/>
    <w:rPr>
      <w:i/>
      <w:iCs/>
      <w:color w:val="808080" w:themeColor="text1" w:themeTint="7F"/>
    </w:rPr>
  </w:style>
  <w:style w:type="paragraph" w:customStyle="1" w:styleId="Default">
    <w:name w:val="Default"/>
    <w:rsid w:val="0066380B"/>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A603-B573-48CF-94A7-752218B0B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D086A-7A4E-4586-B8E6-A5CB0FC8BACA}">
  <ds:schemaRefs>
    <ds:schemaRef ds:uri="http://schemas.microsoft.com/sharepoint/v3/contenttype/forms"/>
  </ds:schemaRefs>
</ds:datastoreItem>
</file>

<file path=customXml/itemProps3.xml><?xml version="1.0" encoding="utf-8"?>
<ds:datastoreItem xmlns:ds="http://schemas.openxmlformats.org/officeDocument/2006/customXml" ds:itemID="{45C20E8C-C246-4B13-9255-E1AF38334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CEC965-1602-43EE-9FDB-78E705D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2016-04-14T20:39:00Z</cp:lastPrinted>
  <dcterms:created xsi:type="dcterms:W3CDTF">2016-04-15T15:28:00Z</dcterms:created>
  <dcterms:modified xsi:type="dcterms:W3CDTF">2016-04-15T15:28:00Z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0x010100AC365A08192A7D4993DC1D31B1243766</vt:lpwstr>
  </property>
</Properties>
</file>