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26F0C" w14:textId="7483BACC" w:rsidR="00DF260C" w:rsidRDefault="00D12DF9" w:rsidP="00E4148E">
      <w:pPr>
        <w:pStyle w:val="NoSpacing"/>
        <w:rPr>
          <w:b/>
          <w:sz w:val="26"/>
          <w:szCs w:val="26"/>
        </w:rPr>
      </w:pPr>
      <w:r>
        <w:rPr>
          <w:noProof/>
        </w:rPr>
        <w:drawing>
          <wp:inline distT="0" distB="0" distL="0" distR="0" wp14:anchorId="7CA218D8" wp14:editId="287471AB">
            <wp:extent cx="1504124" cy="99536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9615" cy="1091643"/>
                    </a:xfrm>
                    <a:prstGeom prst="rect">
                      <a:avLst/>
                    </a:prstGeom>
                    <a:noFill/>
                    <a:ln>
                      <a:noFill/>
                    </a:ln>
                  </pic:spPr>
                </pic:pic>
              </a:graphicData>
            </a:graphic>
          </wp:inline>
        </w:drawing>
      </w:r>
    </w:p>
    <w:p w14:paraId="053DD068" w14:textId="5D7C5D5E" w:rsidR="003F3035" w:rsidRPr="00E4798A" w:rsidRDefault="003F3035" w:rsidP="00E4148E">
      <w:pPr>
        <w:pStyle w:val="NoSpacing"/>
        <w:jc w:val="center"/>
        <w:rPr>
          <w:b/>
          <w:sz w:val="26"/>
          <w:szCs w:val="26"/>
        </w:rPr>
      </w:pPr>
      <w:r w:rsidRPr="00E4798A">
        <w:rPr>
          <w:b/>
          <w:sz w:val="26"/>
          <w:szCs w:val="26"/>
        </w:rPr>
        <w:t>U.S. Department of Education</w:t>
      </w:r>
    </w:p>
    <w:p w14:paraId="2F70EB04" w14:textId="77777777" w:rsidR="003F3035" w:rsidRPr="00E4798A" w:rsidRDefault="003F3035" w:rsidP="00E4148E">
      <w:pPr>
        <w:pStyle w:val="NoSpacing"/>
        <w:jc w:val="center"/>
        <w:rPr>
          <w:b/>
          <w:i/>
          <w:sz w:val="26"/>
          <w:szCs w:val="26"/>
        </w:rPr>
      </w:pPr>
      <w:r w:rsidRPr="00E4798A">
        <w:rPr>
          <w:b/>
          <w:i/>
          <w:sz w:val="26"/>
          <w:szCs w:val="26"/>
        </w:rPr>
        <w:t>Plain Writing Act of 2010</w:t>
      </w:r>
    </w:p>
    <w:p w14:paraId="19F4CC00" w14:textId="0716D0E5" w:rsidR="003F3035" w:rsidRPr="00E4798A" w:rsidRDefault="003F3035" w:rsidP="00E4148E">
      <w:pPr>
        <w:pStyle w:val="NoSpacing"/>
        <w:jc w:val="center"/>
        <w:rPr>
          <w:b/>
          <w:sz w:val="26"/>
          <w:szCs w:val="26"/>
        </w:rPr>
      </w:pPr>
      <w:r w:rsidRPr="00E4798A">
        <w:rPr>
          <w:b/>
          <w:sz w:val="26"/>
          <w:szCs w:val="26"/>
        </w:rPr>
        <w:t>FY 20</w:t>
      </w:r>
      <w:r w:rsidR="003C791E">
        <w:rPr>
          <w:b/>
          <w:sz w:val="26"/>
          <w:szCs w:val="26"/>
        </w:rPr>
        <w:t>20</w:t>
      </w:r>
      <w:r w:rsidRPr="00E4798A">
        <w:rPr>
          <w:b/>
          <w:sz w:val="26"/>
          <w:szCs w:val="26"/>
        </w:rPr>
        <w:t xml:space="preserve"> Compliance Report</w:t>
      </w:r>
    </w:p>
    <w:p w14:paraId="242949F2" w14:textId="3C37F4BA" w:rsidR="003F3035" w:rsidRDefault="003F3035" w:rsidP="003F3035">
      <w:pPr>
        <w:pStyle w:val="NoSpacing"/>
      </w:pPr>
    </w:p>
    <w:p w14:paraId="4D4DFB96" w14:textId="77777777" w:rsidR="008022B2" w:rsidRDefault="003F3035" w:rsidP="003F3035">
      <w:pPr>
        <w:pStyle w:val="NoSpacing"/>
      </w:pPr>
      <w:r>
        <w:t xml:space="preserve">This annual report highlights the Department’s compliance with the </w:t>
      </w:r>
      <w:r w:rsidRPr="00ED390F">
        <w:rPr>
          <w:iCs/>
        </w:rPr>
        <w:t>Plain Writing Act of 2010</w:t>
      </w:r>
      <w:r>
        <w:t xml:space="preserve"> (Pub. L. 111-274).</w:t>
      </w:r>
      <w:r w:rsidRPr="001E43B4">
        <w:t xml:space="preserve"> </w:t>
      </w:r>
      <w:r>
        <w:t>Th</w:t>
      </w:r>
      <w:r w:rsidR="003C791E">
        <w:t>is a</w:t>
      </w:r>
      <w:r>
        <w:t>ct help</w:t>
      </w:r>
      <w:r w:rsidR="003C791E">
        <w:t>s</w:t>
      </w:r>
      <w:r>
        <w:t xml:space="preserve"> ensure that documents the Department issues are clear, concise, and well-organized. The act requires government agencies to</w:t>
      </w:r>
      <w:r w:rsidR="008022B2">
        <w:t>:</w:t>
      </w:r>
      <w:r>
        <w:t xml:space="preserve"> </w:t>
      </w:r>
    </w:p>
    <w:p w14:paraId="347B5966" w14:textId="54D237C9" w:rsidR="008022B2" w:rsidRDefault="00312E68" w:rsidP="008022B2">
      <w:pPr>
        <w:pStyle w:val="NoSpacing"/>
        <w:numPr>
          <w:ilvl w:val="0"/>
          <w:numId w:val="4"/>
        </w:numPr>
      </w:pPr>
      <w:r>
        <w:t>D</w:t>
      </w:r>
      <w:r w:rsidR="003F3035">
        <w:t xml:space="preserve">esignate officials to oversee implementation of the act, </w:t>
      </w:r>
    </w:p>
    <w:p w14:paraId="4DF5DE61" w14:textId="3316447F" w:rsidR="008022B2" w:rsidRDefault="00312E68" w:rsidP="008022B2">
      <w:pPr>
        <w:pStyle w:val="NoSpacing"/>
        <w:numPr>
          <w:ilvl w:val="0"/>
          <w:numId w:val="4"/>
        </w:numPr>
      </w:pPr>
      <w:r>
        <w:t>C</w:t>
      </w:r>
      <w:r w:rsidR="003F3035">
        <w:t xml:space="preserve">ommunicate its requirements to all agency employees, </w:t>
      </w:r>
    </w:p>
    <w:p w14:paraId="6412FA00" w14:textId="6D5D916B" w:rsidR="008022B2" w:rsidRDefault="00312E68" w:rsidP="008022B2">
      <w:pPr>
        <w:pStyle w:val="NoSpacing"/>
        <w:numPr>
          <w:ilvl w:val="0"/>
          <w:numId w:val="4"/>
        </w:numPr>
      </w:pPr>
      <w:r>
        <w:t>T</w:t>
      </w:r>
      <w:r w:rsidR="003F3035">
        <w:t>rain agency employees in plain writing</w:t>
      </w:r>
      <w:r w:rsidR="00155465">
        <w:t>;</w:t>
      </w:r>
      <w:r w:rsidR="0058676B" w:rsidRPr="0058676B">
        <w:t xml:space="preserve"> </w:t>
      </w:r>
    </w:p>
    <w:p w14:paraId="770F7487" w14:textId="44532353" w:rsidR="008022B2" w:rsidRDefault="00312E68" w:rsidP="008022B2">
      <w:pPr>
        <w:pStyle w:val="NoSpacing"/>
        <w:numPr>
          <w:ilvl w:val="0"/>
          <w:numId w:val="4"/>
        </w:numPr>
      </w:pPr>
      <w:r>
        <w:t>E</w:t>
      </w:r>
      <w:r w:rsidR="0058676B">
        <w:t xml:space="preserve">stablish process for overseeing ongoing compliance; </w:t>
      </w:r>
    </w:p>
    <w:p w14:paraId="525520CB" w14:textId="0CA8D72A" w:rsidR="008022B2" w:rsidRDefault="00312E68" w:rsidP="008022B2">
      <w:pPr>
        <w:pStyle w:val="NoSpacing"/>
        <w:numPr>
          <w:ilvl w:val="0"/>
          <w:numId w:val="4"/>
        </w:numPr>
      </w:pPr>
      <w:r>
        <w:t>C</w:t>
      </w:r>
      <w:r w:rsidR="0058676B">
        <w:t xml:space="preserve">reate and maintain a plain writing section of agency’s website; </w:t>
      </w:r>
      <w:r w:rsidR="003F3035">
        <w:t xml:space="preserve">and </w:t>
      </w:r>
    </w:p>
    <w:p w14:paraId="1BE97FEF" w14:textId="7D47A15A" w:rsidR="003F3035" w:rsidRDefault="0062618C" w:rsidP="008022B2">
      <w:pPr>
        <w:pStyle w:val="NoSpacing"/>
        <w:numPr>
          <w:ilvl w:val="0"/>
          <w:numId w:val="4"/>
        </w:numPr>
      </w:pPr>
      <w:r>
        <w:t xml:space="preserve">Designate points of contact </w:t>
      </w:r>
      <w:r w:rsidR="003F3035">
        <w:t xml:space="preserve">to receive and respond to public input on its implementation of the act. </w:t>
      </w:r>
    </w:p>
    <w:p w14:paraId="67DDC44C" w14:textId="7DC9E8F5" w:rsidR="003F3035" w:rsidRDefault="003F3035" w:rsidP="003F3035">
      <w:pPr>
        <w:pStyle w:val="NoSpacing"/>
      </w:pPr>
    </w:p>
    <w:p w14:paraId="41C07498" w14:textId="6A1BCC81" w:rsidR="003F3035" w:rsidRDefault="003F3035" w:rsidP="00477113">
      <w:pPr>
        <w:pStyle w:val="NoSpacing"/>
        <w:jc w:val="center"/>
        <w:rPr>
          <w:b/>
          <w:sz w:val="24"/>
          <w:szCs w:val="24"/>
        </w:rPr>
      </w:pPr>
      <w:r w:rsidRPr="0002023B">
        <w:rPr>
          <w:b/>
          <w:sz w:val="24"/>
          <w:szCs w:val="24"/>
        </w:rPr>
        <w:t>Agency Official</w:t>
      </w:r>
      <w:r w:rsidR="00C922BE">
        <w:rPr>
          <w:b/>
          <w:sz w:val="24"/>
          <w:szCs w:val="24"/>
        </w:rPr>
        <w:t>s</w:t>
      </w:r>
      <w:r w:rsidRPr="0002023B">
        <w:rPr>
          <w:b/>
          <w:sz w:val="24"/>
          <w:szCs w:val="24"/>
        </w:rPr>
        <w:t xml:space="preserve"> for Plain Writing</w:t>
      </w:r>
    </w:p>
    <w:p w14:paraId="47817197" w14:textId="77777777" w:rsidR="009F3917" w:rsidRPr="0002023B" w:rsidRDefault="009F3917" w:rsidP="00477113">
      <w:pPr>
        <w:pStyle w:val="NoSpacing"/>
        <w:jc w:val="center"/>
        <w:rPr>
          <w:sz w:val="24"/>
          <w:szCs w:val="24"/>
        </w:rPr>
      </w:pPr>
    </w:p>
    <w:p w14:paraId="0F45D505" w14:textId="199CD78F" w:rsidR="003F3035" w:rsidRDefault="003F3035" w:rsidP="003F3035">
      <w:pPr>
        <w:pStyle w:val="NoSpacing"/>
      </w:pPr>
      <w:r>
        <w:t xml:space="preserve">The </w:t>
      </w:r>
      <w:r w:rsidR="003C791E">
        <w:t xml:space="preserve">Department’s </w:t>
      </w:r>
      <w:r>
        <w:t xml:space="preserve">Office of Communications and Outreach (OCO) oversees the agency’s Plain Writing activities. </w:t>
      </w:r>
      <w:r w:rsidR="00CB272A">
        <w:t>One of OCO’s</w:t>
      </w:r>
      <w:r w:rsidR="00914DCC">
        <w:t xml:space="preserve"> </w:t>
      </w:r>
      <w:r w:rsidR="00755153">
        <w:t>seven divisions</w:t>
      </w:r>
      <w:r w:rsidR="00E4148E">
        <w:t xml:space="preserve"> is the </w:t>
      </w:r>
      <w:r w:rsidR="004C7B36">
        <w:t>Writing Division</w:t>
      </w:r>
      <w:r w:rsidR="000A27D2">
        <w:t xml:space="preserve">, which is </w:t>
      </w:r>
      <w:r w:rsidR="001C7B2C">
        <w:t xml:space="preserve">focused on </w:t>
      </w:r>
      <w:r w:rsidR="00B54183">
        <w:t xml:space="preserve">providing services in </w:t>
      </w:r>
      <w:r w:rsidR="001C7B2C">
        <w:t>written and verbal communication</w:t>
      </w:r>
      <w:r w:rsidR="00B54183">
        <w:t xml:space="preserve"> to other teams</w:t>
      </w:r>
      <w:r w:rsidR="000A27D2">
        <w:t xml:space="preserve"> and other offices throughout the agency</w:t>
      </w:r>
      <w:r w:rsidR="00B54183">
        <w:t xml:space="preserve">. </w:t>
      </w:r>
      <w:r w:rsidR="003C791E">
        <w:t xml:space="preserve">Kate Devine, </w:t>
      </w:r>
      <w:r w:rsidR="0056665E">
        <w:t>lead for the Editorial Team within the Writing Division</w:t>
      </w:r>
      <w:r w:rsidR="003166BA">
        <w:t xml:space="preserve">, </w:t>
      </w:r>
      <w:r w:rsidR="003C791E">
        <w:t xml:space="preserve">has served as the </w:t>
      </w:r>
      <w:r w:rsidR="006B45EA">
        <w:t xml:space="preserve">agency’s plain writing </w:t>
      </w:r>
      <w:r w:rsidR="003C791E">
        <w:t xml:space="preserve">designated official </w:t>
      </w:r>
      <w:r w:rsidR="0056665E">
        <w:t>since January 2019. Melissa Apostolides</w:t>
      </w:r>
      <w:r w:rsidR="00885281">
        <w:t xml:space="preserve"> is </w:t>
      </w:r>
      <w:r w:rsidR="008C1F59">
        <w:t>d</w:t>
      </w:r>
      <w:r w:rsidR="0056665E">
        <w:t>irector of the Writing Division</w:t>
      </w:r>
      <w:r w:rsidR="00065E33">
        <w:t>.</w:t>
      </w:r>
      <w:r w:rsidR="0056665E">
        <w:t xml:space="preserve"> </w:t>
      </w:r>
      <w:r>
        <w:t>Dan</w:t>
      </w:r>
      <w:r w:rsidR="00164E28">
        <w:t xml:space="preserve">iel </w:t>
      </w:r>
      <w:r>
        <w:t xml:space="preserve">Miller, deputy assistant secretary of communications and outreach, </w:t>
      </w:r>
      <w:r w:rsidR="0056665E">
        <w:t xml:space="preserve">has </w:t>
      </w:r>
      <w:r>
        <w:t>assisted in leading the Department’s Plain Writing effort.</w:t>
      </w:r>
      <w:r w:rsidR="00C922BE">
        <w:t xml:space="preserve"> </w:t>
      </w:r>
    </w:p>
    <w:p w14:paraId="0509E694" w14:textId="77777777" w:rsidR="003F3035" w:rsidRDefault="003F3035" w:rsidP="003F3035">
      <w:pPr>
        <w:pStyle w:val="NoSpacing"/>
      </w:pPr>
    </w:p>
    <w:p w14:paraId="526DFA26" w14:textId="6A634673" w:rsidR="00906324" w:rsidRDefault="00556EE2" w:rsidP="00477113">
      <w:pPr>
        <w:pStyle w:val="NoSpacing"/>
        <w:jc w:val="center"/>
        <w:rPr>
          <w:b/>
          <w:sz w:val="24"/>
          <w:szCs w:val="24"/>
        </w:rPr>
      </w:pPr>
      <w:r>
        <w:rPr>
          <w:b/>
          <w:sz w:val="24"/>
          <w:szCs w:val="24"/>
        </w:rPr>
        <w:t>Communicat</w:t>
      </w:r>
      <w:r w:rsidR="00477113">
        <w:rPr>
          <w:b/>
          <w:sz w:val="24"/>
          <w:szCs w:val="24"/>
        </w:rPr>
        <w:t>ing</w:t>
      </w:r>
      <w:r>
        <w:rPr>
          <w:b/>
          <w:sz w:val="24"/>
          <w:szCs w:val="24"/>
        </w:rPr>
        <w:t xml:space="preserve"> Requirements to Employees</w:t>
      </w:r>
    </w:p>
    <w:p w14:paraId="5308EAF7" w14:textId="77777777" w:rsidR="00B5798F" w:rsidRDefault="00B5798F" w:rsidP="00E957B9">
      <w:pPr>
        <w:pStyle w:val="NoSpacing"/>
        <w:rPr>
          <w:b/>
          <w:bCs/>
        </w:rPr>
      </w:pPr>
    </w:p>
    <w:p w14:paraId="10400378" w14:textId="77777777" w:rsidR="00421012" w:rsidRPr="0078242B" w:rsidRDefault="00421012" w:rsidP="00421012">
      <w:pPr>
        <w:pStyle w:val="NoSpacing"/>
        <w:rPr>
          <w:b/>
          <w:bCs/>
        </w:rPr>
      </w:pPr>
      <w:r w:rsidRPr="0078242B">
        <w:rPr>
          <w:b/>
          <w:bCs/>
        </w:rPr>
        <w:t xml:space="preserve">OCO Writing Division </w:t>
      </w:r>
    </w:p>
    <w:p w14:paraId="02D1DA74" w14:textId="0B21C04E" w:rsidR="00421012" w:rsidRDefault="00421012" w:rsidP="00421012">
      <w:pPr>
        <w:pStyle w:val="NoSpacing"/>
        <w:rPr>
          <w:b/>
        </w:rPr>
      </w:pPr>
      <w:r>
        <w:t xml:space="preserve">OCO reorganized in September 2019, creating a Writing Division. This division brought together </w:t>
      </w:r>
      <w:r w:rsidR="00885281">
        <w:t xml:space="preserve">four </w:t>
      </w:r>
      <w:r w:rsidR="00974A0B">
        <w:t xml:space="preserve">groups </w:t>
      </w:r>
      <w:r w:rsidR="00885281">
        <w:t xml:space="preserve">focused on writing — </w:t>
      </w:r>
      <w:r w:rsidR="00D87CED">
        <w:t xml:space="preserve">speechwriting, </w:t>
      </w:r>
      <w:r w:rsidR="00974A0B">
        <w:t xml:space="preserve">editorial review, </w:t>
      </w:r>
      <w:r w:rsidR="00885281">
        <w:t>internal communications, and translations</w:t>
      </w:r>
      <w:r w:rsidR="00974A0B">
        <w:t xml:space="preserve">, </w:t>
      </w:r>
      <w:r w:rsidR="00014411">
        <w:t>combining</w:t>
      </w:r>
      <w:r>
        <w:t xml:space="preserve"> those with similar skills to leverage expertise in the written word to communicate</w:t>
      </w:r>
      <w:r w:rsidR="00E9082A">
        <w:t xml:space="preserve"> with a variety of internal and external audiences</w:t>
      </w:r>
      <w:r w:rsidR="00E41AF8">
        <w:t xml:space="preserve"> more effectively</w:t>
      </w:r>
      <w:r>
        <w:t xml:space="preserve">. </w:t>
      </w:r>
      <w:r w:rsidR="007F2226">
        <w:t>T</w:t>
      </w:r>
      <w:r>
        <w:t xml:space="preserve">his coalescence of skills </w:t>
      </w:r>
      <w:r w:rsidR="007F2226">
        <w:t xml:space="preserve">in FY 20 </w:t>
      </w:r>
      <w:r>
        <w:t>increase</w:t>
      </w:r>
      <w:r w:rsidR="007F2226">
        <w:t>d</w:t>
      </w:r>
      <w:r>
        <w:t xml:space="preserve"> staff prominence in offering services to others in OCO and other offices to promote clear, concise </w:t>
      </w:r>
      <w:r w:rsidR="00D746C0">
        <w:t>writing</w:t>
      </w:r>
      <w:r>
        <w:t xml:space="preserve">. </w:t>
      </w:r>
    </w:p>
    <w:p w14:paraId="550F56C9" w14:textId="77777777" w:rsidR="00421012" w:rsidRDefault="00421012" w:rsidP="00E957B9">
      <w:pPr>
        <w:pStyle w:val="NoSpacing"/>
        <w:rPr>
          <w:b/>
          <w:bCs/>
        </w:rPr>
      </w:pPr>
    </w:p>
    <w:p w14:paraId="560EB077" w14:textId="48813596" w:rsidR="003A4DB9" w:rsidRDefault="003A4DB9" w:rsidP="00E957B9">
      <w:pPr>
        <w:pStyle w:val="NoSpacing"/>
        <w:rPr>
          <w:b/>
          <w:bCs/>
        </w:rPr>
      </w:pPr>
      <w:r w:rsidRPr="00E84BDE">
        <w:rPr>
          <w:b/>
          <w:bCs/>
        </w:rPr>
        <w:t xml:space="preserve">Guide to Publishing </w:t>
      </w:r>
    </w:p>
    <w:p w14:paraId="5551AAD5" w14:textId="1DF6BA9E" w:rsidR="00860D20" w:rsidRPr="002854D6" w:rsidRDefault="003A4DB9" w:rsidP="003F3035">
      <w:pPr>
        <w:pStyle w:val="NoSpacing"/>
        <w:rPr>
          <w:bCs/>
        </w:rPr>
      </w:pPr>
      <w:r>
        <w:t xml:space="preserve">In 2002, the Department </w:t>
      </w:r>
      <w:r w:rsidR="005F086F">
        <w:t xml:space="preserve">(ED) </w:t>
      </w:r>
      <w:r>
        <w:t xml:space="preserve">produced </w:t>
      </w:r>
      <w:r w:rsidR="002170FB">
        <w:t>the</w:t>
      </w:r>
      <w:r>
        <w:t xml:space="preserve"> first edition of the </w:t>
      </w:r>
      <w:r w:rsidRPr="004E3CDE">
        <w:t>Guide to Publishing at the Department of Education</w:t>
      </w:r>
      <w:r>
        <w:rPr>
          <w:i/>
          <w:iCs/>
        </w:rPr>
        <w:t>.</w:t>
      </w:r>
      <w:r>
        <w:t xml:space="preserve"> </w:t>
      </w:r>
      <w:r w:rsidRPr="00E709AE">
        <w:t xml:space="preserve">This </w:t>
      </w:r>
      <w:r w:rsidR="004E32D2">
        <w:t>5</w:t>
      </w:r>
      <w:r w:rsidR="00EC2CE4">
        <w:t xml:space="preserve">0-page </w:t>
      </w:r>
      <w:r w:rsidRPr="00E709AE">
        <w:t>guide</w:t>
      </w:r>
      <w:r>
        <w:rPr>
          <w:i/>
          <w:iCs/>
        </w:rPr>
        <w:t xml:space="preserve"> </w:t>
      </w:r>
      <w:r>
        <w:t>has been revised throughout the years</w:t>
      </w:r>
      <w:r w:rsidR="00E9082A">
        <w:t xml:space="preserve"> </w:t>
      </w:r>
      <w:r>
        <w:t xml:space="preserve">and resides on ED’s internal site as a resource for Department staff. Currently, it is under major revision as communication tools change </w:t>
      </w:r>
      <w:r w:rsidR="00110177">
        <w:t xml:space="preserve">and </w:t>
      </w:r>
      <w:r>
        <w:t xml:space="preserve">expand (e.g., less print, more digital). </w:t>
      </w:r>
      <w:r w:rsidR="003A1339">
        <w:t xml:space="preserve">This guide includes information on </w:t>
      </w:r>
      <w:r w:rsidR="002E69BC">
        <w:t xml:space="preserve">the </w:t>
      </w:r>
      <w:r w:rsidR="00A41384">
        <w:t>P</w:t>
      </w:r>
      <w:r w:rsidR="002E69BC">
        <w:t xml:space="preserve">lain </w:t>
      </w:r>
      <w:r w:rsidR="00A41384">
        <w:t>W</w:t>
      </w:r>
      <w:r w:rsidR="00831671">
        <w:t xml:space="preserve">riting </w:t>
      </w:r>
      <w:r w:rsidR="00A41384">
        <w:t>A</w:t>
      </w:r>
      <w:r w:rsidR="00831671">
        <w:t>ct and highlight</w:t>
      </w:r>
      <w:r w:rsidR="00110177">
        <w:t xml:space="preserve">s </w:t>
      </w:r>
      <w:r w:rsidR="00831671">
        <w:t>writing tips</w:t>
      </w:r>
      <w:r w:rsidR="007B0AB7">
        <w:t xml:space="preserve">, such as </w:t>
      </w:r>
      <w:r w:rsidR="00AA7CA9">
        <w:t>writ</w:t>
      </w:r>
      <w:r w:rsidR="00E9082A">
        <w:t>ing</w:t>
      </w:r>
      <w:r w:rsidR="00AA7CA9">
        <w:t xml:space="preserve"> for </w:t>
      </w:r>
      <w:r w:rsidR="001C3C06">
        <w:t>the intended</w:t>
      </w:r>
      <w:r w:rsidR="00AA7CA9">
        <w:t xml:space="preserve"> audience, </w:t>
      </w:r>
      <w:r w:rsidR="00521C31">
        <w:t>us</w:t>
      </w:r>
      <w:r w:rsidR="00E9082A">
        <w:t xml:space="preserve">ing </w:t>
      </w:r>
      <w:r w:rsidR="00521C31">
        <w:t>active voice, choos</w:t>
      </w:r>
      <w:r w:rsidR="00E9082A">
        <w:t>ing</w:t>
      </w:r>
      <w:r w:rsidR="00521C31">
        <w:t xml:space="preserve"> simple </w:t>
      </w:r>
      <w:r w:rsidR="00521C31">
        <w:lastRenderedPageBreak/>
        <w:t xml:space="preserve">words, </w:t>
      </w:r>
      <w:r w:rsidR="001C3C06">
        <w:t xml:space="preserve">and </w:t>
      </w:r>
      <w:r w:rsidR="0025512E">
        <w:t>us</w:t>
      </w:r>
      <w:r w:rsidR="00E9082A">
        <w:t>ing</w:t>
      </w:r>
      <w:r w:rsidR="0025512E">
        <w:t xml:space="preserve"> short sentences and bullets</w:t>
      </w:r>
      <w:r w:rsidR="00831671">
        <w:t xml:space="preserve">. </w:t>
      </w:r>
      <w:r w:rsidR="005A3476">
        <w:t>Links to plainlanguage.gov r</w:t>
      </w:r>
      <w:r w:rsidR="00386F28">
        <w:t xml:space="preserve">esources </w:t>
      </w:r>
      <w:r w:rsidR="005A3476">
        <w:t xml:space="preserve">are included. </w:t>
      </w:r>
      <w:r w:rsidR="002854D6" w:rsidRPr="002854D6">
        <w:rPr>
          <w:bCs/>
        </w:rPr>
        <w:t xml:space="preserve">Another updated </w:t>
      </w:r>
      <w:r w:rsidR="002854D6">
        <w:rPr>
          <w:bCs/>
        </w:rPr>
        <w:t>edition</w:t>
      </w:r>
      <w:r w:rsidR="00715CD4">
        <w:rPr>
          <w:bCs/>
        </w:rPr>
        <w:t xml:space="preserve"> of the guide</w:t>
      </w:r>
      <w:r w:rsidR="002854D6">
        <w:rPr>
          <w:bCs/>
        </w:rPr>
        <w:t xml:space="preserve"> is expected by year’s end</w:t>
      </w:r>
      <w:r w:rsidR="00715CD4">
        <w:rPr>
          <w:bCs/>
        </w:rPr>
        <w:t>, with a</w:t>
      </w:r>
      <w:r w:rsidR="00E3629F">
        <w:rPr>
          <w:bCs/>
        </w:rPr>
        <w:t>n internal</w:t>
      </w:r>
      <w:r w:rsidR="00715CD4">
        <w:rPr>
          <w:bCs/>
        </w:rPr>
        <w:t xml:space="preserve"> </w:t>
      </w:r>
      <w:r w:rsidR="000B4ECD">
        <w:rPr>
          <w:bCs/>
        </w:rPr>
        <w:t xml:space="preserve">formal </w:t>
      </w:r>
      <w:r w:rsidR="00715CD4">
        <w:rPr>
          <w:bCs/>
        </w:rPr>
        <w:t>rollout planned</w:t>
      </w:r>
      <w:r w:rsidR="002854D6">
        <w:rPr>
          <w:bCs/>
        </w:rPr>
        <w:t xml:space="preserve">. </w:t>
      </w:r>
    </w:p>
    <w:p w14:paraId="3E7372CA" w14:textId="41A2A64B" w:rsidR="00860D20" w:rsidRDefault="00860D20" w:rsidP="003F3035">
      <w:pPr>
        <w:pStyle w:val="NoSpacing"/>
        <w:rPr>
          <w:b/>
        </w:rPr>
      </w:pPr>
    </w:p>
    <w:p w14:paraId="446624FB" w14:textId="7C176B49" w:rsidR="005C11DA" w:rsidRPr="005C11DA" w:rsidRDefault="00BA4F63" w:rsidP="005C11DA">
      <w:pPr>
        <w:rPr>
          <w:rFonts w:ascii="Calibri" w:eastAsia="Times New Roman" w:hAnsi="Calibri" w:cs="Calibri"/>
          <w:b/>
          <w:bCs/>
          <w:sz w:val="22"/>
          <w:szCs w:val="22"/>
        </w:rPr>
      </w:pPr>
      <w:r>
        <w:rPr>
          <w:rFonts w:ascii="Calibri" w:eastAsia="Times New Roman" w:hAnsi="Calibri" w:cs="Calibri"/>
          <w:b/>
          <w:bCs/>
          <w:sz w:val="22"/>
          <w:szCs w:val="22"/>
        </w:rPr>
        <w:t xml:space="preserve">Writing </w:t>
      </w:r>
      <w:r w:rsidR="005C11DA" w:rsidRPr="005C11DA">
        <w:rPr>
          <w:rFonts w:ascii="Calibri" w:eastAsia="Times New Roman" w:hAnsi="Calibri" w:cs="Calibri"/>
          <w:b/>
          <w:bCs/>
          <w:sz w:val="22"/>
          <w:szCs w:val="22"/>
        </w:rPr>
        <w:t xml:space="preserve">Mentorships and Collaboration </w:t>
      </w:r>
      <w:r w:rsidR="00202D4D">
        <w:rPr>
          <w:rFonts w:ascii="Calibri" w:eastAsia="Times New Roman" w:hAnsi="Calibri" w:cs="Calibri"/>
          <w:b/>
          <w:bCs/>
          <w:sz w:val="22"/>
          <w:szCs w:val="22"/>
        </w:rPr>
        <w:t xml:space="preserve">of Divisions </w:t>
      </w:r>
    </w:p>
    <w:p w14:paraId="5D00EAC7" w14:textId="5D0ACF16" w:rsidR="005C11DA" w:rsidRPr="00820908" w:rsidRDefault="00F369D4" w:rsidP="0081644C">
      <w:pPr>
        <w:rPr>
          <w:rFonts w:ascii="Calibri" w:eastAsia="Times New Roman" w:hAnsi="Calibri" w:cs="Calibri"/>
          <w:sz w:val="22"/>
          <w:szCs w:val="22"/>
        </w:rPr>
      </w:pPr>
      <w:r>
        <w:rPr>
          <w:rFonts w:ascii="Calibri" w:eastAsia="Times New Roman" w:hAnsi="Calibri" w:cs="Calibri"/>
          <w:sz w:val="22"/>
          <w:szCs w:val="22"/>
        </w:rPr>
        <w:t xml:space="preserve">OCO </w:t>
      </w:r>
      <w:r w:rsidR="00D746C0">
        <w:rPr>
          <w:rFonts w:ascii="Calibri" w:eastAsia="Times New Roman" w:hAnsi="Calibri" w:cs="Calibri"/>
          <w:sz w:val="22"/>
          <w:szCs w:val="22"/>
        </w:rPr>
        <w:t xml:space="preserve">has </w:t>
      </w:r>
      <w:r>
        <w:rPr>
          <w:rFonts w:ascii="Calibri" w:eastAsia="Times New Roman" w:hAnsi="Calibri" w:cs="Calibri"/>
          <w:sz w:val="22"/>
          <w:szCs w:val="22"/>
        </w:rPr>
        <w:t>undertake</w:t>
      </w:r>
      <w:r w:rsidR="00D746C0">
        <w:rPr>
          <w:rFonts w:ascii="Calibri" w:eastAsia="Times New Roman" w:hAnsi="Calibri" w:cs="Calibri"/>
          <w:sz w:val="22"/>
          <w:szCs w:val="22"/>
        </w:rPr>
        <w:t>n</w:t>
      </w:r>
      <w:r>
        <w:rPr>
          <w:rFonts w:ascii="Calibri" w:eastAsia="Times New Roman" w:hAnsi="Calibri" w:cs="Calibri"/>
          <w:sz w:val="22"/>
          <w:szCs w:val="22"/>
        </w:rPr>
        <w:t xml:space="preserve"> e</w:t>
      </w:r>
      <w:r w:rsidR="005C11DA" w:rsidRPr="00820908">
        <w:rPr>
          <w:rFonts w:ascii="Calibri" w:eastAsia="Times New Roman" w:hAnsi="Calibri" w:cs="Calibri"/>
          <w:sz w:val="22"/>
          <w:szCs w:val="22"/>
        </w:rPr>
        <w:t xml:space="preserve">xtended mentorships that pair </w:t>
      </w:r>
      <w:r w:rsidR="00E43E55">
        <w:rPr>
          <w:rFonts w:ascii="Calibri" w:eastAsia="Times New Roman" w:hAnsi="Calibri" w:cs="Calibri"/>
          <w:sz w:val="22"/>
          <w:szCs w:val="22"/>
        </w:rPr>
        <w:t xml:space="preserve">relatively </w:t>
      </w:r>
      <w:r w:rsidR="005C11DA" w:rsidRPr="00820908">
        <w:rPr>
          <w:rFonts w:ascii="Calibri" w:eastAsia="Times New Roman" w:hAnsi="Calibri" w:cs="Calibri"/>
          <w:sz w:val="22"/>
          <w:szCs w:val="22"/>
        </w:rPr>
        <w:t xml:space="preserve">new </w:t>
      </w:r>
      <w:r w:rsidR="00F30972">
        <w:rPr>
          <w:rFonts w:ascii="Calibri" w:eastAsia="Times New Roman" w:hAnsi="Calibri" w:cs="Calibri"/>
          <w:sz w:val="22"/>
          <w:szCs w:val="22"/>
        </w:rPr>
        <w:t>Wr</w:t>
      </w:r>
      <w:r w:rsidR="00E43E55">
        <w:rPr>
          <w:rFonts w:ascii="Calibri" w:eastAsia="Times New Roman" w:hAnsi="Calibri" w:cs="Calibri"/>
          <w:sz w:val="22"/>
          <w:szCs w:val="22"/>
        </w:rPr>
        <w:t xml:space="preserve">iting Division </w:t>
      </w:r>
      <w:r w:rsidR="005C11DA" w:rsidRPr="00820908">
        <w:rPr>
          <w:rFonts w:ascii="Calibri" w:eastAsia="Times New Roman" w:hAnsi="Calibri" w:cs="Calibri"/>
          <w:sz w:val="22"/>
          <w:szCs w:val="22"/>
        </w:rPr>
        <w:t>staff members</w:t>
      </w:r>
      <w:r w:rsidR="00F30972">
        <w:rPr>
          <w:rFonts w:ascii="Calibri" w:eastAsia="Times New Roman" w:hAnsi="Calibri" w:cs="Calibri"/>
          <w:sz w:val="22"/>
          <w:szCs w:val="22"/>
        </w:rPr>
        <w:t xml:space="preserve"> </w:t>
      </w:r>
      <w:r w:rsidR="005C11DA" w:rsidRPr="00820908">
        <w:rPr>
          <w:rFonts w:ascii="Calibri" w:eastAsia="Times New Roman" w:hAnsi="Calibri" w:cs="Calibri"/>
          <w:sz w:val="22"/>
          <w:szCs w:val="22"/>
        </w:rPr>
        <w:t xml:space="preserve">with senior staff members </w:t>
      </w:r>
      <w:r w:rsidR="00F83B5C">
        <w:rPr>
          <w:rFonts w:ascii="Calibri" w:eastAsia="Times New Roman" w:hAnsi="Calibri" w:cs="Calibri"/>
          <w:sz w:val="22"/>
          <w:szCs w:val="22"/>
        </w:rPr>
        <w:t xml:space="preserve">who have </w:t>
      </w:r>
      <w:r w:rsidR="005C11DA" w:rsidRPr="00820908">
        <w:rPr>
          <w:rFonts w:ascii="Calibri" w:eastAsia="Times New Roman" w:hAnsi="Calibri" w:cs="Calibri"/>
          <w:sz w:val="22"/>
          <w:szCs w:val="22"/>
        </w:rPr>
        <w:t xml:space="preserve">decades of </w:t>
      </w:r>
      <w:r w:rsidR="00F83B5C">
        <w:rPr>
          <w:rFonts w:ascii="Calibri" w:eastAsia="Times New Roman" w:hAnsi="Calibri" w:cs="Calibri"/>
          <w:sz w:val="22"/>
          <w:szCs w:val="22"/>
        </w:rPr>
        <w:t xml:space="preserve">writing </w:t>
      </w:r>
      <w:r w:rsidR="005C11DA" w:rsidRPr="00820908">
        <w:rPr>
          <w:rFonts w:ascii="Calibri" w:eastAsia="Times New Roman" w:hAnsi="Calibri" w:cs="Calibri"/>
          <w:sz w:val="22"/>
          <w:szCs w:val="22"/>
        </w:rPr>
        <w:t>experience</w:t>
      </w:r>
      <w:r w:rsidR="005C11DA" w:rsidRPr="00B24FAE">
        <w:rPr>
          <w:rFonts w:ascii="Calibri" w:eastAsia="Times New Roman" w:hAnsi="Calibri" w:cs="Calibri"/>
          <w:sz w:val="22"/>
          <w:szCs w:val="22"/>
        </w:rPr>
        <w:t xml:space="preserve">. </w:t>
      </w:r>
      <w:r w:rsidR="0081644C">
        <w:rPr>
          <w:rFonts w:ascii="Calibri" w:eastAsia="Times New Roman" w:hAnsi="Calibri" w:cs="Calibri"/>
          <w:sz w:val="22"/>
          <w:szCs w:val="22"/>
        </w:rPr>
        <w:t xml:space="preserve">The </w:t>
      </w:r>
      <w:r w:rsidR="005405CF">
        <w:rPr>
          <w:rFonts w:ascii="Calibri" w:eastAsia="Times New Roman" w:hAnsi="Calibri" w:cs="Calibri"/>
          <w:sz w:val="22"/>
          <w:szCs w:val="22"/>
        </w:rPr>
        <w:t>p</w:t>
      </w:r>
      <w:r w:rsidR="0081644C">
        <w:rPr>
          <w:rFonts w:ascii="Calibri" w:eastAsia="Times New Roman" w:hAnsi="Calibri" w:cs="Calibri"/>
          <w:sz w:val="22"/>
          <w:szCs w:val="22"/>
        </w:rPr>
        <w:t xml:space="preserve">lain </w:t>
      </w:r>
      <w:r w:rsidR="005405CF">
        <w:rPr>
          <w:rFonts w:ascii="Calibri" w:eastAsia="Times New Roman" w:hAnsi="Calibri" w:cs="Calibri"/>
          <w:sz w:val="22"/>
          <w:szCs w:val="22"/>
        </w:rPr>
        <w:t>l</w:t>
      </w:r>
      <w:r w:rsidR="0081644C">
        <w:rPr>
          <w:rFonts w:ascii="Calibri" w:eastAsia="Times New Roman" w:hAnsi="Calibri" w:cs="Calibri"/>
          <w:sz w:val="22"/>
          <w:szCs w:val="22"/>
        </w:rPr>
        <w:t xml:space="preserve">anguage </w:t>
      </w:r>
      <w:r w:rsidR="005405CF">
        <w:rPr>
          <w:rFonts w:ascii="Calibri" w:eastAsia="Times New Roman" w:hAnsi="Calibri" w:cs="Calibri"/>
          <w:sz w:val="22"/>
          <w:szCs w:val="22"/>
        </w:rPr>
        <w:t>o</w:t>
      </w:r>
      <w:r w:rsidR="0081644C">
        <w:rPr>
          <w:rFonts w:ascii="Calibri" w:eastAsia="Times New Roman" w:hAnsi="Calibri" w:cs="Calibri"/>
          <w:sz w:val="22"/>
          <w:szCs w:val="22"/>
        </w:rPr>
        <w:t xml:space="preserve">fficer </w:t>
      </w:r>
      <w:r w:rsidR="005C11DA" w:rsidRPr="00B24FAE">
        <w:rPr>
          <w:rFonts w:ascii="Calibri" w:eastAsia="Times New Roman" w:hAnsi="Calibri" w:cs="Calibri"/>
          <w:sz w:val="22"/>
          <w:szCs w:val="22"/>
        </w:rPr>
        <w:t xml:space="preserve">has trained a new editor on the editorial process while a member of the Internal Communications Team </w:t>
      </w:r>
      <w:r w:rsidR="003C387B">
        <w:rPr>
          <w:rFonts w:ascii="Calibri" w:eastAsia="Times New Roman" w:hAnsi="Calibri" w:cs="Calibri"/>
          <w:sz w:val="22"/>
          <w:szCs w:val="22"/>
        </w:rPr>
        <w:t xml:space="preserve">of the Writing Division </w:t>
      </w:r>
      <w:r w:rsidR="005C11DA" w:rsidRPr="00B24FAE">
        <w:rPr>
          <w:rFonts w:ascii="Calibri" w:eastAsia="Times New Roman" w:hAnsi="Calibri" w:cs="Calibri"/>
          <w:sz w:val="22"/>
          <w:szCs w:val="22"/>
        </w:rPr>
        <w:t>and the Writing Division director have worked to assist another Internal Comm</w:t>
      </w:r>
      <w:r w:rsidR="00BE37D6">
        <w:rPr>
          <w:rFonts w:ascii="Calibri" w:eastAsia="Times New Roman" w:hAnsi="Calibri" w:cs="Calibri"/>
          <w:sz w:val="22"/>
          <w:szCs w:val="22"/>
        </w:rPr>
        <w:t>unications s</w:t>
      </w:r>
      <w:r w:rsidR="005C11DA" w:rsidRPr="00B24FAE">
        <w:rPr>
          <w:rFonts w:ascii="Calibri" w:eastAsia="Times New Roman" w:hAnsi="Calibri" w:cs="Calibri"/>
          <w:sz w:val="22"/>
          <w:szCs w:val="22"/>
        </w:rPr>
        <w:t xml:space="preserve">taff person </w:t>
      </w:r>
      <w:r w:rsidR="003C387B">
        <w:rPr>
          <w:rFonts w:ascii="Calibri" w:eastAsia="Times New Roman" w:hAnsi="Calibri" w:cs="Calibri"/>
          <w:sz w:val="22"/>
          <w:szCs w:val="22"/>
        </w:rPr>
        <w:t xml:space="preserve">in </w:t>
      </w:r>
      <w:r w:rsidR="005C11DA" w:rsidRPr="00820908">
        <w:rPr>
          <w:rFonts w:ascii="Calibri" w:eastAsia="Times New Roman" w:hAnsi="Calibri" w:cs="Calibri"/>
          <w:sz w:val="22"/>
          <w:szCs w:val="22"/>
        </w:rPr>
        <w:t>improv</w:t>
      </w:r>
      <w:r w:rsidR="003C387B">
        <w:rPr>
          <w:rFonts w:ascii="Calibri" w:eastAsia="Times New Roman" w:hAnsi="Calibri" w:cs="Calibri"/>
          <w:sz w:val="22"/>
          <w:szCs w:val="22"/>
        </w:rPr>
        <w:t>ing</w:t>
      </w:r>
      <w:r w:rsidR="005C11DA" w:rsidRPr="00820908">
        <w:rPr>
          <w:rFonts w:ascii="Calibri" w:eastAsia="Times New Roman" w:hAnsi="Calibri" w:cs="Calibri"/>
          <w:sz w:val="22"/>
          <w:szCs w:val="22"/>
        </w:rPr>
        <w:t xml:space="preserve"> writing skills for the </w:t>
      </w:r>
      <w:r w:rsidR="005C11DA" w:rsidRPr="00B24FAE">
        <w:rPr>
          <w:rFonts w:ascii="Calibri" w:eastAsia="Times New Roman" w:hAnsi="Calibri" w:cs="Calibri"/>
          <w:sz w:val="22"/>
          <w:szCs w:val="22"/>
        </w:rPr>
        <w:t xml:space="preserve">Department’s </w:t>
      </w:r>
      <w:r w:rsidR="005C11DA" w:rsidRPr="00820908">
        <w:rPr>
          <w:rFonts w:ascii="Calibri" w:eastAsia="Times New Roman" w:hAnsi="Calibri" w:cs="Calibri"/>
          <w:sz w:val="22"/>
          <w:szCs w:val="22"/>
        </w:rPr>
        <w:t xml:space="preserve">Inside ED </w:t>
      </w:r>
      <w:r w:rsidR="004E6F8D">
        <w:rPr>
          <w:rFonts w:ascii="Calibri" w:eastAsia="Times New Roman" w:hAnsi="Calibri" w:cs="Calibri"/>
          <w:sz w:val="22"/>
          <w:szCs w:val="22"/>
        </w:rPr>
        <w:t>News B</w:t>
      </w:r>
      <w:r w:rsidR="005C11DA" w:rsidRPr="00820908">
        <w:rPr>
          <w:rFonts w:ascii="Calibri" w:eastAsia="Times New Roman" w:hAnsi="Calibri" w:cs="Calibri"/>
          <w:sz w:val="22"/>
          <w:szCs w:val="22"/>
        </w:rPr>
        <w:t xml:space="preserve">log and other tasks.  </w:t>
      </w:r>
    </w:p>
    <w:p w14:paraId="20D53434" w14:textId="77777777" w:rsidR="0081644C" w:rsidRDefault="0081644C" w:rsidP="0081644C">
      <w:pPr>
        <w:rPr>
          <w:rFonts w:ascii="Calibri" w:eastAsia="Times New Roman" w:hAnsi="Calibri" w:cs="Calibri"/>
          <w:sz w:val="22"/>
          <w:szCs w:val="22"/>
        </w:rPr>
      </w:pPr>
    </w:p>
    <w:p w14:paraId="073BB5EE" w14:textId="1D620CF4" w:rsidR="005C11DA" w:rsidRDefault="0081644C" w:rsidP="0081644C">
      <w:pPr>
        <w:rPr>
          <w:rFonts w:ascii="Calibri" w:eastAsia="Times New Roman" w:hAnsi="Calibri" w:cs="Calibri"/>
          <w:sz w:val="22"/>
          <w:szCs w:val="22"/>
        </w:rPr>
      </w:pPr>
      <w:r>
        <w:rPr>
          <w:rFonts w:ascii="Calibri" w:eastAsia="Times New Roman" w:hAnsi="Calibri" w:cs="Calibri"/>
          <w:sz w:val="22"/>
          <w:szCs w:val="22"/>
        </w:rPr>
        <w:t xml:space="preserve">Additionally, there is </w:t>
      </w:r>
      <w:r w:rsidR="005C11DA" w:rsidRPr="00820908">
        <w:rPr>
          <w:rFonts w:ascii="Calibri" w:eastAsia="Times New Roman" w:hAnsi="Calibri" w:cs="Calibri"/>
          <w:sz w:val="22"/>
          <w:szCs w:val="22"/>
        </w:rPr>
        <w:t xml:space="preserve">ongoing coordination </w:t>
      </w:r>
      <w:r w:rsidR="00345C72">
        <w:rPr>
          <w:rFonts w:ascii="Calibri" w:eastAsia="Times New Roman" w:hAnsi="Calibri" w:cs="Calibri"/>
          <w:sz w:val="22"/>
          <w:szCs w:val="22"/>
        </w:rPr>
        <w:t xml:space="preserve">between the Writing Division and </w:t>
      </w:r>
      <w:r w:rsidR="00CB1FD1">
        <w:rPr>
          <w:rFonts w:ascii="Calibri" w:eastAsia="Times New Roman" w:hAnsi="Calibri" w:cs="Calibri"/>
          <w:sz w:val="22"/>
          <w:szCs w:val="22"/>
        </w:rPr>
        <w:t>the National Engagement Division</w:t>
      </w:r>
      <w:r w:rsidR="008A05BF">
        <w:rPr>
          <w:rFonts w:ascii="Calibri" w:eastAsia="Times New Roman" w:hAnsi="Calibri" w:cs="Calibri"/>
          <w:sz w:val="22"/>
          <w:szCs w:val="22"/>
        </w:rPr>
        <w:t xml:space="preserve"> (NED)</w:t>
      </w:r>
      <w:r w:rsidR="00DE1F54">
        <w:rPr>
          <w:rFonts w:ascii="Calibri" w:eastAsia="Times New Roman" w:hAnsi="Calibri" w:cs="Calibri"/>
          <w:sz w:val="22"/>
          <w:szCs w:val="22"/>
        </w:rPr>
        <w:t>, w</w:t>
      </w:r>
      <w:r w:rsidR="006B6267">
        <w:rPr>
          <w:rFonts w:ascii="Calibri" w:eastAsia="Times New Roman" w:hAnsi="Calibri" w:cs="Calibri"/>
          <w:sz w:val="22"/>
          <w:szCs w:val="22"/>
        </w:rPr>
        <w:t>hich</w:t>
      </w:r>
      <w:r w:rsidR="00DE1F54">
        <w:rPr>
          <w:rFonts w:ascii="Calibri" w:eastAsia="Times New Roman" w:hAnsi="Calibri" w:cs="Calibri"/>
          <w:sz w:val="22"/>
          <w:szCs w:val="22"/>
        </w:rPr>
        <w:t xml:space="preserve">, in addition to </w:t>
      </w:r>
      <w:r w:rsidR="0078648A">
        <w:rPr>
          <w:rFonts w:ascii="Calibri" w:eastAsia="Times New Roman" w:hAnsi="Calibri" w:cs="Calibri"/>
          <w:sz w:val="22"/>
          <w:szCs w:val="22"/>
        </w:rPr>
        <w:t xml:space="preserve">several </w:t>
      </w:r>
      <w:r w:rsidR="000B2176">
        <w:rPr>
          <w:rFonts w:ascii="Calibri" w:eastAsia="Times New Roman" w:hAnsi="Calibri" w:cs="Calibri"/>
          <w:sz w:val="22"/>
          <w:szCs w:val="22"/>
        </w:rPr>
        <w:t xml:space="preserve">of its own </w:t>
      </w:r>
      <w:r w:rsidR="0078648A">
        <w:rPr>
          <w:rFonts w:ascii="Calibri" w:eastAsia="Times New Roman" w:hAnsi="Calibri" w:cs="Calibri"/>
          <w:sz w:val="22"/>
          <w:szCs w:val="22"/>
        </w:rPr>
        <w:t xml:space="preserve">outreach newsletters, </w:t>
      </w:r>
      <w:r w:rsidR="00DE1F54">
        <w:rPr>
          <w:rFonts w:ascii="Calibri" w:eastAsia="Times New Roman" w:hAnsi="Calibri" w:cs="Calibri"/>
          <w:sz w:val="22"/>
          <w:szCs w:val="22"/>
        </w:rPr>
        <w:t xml:space="preserve">facilitates </w:t>
      </w:r>
      <w:r w:rsidR="00E9082A">
        <w:rPr>
          <w:rFonts w:ascii="Calibri" w:eastAsia="Times New Roman" w:hAnsi="Calibri" w:cs="Calibri"/>
          <w:sz w:val="22"/>
          <w:szCs w:val="22"/>
        </w:rPr>
        <w:t xml:space="preserve">the development of </w:t>
      </w:r>
      <w:r w:rsidR="002D6821">
        <w:rPr>
          <w:rFonts w:ascii="Calibri" w:eastAsia="Times New Roman" w:hAnsi="Calibri" w:cs="Calibri"/>
          <w:sz w:val="22"/>
          <w:szCs w:val="22"/>
        </w:rPr>
        <w:t>White House Initiative</w:t>
      </w:r>
      <w:r w:rsidR="0078648A">
        <w:rPr>
          <w:rFonts w:ascii="Calibri" w:eastAsia="Times New Roman" w:hAnsi="Calibri" w:cs="Calibri"/>
          <w:sz w:val="22"/>
          <w:szCs w:val="22"/>
        </w:rPr>
        <w:t xml:space="preserve"> newsletters.</w:t>
      </w:r>
      <w:r w:rsidR="00E9082A">
        <w:rPr>
          <w:rFonts w:ascii="Calibri" w:eastAsia="Times New Roman" w:hAnsi="Calibri" w:cs="Calibri"/>
          <w:sz w:val="22"/>
          <w:szCs w:val="22"/>
        </w:rPr>
        <w:t xml:space="preserve"> </w:t>
      </w:r>
      <w:r w:rsidR="00B6359D">
        <w:rPr>
          <w:rFonts w:ascii="Calibri" w:eastAsia="Times New Roman" w:hAnsi="Calibri" w:cs="Calibri"/>
          <w:sz w:val="22"/>
          <w:szCs w:val="22"/>
        </w:rPr>
        <w:t>T</w:t>
      </w:r>
      <w:r w:rsidR="005C11DA" w:rsidRPr="00820908">
        <w:rPr>
          <w:rFonts w:ascii="Calibri" w:eastAsia="Times New Roman" w:hAnsi="Calibri" w:cs="Calibri"/>
          <w:sz w:val="22"/>
          <w:szCs w:val="22"/>
        </w:rPr>
        <w:t>he</w:t>
      </w:r>
      <w:r w:rsidR="00B6359D">
        <w:rPr>
          <w:rFonts w:ascii="Calibri" w:eastAsia="Times New Roman" w:hAnsi="Calibri" w:cs="Calibri"/>
          <w:sz w:val="22"/>
          <w:szCs w:val="22"/>
        </w:rPr>
        <w:t>re is continual two-way s</w:t>
      </w:r>
      <w:r w:rsidR="005C11DA" w:rsidRPr="00820908">
        <w:rPr>
          <w:rFonts w:ascii="Calibri" w:eastAsia="Times New Roman" w:hAnsi="Calibri" w:cs="Calibri"/>
          <w:sz w:val="22"/>
          <w:szCs w:val="22"/>
        </w:rPr>
        <w:t xml:space="preserve">haring of information between the divisions, </w:t>
      </w:r>
      <w:r w:rsidR="00B6359D">
        <w:rPr>
          <w:rFonts w:ascii="Calibri" w:eastAsia="Times New Roman" w:hAnsi="Calibri" w:cs="Calibri"/>
          <w:sz w:val="22"/>
          <w:szCs w:val="22"/>
        </w:rPr>
        <w:t xml:space="preserve">creating a </w:t>
      </w:r>
      <w:r w:rsidR="005C11DA" w:rsidRPr="00820908">
        <w:rPr>
          <w:rFonts w:ascii="Calibri" w:eastAsia="Times New Roman" w:hAnsi="Calibri" w:cs="Calibri"/>
          <w:sz w:val="22"/>
          <w:szCs w:val="22"/>
        </w:rPr>
        <w:t xml:space="preserve">structured channel for regular </w:t>
      </w:r>
      <w:r w:rsidR="005F0124">
        <w:rPr>
          <w:rFonts w:ascii="Calibri" w:eastAsia="Times New Roman" w:hAnsi="Calibri" w:cs="Calibri"/>
          <w:sz w:val="22"/>
          <w:szCs w:val="22"/>
        </w:rPr>
        <w:t xml:space="preserve">discussions </w:t>
      </w:r>
      <w:r w:rsidR="005C11DA" w:rsidRPr="00820908">
        <w:rPr>
          <w:rFonts w:ascii="Calibri" w:eastAsia="Times New Roman" w:hAnsi="Calibri" w:cs="Calibri"/>
          <w:sz w:val="22"/>
          <w:szCs w:val="22"/>
        </w:rPr>
        <w:t>in effective communications and plain writing</w:t>
      </w:r>
      <w:r w:rsidR="00E90DE0">
        <w:rPr>
          <w:rFonts w:ascii="Calibri" w:eastAsia="Times New Roman" w:hAnsi="Calibri" w:cs="Calibri"/>
          <w:sz w:val="22"/>
          <w:szCs w:val="22"/>
        </w:rPr>
        <w:t xml:space="preserve"> as </w:t>
      </w:r>
      <w:r w:rsidR="00DB3F2A">
        <w:rPr>
          <w:rFonts w:ascii="Calibri" w:eastAsia="Times New Roman" w:hAnsi="Calibri" w:cs="Calibri"/>
          <w:sz w:val="22"/>
          <w:szCs w:val="22"/>
        </w:rPr>
        <w:t xml:space="preserve">a means of </w:t>
      </w:r>
      <w:r w:rsidR="00E90DE0">
        <w:rPr>
          <w:rFonts w:ascii="Calibri" w:eastAsia="Times New Roman" w:hAnsi="Calibri" w:cs="Calibri"/>
          <w:sz w:val="22"/>
          <w:szCs w:val="22"/>
        </w:rPr>
        <w:t xml:space="preserve">informal </w:t>
      </w:r>
      <w:r w:rsidR="00614C01">
        <w:rPr>
          <w:rFonts w:ascii="Calibri" w:eastAsia="Times New Roman" w:hAnsi="Calibri" w:cs="Calibri"/>
          <w:sz w:val="22"/>
          <w:szCs w:val="22"/>
        </w:rPr>
        <w:t xml:space="preserve">one-on-one </w:t>
      </w:r>
      <w:r w:rsidR="00E90DE0">
        <w:rPr>
          <w:rFonts w:ascii="Calibri" w:eastAsia="Times New Roman" w:hAnsi="Calibri" w:cs="Calibri"/>
          <w:sz w:val="22"/>
          <w:szCs w:val="22"/>
        </w:rPr>
        <w:t>development</w:t>
      </w:r>
      <w:r w:rsidR="003D27B7">
        <w:rPr>
          <w:rFonts w:ascii="Calibri" w:eastAsia="Times New Roman" w:hAnsi="Calibri" w:cs="Calibri"/>
          <w:sz w:val="22"/>
          <w:szCs w:val="22"/>
        </w:rPr>
        <w:t xml:space="preserve"> to ensure writers are cognizant of </w:t>
      </w:r>
      <w:r w:rsidR="00BC534C">
        <w:rPr>
          <w:rFonts w:ascii="Calibri" w:eastAsia="Times New Roman" w:hAnsi="Calibri" w:cs="Calibri"/>
          <w:sz w:val="22"/>
          <w:szCs w:val="22"/>
        </w:rPr>
        <w:t>plain writing requirements</w:t>
      </w:r>
      <w:r w:rsidR="006379BF">
        <w:rPr>
          <w:rFonts w:ascii="Calibri" w:eastAsia="Times New Roman" w:hAnsi="Calibri" w:cs="Calibri"/>
          <w:sz w:val="22"/>
          <w:szCs w:val="22"/>
        </w:rPr>
        <w:t xml:space="preserve"> </w:t>
      </w:r>
    </w:p>
    <w:p w14:paraId="4EED3089" w14:textId="7C6BD1E8" w:rsidR="0081644C" w:rsidRDefault="0081644C" w:rsidP="0081644C">
      <w:pPr>
        <w:rPr>
          <w:rFonts w:ascii="Calibri" w:eastAsia="Times New Roman" w:hAnsi="Calibri" w:cs="Calibri"/>
          <w:sz w:val="22"/>
          <w:szCs w:val="22"/>
        </w:rPr>
      </w:pPr>
    </w:p>
    <w:p w14:paraId="412B1350" w14:textId="247C9DD1" w:rsidR="00421012" w:rsidRPr="0028356A" w:rsidRDefault="00421012" w:rsidP="00421012">
      <w:pPr>
        <w:pStyle w:val="NoSpacing"/>
        <w:jc w:val="center"/>
        <w:rPr>
          <w:b/>
          <w:bCs/>
          <w:sz w:val="24"/>
          <w:szCs w:val="24"/>
        </w:rPr>
      </w:pPr>
      <w:r>
        <w:rPr>
          <w:b/>
          <w:bCs/>
          <w:sz w:val="24"/>
          <w:szCs w:val="24"/>
        </w:rPr>
        <w:t>Train</w:t>
      </w:r>
      <w:r w:rsidR="00E9082A">
        <w:rPr>
          <w:b/>
          <w:bCs/>
          <w:sz w:val="24"/>
          <w:szCs w:val="24"/>
        </w:rPr>
        <w:t>ing</w:t>
      </w:r>
      <w:r>
        <w:rPr>
          <w:b/>
          <w:bCs/>
          <w:sz w:val="24"/>
          <w:szCs w:val="24"/>
        </w:rPr>
        <w:t xml:space="preserve"> Employees in Plain Writing: Formal </w:t>
      </w:r>
      <w:r w:rsidRPr="0028356A">
        <w:rPr>
          <w:b/>
          <w:bCs/>
          <w:sz w:val="24"/>
          <w:szCs w:val="24"/>
        </w:rPr>
        <w:t>Professional Development</w:t>
      </w:r>
    </w:p>
    <w:p w14:paraId="2C90BE0E" w14:textId="77777777" w:rsidR="00421012" w:rsidRDefault="00421012" w:rsidP="00421012">
      <w:pPr>
        <w:pStyle w:val="NoSpacing"/>
      </w:pPr>
    </w:p>
    <w:p w14:paraId="47D7D855" w14:textId="3DDA3248" w:rsidR="00421012" w:rsidRPr="00A67D16" w:rsidRDefault="00127301" w:rsidP="00A67D16">
      <w:pPr>
        <w:rPr>
          <w:rFonts w:asciiTheme="minorHAnsi" w:hAnsiTheme="minorHAnsi" w:cstheme="minorHAnsi"/>
          <w:b/>
          <w:bCs/>
          <w:sz w:val="22"/>
          <w:szCs w:val="22"/>
        </w:rPr>
      </w:pPr>
      <w:r w:rsidRPr="00A67D16">
        <w:rPr>
          <w:rFonts w:asciiTheme="minorHAnsi" w:eastAsia="Times New Roman" w:hAnsiTheme="minorHAnsi" w:cstheme="minorHAnsi"/>
          <w:sz w:val="22"/>
          <w:szCs w:val="22"/>
        </w:rPr>
        <w:t xml:space="preserve">More formal employee development </w:t>
      </w:r>
      <w:r w:rsidR="005405CF">
        <w:rPr>
          <w:rFonts w:asciiTheme="minorHAnsi" w:eastAsia="Times New Roman" w:hAnsiTheme="minorHAnsi" w:cstheme="minorHAnsi"/>
          <w:sz w:val="22"/>
          <w:szCs w:val="22"/>
        </w:rPr>
        <w:t>wa</w:t>
      </w:r>
      <w:r w:rsidRPr="00A67D16">
        <w:rPr>
          <w:rFonts w:asciiTheme="minorHAnsi" w:eastAsia="Times New Roman" w:hAnsiTheme="minorHAnsi" w:cstheme="minorHAnsi"/>
          <w:sz w:val="22"/>
          <w:szCs w:val="22"/>
        </w:rPr>
        <w:t>s also undertaken</w:t>
      </w:r>
      <w:r w:rsidR="00A67D16">
        <w:rPr>
          <w:rFonts w:asciiTheme="minorHAnsi" w:eastAsia="Times New Roman" w:hAnsiTheme="minorHAnsi" w:cstheme="minorHAnsi"/>
          <w:sz w:val="22"/>
          <w:szCs w:val="22"/>
        </w:rPr>
        <w:t xml:space="preserve">; </w:t>
      </w:r>
      <w:r w:rsidR="00A67D16" w:rsidRPr="00A67D16">
        <w:rPr>
          <w:rFonts w:asciiTheme="minorHAnsi" w:eastAsia="Times New Roman" w:hAnsiTheme="minorHAnsi" w:cstheme="minorHAnsi"/>
          <w:sz w:val="22"/>
          <w:szCs w:val="22"/>
        </w:rPr>
        <w:t>p</w:t>
      </w:r>
      <w:r w:rsidR="00421012" w:rsidRPr="00A67D16">
        <w:rPr>
          <w:rFonts w:asciiTheme="minorHAnsi" w:hAnsiTheme="minorHAnsi" w:cstheme="minorHAnsi"/>
          <w:sz w:val="22"/>
          <w:szCs w:val="22"/>
        </w:rPr>
        <w:t xml:space="preserve">rofessional development activities for FY 20 included: </w:t>
      </w:r>
    </w:p>
    <w:p w14:paraId="3E930607" w14:textId="5597A00A" w:rsidR="00421012" w:rsidRPr="004D1295" w:rsidRDefault="00421012" w:rsidP="00421012">
      <w:pPr>
        <w:pStyle w:val="NormalWeb"/>
        <w:numPr>
          <w:ilvl w:val="0"/>
          <w:numId w:val="3"/>
        </w:numPr>
        <w:rPr>
          <w:rFonts w:asciiTheme="minorHAnsi" w:eastAsia="Calibri" w:hAnsiTheme="minorHAnsi" w:cstheme="minorHAnsi"/>
          <w:sz w:val="22"/>
          <w:szCs w:val="22"/>
        </w:rPr>
      </w:pPr>
      <w:r w:rsidRPr="00A67D16">
        <w:rPr>
          <w:rFonts w:asciiTheme="minorHAnsi" w:eastAsia="Times New Roman" w:hAnsiTheme="minorHAnsi" w:cstheme="minorHAnsi"/>
          <w:sz w:val="22"/>
          <w:szCs w:val="22"/>
        </w:rPr>
        <w:t xml:space="preserve">OCO staff, including editors and press team members, attended two Writing Improvement workshops in FY </w:t>
      </w:r>
      <w:r w:rsidR="00DA5009">
        <w:rPr>
          <w:rFonts w:asciiTheme="minorHAnsi" w:eastAsia="Times New Roman" w:hAnsiTheme="minorHAnsi" w:cstheme="minorHAnsi"/>
          <w:sz w:val="22"/>
          <w:szCs w:val="22"/>
        </w:rPr>
        <w:t>1</w:t>
      </w:r>
      <w:r w:rsidRPr="00A67D16">
        <w:rPr>
          <w:rFonts w:asciiTheme="minorHAnsi" w:eastAsia="Times New Roman" w:hAnsiTheme="minorHAnsi" w:cstheme="minorHAnsi"/>
          <w:sz w:val="22"/>
          <w:szCs w:val="22"/>
        </w:rPr>
        <w:t>9, with writer</w:t>
      </w:r>
      <w:r>
        <w:rPr>
          <w:rFonts w:ascii="Calibri" w:eastAsia="Times New Roman" w:hAnsi="Calibri" w:cs="Calibri"/>
          <w:sz w:val="22"/>
          <w:szCs w:val="22"/>
        </w:rPr>
        <w:t xml:space="preserve"> and blogger Eric Deckers, on topics that included id</w:t>
      </w:r>
      <w:r>
        <w:rPr>
          <w:rFonts w:asciiTheme="minorHAnsi" w:eastAsia="Calibri" w:hAnsiTheme="minorHAnsi" w:cstheme="minorHAnsi"/>
          <w:sz w:val="22"/>
          <w:szCs w:val="22"/>
        </w:rPr>
        <w:t>entifying audiences, messaging, and storytelling.</w:t>
      </w:r>
      <w:r w:rsidR="00E9082A">
        <w:rPr>
          <w:rFonts w:ascii="Calibri" w:eastAsia="Times New Roman" w:hAnsi="Calibri" w:cs="Calibri"/>
          <w:sz w:val="22"/>
          <w:szCs w:val="22"/>
        </w:rPr>
        <w:t xml:space="preserve"> </w:t>
      </w:r>
      <w:r w:rsidRPr="004D1295">
        <w:rPr>
          <w:rFonts w:ascii="Calibri" w:eastAsia="Times New Roman" w:hAnsi="Calibri" w:cs="Calibri"/>
          <w:sz w:val="22"/>
          <w:szCs w:val="22"/>
        </w:rPr>
        <w:t xml:space="preserve">Slides from both trainings and notes were posted on OCO’s internal SharePoint site, </w:t>
      </w:r>
      <w:r w:rsidR="008A05BF">
        <w:rPr>
          <w:rFonts w:ascii="Calibri" w:eastAsia="Times New Roman" w:hAnsi="Calibri" w:cs="Calibri"/>
          <w:sz w:val="22"/>
          <w:szCs w:val="22"/>
        </w:rPr>
        <w:t xml:space="preserve">and </w:t>
      </w:r>
      <w:r w:rsidRPr="004D1295">
        <w:rPr>
          <w:rFonts w:ascii="Calibri" w:eastAsia="Times New Roman" w:hAnsi="Calibri" w:cs="Calibri"/>
          <w:sz w:val="22"/>
          <w:szCs w:val="22"/>
        </w:rPr>
        <w:t xml:space="preserve">shared with all OCO staff in October 2019. </w:t>
      </w:r>
      <w:r w:rsidR="00E9082A">
        <w:rPr>
          <w:rFonts w:ascii="Calibri" w:eastAsia="Times New Roman" w:hAnsi="Calibri" w:cs="Calibri"/>
          <w:sz w:val="22"/>
          <w:szCs w:val="22"/>
        </w:rPr>
        <w:t xml:space="preserve"> </w:t>
      </w:r>
      <w:r>
        <w:rPr>
          <w:rFonts w:ascii="Calibri" w:eastAsia="Times New Roman" w:hAnsi="Calibri" w:cs="Calibri"/>
          <w:sz w:val="22"/>
          <w:szCs w:val="22"/>
        </w:rPr>
        <w:t>OCO’s</w:t>
      </w:r>
      <w:r w:rsidRPr="004D1295">
        <w:rPr>
          <w:rFonts w:ascii="Calibri" w:eastAsia="Times New Roman" w:hAnsi="Calibri" w:cs="Calibri"/>
          <w:sz w:val="22"/>
          <w:szCs w:val="22"/>
        </w:rPr>
        <w:t xml:space="preserve"> </w:t>
      </w:r>
      <w:r w:rsidR="008A05BF">
        <w:rPr>
          <w:rFonts w:ascii="Calibri" w:eastAsia="Times New Roman" w:hAnsi="Calibri" w:cs="Calibri"/>
          <w:sz w:val="22"/>
          <w:szCs w:val="22"/>
        </w:rPr>
        <w:t>NED</w:t>
      </w:r>
      <w:r>
        <w:rPr>
          <w:rFonts w:ascii="Calibri" w:eastAsia="Times New Roman" w:hAnsi="Calibri" w:cs="Calibri"/>
          <w:sz w:val="22"/>
          <w:szCs w:val="22"/>
        </w:rPr>
        <w:t>, which issues the majority of OCO newsletters,</w:t>
      </w:r>
      <w:r w:rsidRPr="004D1295">
        <w:rPr>
          <w:rFonts w:ascii="Calibri" w:eastAsia="Times New Roman" w:hAnsi="Calibri" w:cs="Calibri"/>
          <w:sz w:val="22"/>
          <w:szCs w:val="22"/>
        </w:rPr>
        <w:t xml:space="preserve"> also had structured follow-up exercises in October</w:t>
      </w:r>
      <w:r>
        <w:rPr>
          <w:rFonts w:ascii="Calibri" w:eastAsia="Times New Roman" w:hAnsi="Calibri" w:cs="Calibri"/>
          <w:sz w:val="22"/>
          <w:szCs w:val="22"/>
        </w:rPr>
        <w:t xml:space="preserve"> and </w:t>
      </w:r>
      <w:r w:rsidRPr="004D1295">
        <w:rPr>
          <w:rFonts w:ascii="Calibri" w:eastAsia="Times New Roman" w:hAnsi="Calibri" w:cs="Calibri"/>
          <w:sz w:val="22"/>
          <w:szCs w:val="22"/>
        </w:rPr>
        <w:t>November, based on Deckers’ guidelines.</w:t>
      </w:r>
    </w:p>
    <w:p w14:paraId="295B0985" w14:textId="600FC526" w:rsidR="00421012" w:rsidRPr="00820908" w:rsidRDefault="00421012" w:rsidP="00421012">
      <w:pPr>
        <w:numPr>
          <w:ilvl w:val="0"/>
          <w:numId w:val="1"/>
        </w:numPr>
        <w:rPr>
          <w:rFonts w:ascii="Calibri" w:eastAsia="Times New Roman" w:hAnsi="Calibri" w:cs="Calibri"/>
          <w:i/>
          <w:iCs/>
          <w:sz w:val="22"/>
          <w:szCs w:val="22"/>
        </w:rPr>
      </w:pPr>
      <w:r>
        <w:rPr>
          <w:rFonts w:ascii="Calibri" w:eastAsia="Times New Roman" w:hAnsi="Calibri" w:cs="Calibri"/>
          <w:sz w:val="22"/>
          <w:szCs w:val="22"/>
        </w:rPr>
        <w:t>Plain Language Officer Kate Devine</w:t>
      </w:r>
      <w:r w:rsidR="00AC0782">
        <w:rPr>
          <w:rFonts w:ascii="Calibri" w:eastAsia="Times New Roman" w:hAnsi="Calibri" w:cs="Calibri"/>
          <w:sz w:val="22"/>
          <w:szCs w:val="22"/>
        </w:rPr>
        <w:t>, of the Writing Division,</w:t>
      </w:r>
      <w:r>
        <w:rPr>
          <w:rFonts w:ascii="Calibri" w:eastAsia="Times New Roman" w:hAnsi="Calibri" w:cs="Calibri"/>
          <w:sz w:val="22"/>
          <w:szCs w:val="22"/>
        </w:rPr>
        <w:t xml:space="preserve"> attended a two-hour </w:t>
      </w:r>
      <w:r w:rsidRPr="00820908">
        <w:rPr>
          <w:rFonts w:ascii="Calibri" w:eastAsia="Times New Roman" w:hAnsi="Calibri" w:cs="Calibri"/>
          <w:sz w:val="22"/>
          <w:szCs w:val="22"/>
        </w:rPr>
        <w:t xml:space="preserve">Brand </w:t>
      </w:r>
      <w:r>
        <w:rPr>
          <w:rFonts w:ascii="Calibri" w:eastAsia="Times New Roman" w:hAnsi="Calibri" w:cs="Calibri"/>
          <w:sz w:val="22"/>
          <w:szCs w:val="22"/>
        </w:rPr>
        <w:t>S</w:t>
      </w:r>
      <w:r w:rsidRPr="00820908">
        <w:rPr>
          <w:rFonts w:ascii="Calibri" w:eastAsia="Times New Roman" w:hAnsi="Calibri" w:cs="Calibri"/>
          <w:sz w:val="22"/>
          <w:szCs w:val="22"/>
        </w:rPr>
        <w:t>torytelling webinar</w:t>
      </w:r>
      <w:r>
        <w:rPr>
          <w:rFonts w:ascii="Calibri" w:eastAsia="Times New Roman" w:hAnsi="Calibri" w:cs="Calibri"/>
          <w:sz w:val="22"/>
          <w:szCs w:val="22"/>
        </w:rPr>
        <w:t>, of Ragan Communications</w:t>
      </w:r>
      <w:r w:rsidR="00033FA0">
        <w:rPr>
          <w:rFonts w:ascii="Calibri" w:eastAsia="Times New Roman" w:hAnsi="Calibri" w:cs="Calibri"/>
          <w:sz w:val="22"/>
          <w:szCs w:val="22"/>
        </w:rPr>
        <w:t>,</w:t>
      </w:r>
      <w:r>
        <w:rPr>
          <w:rFonts w:ascii="Calibri" w:eastAsia="Times New Roman" w:hAnsi="Calibri" w:cs="Calibri"/>
          <w:sz w:val="22"/>
          <w:szCs w:val="22"/>
        </w:rPr>
        <w:t xml:space="preserve"> in December 2019. </w:t>
      </w:r>
    </w:p>
    <w:p w14:paraId="2488F807" w14:textId="58BEA275" w:rsidR="00421012" w:rsidRPr="0035483D" w:rsidRDefault="00421012" w:rsidP="00421012">
      <w:pPr>
        <w:numPr>
          <w:ilvl w:val="0"/>
          <w:numId w:val="1"/>
        </w:numPr>
        <w:rPr>
          <w:rFonts w:asciiTheme="minorHAnsi" w:eastAsia="Times New Roman" w:hAnsiTheme="minorHAnsi" w:cstheme="minorHAnsi"/>
          <w:sz w:val="22"/>
          <w:szCs w:val="22"/>
        </w:rPr>
      </w:pPr>
      <w:r w:rsidRPr="0035483D">
        <w:rPr>
          <w:rFonts w:asciiTheme="minorHAnsi" w:eastAsia="Times New Roman" w:hAnsiTheme="minorHAnsi" w:cstheme="minorHAnsi"/>
          <w:sz w:val="22"/>
          <w:szCs w:val="22"/>
        </w:rPr>
        <w:t>A speechwriter of the Writing Division</w:t>
      </w:r>
      <w:r w:rsidR="00E9082A">
        <w:rPr>
          <w:rFonts w:asciiTheme="minorHAnsi" w:eastAsia="Times New Roman" w:hAnsiTheme="minorHAnsi" w:cstheme="minorHAnsi"/>
          <w:sz w:val="22"/>
          <w:szCs w:val="22"/>
        </w:rPr>
        <w:t xml:space="preserve"> </w:t>
      </w:r>
      <w:r w:rsidRPr="0035483D">
        <w:rPr>
          <w:rFonts w:asciiTheme="minorHAnsi" w:eastAsia="Times New Roman" w:hAnsiTheme="minorHAnsi" w:cstheme="minorHAnsi"/>
          <w:sz w:val="22"/>
          <w:szCs w:val="22"/>
        </w:rPr>
        <w:t>attended two-day Speechwriting and Public Affairs Training, of Ragan Communications, in March 2020.</w:t>
      </w:r>
    </w:p>
    <w:p w14:paraId="359FEDAD" w14:textId="26B6D814" w:rsidR="00421012" w:rsidRPr="00FA2999" w:rsidRDefault="00421012" w:rsidP="00421012">
      <w:pPr>
        <w:numPr>
          <w:ilvl w:val="0"/>
          <w:numId w:val="1"/>
        </w:numPr>
        <w:rPr>
          <w:rFonts w:asciiTheme="minorHAnsi" w:eastAsia="Times New Roman" w:hAnsiTheme="minorHAnsi" w:cstheme="minorHAnsi"/>
          <w:sz w:val="22"/>
          <w:szCs w:val="22"/>
        </w:rPr>
      </w:pPr>
      <w:r w:rsidRPr="0035483D">
        <w:rPr>
          <w:rFonts w:asciiTheme="minorHAnsi" w:eastAsia="Times New Roman" w:hAnsiTheme="minorHAnsi" w:cstheme="minorHAnsi"/>
          <w:sz w:val="22"/>
          <w:szCs w:val="22"/>
        </w:rPr>
        <w:t>A</w:t>
      </w:r>
      <w:r>
        <w:rPr>
          <w:rFonts w:asciiTheme="minorHAnsi" w:eastAsia="Times New Roman" w:hAnsiTheme="minorHAnsi" w:cstheme="minorHAnsi"/>
          <w:sz w:val="22"/>
          <w:szCs w:val="22"/>
        </w:rPr>
        <w:t xml:space="preserve">n information </w:t>
      </w:r>
      <w:r w:rsidRPr="0035483D">
        <w:rPr>
          <w:rFonts w:asciiTheme="minorHAnsi" w:eastAsia="Times New Roman" w:hAnsiTheme="minorHAnsi" w:cstheme="minorHAnsi"/>
          <w:sz w:val="22"/>
          <w:szCs w:val="22"/>
        </w:rPr>
        <w:t xml:space="preserve">specialist, of </w:t>
      </w:r>
      <w:r>
        <w:rPr>
          <w:rFonts w:asciiTheme="minorHAnsi" w:eastAsia="Times New Roman" w:hAnsiTheme="minorHAnsi" w:cstheme="minorHAnsi"/>
          <w:sz w:val="22"/>
          <w:szCs w:val="22"/>
        </w:rPr>
        <w:t xml:space="preserve">the agency’s call center, OCO’s </w:t>
      </w:r>
      <w:r w:rsidRPr="00FA2999">
        <w:rPr>
          <w:rFonts w:asciiTheme="minorHAnsi" w:eastAsia="Times New Roman" w:hAnsiTheme="minorHAnsi" w:cstheme="minorHAnsi"/>
          <w:sz w:val="22"/>
          <w:szCs w:val="22"/>
        </w:rPr>
        <w:t>Information Resource Center</w:t>
      </w:r>
      <w:r w:rsidR="0029694D">
        <w:rPr>
          <w:rFonts w:asciiTheme="minorHAnsi" w:eastAsia="Times New Roman" w:hAnsiTheme="minorHAnsi" w:cstheme="minorHAnsi"/>
          <w:sz w:val="22"/>
          <w:szCs w:val="22"/>
        </w:rPr>
        <w:t xml:space="preserve"> (IRC)</w:t>
      </w:r>
      <w:r w:rsidRPr="00FA2999">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took training </w:t>
      </w:r>
      <w:r w:rsidRPr="00FA2999">
        <w:rPr>
          <w:rFonts w:asciiTheme="minorHAnsi" w:eastAsia="Calibri" w:hAnsiTheme="minorHAnsi" w:cstheme="minorHAnsi"/>
          <w:sz w:val="22"/>
          <w:szCs w:val="22"/>
        </w:rPr>
        <w:t xml:space="preserve">in </w:t>
      </w:r>
      <w:r>
        <w:rPr>
          <w:rFonts w:asciiTheme="minorHAnsi" w:eastAsia="Calibri" w:hAnsiTheme="minorHAnsi" w:cstheme="minorHAnsi"/>
          <w:sz w:val="22"/>
          <w:szCs w:val="22"/>
        </w:rPr>
        <w:t>plain language,</w:t>
      </w:r>
      <w:r w:rsidRPr="00FA2999">
        <w:rPr>
          <w:rFonts w:asciiTheme="minorHAnsi" w:eastAsia="Calibri" w:hAnsiTheme="minorHAnsi" w:cstheme="minorHAnsi"/>
          <w:sz w:val="22"/>
          <w:szCs w:val="22"/>
        </w:rPr>
        <w:t xml:space="preserve"> </w:t>
      </w:r>
      <w:r>
        <w:rPr>
          <w:rFonts w:asciiTheme="minorHAnsi" w:eastAsia="Calibri" w:hAnsiTheme="minorHAnsi" w:cstheme="minorHAnsi"/>
          <w:sz w:val="22"/>
          <w:szCs w:val="22"/>
        </w:rPr>
        <w:t xml:space="preserve">to help </w:t>
      </w:r>
      <w:r w:rsidRPr="00FA2999">
        <w:rPr>
          <w:rFonts w:asciiTheme="minorHAnsi" w:eastAsia="Calibri" w:hAnsiTheme="minorHAnsi" w:cstheme="minorHAnsi"/>
          <w:sz w:val="22"/>
          <w:szCs w:val="22"/>
        </w:rPr>
        <w:t>ensure response standards follow plain language guidelines.</w:t>
      </w:r>
    </w:p>
    <w:p w14:paraId="536DC41D" w14:textId="1E4EF5E0" w:rsidR="00421012" w:rsidRDefault="00421012" w:rsidP="00421012">
      <w:pPr>
        <w:numPr>
          <w:ilvl w:val="0"/>
          <w:numId w:val="1"/>
        </w:numPr>
        <w:rPr>
          <w:rFonts w:ascii="Calibri" w:eastAsia="Times New Roman" w:hAnsi="Calibri" w:cs="Calibri"/>
          <w:sz w:val="22"/>
          <w:szCs w:val="22"/>
        </w:rPr>
      </w:pPr>
      <w:r w:rsidRPr="003E501C">
        <w:rPr>
          <w:rFonts w:ascii="Calibri" w:eastAsia="Times New Roman" w:hAnsi="Calibri" w:cs="Calibri"/>
          <w:sz w:val="22"/>
          <w:szCs w:val="22"/>
        </w:rPr>
        <w:t xml:space="preserve">Kate Devine and another editor of the Writing Division attended a </w:t>
      </w:r>
      <w:r>
        <w:rPr>
          <w:rFonts w:ascii="Calibri" w:eastAsia="Times New Roman" w:hAnsi="Calibri" w:cs="Calibri"/>
          <w:sz w:val="22"/>
          <w:szCs w:val="22"/>
        </w:rPr>
        <w:t>on</w:t>
      </w:r>
      <w:r w:rsidR="00E9082A">
        <w:rPr>
          <w:rFonts w:ascii="Calibri" w:eastAsia="Times New Roman" w:hAnsi="Calibri" w:cs="Calibri"/>
          <w:sz w:val="22"/>
          <w:szCs w:val="22"/>
        </w:rPr>
        <w:t>e-</w:t>
      </w:r>
      <w:r>
        <w:rPr>
          <w:rFonts w:ascii="Calibri" w:eastAsia="Times New Roman" w:hAnsi="Calibri" w:cs="Calibri"/>
          <w:sz w:val="22"/>
          <w:szCs w:val="22"/>
        </w:rPr>
        <w:t>and</w:t>
      </w:r>
      <w:r w:rsidR="00E9082A">
        <w:rPr>
          <w:rFonts w:ascii="Calibri" w:eastAsia="Times New Roman" w:hAnsi="Calibri" w:cs="Calibri"/>
          <w:sz w:val="22"/>
          <w:szCs w:val="22"/>
        </w:rPr>
        <w:t>-a-</w:t>
      </w:r>
      <w:r>
        <w:rPr>
          <w:rFonts w:ascii="Calibri" w:eastAsia="Times New Roman" w:hAnsi="Calibri" w:cs="Calibri"/>
          <w:sz w:val="22"/>
          <w:szCs w:val="22"/>
        </w:rPr>
        <w:t>half-</w:t>
      </w:r>
      <w:r w:rsidRPr="003E501C">
        <w:rPr>
          <w:rFonts w:ascii="Calibri" w:eastAsia="Times New Roman" w:hAnsi="Calibri" w:cs="Calibri"/>
          <w:sz w:val="22"/>
          <w:szCs w:val="22"/>
        </w:rPr>
        <w:t xml:space="preserve">hour </w:t>
      </w:r>
      <w:r w:rsidRPr="00820908">
        <w:rPr>
          <w:rFonts w:ascii="Calibri" w:eastAsia="Times New Roman" w:hAnsi="Calibri" w:cs="Calibri"/>
          <w:sz w:val="22"/>
          <w:szCs w:val="22"/>
        </w:rPr>
        <w:t>Advanced AP Style</w:t>
      </w:r>
      <w:r w:rsidRPr="003E501C">
        <w:rPr>
          <w:rFonts w:ascii="Calibri" w:eastAsia="Times New Roman" w:hAnsi="Calibri" w:cs="Calibri"/>
          <w:sz w:val="22"/>
          <w:szCs w:val="22"/>
        </w:rPr>
        <w:t xml:space="preserve"> webinar, of Ragan Communications, in August 2020</w:t>
      </w:r>
      <w:r>
        <w:rPr>
          <w:rFonts w:ascii="Calibri" w:eastAsia="Times New Roman" w:hAnsi="Calibri" w:cs="Calibri"/>
          <w:sz w:val="22"/>
          <w:szCs w:val="22"/>
        </w:rPr>
        <w:t>, to provide consistent content presentation among products.</w:t>
      </w:r>
      <w:r w:rsidRPr="003E501C">
        <w:rPr>
          <w:rFonts w:ascii="Calibri" w:eastAsia="Times New Roman" w:hAnsi="Calibri" w:cs="Calibri"/>
          <w:sz w:val="22"/>
          <w:szCs w:val="22"/>
        </w:rPr>
        <w:t xml:space="preserve"> </w:t>
      </w:r>
    </w:p>
    <w:p w14:paraId="35096434" w14:textId="563B4B05" w:rsidR="00421012" w:rsidRPr="009017BD" w:rsidRDefault="00421012" w:rsidP="00421012">
      <w:pPr>
        <w:numPr>
          <w:ilvl w:val="0"/>
          <w:numId w:val="1"/>
        </w:numPr>
        <w:rPr>
          <w:rFonts w:ascii="Calibri" w:eastAsia="Times New Roman" w:hAnsi="Calibri" w:cs="Calibri"/>
          <w:sz w:val="22"/>
          <w:szCs w:val="22"/>
        </w:rPr>
      </w:pPr>
      <w:r w:rsidRPr="009017BD">
        <w:rPr>
          <w:rFonts w:ascii="Calibri" w:eastAsia="Times New Roman" w:hAnsi="Calibri" w:cs="Calibri"/>
          <w:sz w:val="22"/>
          <w:szCs w:val="22"/>
        </w:rPr>
        <w:t>Many OCO staff</w:t>
      </w:r>
      <w:r>
        <w:rPr>
          <w:rFonts w:ascii="Calibri" w:eastAsia="Times New Roman" w:hAnsi="Calibri" w:cs="Calibri"/>
          <w:sz w:val="22"/>
          <w:szCs w:val="22"/>
        </w:rPr>
        <w:t xml:space="preserve">, including writers and editors, </w:t>
      </w:r>
      <w:r w:rsidRPr="009017BD">
        <w:rPr>
          <w:rFonts w:ascii="Calibri" w:eastAsia="Times New Roman" w:hAnsi="Calibri" w:cs="Calibri"/>
          <w:sz w:val="22"/>
          <w:szCs w:val="22"/>
        </w:rPr>
        <w:t xml:space="preserve">attended a one-hour presentation </w:t>
      </w:r>
      <w:r w:rsidR="001211EF">
        <w:rPr>
          <w:rFonts w:ascii="Calibri" w:eastAsia="Times New Roman" w:hAnsi="Calibri" w:cs="Calibri"/>
          <w:sz w:val="22"/>
          <w:szCs w:val="22"/>
        </w:rPr>
        <w:t>on u</w:t>
      </w:r>
      <w:r w:rsidRPr="009017BD">
        <w:rPr>
          <w:rFonts w:ascii="Calibri" w:eastAsia="Times New Roman" w:hAnsi="Calibri" w:cs="Calibri"/>
          <w:sz w:val="22"/>
          <w:szCs w:val="22"/>
        </w:rPr>
        <w:t xml:space="preserve">sing </w:t>
      </w:r>
      <w:r w:rsidR="001211EF">
        <w:rPr>
          <w:rFonts w:ascii="Calibri" w:eastAsia="Times New Roman" w:hAnsi="Calibri" w:cs="Calibri"/>
          <w:sz w:val="22"/>
          <w:szCs w:val="22"/>
        </w:rPr>
        <w:t>s</w:t>
      </w:r>
      <w:r w:rsidRPr="009017BD">
        <w:rPr>
          <w:rFonts w:ascii="Calibri" w:eastAsia="Times New Roman" w:hAnsi="Calibri" w:cs="Calibri"/>
          <w:sz w:val="22"/>
          <w:szCs w:val="22"/>
        </w:rPr>
        <w:t xml:space="preserve">tock </w:t>
      </w:r>
      <w:r w:rsidR="001211EF">
        <w:rPr>
          <w:rFonts w:ascii="Calibri" w:eastAsia="Times New Roman" w:hAnsi="Calibri" w:cs="Calibri"/>
          <w:sz w:val="22"/>
          <w:szCs w:val="22"/>
        </w:rPr>
        <w:t>p</w:t>
      </w:r>
      <w:r w:rsidRPr="009017BD">
        <w:rPr>
          <w:rFonts w:ascii="Calibri" w:eastAsia="Times New Roman" w:hAnsi="Calibri" w:cs="Calibri"/>
          <w:sz w:val="22"/>
          <w:szCs w:val="22"/>
        </w:rPr>
        <w:t>hotograph</w:t>
      </w:r>
      <w:r w:rsidR="00E9082A">
        <w:rPr>
          <w:rFonts w:ascii="Calibri" w:eastAsia="Times New Roman" w:hAnsi="Calibri" w:cs="Calibri"/>
          <w:sz w:val="22"/>
          <w:szCs w:val="22"/>
        </w:rPr>
        <w:t>y</w:t>
      </w:r>
      <w:r w:rsidRPr="009017BD">
        <w:rPr>
          <w:rFonts w:ascii="Calibri" w:eastAsia="Times New Roman" w:hAnsi="Calibri" w:cs="Calibri"/>
          <w:sz w:val="22"/>
          <w:szCs w:val="22"/>
        </w:rPr>
        <w:t xml:space="preserve"> with OCO’s </w:t>
      </w:r>
      <w:r>
        <w:rPr>
          <w:rFonts w:ascii="Calibri" w:eastAsia="Times New Roman" w:hAnsi="Calibri" w:cs="Calibri"/>
          <w:sz w:val="22"/>
          <w:szCs w:val="22"/>
        </w:rPr>
        <w:t xml:space="preserve">Adobe </w:t>
      </w:r>
      <w:r w:rsidRPr="009017BD">
        <w:rPr>
          <w:rFonts w:ascii="Calibri" w:eastAsia="Times New Roman" w:hAnsi="Calibri" w:cs="Calibri"/>
          <w:sz w:val="22"/>
          <w:szCs w:val="22"/>
        </w:rPr>
        <w:t>Stock contracting officer representative</w:t>
      </w:r>
      <w:r>
        <w:rPr>
          <w:rFonts w:ascii="Calibri" w:eastAsia="Times New Roman" w:hAnsi="Calibri" w:cs="Calibri"/>
          <w:sz w:val="22"/>
          <w:szCs w:val="22"/>
        </w:rPr>
        <w:t xml:space="preserve">, in December 2019.  </w:t>
      </w:r>
    </w:p>
    <w:p w14:paraId="4455E64C" w14:textId="076F6B3E" w:rsidR="00421012" w:rsidRDefault="00421012" w:rsidP="00421012">
      <w:pPr>
        <w:ind w:left="720"/>
        <w:rPr>
          <w:rFonts w:ascii="Calibri" w:eastAsia="Times New Roman" w:hAnsi="Calibri" w:cs="Calibri"/>
          <w:sz w:val="22"/>
          <w:szCs w:val="22"/>
        </w:rPr>
      </w:pPr>
    </w:p>
    <w:p w14:paraId="3ECFEE50" w14:textId="35B71817" w:rsidR="00051244" w:rsidRDefault="00051244" w:rsidP="00E957B9">
      <w:pPr>
        <w:pStyle w:val="NoSpacing"/>
        <w:jc w:val="center"/>
        <w:rPr>
          <w:b/>
          <w:sz w:val="24"/>
          <w:szCs w:val="24"/>
        </w:rPr>
      </w:pPr>
      <w:r w:rsidRPr="002C669D">
        <w:rPr>
          <w:b/>
          <w:sz w:val="24"/>
          <w:szCs w:val="24"/>
        </w:rPr>
        <w:t xml:space="preserve">Compliance </w:t>
      </w:r>
      <w:r w:rsidR="00542277">
        <w:rPr>
          <w:b/>
          <w:sz w:val="24"/>
          <w:szCs w:val="24"/>
        </w:rPr>
        <w:t>Oversight</w:t>
      </w:r>
    </w:p>
    <w:p w14:paraId="70F32A39" w14:textId="77777777" w:rsidR="00646CB4" w:rsidRPr="00266AE9" w:rsidRDefault="00646CB4" w:rsidP="007A1163">
      <w:pPr>
        <w:pStyle w:val="NoSpacing"/>
      </w:pPr>
    </w:p>
    <w:p w14:paraId="61390BBD" w14:textId="3D3D2556" w:rsidR="00A81A82" w:rsidRPr="0078242B" w:rsidRDefault="006768CF" w:rsidP="00A81A82">
      <w:pPr>
        <w:pStyle w:val="NoSpacing"/>
        <w:rPr>
          <w:b/>
          <w:bCs/>
        </w:rPr>
      </w:pPr>
      <w:r>
        <w:rPr>
          <w:b/>
          <w:bCs/>
        </w:rPr>
        <w:t xml:space="preserve">Agency Report </w:t>
      </w:r>
      <w:r w:rsidR="00A81A82" w:rsidRPr="0078242B">
        <w:rPr>
          <w:b/>
          <w:bCs/>
        </w:rPr>
        <w:t>Review</w:t>
      </w:r>
    </w:p>
    <w:p w14:paraId="648437C9" w14:textId="3BB9E4F2" w:rsidR="00A81A82" w:rsidRDefault="00A81A82" w:rsidP="00A81A82">
      <w:pPr>
        <w:pStyle w:val="NoSpacing"/>
      </w:pPr>
      <w:r>
        <w:t>All principal offices conduct an extensive review of their documents before publishing</w:t>
      </w:r>
      <w:r w:rsidR="00D421BA">
        <w:t xml:space="preserve">. </w:t>
      </w:r>
      <w:r w:rsidR="00E9082A">
        <w:t xml:space="preserve"> </w:t>
      </w:r>
      <w:r>
        <w:t xml:space="preserve">Additionally, the Executive Secretariat coordinates a process to circulate documents with policy ramifications to all principal offices to review for accuracy and clarity. </w:t>
      </w:r>
      <w:r w:rsidR="00E9082A">
        <w:t xml:space="preserve"> </w:t>
      </w:r>
      <w:r>
        <w:t xml:space="preserve">Also, OCO’s Writing Division routinely reviews and </w:t>
      </w:r>
      <w:r>
        <w:lastRenderedPageBreak/>
        <w:t>edits documents for plain writing</w:t>
      </w:r>
      <w:r w:rsidR="00E9082A">
        <w:t>,</w:t>
      </w:r>
      <w:r w:rsidR="00F41255">
        <w:t xml:space="preserve"> with o</w:t>
      </w:r>
      <w:r w:rsidR="002A6126">
        <w:t>ffices complet</w:t>
      </w:r>
      <w:r w:rsidR="00F41255">
        <w:t>ing</w:t>
      </w:r>
      <w:r w:rsidR="002A6126">
        <w:t xml:space="preserve"> a Principal Office Coordination Form for officials’ signatures for particularly complex or cross-office documents. </w:t>
      </w:r>
      <w:r w:rsidR="00E9082A">
        <w:t xml:space="preserve"> </w:t>
      </w:r>
      <w:r w:rsidRPr="00F70F0B">
        <w:rPr>
          <w:bCs/>
        </w:rPr>
        <w:t xml:space="preserve">This </w:t>
      </w:r>
      <w:r w:rsidR="00F41255">
        <w:rPr>
          <w:bCs/>
        </w:rPr>
        <w:t xml:space="preserve">editorial </w:t>
      </w:r>
      <w:r w:rsidRPr="00F70F0B">
        <w:rPr>
          <w:bCs/>
        </w:rPr>
        <w:t xml:space="preserve">review </w:t>
      </w:r>
      <w:r>
        <w:rPr>
          <w:bCs/>
        </w:rPr>
        <w:t xml:space="preserve">is for hard copy as well as online publications, posting thereafter to our </w:t>
      </w:r>
      <w:r>
        <w:t>website</w:t>
      </w:r>
      <w:r w:rsidR="002023AC">
        <w:t xml:space="preserve">. </w:t>
      </w:r>
      <w:r>
        <w:t xml:space="preserve"> </w:t>
      </w:r>
    </w:p>
    <w:p w14:paraId="3F5D09F6" w14:textId="77777777" w:rsidR="00A81A82" w:rsidRDefault="00A81A82" w:rsidP="00A81A82">
      <w:pPr>
        <w:pStyle w:val="NoSpacing"/>
      </w:pPr>
    </w:p>
    <w:p w14:paraId="6F540A71" w14:textId="77777777" w:rsidR="00A81A82" w:rsidRDefault="00A81A82" w:rsidP="00A81A82">
      <w:pPr>
        <w:pStyle w:val="NoSpacing"/>
      </w:pPr>
      <w:r>
        <w:t xml:space="preserve">For the Department’s </w:t>
      </w:r>
      <w:hyperlink r:id="rId9" w:history="1">
        <w:r w:rsidRPr="002069AF">
          <w:rPr>
            <w:rStyle w:val="Hyperlink"/>
          </w:rPr>
          <w:t>Institute of Education Sciences</w:t>
        </w:r>
      </w:hyperlink>
      <w:r>
        <w:t xml:space="preserve"> (IES), which issues technical reports primarily for researchers and statisticians, all publications go through peer review and editing prior to release. Because IES reports are for technical audiences, these publications include abstracts and executive summaries written in plain language for nontechnical audiences. </w:t>
      </w:r>
    </w:p>
    <w:p w14:paraId="45373AA3" w14:textId="77777777" w:rsidR="00641C5F" w:rsidRDefault="00641C5F" w:rsidP="003F3035">
      <w:pPr>
        <w:pStyle w:val="NoSpacing"/>
        <w:rPr>
          <w:b/>
          <w:bCs/>
        </w:rPr>
      </w:pPr>
    </w:p>
    <w:p w14:paraId="52D1D684" w14:textId="77990A90" w:rsidR="003F3035" w:rsidRPr="0078242B" w:rsidRDefault="003F3035" w:rsidP="003F3035">
      <w:pPr>
        <w:pStyle w:val="NoSpacing"/>
        <w:rPr>
          <w:b/>
          <w:bCs/>
        </w:rPr>
      </w:pPr>
      <w:r w:rsidRPr="0078242B">
        <w:rPr>
          <w:b/>
          <w:bCs/>
        </w:rPr>
        <w:t xml:space="preserve">Program and Regulatory Document Review </w:t>
      </w:r>
    </w:p>
    <w:p w14:paraId="571F5B72" w14:textId="6590E17E" w:rsidR="003F3035" w:rsidRPr="00A711AE" w:rsidRDefault="003F3035" w:rsidP="003F3035">
      <w:pPr>
        <w:pStyle w:val="NoSpacing"/>
      </w:pPr>
      <w:r>
        <w:t xml:space="preserve">The Office of General Counsel’s routing of Notices Inviting Applications, Notice of Proposed Rulemaking, and other grant- and regulatory-related documents for agencywide review </w:t>
      </w:r>
      <w:r w:rsidR="001D2759">
        <w:t>i</w:t>
      </w:r>
      <w:r>
        <w:t>ncludes an OCO editorial review</w:t>
      </w:r>
      <w:r w:rsidR="001D2759">
        <w:t xml:space="preserve"> of select documents. These documents are </w:t>
      </w:r>
      <w:r w:rsidR="004F7B4B">
        <w:t>typically those considered more complex or lengthy in nature, requiring a close read for fullest comprehension</w:t>
      </w:r>
      <w:r>
        <w:t xml:space="preserve">. The primary purpose of OCO inclusion is to minimize reader confusion on </w:t>
      </w:r>
      <w:r w:rsidR="00D26C8F">
        <w:t xml:space="preserve">such </w:t>
      </w:r>
      <w:r>
        <w:t xml:space="preserve">documents </w:t>
      </w:r>
      <w:r w:rsidR="002023AC">
        <w:t xml:space="preserve">as those </w:t>
      </w:r>
      <w:r>
        <w:t xml:space="preserve">slated for public consumption in the </w:t>
      </w:r>
      <w:r w:rsidRPr="00A711AE">
        <w:t>Federal Register</w:t>
      </w:r>
      <w:r w:rsidR="00141DE0">
        <w:t xml:space="preserve">; comments are routinely made by the </w:t>
      </w:r>
      <w:r w:rsidR="00E34A6C">
        <w:t>d</w:t>
      </w:r>
      <w:r w:rsidR="00141DE0">
        <w:t>irectors for State/Local Public Engagement and National Engagement.</w:t>
      </w:r>
    </w:p>
    <w:p w14:paraId="690407EB" w14:textId="77777777" w:rsidR="003F3035" w:rsidRDefault="003F3035" w:rsidP="003F3035">
      <w:pPr>
        <w:pStyle w:val="NoSpacing"/>
      </w:pPr>
    </w:p>
    <w:p w14:paraId="5AB0A49A" w14:textId="77777777" w:rsidR="003F3035" w:rsidRPr="0078242B" w:rsidRDefault="003F3035" w:rsidP="003F3035">
      <w:pPr>
        <w:pStyle w:val="NoSpacing"/>
        <w:rPr>
          <w:b/>
          <w:bCs/>
        </w:rPr>
      </w:pPr>
      <w:r w:rsidRPr="0078242B">
        <w:rPr>
          <w:b/>
          <w:bCs/>
        </w:rPr>
        <w:t xml:space="preserve">Agency Newsletter Review </w:t>
      </w:r>
    </w:p>
    <w:p w14:paraId="6AAC5C50" w14:textId="022786DA" w:rsidR="004534E1" w:rsidRDefault="00A711AE" w:rsidP="003F3035">
      <w:pPr>
        <w:pStyle w:val="NoSpacing"/>
      </w:pPr>
      <w:r>
        <w:t xml:space="preserve">In addition to OCO, </w:t>
      </w:r>
      <w:r w:rsidR="00D85221">
        <w:t xml:space="preserve">other offices </w:t>
      </w:r>
      <w:r w:rsidR="006768CF">
        <w:t xml:space="preserve">also </w:t>
      </w:r>
      <w:r w:rsidR="003F3035">
        <w:t xml:space="preserve">issue newsletters on a routine basis that are intended for various public sector audiences. </w:t>
      </w:r>
      <w:r w:rsidR="00A256AB">
        <w:t xml:space="preserve">Several newsletters receive </w:t>
      </w:r>
      <w:r w:rsidR="003F3035">
        <w:t xml:space="preserve">OCO editorial review prior to release. </w:t>
      </w:r>
      <w:r w:rsidR="005D3FA9">
        <w:t>Additionally, t</w:t>
      </w:r>
      <w:r w:rsidR="003F3035">
        <w:t>o ensure a consistent message among newsletters issued from OCO, which has the largest number, a tiered review process of editorial staff and Administration officials</w:t>
      </w:r>
      <w:r w:rsidR="0040692B">
        <w:t xml:space="preserve"> via SharePoint </w:t>
      </w:r>
      <w:r w:rsidR="00A3518F">
        <w:t>is in place</w:t>
      </w:r>
      <w:r w:rsidR="003F3035">
        <w:t>.</w:t>
      </w:r>
      <w:r w:rsidR="00A3518F">
        <w:t xml:space="preserve"> This site allows for</w:t>
      </w:r>
      <w:r w:rsidR="009E1E6E">
        <w:t xml:space="preserve"> efficient</w:t>
      </w:r>
      <w:r w:rsidR="00A3518F">
        <w:t xml:space="preserve"> </w:t>
      </w:r>
      <w:r w:rsidR="009E1E6E">
        <w:t xml:space="preserve">internal </w:t>
      </w:r>
      <w:r w:rsidR="00A3518F">
        <w:t xml:space="preserve">communication among staff involved in </w:t>
      </w:r>
      <w:r w:rsidR="00702015">
        <w:t xml:space="preserve">newsletter </w:t>
      </w:r>
      <w:r w:rsidR="00A3518F">
        <w:t>review</w:t>
      </w:r>
      <w:r w:rsidR="009E1E6E">
        <w:t xml:space="preserve">. </w:t>
      </w:r>
    </w:p>
    <w:p w14:paraId="7192210E" w14:textId="77777777" w:rsidR="00D26002" w:rsidRDefault="00D26002" w:rsidP="003F3035">
      <w:pPr>
        <w:pStyle w:val="NoSpacing"/>
      </w:pPr>
    </w:p>
    <w:p w14:paraId="45A786CE" w14:textId="11AFA24E" w:rsidR="003F3035" w:rsidRDefault="00784053" w:rsidP="003F3035">
      <w:pPr>
        <w:pStyle w:val="NoSpacing"/>
      </w:pPr>
      <w:r>
        <w:t>Table 1</w:t>
      </w:r>
      <w:r w:rsidR="007C127F">
        <w:t xml:space="preserve"> </w:t>
      </w:r>
      <w:r w:rsidR="003F3035">
        <w:t>list</w:t>
      </w:r>
      <w:r>
        <w:t xml:space="preserve">s </w:t>
      </w:r>
      <w:r w:rsidR="003F3035">
        <w:t>agency newsletters</w:t>
      </w:r>
      <w:r w:rsidR="00741ECD">
        <w:t xml:space="preserve"> routinely undergoing editorial review</w:t>
      </w:r>
      <w:r w:rsidR="003F3035">
        <w:t xml:space="preserve">, </w:t>
      </w:r>
      <w:r w:rsidR="00687521">
        <w:t xml:space="preserve">that are then </w:t>
      </w:r>
      <w:r w:rsidR="003F3035">
        <w:t>typically delivered via govDelivery and posted to offices’ webpages</w:t>
      </w:r>
      <w:r w:rsidR="007C127F">
        <w:t>.</w:t>
      </w:r>
      <w:r w:rsidR="00820CC3">
        <w:t xml:space="preserve"> </w:t>
      </w:r>
      <w:r w:rsidR="007C127F">
        <w:t xml:space="preserve">This </w:t>
      </w:r>
      <w:r w:rsidR="006A143E">
        <w:t xml:space="preserve">table </w:t>
      </w:r>
      <w:r w:rsidR="003F3035">
        <w:t>gives an idea of the breadth of information disseminated from various offices throughout the agency</w:t>
      </w:r>
      <w:r w:rsidR="00641D33">
        <w:t xml:space="preserve"> that rec</w:t>
      </w:r>
      <w:r w:rsidR="00332F37">
        <w:t>eives OCO editorial oversight</w:t>
      </w:r>
      <w:r w:rsidR="003F3035">
        <w:t>.</w:t>
      </w:r>
      <w:r>
        <w:t xml:space="preserve"> </w:t>
      </w:r>
      <w:r w:rsidR="003F3035">
        <w:t xml:space="preserve">  </w:t>
      </w:r>
    </w:p>
    <w:p w14:paraId="46EB6507" w14:textId="77777777" w:rsidR="003F3035" w:rsidRDefault="003F3035" w:rsidP="003F3035">
      <w:pPr>
        <w:pStyle w:val="NoSpacing"/>
      </w:pPr>
    </w:p>
    <w:p w14:paraId="4F8F8F5D" w14:textId="675F6658" w:rsidR="003F3035" w:rsidRPr="00492ED7" w:rsidRDefault="006420F6" w:rsidP="003F3035">
      <w:pPr>
        <w:pStyle w:val="NoSpacing"/>
        <w:rPr>
          <w:b/>
          <w:bCs/>
          <w:sz w:val="20"/>
          <w:szCs w:val="20"/>
        </w:rPr>
      </w:pPr>
      <w:r w:rsidRPr="00492ED7">
        <w:rPr>
          <w:b/>
          <w:bCs/>
          <w:sz w:val="20"/>
          <w:szCs w:val="20"/>
        </w:rPr>
        <w:t xml:space="preserve">Table 1. </w:t>
      </w:r>
      <w:r w:rsidR="003F3035" w:rsidRPr="00492ED7">
        <w:rPr>
          <w:b/>
          <w:bCs/>
          <w:sz w:val="20"/>
          <w:szCs w:val="20"/>
        </w:rPr>
        <w:t>Department Newsletter</w:t>
      </w:r>
      <w:r w:rsidR="001B38FB" w:rsidRPr="00492ED7">
        <w:rPr>
          <w:b/>
          <w:bCs/>
          <w:sz w:val="20"/>
          <w:szCs w:val="20"/>
        </w:rPr>
        <w:t>s</w:t>
      </w:r>
      <w:r w:rsidR="0090212E" w:rsidRPr="00492ED7">
        <w:rPr>
          <w:b/>
          <w:bCs/>
          <w:sz w:val="20"/>
          <w:szCs w:val="20"/>
        </w:rPr>
        <w:t xml:space="preserve"> </w:t>
      </w:r>
      <w:r w:rsidR="00FE1E2C" w:rsidRPr="00492ED7">
        <w:rPr>
          <w:b/>
          <w:bCs/>
          <w:sz w:val="20"/>
          <w:szCs w:val="20"/>
        </w:rPr>
        <w:t xml:space="preserve">With OCO </w:t>
      </w:r>
      <w:r w:rsidR="007E58D3" w:rsidRPr="00492ED7">
        <w:rPr>
          <w:b/>
          <w:bCs/>
          <w:sz w:val="20"/>
          <w:szCs w:val="20"/>
        </w:rPr>
        <w:t>Editorial Review</w:t>
      </w:r>
      <w:r w:rsidR="003F3035" w:rsidRPr="00492ED7">
        <w:rPr>
          <w:b/>
          <w:bCs/>
          <w:sz w:val="20"/>
          <w:szCs w:val="20"/>
        </w:rPr>
        <w:t>, Issuing Office, and Audience</w:t>
      </w:r>
      <w:r w:rsidR="000C17BA" w:rsidRPr="00492ED7">
        <w:rPr>
          <w:b/>
          <w:bCs/>
          <w:sz w:val="20"/>
          <w:szCs w:val="20"/>
        </w:rPr>
        <w:t>: FY 2020</w:t>
      </w:r>
    </w:p>
    <w:tbl>
      <w:tblPr>
        <w:tblStyle w:val="TableGrid"/>
        <w:tblW w:w="0" w:type="auto"/>
        <w:tblLook w:val="04A0" w:firstRow="1" w:lastRow="0" w:firstColumn="1" w:lastColumn="0" w:noHBand="0" w:noVBand="1"/>
      </w:tblPr>
      <w:tblGrid>
        <w:gridCol w:w="2245"/>
        <w:gridCol w:w="3510"/>
        <w:gridCol w:w="3595"/>
      </w:tblGrid>
      <w:tr w:rsidR="00C01AD9" w:rsidRPr="00492ED7" w14:paraId="0F203AD2" w14:textId="77777777" w:rsidTr="00C01AD9">
        <w:tc>
          <w:tcPr>
            <w:tcW w:w="2245" w:type="dxa"/>
          </w:tcPr>
          <w:p w14:paraId="517BCA1C" w14:textId="712D9759" w:rsidR="00C01AD9" w:rsidRPr="00492ED7" w:rsidRDefault="00C01AD9" w:rsidP="00985988">
            <w:pPr>
              <w:pStyle w:val="NoSpacing"/>
              <w:rPr>
                <w:sz w:val="20"/>
                <w:szCs w:val="20"/>
              </w:rPr>
            </w:pPr>
            <w:r w:rsidRPr="00492ED7">
              <w:rPr>
                <w:sz w:val="20"/>
                <w:szCs w:val="20"/>
              </w:rPr>
              <w:t xml:space="preserve">Newsletter </w:t>
            </w:r>
          </w:p>
        </w:tc>
        <w:tc>
          <w:tcPr>
            <w:tcW w:w="3510" w:type="dxa"/>
          </w:tcPr>
          <w:p w14:paraId="349B1038" w14:textId="68B7E087" w:rsidR="00C01AD9" w:rsidRPr="00492ED7" w:rsidRDefault="00C01AD9" w:rsidP="00985988">
            <w:pPr>
              <w:pStyle w:val="NoSpacing"/>
              <w:rPr>
                <w:sz w:val="20"/>
                <w:szCs w:val="20"/>
              </w:rPr>
            </w:pPr>
            <w:r w:rsidRPr="00492ED7">
              <w:rPr>
                <w:sz w:val="20"/>
                <w:szCs w:val="20"/>
              </w:rPr>
              <w:t xml:space="preserve">Issuing Office </w:t>
            </w:r>
          </w:p>
        </w:tc>
        <w:tc>
          <w:tcPr>
            <w:tcW w:w="3595" w:type="dxa"/>
          </w:tcPr>
          <w:p w14:paraId="15058085" w14:textId="364FF5F2" w:rsidR="00C01AD9" w:rsidRPr="00492ED7" w:rsidRDefault="00C01AD9" w:rsidP="00985988">
            <w:pPr>
              <w:pStyle w:val="NoSpacing"/>
              <w:rPr>
                <w:sz w:val="20"/>
                <w:szCs w:val="20"/>
              </w:rPr>
            </w:pPr>
            <w:r w:rsidRPr="00492ED7">
              <w:rPr>
                <w:sz w:val="20"/>
                <w:szCs w:val="20"/>
              </w:rPr>
              <w:t xml:space="preserve">Audience </w:t>
            </w:r>
          </w:p>
        </w:tc>
      </w:tr>
      <w:tr w:rsidR="00C01AD9" w:rsidRPr="00492ED7" w14:paraId="68162049" w14:textId="77777777" w:rsidTr="00C01AD9">
        <w:tc>
          <w:tcPr>
            <w:tcW w:w="2245" w:type="dxa"/>
          </w:tcPr>
          <w:p w14:paraId="627D4F39" w14:textId="77777777" w:rsidR="00C01AD9" w:rsidRPr="00492ED7" w:rsidRDefault="00C01AD9" w:rsidP="00985988">
            <w:pPr>
              <w:pStyle w:val="NoSpacing"/>
              <w:rPr>
                <w:sz w:val="20"/>
                <w:szCs w:val="20"/>
              </w:rPr>
            </w:pPr>
          </w:p>
        </w:tc>
        <w:tc>
          <w:tcPr>
            <w:tcW w:w="3510" w:type="dxa"/>
          </w:tcPr>
          <w:p w14:paraId="4714DBAE" w14:textId="77777777" w:rsidR="00C01AD9" w:rsidRPr="00492ED7" w:rsidRDefault="00C01AD9" w:rsidP="00985988">
            <w:pPr>
              <w:pStyle w:val="NoSpacing"/>
              <w:rPr>
                <w:sz w:val="20"/>
                <w:szCs w:val="20"/>
              </w:rPr>
            </w:pPr>
          </w:p>
        </w:tc>
        <w:tc>
          <w:tcPr>
            <w:tcW w:w="3595" w:type="dxa"/>
          </w:tcPr>
          <w:p w14:paraId="7C551BBD" w14:textId="7279D608" w:rsidR="00C01AD9" w:rsidRPr="00492ED7" w:rsidRDefault="00C01AD9" w:rsidP="00985988">
            <w:pPr>
              <w:pStyle w:val="NoSpacing"/>
              <w:rPr>
                <w:sz w:val="20"/>
                <w:szCs w:val="20"/>
              </w:rPr>
            </w:pPr>
          </w:p>
        </w:tc>
      </w:tr>
      <w:tr w:rsidR="00D04744" w:rsidRPr="00492ED7" w14:paraId="2071E2B2" w14:textId="77777777" w:rsidTr="00C01AD9">
        <w:tc>
          <w:tcPr>
            <w:tcW w:w="2245" w:type="dxa"/>
          </w:tcPr>
          <w:p w14:paraId="76866A35" w14:textId="03A56866" w:rsidR="00D04744" w:rsidRPr="00687521" w:rsidRDefault="00D04744" w:rsidP="00985988">
            <w:pPr>
              <w:pStyle w:val="NoSpacing"/>
              <w:rPr>
                <w:sz w:val="20"/>
                <w:szCs w:val="20"/>
              </w:rPr>
            </w:pPr>
            <w:r w:rsidRPr="00687521">
              <w:rPr>
                <w:sz w:val="20"/>
                <w:szCs w:val="20"/>
              </w:rPr>
              <w:t xml:space="preserve">The Connector </w:t>
            </w:r>
          </w:p>
        </w:tc>
        <w:tc>
          <w:tcPr>
            <w:tcW w:w="3510" w:type="dxa"/>
          </w:tcPr>
          <w:p w14:paraId="1DA5763B" w14:textId="21B70DAB" w:rsidR="00D04744" w:rsidRPr="00492ED7" w:rsidRDefault="00D04744" w:rsidP="00985988">
            <w:pPr>
              <w:pStyle w:val="NoSpacing"/>
              <w:rPr>
                <w:sz w:val="20"/>
                <w:szCs w:val="20"/>
              </w:rPr>
            </w:pPr>
            <w:r w:rsidRPr="00492ED7">
              <w:rPr>
                <w:sz w:val="20"/>
                <w:szCs w:val="20"/>
              </w:rPr>
              <w:t>White House Initiative on</w:t>
            </w:r>
            <w:r w:rsidR="00BF560F" w:rsidRPr="00492ED7">
              <w:rPr>
                <w:sz w:val="20"/>
                <w:szCs w:val="20"/>
              </w:rPr>
              <w:t xml:space="preserve"> Educational Excellence for</w:t>
            </w:r>
            <w:r w:rsidRPr="00492ED7">
              <w:rPr>
                <w:sz w:val="20"/>
                <w:szCs w:val="20"/>
              </w:rPr>
              <w:t xml:space="preserve"> </w:t>
            </w:r>
            <w:r w:rsidR="00674324" w:rsidRPr="00492ED7">
              <w:rPr>
                <w:sz w:val="20"/>
                <w:szCs w:val="20"/>
              </w:rPr>
              <w:t>African America</w:t>
            </w:r>
            <w:r w:rsidR="00BF560F" w:rsidRPr="00492ED7">
              <w:rPr>
                <w:sz w:val="20"/>
                <w:szCs w:val="20"/>
              </w:rPr>
              <w:t>ns</w:t>
            </w:r>
            <w:r w:rsidR="00674324" w:rsidRPr="00492ED7">
              <w:rPr>
                <w:sz w:val="20"/>
                <w:szCs w:val="20"/>
              </w:rPr>
              <w:t xml:space="preserve"> </w:t>
            </w:r>
            <w:r w:rsidR="00CC1EB6" w:rsidRPr="00492ED7">
              <w:rPr>
                <w:sz w:val="20"/>
                <w:szCs w:val="20"/>
              </w:rPr>
              <w:t xml:space="preserve"> </w:t>
            </w:r>
          </w:p>
        </w:tc>
        <w:tc>
          <w:tcPr>
            <w:tcW w:w="3595" w:type="dxa"/>
          </w:tcPr>
          <w:p w14:paraId="6FB57C63" w14:textId="2250BC55" w:rsidR="00D04744" w:rsidRPr="00492ED7" w:rsidRDefault="007D3409" w:rsidP="00985988">
            <w:pPr>
              <w:pStyle w:val="NoSpacing"/>
              <w:rPr>
                <w:sz w:val="20"/>
                <w:szCs w:val="20"/>
              </w:rPr>
            </w:pPr>
            <w:r w:rsidRPr="00492ED7">
              <w:rPr>
                <w:sz w:val="20"/>
                <w:szCs w:val="20"/>
              </w:rPr>
              <w:t>African American students</w:t>
            </w:r>
            <w:r w:rsidR="00D5174E" w:rsidRPr="00492ED7">
              <w:rPr>
                <w:sz w:val="20"/>
                <w:szCs w:val="20"/>
              </w:rPr>
              <w:t xml:space="preserve"> &amp;</w:t>
            </w:r>
            <w:r w:rsidRPr="00492ED7">
              <w:rPr>
                <w:sz w:val="20"/>
                <w:szCs w:val="20"/>
              </w:rPr>
              <w:t xml:space="preserve"> families</w:t>
            </w:r>
            <w:r w:rsidR="008B0FFA" w:rsidRPr="00492ED7">
              <w:rPr>
                <w:sz w:val="20"/>
                <w:szCs w:val="20"/>
              </w:rPr>
              <w:t>; stakeholders</w:t>
            </w:r>
          </w:p>
        </w:tc>
      </w:tr>
      <w:tr w:rsidR="00A22C85" w:rsidRPr="00492ED7" w14:paraId="31D71832" w14:textId="77777777" w:rsidTr="00C01AD9">
        <w:tc>
          <w:tcPr>
            <w:tcW w:w="2245" w:type="dxa"/>
          </w:tcPr>
          <w:p w14:paraId="0AD88578" w14:textId="23C814E0" w:rsidR="00A22C85" w:rsidRPr="00687521" w:rsidRDefault="00A22C85" w:rsidP="00985988">
            <w:pPr>
              <w:pStyle w:val="NoSpacing"/>
              <w:rPr>
                <w:sz w:val="20"/>
                <w:szCs w:val="20"/>
              </w:rPr>
            </w:pPr>
            <w:r w:rsidRPr="00687521">
              <w:rPr>
                <w:rFonts w:cstheme="minorHAnsi"/>
                <w:color w:val="000000"/>
                <w:sz w:val="20"/>
                <w:szCs w:val="20"/>
              </w:rPr>
              <w:t>The Center for Faith and Opportunity Initiatives’ Highlights</w:t>
            </w:r>
          </w:p>
        </w:tc>
        <w:tc>
          <w:tcPr>
            <w:tcW w:w="3510" w:type="dxa"/>
          </w:tcPr>
          <w:p w14:paraId="2F85035E" w14:textId="77AA7FCD" w:rsidR="00A22C85" w:rsidRPr="00492ED7" w:rsidRDefault="00A22C85" w:rsidP="00985988">
            <w:pPr>
              <w:pStyle w:val="NoSpacing"/>
              <w:rPr>
                <w:sz w:val="20"/>
                <w:szCs w:val="20"/>
              </w:rPr>
            </w:pPr>
            <w:r w:rsidRPr="00492ED7">
              <w:rPr>
                <w:rFonts w:cstheme="minorHAnsi"/>
                <w:color w:val="000000"/>
                <w:sz w:val="20"/>
                <w:szCs w:val="20"/>
              </w:rPr>
              <w:t>White House Faith &amp; Opportunity Initiative</w:t>
            </w:r>
            <w:r w:rsidR="002C3594" w:rsidRPr="00492ED7">
              <w:rPr>
                <w:rFonts w:cstheme="minorHAnsi"/>
                <w:color w:val="000000"/>
                <w:sz w:val="20"/>
                <w:szCs w:val="20"/>
              </w:rPr>
              <w:t xml:space="preserve"> </w:t>
            </w:r>
          </w:p>
        </w:tc>
        <w:tc>
          <w:tcPr>
            <w:tcW w:w="3595" w:type="dxa"/>
          </w:tcPr>
          <w:p w14:paraId="1CDEFE86" w14:textId="1B52C5A8" w:rsidR="00A22C85" w:rsidRPr="00492ED7" w:rsidRDefault="00A22C85" w:rsidP="00985988">
            <w:pPr>
              <w:pStyle w:val="NoSpacing"/>
              <w:rPr>
                <w:sz w:val="20"/>
                <w:szCs w:val="20"/>
              </w:rPr>
            </w:pPr>
            <w:r w:rsidRPr="00492ED7">
              <w:rPr>
                <w:sz w:val="20"/>
                <w:szCs w:val="20"/>
              </w:rPr>
              <w:t>Faith-based &amp; community leaders</w:t>
            </w:r>
          </w:p>
        </w:tc>
      </w:tr>
      <w:tr w:rsidR="00C01AD9" w:rsidRPr="00492ED7" w14:paraId="0581CC72" w14:textId="77777777" w:rsidTr="00C01AD9">
        <w:tc>
          <w:tcPr>
            <w:tcW w:w="2245" w:type="dxa"/>
          </w:tcPr>
          <w:p w14:paraId="33E18FD3" w14:textId="668265A3" w:rsidR="00C01AD9" w:rsidRPr="00687521" w:rsidRDefault="00C01AD9" w:rsidP="00985988">
            <w:pPr>
              <w:pStyle w:val="NoSpacing"/>
              <w:rPr>
                <w:sz w:val="20"/>
                <w:szCs w:val="20"/>
              </w:rPr>
            </w:pPr>
            <w:r w:rsidRPr="00687521">
              <w:rPr>
                <w:sz w:val="20"/>
                <w:szCs w:val="20"/>
              </w:rPr>
              <w:t xml:space="preserve">Early Learning </w:t>
            </w:r>
          </w:p>
        </w:tc>
        <w:tc>
          <w:tcPr>
            <w:tcW w:w="3510" w:type="dxa"/>
          </w:tcPr>
          <w:p w14:paraId="028B1F3B" w14:textId="25AE5484" w:rsidR="00C01AD9" w:rsidRPr="00492ED7" w:rsidRDefault="00574C16" w:rsidP="00985988">
            <w:pPr>
              <w:pStyle w:val="NoSpacing"/>
              <w:rPr>
                <w:sz w:val="20"/>
                <w:szCs w:val="20"/>
              </w:rPr>
            </w:pPr>
            <w:r w:rsidRPr="00492ED7">
              <w:rPr>
                <w:sz w:val="20"/>
                <w:szCs w:val="20"/>
              </w:rPr>
              <w:t xml:space="preserve">Offices of </w:t>
            </w:r>
            <w:r w:rsidR="00C01AD9" w:rsidRPr="00492ED7">
              <w:rPr>
                <w:sz w:val="20"/>
                <w:szCs w:val="20"/>
              </w:rPr>
              <w:t>Elementary &amp; Secondary Education and Special Education Programs</w:t>
            </w:r>
          </w:p>
        </w:tc>
        <w:tc>
          <w:tcPr>
            <w:tcW w:w="3595" w:type="dxa"/>
          </w:tcPr>
          <w:p w14:paraId="6F575C6E" w14:textId="5F0CA10B" w:rsidR="00C01AD9" w:rsidRPr="00492ED7" w:rsidRDefault="00C01AD9" w:rsidP="00985988">
            <w:pPr>
              <w:pStyle w:val="NoSpacing"/>
              <w:rPr>
                <w:sz w:val="20"/>
                <w:szCs w:val="20"/>
              </w:rPr>
            </w:pPr>
            <w:r w:rsidRPr="00492ED7">
              <w:rPr>
                <w:sz w:val="20"/>
                <w:szCs w:val="20"/>
              </w:rPr>
              <w:t>Parents, teachers</w:t>
            </w:r>
          </w:p>
        </w:tc>
      </w:tr>
      <w:tr w:rsidR="00C01AD9" w:rsidRPr="00492ED7" w14:paraId="6BB01349" w14:textId="77777777" w:rsidTr="00C01AD9">
        <w:tc>
          <w:tcPr>
            <w:tcW w:w="2245" w:type="dxa"/>
          </w:tcPr>
          <w:p w14:paraId="5F8CD4DB" w14:textId="3382180D" w:rsidR="00C01AD9" w:rsidRPr="00687521" w:rsidRDefault="00C01AD9" w:rsidP="00985988">
            <w:pPr>
              <w:pStyle w:val="NoSpacing"/>
              <w:rPr>
                <w:sz w:val="20"/>
                <w:szCs w:val="20"/>
              </w:rPr>
            </w:pPr>
            <w:r w:rsidRPr="00687521">
              <w:rPr>
                <w:sz w:val="20"/>
                <w:szCs w:val="20"/>
              </w:rPr>
              <w:t xml:space="preserve">ED Review </w:t>
            </w:r>
          </w:p>
        </w:tc>
        <w:tc>
          <w:tcPr>
            <w:tcW w:w="3510" w:type="dxa"/>
          </w:tcPr>
          <w:p w14:paraId="1B1B723A" w14:textId="73FE6B21" w:rsidR="00C01AD9" w:rsidRPr="00492ED7" w:rsidRDefault="00C01AD9" w:rsidP="00985988">
            <w:pPr>
              <w:pStyle w:val="NoSpacing"/>
              <w:rPr>
                <w:sz w:val="20"/>
                <w:szCs w:val="20"/>
              </w:rPr>
            </w:pPr>
            <w:r w:rsidRPr="00492ED7">
              <w:rPr>
                <w:sz w:val="20"/>
                <w:szCs w:val="20"/>
              </w:rPr>
              <w:t>Office of Communications</w:t>
            </w:r>
            <w:r w:rsidR="00DB3EA5" w:rsidRPr="00492ED7">
              <w:rPr>
                <w:sz w:val="20"/>
                <w:szCs w:val="20"/>
              </w:rPr>
              <w:t xml:space="preserve"> </w:t>
            </w:r>
            <w:r w:rsidR="00175026" w:rsidRPr="00492ED7">
              <w:rPr>
                <w:sz w:val="20"/>
                <w:szCs w:val="20"/>
              </w:rPr>
              <w:t xml:space="preserve">&amp; </w:t>
            </w:r>
            <w:r w:rsidR="00DB3EA5" w:rsidRPr="00492ED7">
              <w:rPr>
                <w:sz w:val="20"/>
                <w:szCs w:val="20"/>
              </w:rPr>
              <w:t xml:space="preserve">Outreach </w:t>
            </w:r>
          </w:p>
        </w:tc>
        <w:tc>
          <w:tcPr>
            <w:tcW w:w="3595" w:type="dxa"/>
          </w:tcPr>
          <w:p w14:paraId="38CEAC2D" w14:textId="4EA13FDA" w:rsidR="00C01AD9" w:rsidRPr="00492ED7" w:rsidRDefault="00C01AD9" w:rsidP="00985988">
            <w:pPr>
              <w:pStyle w:val="NoSpacing"/>
              <w:rPr>
                <w:sz w:val="20"/>
                <w:szCs w:val="20"/>
              </w:rPr>
            </w:pPr>
            <w:r w:rsidRPr="00492ED7">
              <w:rPr>
                <w:sz w:val="20"/>
                <w:szCs w:val="20"/>
              </w:rPr>
              <w:t>Intergovernmental &amp; corporate communities</w:t>
            </w:r>
          </w:p>
        </w:tc>
      </w:tr>
      <w:tr w:rsidR="00C01AD9" w:rsidRPr="00492ED7" w14:paraId="45A4ADD1" w14:textId="77777777" w:rsidTr="00C01AD9">
        <w:tc>
          <w:tcPr>
            <w:tcW w:w="2245" w:type="dxa"/>
          </w:tcPr>
          <w:p w14:paraId="0E36D53E" w14:textId="1AD5D77C" w:rsidR="00C01AD9" w:rsidRPr="00687521" w:rsidRDefault="00C01AD9" w:rsidP="00985988">
            <w:pPr>
              <w:pStyle w:val="NoSpacing"/>
              <w:rPr>
                <w:sz w:val="20"/>
                <w:szCs w:val="20"/>
              </w:rPr>
            </w:pPr>
            <w:r w:rsidRPr="00687521">
              <w:rPr>
                <w:sz w:val="20"/>
                <w:szCs w:val="20"/>
              </w:rPr>
              <w:t xml:space="preserve">Family, School and Community Engagement </w:t>
            </w:r>
          </w:p>
        </w:tc>
        <w:tc>
          <w:tcPr>
            <w:tcW w:w="3510" w:type="dxa"/>
          </w:tcPr>
          <w:p w14:paraId="4D89DE97" w14:textId="74D82029" w:rsidR="00C01AD9" w:rsidRPr="00492ED7" w:rsidRDefault="000C17BA" w:rsidP="00985988">
            <w:pPr>
              <w:pStyle w:val="NoSpacing"/>
              <w:rPr>
                <w:sz w:val="20"/>
                <w:szCs w:val="20"/>
              </w:rPr>
            </w:pPr>
            <w:r w:rsidRPr="00492ED7">
              <w:rPr>
                <w:sz w:val="20"/>
                <w:szCs w:val="20"/>
              </w:rPr>
              <w:t xml:space="preserve">Office of Communications </w:t>
            </w:r>
            <w:r w:rsidR="00175026" w:rsidRPr="00492ED7">
              <w:rPr>
                <w:sz w:val="20"/>
                <w:szCs w:val="20"/>
              </w:rPr>
              <w:t xml:space="preserve">&amp; </w:t>
            </w:r>
            <w:r w:rsidRPr="00492ED7">
              <w:rPr>
                <w:sz w:val="20"/>
                <w:szCs w:val="20"/>
              </w:rPr>
              <w:t>Outreach</w:t>
            </w:r>
          </w:p>
        </w:tc>
        <w:tc>
          <w:tcPr>
            <w:tcW w:w="3595" w:type="dxa"/>
          </w:tcPr>
          <w:p w14:paraId="689F62F8" w14:textId="5E1E5AAF" w:rsidR="00C01AD9" w:rsidRPr="00492ED7" w:rsidRDefault="00C01AD9" w:rsidP="00985988">
            <w:pPr>
              <w:pStyle w:val="NoSpacing"/>
              <w:rPr>
                <w:sz w:val="20"/>
                <w:szCs w:val="20"/>
              </w:rPr>
            </w:pPr>
            <w:r w:rsidRPr="00492ED7">
              <w:rPr>
                <w:sz w:val="20"/>
                <w:szCs w:val="20"/>
              </w:rPr>
              <w:t>Parents, teachers, administrators, &amp; community leaders</w:t>
            </w:r>
          </w:p>
        </w:tc>
      </w:tr>
      <w:tr w:rsidR="00C01AD9" w:rsidRPr="00492ED7" w14:paraId="68F67441" w14:textId="77777777" w:rsidTr="00C01AD9">
        <w:tc>
          <w:tcPr>
            <w:tcW w:w="2245" w:type="dxa"/>
          </w:tcPr>
          <w:p w14:paraId="59AD1014" w14:textId="5E5E07F9" w:rsidR="00C01AD9" w:rsidRPr="00687521" w:rsidRDefault="00C01AD9" w:rsidP="00985988">
            <w:pPr>
              <w:pStyle w:val="NoSpacing"/>
              <w:rPr>
                <w:sz w:val="20"/>
                <w:szCs w:val="20"/>
              </w:rPr>
            </w:pPr>
            <w:r w:rsidRPr="00687521">
              <w:rPr>
                <w:sz w:val="20"/>
                <w:szCs w:val="20"/>
              </w:rPr>
              <w:t xml:space="preserve">IFLE Newsletter </w:t>
            </w:r>
          </w:p>
        </w:tc>
        <w:tc>
          <w:tcPr>
            <w:tcW w:w="3510" w:type="dxa"/>
          </w:tcPr>
          <w:p w14:paraId="6196CC38" w14:textId="4CA310A4" w:rsidR="00C01AD9" w:rsidRPr="00492ED7" w:rsidRDefault="000C17BA" w:rsidP="00985988">
            <w:pPr>
              <w:pStyle w:val="NoSpacing"/>
              <w:rPr>
                <w:sz w:val="20"/>
                <w:szCs w:val="20"/>
              </w:rPr>
            </w:pPr>
            <w:r w:rsidRPr="00492ED7">
              <w:rPr>
                <w:sz w:val="20"/>
                <w:szCs w:val="20"/>
              </w:rPr>
              <w:t>Office of Postsecondary Education</w:t>
            </w:r>
          </w:p>
        </w:tc>
        <w:tc>
          <w:tcPr>
            <w:tcW w:w="3595" w:type="dxa"/>
          </w:tcPr>
          <w:p w14:paraId="5F4EB158" w14:textId="7EA02ACC" w:rsidR="00C01AD9" w:rsidRPr="00492ED7" w:rsidRDefault="00C01AD9" w:rsidP="00985988">
            <w:pPr>
              <w:pStyle w:val="NoSpacing"/>
              <w:rPr>
                <w:sz w:val="20"/>
                <w:szCs w:val="20"/>
              </w:rPr>
            </w:pPr>
            <w:r w:rsidRPr="00492ED7">
              <w:rPr>
                <w:sz w:val="20"/>
                <w:szCs w:val="20"/>
              </w:rPr>
              <w:t>International &amp; foreign language community</w:t>
            </w:r>
          </w:p>
        </w:tc>
      </w:tr>
      <w:tr w:rsidR="00C01AD9" w:rsidRPr="00492ED7" w14:paraId="2792C555" w14:textId="77777777" w:rsidTr="00C01AD9">
        <w:tc>
          <w:tcPr>
            <w:tcW w:w="2245" w:type="dxa"/>
          </w:tcPr>
          <w:p w14:paraId="51D6C20C" w14:textId="4B123DD0" w:rsidR="00C01AD9" w:rsidRPr="00687521" w:rsidRDefault="00C01AD9" w:rsidP="00985988">
            <w:pPr>
              <w:pStyle w:val="NoSpacing"/>
              <w:rPr>
                <w:sz w:val="20"/>
                <w:szCs w:val="20"/>
              </w:rPr>
            </w:pPr>
            <w:r w:rsidRPr="00687521">
              <w:rPr>
                <w:sz w:val="20"/>
                <w:szCs w:val="20"/>
              </w:rPr>
              <w:t xml:space="preserve">Green Strides </w:t>
            </w:r>
          </w:p>
        </w:tc>
        <w:tc>
          <w:tcPr>
            <w:tcW w:w="3510" w:type="dxa"/>
          </w:tcPr>
          <w:p w14:paraId="655B081A" w14:textId="7586853E" w:rsidR="00C01AD9" w:rsidRPr="00492ED7" w:rsidRDefault="000C17BA" w:rsidP="00985988">
            <w:pPr>
              <w:pStyle w:val="NoSpacing"/>
              <w:rPr>
                <w:sz w:val="20"/>
                <w:szCs w:val="20"/>
              </w:rPr>
            </w:pPr>
            <w:r w:rsidRPr="00492ED7">
              <w:rPr>
                <w:sz w:val="20"/>
                <w:szCs w:val="20"/>
              </w:rPr>
              <w:t xml:space="preserve">Office of Communications </w:t>
            </w:r>
            <w:r w:rsidR="00175026" w:rsidRPr="00492ED7">
              <w:rPr>
                <w:sz w:val="20"/>
                <w:szCs w:val="20"/>
              </w:rPr>
              <w:t>&amp;</w:t>
            </w:r>
            <w:r w:rsidRPr="00492ED7">
              <w:rPr>
                <w:sz w:val="20"/>
                <w:szCs w:val="20"/>
              </w:rPr>
              <w:t xml:space="preserve"> Outreach</w:t>
            </w:r>
          </w:p>
        </w:tc>
        <w:tc>
          <w:tcPr>
            <w:tcW w:w="3595" w:type="dxa"/>
          </w:tcPr>
          <w:p w14:paraId="36DF176F" w14:textId="5C02754E" w:rsidR="00C01AD9" w:rsidRPr="00492ED7" w:rsidRDefault="00C01AD9" w:rsidP="00985988">
            <w:pPr>
              <w:pStyle w:val="NoSpacing"/>
              <w:rPr>
                <w:sz w:val="20"/>
                <w:szCs w:val="20"/>
              </w:rPr>
            </w:pPr>
            <w:r w:rsidRPr="00492ED7">
              <w:rPr>
                <w:sz w:val="20"/>
                <w:szCs w:val="20"/>
              </w:rPr>
              <w:t xml:space="preserve">School administrators (environmental focus) </w:t>
            </w:r>
          </w:p>
        </w:tc>
      </w:tr>
      <w:tr w:rsidR="00C01AD9" w:rsidRPr="00492ED7" w14:paraId="12CFAF2A" w14:textId="77777777" w:rsidTr="00C01AD9">
        <w:tc>
          <w:tcPr>
            <w:tcW w:w="2245" w:type="dxa"/>
          </w:tcPr>
          <w:p w14:paraId="44A916B6" w14:textId="214430A0" w:rsidR="00C01AD9" w:rsidRPr="00687521" w:rsidRDefault="00C01AD9" w:rsidP="00985988">
            <w:pPr>
              <w:pStyle w:val="NoSpacing"/>
              <w:rPr>
                <w:sz w:val="20"/>
                <w:szCs w:val="20"/>
              </w:rPr>
            </w:pPr>
            <w:r w:rsidRPr="00687521">
              <w:rPr>
                <w:sz w:val="20"/>
                <w:szCs w:val="20"/>
              </w:rPr>
              <w:lastRenderedPageBreak/>
              <w:t xml:space="preserve">Nuestra Iniciativa </w:t>
            </w:r>
          </w:p>
        </w:tc>
        <w:tc>
          <w:tcPr>
            <w:tcW w:w="3510" w:type="dxa"/>
          </w:tcPr>
          <w:p w14:paraId="25850B4F" w14:textId="16A2C9A1" w:rsidR="00C01AD9" w:rsidRPr="00492ED7" w:rsidRDefault="00C9248F" w:rsidP="00985988">
            <w:pPr>
              <w:pStyle w:val="NoSpacing"/>
              <w:rPr>
                <w:sz w:val="20"/>
                <w:szCs w:val="20"/>
              </w:rPr>
            </w:pPr>
            <w:r w:rsidRPr="00492ED7">
              <w:rPr>
                <w:sz w:val="20"/>
                <w:szCs w:val="20"/>
              </w:rPr>
              <w:t xml:space="preserve">White House </w:t>
            </w:r>
            <w:r w:rsidR="00DB7415" w:rsidRPr="00492ED7">
              <w:rPr>
                <w:sz w:val="20"/>
                <w:szCs w:val="20"/>
              </w:rPr>
              <w:t xml:space="preserve">Hispanic Prosperity </w:t>
            </w:r>
            <w:r w:rsidRPr="00492ED7">
              <w:rPr>
                <w:sz w:val="20"/>
                <w:szCs w:val="20"/>
              </w:rPr>
              <w:t xml:space="preserve">Initiative </w:t>
            </w:r>
          </w:p>
        </w:tc>
        <w:tc>
          <w:tcPr>
            <w:tcW w:w="3595" w:type="dxa"/>
          </w:tcPr>
          <w:p w14:paraId="25D90CE0" w14:textId="3C8DC32B" w:rsidR="00C01AD9" w:rsidRPr="00492ED7" w:rsidRDefault="00C01AD9" w:rsidP="00985988">
            <w:pPr>
              <w:pStyle w:val="NoSpacing"/>
              <w:rPr>
                <w:sz w:val="20"/>
                <w:szCs w:val="20"/>
              </w:rPr>
            </w:pPr>
            <w:r w:rsidRPr="00492ED7">
              <w:rPr>
                <w:sz w:val="20"/>
                <w:szCs w:val="20"/>
              </w:rPr>
              <w:t>Hispanic students &amp; parents</w:t>
            </w:r>
          </w:p>
        </w:tc>
      </w:tr>
      <w:tr w:rsidR="00C01AD9" w:rsidRPr="00492ED7" w14:paraId="40CEA514" w14:textId="77777777" w:rsidTr="00C01AD9">
        <w:tc>
          <w:tcPr>
            <w:tcW w:w="2245" w:type="dxa"/>
          </w:tcPr>
          <w:p w14:paraId="6FCF063A" w14:textId="669770DC" w:rsidR="00C01AD9" w:rsidRPr="00687521" w:rsidRDefault="00C01AD9" w:rsidP="00985988">
            <w:pPr>
              <w:pStyle w:val="NoSpacing"/>
              <w:rPr>
                <w:sz w:val="20"/>
                <w:szCs w:val="20"/>
              </w:rPr>
            </w:pPr>
            <w:r w:rsidRPr="00687521">
              <w:rPr>
                <w:sz w:val="20"/>
                <w:szCs w:val="20"/>
              </w:rPr>
              <w:t xml:space="preserve">OCTAE </w:t>
            </w:r>
            <w:r w:rsidR="00C9248F" w:rsidRPr="00687521">
              <w:rPr>
                <w:sz w:val="20"/>
                <w:szCs w:val="20"/>
              </w:rPr>
              <w:t>Connection</w:t>
            </w:r>
          </w:p>
        </w:tc>
        <w:tc>
          <w:tcPr>
            <w:tcW w:w="3510" w:type="dxa"/>
          </w:tcPr>
          <w:p w14:paraId="1BEB4C42" w14:textId="0B8D0A1F" w:rsidR="00C01AD9" w:rsidRPr="00492ED7" w:rsidRDefault="00B118E5" w:rsidP="00985988">
            <w:pPr>
              <w:pStyle w:val="NoSpacing"/>
              <w:rPr>
                <w:sz w:val="20"/>
                <w:szCs w:val="20"/>
              </w:rPr>
            </w:pPr>
            <w:r w:rsidRPr="00492ED7">
              <w:rPr>
                <w:sz w:val="20"/>
                <w:szCs w:val="20"/>
              </w:rPr>
              <w:t xml:space="preserve">Office of </w:t>
            </w:r>
            <w:r w:rsidR="00C9248F" w:rsidRPr="00492ED7">
              <w:rPr>
                <w:sz w:val="20"/>
                <w:szCs w:val="20"/>
              </w:rPr>
              <w:t>Career</w:t>
            </w:r>
            <w:r w:rsidR="00C71035" w:rsidRPr="00492ED7">
              <w:rPr>
                <w:sz w:val="20"/>
                <w:szCs w:val="20"/>
              </w:rPr>
              <w:t xml:space="preserve">, </w:t>
            </w:r>
            <w:r w:rsidR="00C9248F" w:rsidRPr="00492ED7">
              <w:rPr>
                <w:sz w:val="20"/>
                <w:szCs w:val="20"/>
              </w:rPr>
              <w:t xml:space="preserve">Technical </w:t>
            </w:r>
            <w:r w:rsidR="00C71035" w:rsidRPr="00492ED7">
              <w:rPr>
                <w:sz w:val="20"/>
                <w:szCs w:val="20"/>
              </w:rPr>
              <w:t xml:space="preserve">&amp; Adult </w:t>
            </w:r>
            <w:r w:rsidR="00C9248F" w:rsidRPr="00492ED7">
              <w:rPr>
                <w:sz w:val="20"/>
                <w:szCs w:val="20"/>
              </w:rPr>
              <w:t>Education</w:t>
            </w:r>
          </w:p>
        </w:tc>
        <w:tc>
          <w:tcPr>
            <w:tcW w:w="3595" w:type="dxa"/>
          </w:tcPr>
          <w:p w14:paraId="742EC1D3" w14:textId="0DE4C1CB" w:rsidR="00C01AD9" w:rsidRPr="00492ED7" w:rsidRDefault="00C01AD9" w:rsidP="00985988">
            <w:pPr>
              <w:pStyle w:val="NoSpacing"/>
              <w:rPr>
                <w:sz w:val="20"/>
                <w:szCs w:val="20"/>
              </w:rPr>
            </w:pPr>
            <w:r w:rsidRPr="00492ED7">
              <w:rPr>
                <w:sz w:val="20"/>
                <w:szCs w:val="20"/>
              </w:rPr>
              <w:t xml:space="preserve">State officials &amp; others in adult ed, career &amp; technical ed, community colleges  </w:t>
            </w:r>
          </w:p>
        </w:tc>
      </w:tr>
      <w:tr w:rsidR="00106092" w:rsidRPr="00492ED7" w14:paraId="5C18F4CA" w14:textId="77777777" w:rsidTr="00C01AD9">
        <w:tc>
          <w:tcPr>
            <w:tcW w:w="2245" w:type="dxa"/>
          </w:tcPr>
          <w:p w14:paraId="4A80B66E" w14:textId="66369BAD" w:rsidR="00106092" w:rsidRPr="00687521" w:rsidRDefault="00106092" w:rsidP="00985988">
            <w:pPr>
              <w:pStyle w:val="NoSpacing"/>
              <w:rPr>
                <w:rFonts w:cstheme="minorHAnsi"/>
                <w:sz w:val="20"/>
                <w:szCs w:val="20"/>
              </w:rPr>
            </w:pPr>
            <w:r w:rsidRPr="00687521">
              <w:rPr>
                <w:rFonts w:eastAsia="Calibri" w:cstheme="minorHAnsi"/>
                <w:sz w:val="20"/>
                <w:szCs w:val="20"/>
              </w:rPr>
              <w:t>Office of State Grant and Program Support Newsletter</w:t>
            </w:r>
          </w:p>
        </w:tc>
        <w:tc>
          <w:tcPr>
            <w:tcW w:w="3510" w:type="dxa"/>
          </w:tcPr>
          <w:p w14:paraId="46E36411" w14:textId="2FAECD5B" w:rsidR="00106092" w:rsidRPr="00492ED7" w:rsidRDefault="009B3C84" w:rsidP="00985988">
            <w:pPr>
              <w:pStyle w:val="NoSpacing"/>
              <w:rPr>
                <w:sz w:val="20"/>
                <w:szCs w:val="20"/>
              </w:rPr>
            </w:pPr>
            <w:r w:rsidRPr="00492ED7">
              <w:rPr>
                <w:sz w:val="20"/>
                <w:szCs w:val="20"/>
              </w:rPr>
              <w:t xml:space="preserve">Office of Elementary &amp; Secondary Education </w:t>
            </w:r>
          </w:p>
        </w:tc>
        <w:tc>
          <w:tcPr>
            <w:tcW w:w="3595" w:type="dxa"/>
          </w:tcPr>
          <w:p w14:paraId="1C82AC4E" w14:textId="1147F64D" w:rsidR="00106092" w:rsidRPr="00492ED7" w:rsidRDefault="00E3717F" w:rsidP="00985988">
            <w:pPr>
              <w:pStyle w:val="NoSpacing"/>
              <w:rPr>
                <w:sz w:val="20"/>
                <w:szCs w:val="20"/>
              </w:rPr>
            </w:pPr>
            <w:r>
              <w:rPr>
                <w:sz w:val="20"/>
                <w:szCs w:val="20"/>
              </w:rPr>
              <w:t xml:space="preserve">Elementary &amp; secondary </w:t>
            </w:r>
            <w:r w:rsidR="004828C2">
              <w:rPr>
                <w:sz w:val="20"/>
                <w:szCs w:val="20"/>
              </w:rPr>
              <w:t xml:space="preserve">education grantees </w:t>
            </w:r>
          </w:p>
        </w:tc>
      </w:tr>
      <w:tr w:rsidR="00C01AD9" w:rsidRPr="00492ED7" w14:paraId="3A222B21" w14:textId="77777777" w:rsidTr="00C01AD9">
        <w:tc>
          <w:tcPr>
            <w:tcW w:w="2245" w:type="dxa"/>
          </w:tcPr>
          <w:p w14:paraId="529FB99F" w14:textId="0C033DF6" w:rsidR="00C01AD9" w:rsidRPr="00687521" w:rsidRDefault="00C01AD9" w:rsidP="00985988">
            <w:pPr>
              <w:pStyle w:val="NoSpacing"/>
              <w:rPr>
                <w:sz w:val="20"/>
                <w:szCs w:val="20"/>
              </w:rPr>
            </w:pPr>
            <w:r w:rsidRPr="00687521">
              <w:rPr>
                <w:sz w:val="20"/>
                <w:szCs w:val="20"/>
              </w:rPr>
              <w:t xml:space="preserve">OSEP Update </w:t>
            </w:r>
          </w:p>
        </w:tc>
        <w:tc>
          <w:tcPr>
            <w:tcW w:w="3510" w:type="dxa"/>
          </w:tcPr>
          <w:p w14:paraId="16AF7133" w14:textId="029C9A60" w:rsidR="00C01AD9" w:rsidRPr="00492ED7" w:rsidRDefault="000C17BA" w:rsidP="00985988">
            <w:pPr>
              <w:pStyle w:val="NoSpacing"/>
              <w:rPr>
                <w:sz w:val="20"/>
                <w:szCs w:val="20"/>
              </w:rPr>
            </w:pPr>
            <w:r w:rsidRPr="00492ED7">
              <w:rPr>
                <w:sz w:val="20"/>
                <w:szCs w:val="20"/>
              </w:rPr>
              <w:t>Office of Special Education Programs</w:t>
            </w:r>
            <w:r w:rsidR="004C05F9" w:rsidRPr="00492ED7">
              <w:rPr>
                <w:sz w:val="20"/>
                <w:szCs w:val="20"/>
              </w:rPr>
              <w:t xml:space="preserve"> &amp; Rehabilitative Services</w:t>
            </w:r>
          </w:p>
        </w:tc>
        <w:tc>
          <w:tcPr>
            <w:tcW w:w="3595" w:type="dxa"/>
          </w:tcPr>
          <w:p w14:paraId="54A0DBEE" w14:textId="3997FC1B" w:rsidR="00C01AD9" w:rsidRPr="00492ED7" w:rsidRDefault="00C01AD9" w:rsidP="00985988">
            <w:pPr>
              <w:pStyle w:val="NoSpacing"/>
              <w:rPr>
                <w:sz w:val="20"/>
                <w:szCs w:val="20"/>
              </w:rPr>
            </w:pPr>
            <w:r w:rsidRPr="00492ED7">
              <w:rPr>
                <w:sz w:val="20"/>
                <w:szCs w:val="20"/>
              </w:rPr>
              <w:t>Families of disabled children</w:t>
            </w:r>
          </w:p>
        </w:tc>
      </w:tr>
      <w:tr w:rsidR="00C01AD9" w:rsidRPr="00492ED7" w14:paraId="352E6496" w14:textId="77777777" w:rsidTr="00C01AD9">
        <w:tc>
          <w:tcPr>
            <w:tcW w:w="2245" w:type="dxa"/>
          </w:tcPr>
          <w:p w14:paraId="4BDD5985" w14:textId="5BC4FD60" w:rsidR="00C01AD9" w:rsidRPr="00687521" w:rsidRDefault="00422C34" w:rsidP="00985988">
            <w:pPr>
              <w:pStyle w:val="NoSpacing"/>
              <w:rPr>
                <w:sz w:val="20"/>
                <w:szCs w:val="20"/>
              </w:rPr>
            </w:pPr>
            <w:r w:rsidRPr="00687521">
              <w:rPr>
                <w:sz w:val="20"/>
                <w:szCs w:val="20"/>
              </w:rPr>
              <w:t xml:space="preserve">Promise Neighborhoods </w:t>
            </w:r>
          </w:p>
        </w:tc>
        <w:tc>
          <w:tcPr>
            <w:tcW w:w="3510" w:type="dxa"/>
          </w:tcPr>
          <w:p w14:paraId="2C44D502" w14:textId="08B91F62" w:rsidR="00C01AD9" w:rsidRPr="00492ED7" w:rsidRDefault="00574C16" w:rsidP="00985988">
            <w:pPr>
              <w:pStyle w:val="NoSpacing"/>
              <w:rPr>
                <w:sz w:val="20"/>
                <w:szCs w:val="20"/>
              </w:rPr>
            </w:pPr>
            <w:r w:rsidRPr="00492ED7">
              <w:rPr>
                <w:sz w:val="20"/>
                <w:szCs w:val="20"/>
              </w:rPr>
              <w:t xml:space="preserve">Office of </w:t>
            </w:r>
            <w:r w:rsidR="00EE0265" w:rsidRPr="00492ED7">
              <w:rPr>
                <w:sz w:val="20"/>
                <w:szCs w:val="20"/>
              </w:rPr>
              <w:t>Elementary &amp; Secondary Education</w:t>
            </w:r>
          </w:p>
        </w:tc>
        <w:tc>
          <w:tcPr>
            <w:tcW w:w="3595" w:type="dxa"/>
          </w:tcPr>
          <w:p w14:paraId="05C01691" w14:textId="013658B7" w:rsidR="00C01AD9" w:rsidRPr="00492ED7" w:rsidRDefault="00574C16" w:rsidP="00985988">
            <w:pPr>
              <w:pStyle w:val="NoSpacing"/>
              <w:rPr>
                <w:sz w:val="20"/>
                <w:szCs w:val="20"/>
              </w:rPr>
            </w:pPr>
            <w:r w:rsidRPr="00492ED7">
              <w:rPr>
                <w:sz w:val="20"/>
                <w:szCs w:val="20"/>
              </w:rPr>
              <w:t>Community leaders, Promise Neighborhoods grant recipients, &amp; other distressed areas</w:t>
            </w:r>
          </w:p>
        </w:tc>
      </w:tr>
      <w:tr w:rsidR="0066531E" w:rsidRPr="00492ED7" w14:paraId="44283252" w14:textId="77777777" w:rsidTr="00C01AD9">
        <w:tc>
          <w:tcPr>
            <w:tcW w:w="2245" w:type="dxa"/>
          </w:tcPr>
          <w:p w14:paraId="6427C8BB" w14:textId="06548D83" w:rsidR="0066531E" w:rsidRPr="00687521" w:rsidRDefault="0066531E" w:rsidP="00985988">
            <w:pPr>
              <w:pStyle w:val="NoSpacing"/>
              <w:rPr>
                <w:rFonts w:cstheme="minorHAnsi"/>
                <w:color w:val="000000"/>
                <w:sz w:val="20"/>
                <w:szCs w:val="20"/>
              </w:rPr>
            </w:pPr>
            <w:r w:rsidRPr="00687521">
              <w:rPr>
                <w:rFonts w:cstheme="minorHAnsi"/>
                <w:color w:val="000000"/>
                <w:sz w:val="20"/>
                <w:szCs w:val="20"/>
              </w:rPr>
              <w:t xml:space="preserve">STEM Education Newsletter </w:t>
            </w:r>
          </w:p>
        </w:tc>
        <w:tc>
          <w:tcPr>
            <w:tcW w:w="3510" w:type="dxa"/>
          </w:tcPr>
          <w:p w14:paraId="654CA7FD" w14:textId="59D89B67" w:rsidR="0066531E" w:rsidRPr="00492ED7" w:rsidRDefault="00A22C85" w:rsidP="00985988">
            <w:pPr>
              <w:pStyle w:val="NoSpacing"/>
              <w:rPr>
                <w:rFonts w:cstheme="minorHAnsi"/>
                <w:color w:val="000000"/>
                <w:sz w:val="20"/>
                <w:szCs w:val="20"/>
              </w:rPr>
            </w:pPr>
            <w:r w:rsidRPr="00492ED7">
              <w:rPr>
                <w:rFonts w:eastAsia="Calibri" w:cstheme="minorHAnsi"/>
                <w:sz w:val="20"/>
                <w:szCs w:val="20"/>
              </w:rPr>
              <w:t>Office of Planning, Evaluation and Policy Development</w:t>
            </w:r>
          </w:p>
        </w:tc>
        <w:tc>
          <w:tcPr>
            <w:tcW w:w="3595" w:type="dxa"/>
          </w:tcPr>
          <w:p w14:paraId="48D590FE" w14:textId="46D7D14C" w:rsidR="0066531E" w:rsidRPr="00492ED7" w:rsidRDefault="00A22C85" w:rsidP="00985988">
            <w:pPr>
              <w:pStyle w:val="NoSpacing"/>
              <w:rPr>
                <w:sz w:val="20"/>
                <w:szCs w:val="20"/>
              </w:rPr>
            </w:pPr>
            <w:r w:rsidRPr="00492ED7">
              <w:rPr>
                <w:sz w:val="20"/>
                <w:szCs w:val="20"/>
              </w:rPr>
              <w:t>Science, technology, engineering, &amp; math community</w:t>
            </w:r>
          </w:p>
        </w:tc>
      </w:tr>
      <w:tr w:rsidR="00C01AD9" w:rsidRPr="00492ED7" w14:paraId="4A4E7874" w14:textId="77777777" w:rsidTr="00C01AD9">
        <w:tc>
          <w:tcPr>
            <w:tcW w:w="2245" w:type="dxa"/>
          </w:tcPr>
          <w:p w14:paraId="5BA95345" w14:textId="4D97952F" w:rsidR="00C01AD9" w:rsidRPr="00687521" w:rsidRDefault="00C01AD9" w:rsidP="00985988">
            <w:pPr>
              <w:pStyle w:val="NoSpacing"/>
              <w:rPr>
                <w:sz w:val="20"/>
                <w:szCs w:val="20"/>
              </w:rPr>
            </w:pPr>
            <w:r w:rsidRPr="00687521">
              <w:rPr>
                <w:sz w:val="20"/>
                <w:szCs w:val="20"/>
              </w:rPr>
              <w:t xml:space="preserve">Touching Base </w:t>
            </w:r>
          </w:p>
        </w:tc>
        <w:tc>
          <w:tcPr>
            <w:tcW w:w="3510" w:type="dxa"/>
          </w:tcPr>
          <w:p w14:paraId="31295F1C" w14:textId="67274FE2" w:rsidR="00C01AD9" w:rsidRPr="00492ED7" w:rsidRDefault="004C05F9" w:rsidP="00985988">
            <w:pPr>
              <w:pStyle w:val="NoSpacing"/>
              <w:rPr>
                <w:sz w:val="20"/>
                <w:szCs w:val="20"/>
              </w:rPr>
            </w:pPr>
            <w:r w:rsidRPr="00492ED7">
              <w:rPr>
                <w:sz w:val="20"/>
                <w:szCs w:val="20"/>
              </w:rPr>
              <w:t xml:space="preserve">Office of Communications </w:t>
            </w:r>
            <w:r w:rsidR="00175026" w:rsidRPr="00492ED7">
              <w:rPr>
                <w:sz w:val="20"/>
                <w:szCs w:val="20"/>
              </w:rPr>
              <w:t xml:space="preserve">&amp; </w:t>
            </w:r>
            <w:r w:rsidRPr="00492ED7">
              <w:rPr>
                <w:sz w:val="20"/>
                <w:szCs w:val="20"/>
              </w:rPr>
              <w:t>Outreach</w:t>
            </w:r>
          </w:p>
        </w:tc>
        <w:tc>
          <w:tcPr>
            <w:tcW w:w="3595" w:type="dxa"/>
          </w:tcPr>
          <w:p w14:paraId="09EC5390" w14:textId="531D96A7" w:rsidR="00C01AD9" w:rsidRPr="00492ED7" w:rsidRDefault="00C01AD9" w:rsidP="00985988">
            <w:pPr>
              <w:pStyle w:val="NoSpacing"/>
              <w:rPr>
                <w:sz w:val="20"/>
                <w:szCs w:val="20"/>
              </w:rPr>
            </w:pPr>
            <w:r w:rsidRPr="00492ED7">
              <w:rPr>
                <w:sz w:val="20"/>
                <w:szCs w:val="20"/>
              </w:rPr>
              <w:t>Military members &amp; families</w:t>
            </w:r>
          </w:p>
        </w:tc>
      </w:tr>
      <w:tr w:rsidR="00C01AD9" w:rsidRPr="00492ED7" w14:paraId="02359FB5" w14:textId="77777777" w:rsidTr="00C01AD9">
        <w:tc>
          <w:tcPr>
            <w:tcW w:w="2245" w:type="dxa"/>
          </w:tcPr>
          <w:p w14:paraId="3F6FDC5F" w14:textId="4B43125A" w:rsidR="00C01AD9" w:rsidRPr="00687521" w:rsidRDefault="00C01AD9" w:rsidP="00985988">
            <w:pPr>
              <w:pStyle w:val="NoSpacing"/>
              <w:rPr>
                <w:sz w:val="20"/>
                <w:szCs w:val="20"/>
              </w:rPr>
            </w:pPr>
            <w:r w:rsidRPr="00687521">
              <w:rPr>
                <w:sz w:val="20"/>
                <w:szCs w:val="20"/>
              </w:rPr>
              <w:t xml:space="preserve">Youth Voices </w:t>
            </w:r>
          </w:p>
        </w:tc>
        <w:tc>
          <w:tcPr>
            <w:tcW w:w="3510" w:type="dxa"/>
          </w:tcPr>
          <w:p w14:paraId="5E677FC8" w14:textId="63D5F3EC" w:rsidR="00C01AD9" w:rsidRPr="00492ED7" w:rsidRDefault="004C05F9" w:rsidP="00985988">
            <w:pPr>
              <w:pStyle w:val="NoSpacing"/>
              <w:rPr>
                <w:sz w:val="20"/>
                <w:szCs w:val="20"/>
              </w:rPr>
            </w:pPr>
            <w:r w:rsidRPr="00492ED7">
              <w:rPr>
                <w:sz w:val="20"/>
                <w:szCs w:val="20"/>
              </w:rPr>
              <w:t xml:space="preserve">Office of Communications </w:t>
            </w:r>
            <w:r w:rsidR="00175026" w:rsidRPr="00492ED7">
              <w:rPr>
                <w:sz w:val="20"/>
                <w:szCs w:val="20"/>
              </w:rPr>
              <w:t>&amp;</w:t>
            </w:r>
            <w:r w:rsidRPr="00492ED7">
              <w:rPr>
                <w:sz w:val="20"/>
                <w:szCs w:val="20"/>
              </w:rPr>
              <w:t xml:space="preserve"> Outreach</w:t>
            </w:r>
          </w:p>
        </w:tc>
        <w:tc>
          <w:tcPr>
            <w:tcW w:w="3595" w:type="dxa"/>
          </w:tcPr>
          <w:p w14:paraId="4166075F" w14:textId="355A25C3" w:rsidR="00C01AD9" w:rsidRPr="00492ED7" w:rsidRDefault="00C01AD9" w:rsidP="00985988">
            <w:pPr>
              <w:pStyle w:val="NoSpacing"/>
              <w:rPr>
                <w:sz w:val="20"/>
                <w:szCs w:val="20"/>
              </w:rPr>
            </w:pPr>
            <w:r w:rsidRPr="00492ED7">
              <w:rPr>
                <w:sz w:val="20"/>
                <w:szCs w:val="20"/>
              </w:rPr>
              <w:t>Student youths</w:t>
            </w:r>
          </w:p>
        </w:tc>
      </w:tr>
    </w:tbl>
    <w:p w14:paraId="5E3C8E36" w14:textId="1F7D2BDB" w:rsidR="003F3035" w:rsidRPr="00492ED7" w:rsidRDefault="003F3035" w:rsidP="003F3035">
      <w:pPr>
        <w:pStyle w:val="NoSpacing"/>
        <w:rPr>
          <w:sz w:val="20"/>
          <w:szCs w:val="20"/>
        </w:rPr>
      </w:pPr>
    </w:p>
    <w:p w14:paraId="542894F2" w14:textId="77777777" w:rsidR="003F3035" w:rsidRDefault="003F3035" w:rsidP="003F3035">
      <w:pPr>
        <w:pStyle w:val="NoSpacing"/>
      </w:pPr>
    </w:p>
    <w:p w14:paraId="33E6E4E7" w14:textId="3DD7B9D9" w:rsidR="003F3035" w:rsidRPr="0078242B" w:rsidRDefault="003F3035" w:rsidP="00C65620">
      <w:pPr>
        <w:pStyle w:val="NoSpacing"/>
        <w:rPr>
          <w:b/>
          <w:bCs/>
        </w:rPr>
      </w:pPr>
      <w:r w:rsidRPr="0078242B">
        <w:rPr>
          <w:b/>
          <w:bCs/>
        </w:rPr>
        <w:t xml:space="preserve">Social </w:t>
      </w:r>
      <w:r w:rsidR="009E78B8">
        <w:rPr>
          <w:b/>
          <w:bCs/>
        </w:rPr>
        <w:t>M</w:t>
      </w:r>
      <w:r w:rsidRPr="0078242B">
        <w:rPr>
          <w:b/>
          <w:bCs/>
        </w:rPr>
        <w:t xml:space="preserve">edia </w:t>
      </w:r>
      <w:r w:rsidR="009E78B8">
        <w:rPr>
          <w:b/>
          <w:bCs/>
        </w:rPr>
        <w:t>C</w:t>
      </w:r>
      <w:r w:rsidR="000B2E62">
        <w:rPr>
          <w:b/>
          <w:bCs/>
        </w:rPr>
        <w:t xml:space="preserve">ontent </w:t>
      </w:r>
      <w:r w:rsidRPr="0078242B">
        <w:rPr>
          <w:b/>
          <w:bCs/>
        </w:rPr>
        <w:t xml:space="preserve">Review </w:t>
      </w:r>
    </w:p>
    <w:p w14:paraId="3BE8355B" w14:textId="6DE74260" w:rsidR="003F3035" w:rsidRDefault="00551D31" w:rsidP="003F3035">
      <w:pPr>
        <w:pStyle w:val="NoSpacing"/>
      </w:pPr>
      <w:r>
        <w:t>A</w:t>
      </w:r>
      <w:r w:rsidR="003F3035">
        <w:t xml:space="preserve">ll outgoing tweets </w:t>
      </w:r>
      <w:r w:rsidR="00424FAF">
        <w:t>and Face</w:t>
      </w:r>
      <w:r w:rsidR="00AA1952">
        <w:t>b</w:t>
      </w:r>
      <w:r w:rsidR="00424FAF">
        <w:t xml:space="preserve">ook </w:t>
      </w:r>
      <w:r w:rsidR="00CE4CE4">
        <w:t xml:space="preserve">posts </w:t>
      </w:r>
      <w:r w:rsidR="0013211E">
        <w:t xml:space="preserve">are reviewed </w:t>
      </w:r>
      <w:r w:rsidR="003F3035">
        <w:t>to ensure no postings include inaccurate or irrelevant information, and that the posts are easily readable.</w:t>
      </w:r>
      <w:r w:rsidR="00424FAF">
        <w:t xml:space="preserve"> </w:t>
      </w:r>
      <w:r w:rsidR="00987281">
        <w:t xml:space="preserve">The </w:t>
      </w:r>
      <w:r w:rsidR="008B3A34">
        <w:t xml:space="preserve">deputy </w:t>
      </w:r>
      <w:r w:rsidR="00987281">
        <w:t xml:space="preserve">assistant secretary </w:t>
      </w:r>
      <w:r w:rsidR="00D62994">
        <w:t>for communications reviews the secretary’s posts</w:t>
      </w:r>
      <w:r w:rsidR="003F3035">
        <w:t xml:space="preserve"> </w:t>
      </w:r>
      <w:r w:rsidR="00537445">
        <w:t xml:space="preserve">with the director of </w:t>
      </w:r>
      <w:r w:rsidR="00A96DE2">
        <w:t>the D</w:t>
      </w:r>
      <w:r w:rsidR="00537445">
        <w:t xml:space="preserve">igital </w:t>
      </w:r>
      <w:r w:rsidR="00A96DE2">
        <w:t>M</w:t>
      </w:r>
      <w:r w:rsidR="00537445">
        <w:t xml:space="preserve">edia and </w:t>
      </w:r>
      <w:r w:rsidR="00A96DE2">
        <w:t>C</w:t>
      </w:r>
      <w:r w:rsidR="00537445">
        <w:t xml:space="preserve">reative </w:t>
      </w:r>
      <w:r w:rsidR="00A96DE2">
        <w:t>S</w:t>
      </w:r>
      <w:r w:rsidR="00537445">
        <w:t xml:space="preserve">ervices </w:t>
      </w:r>
      <w:r w:rsidR="00A96DE2">
        <w:t xml:space="preserve">Division </w:t>
      </w:r>
      <w:r w:rsidR="00C71F2C">
        <w:t xml:space="preserve">(DMCS) </w:t>
      </w:r>
      <w:r w:rsidR="008014CE">
        <w:t xml:space="preserve">assisting in review of </w:t>
      </w:r>
      <w:r w:rsidR="00347661">
        <w:t xml:space="preserve">the </w:t>
      </w:r>
      <w:r w:rsidR="00537445">
        <w:t xml:space="preserve">agency’s </w:t>
      </w:r>
      <w:r w:rsidR="008014CE">
        <w:t xml:space="preserve">main </w:t>
      </w:r>
      <w:r w:rsidR="00254818">
        <w:t xml:space="preserve">Twitter and Facebook </w:t>
      </w:r>
      <w:r w:rsidR="00537445">
        <w:t>accounts</w:t>
      </w:r>
      <w:r w:rsidR="00254818">
        <w:t>.</w:t>
      </w:r>
      <w:r w:rsidR="00537445">
        <w:t xml:space="preserve"> </w:t>
      </w:r>
      <w:r w:rsidR="00E6502F">
        <w:t xml:space="preserve">As social media continues to gain in popularity as a communications tool, OCO is in the process of hiring </w:t>
      </w:r>
      <w:r w:rsidR="00DB3EA5">
        <w:t>several more staff to address this rise in use</w:t>
      </w:r>
      <w:r w:rsidR="0008757D">
        <w:t xml:space="preserve"> to ensure </w:t>
      </w:r>
      <w:r w:rsidR="000B2E62">
        <w:t>c</w:t>
      </w:r>
      <w:r w:rsidR="0008757D">
        <w:t xml:space="preserve">lear </w:t>
      </w:r>
      <w:r w:rsidR="00DE2E29">
        <w:t xml:space="preserve">and informative </w:t>
      </w:r>
      <w:r w:rsidR="0008757D">
        <w:t xml:space="preserve">messaging. </w:t>
      </w:r>
      <w:r w:rsidR="00DB3EA5">
        <w:t xml:space="preserve"> </w:t>
      </w:r>
    </w:p>
    <w:p w14:paraId="5653A9D1" w14:textId="474E8D99" w:rsidR="003F3035" w:rsidRDefault="003F3035" w:rsidP="003F3035">
      <w:pPr>
        <w:pStyle w:val="NoSpacing"/>
      </w:pPr>
    </w:p>
    <w:p w14:paraId="7936C208" w14:textId="26DAA1CC" w:rsidR="00671E2E" w:rsidRPr="00BD6D40" w:rsidRDefault="00671E2E" w:rsidP="00671E2E">
      <w:pPr>
        <w:pStyle w:val="NoSpacing"/>
        <w:rPr>
          <w:b/>
        </w:rPr>
      </w:pPr>
      <w:r w:rsidRPr="00BD6D40">
        <w:rPr>
          <w:b/>
        </w:rPr>
        <w:t xml:space="preserve">Updating </w:t>
      </w:r>
      <w:r w:rsidR="00A34EC1">
        <w:rPr>
          <w:b/>
        </w:rPr>
        <w:t>Center-</w:t>
      </w:r>
      <w:r w:rsidR="00BD6D40" w:rsidRPr="00BD6D40">
        <w:rPr>
          <w:b/>
        </w:rPr>
        <w:t>Assessed Page</w:t>
      </w:r>
    </w:p>
    <w:p w14:paraId="44BEA637" w14:textId="516A22F5" w:rsidR="00671E2E" w:rsidRDefault="00671E2E" w:rsidP="00671E2E">
      <w:pPr>
        <w:pStyle w:val="NoSpacing"/>
      </w:pPr>
      <w:r w:rsidRPr="003F1068">
        <w:rPr>
          <w:bCs/>
        </w:rPr>
        <w:t xml:space="preserve">Each year, the Center for Plain Language report card reviewers </w:t>
      </w:r>
      <w:r>
        <w:rPr>
          <w:bCs/>
        </w:rPr>
        <w:t xml:space="preserve">grade </w:t>
      </w:r>
      <w:r w:rsidRPr="003F1068">
        <w:rPr>
          <w:bCs/>
        </w:rPr>
        <w:t>two webpages</w:t>
      </w:r>
      <w:r>
        <w:rPr>
          <w:bCs/>
        </w:rPr>
        <w:t xml:space="preserve"> from various agencies</w:t>
      </w:r>
      <w:r w:rsidRPr="003F1068">
        <w:rPr>
          <w:bCs/>
        </w:rPr>
        <w:t>, one for urgent help and one among the most viewed</w:t>
      </w:r>
      <w:r>
        <w:rPr>
          <w:bCs/>
        </w:rPr>
        <w:t>, with the Card’s writing quality an average of the two grades</w:t>
      </w:r>
      <w:r w:rsidRPr="003F1068">
        <w:rPr>
          <w:bCs/>
        </w:rPr>
        <w:t xml:space="preserve">. </w:t>
      </w:r>
      <w:r w:rsidRPr="003F1068">
        <w:t xml:space="preserve">Reviews are staggered </w:t>
      </w:r>
      <w:r w:rsidR="002863D6">
        <w:t xml:space="preserve">with </w:t>
      </w:r>
      <w:r w:rsidRPr="003F1068">
        <w:t xml:space="preserve">one page </w:t>
      </w:r>
      <w:r w:rsidR="007B0E24">
        <w:t xml:space="preserve">in </w:t>
      </w:r>
      <w:r w:rsidRPr="003F1068">
        <w:t xml:space="preserve">first-year </w:t>
      </w:r>
      <w:r w:rsidR="007B0E24">
        <w:t xml:space="preserve">of </w:t>
      </w:r>
      <w:r w:rsidRPr="003F1068">
        <w:t xml:space="preserve">review, while the other is </w:t>
      </w:r>
      <w:r w:rsidR="009C3F7E">
        <w:t>r</w:t>
      </w:r>
      <w:r w:rsidRPr="003F1068">
        <w:rPr>
          <w:bCs/>
        </w:rPr>
        <w:t>eassess</w:t>
      </w:r>
      <w:r w:rsidR="00A0324A">
        <w:rPr>
          <w:bCs/>
        </w:rPr>
        <w:t xml:space="preserve">ed </w:t>
      </w:r>
      <w:r w:rsidR="00AB28FA">
        <w:rPr>
          <w:bCs/>
        </w:rPr>
        <w:t>in the</w:t>
      </w:r>
      <w:r w:rsidR="00BF3886">
        <w:rPr>
          <w:bCs/>
        </w:rPr>
        <w:t xml:space="preserve"> </w:t>
      </w:r>
      <w:r w:rsidR="009C3F7E">
        <w:rPr>
          <w:bCs/>
        </w:rPr>
        <w:t xml:space="preserve">second year to </w:t>
      </w:r>
      <w:r w:rsidRPr="003F1068">
        <w:rPr>
          <w:bCs/>
        </w:rPr>
        <w:t>ascertain improvement</w:t>
      </w:r>
      <w:r w:rsidR="00141DE0">
        <w:rPr>
          <w:bCs/>
        </w:rPr>
        <w:t>s</w:t>
      </w:r>
      <w:r w:rsidRPr="003F1068">
        <w:rPr>
          <w:bCs/>
        </w:rPr>
        <w:t xml:space="preserve"> based on</w:t>
      </w:r>
      <w:r w:rsidRPr="003F1068">
        <w:t xml:space="preserve"> the criteria of understanding audience needs; style or voice; structure and content; information design and navigation; and </w:t>
      </w:r>
      <w:r>
        <w:t xml:space="preserve">use of visuals. </w:t>
      </w:r>
      <w:r w:rsidRPr="003F1068">
        <w:rPr>
          <w:bCs/>
        </w:rPr>
        <w:t xml:space="preserve">For FY20, </w:t>
      </w:r>
      <w:r>
        <w:rPr>
          <w:bCs/>
        </w:rPr>
        <w:t>r</w:t>
      </w:r>
      <w:r w:rsidRPr="003F1068">
        <w:rPr>
          <w:bCs/>
        </w:rPr>
        <w:t xml:space="preserve">eviewers reassessed </w:t>
      </w:r>
      <w:r w:rsidR="009B5676">
        <w:rPr>
          <w:bCs/>
        </w:rPr>
        <w:t xml:space="preserve">the </w:t>
      </w:r>
      <w:hyperlink r:id="rId10" w:history="1">
        <w:r w:rsidRPr="003F1068">
          <w:rPr>
            <w:rStyle w:val="Hyperlink"/>
          </w:rPr>
          <w:t>Family Educational Rights and Privacy Act</w:t>
        </w:r>
      </w:hyperlink>
      <w:r w:rsidRPr="003F1068">
        <w:t xml:space="preserve"> (FERPA) page</w:t>
      </w:r>
      <w:r>
        <w:t xml:space="preserve">; FERPA is under the purview of the </w:t>
      </w:r>
      <w:hyperlink r:id="rId11" w:history="1">
        <w:r w:rsidRPr="00FA0365">
          <w:rPr>
            <w:rStyle w:val="Hyperlink"/>
          </w:rPr>
          <w:t>Student Privacy Policy Office</w:t>
        </w:r>
      </w:hyperlink>
      <w:r>
        <w:t xml:space="preserve"> (SPPO). The director of SPPO </w:t>
      </w:r>
      <w:r w:rsidR="00D976C8">
        <w:t>ha</w:t>
      </w:r>
      <w:r w:rsidR="00380A11">
        <w:t>s</w:t>
      </w:r>
      <w:r w:rsidR="00D976C8">
        <w:t xml:space="preserve"> </w:t>
      </w:r>
      <w:r>
        <w:t>met with ED’s plain language officer and the director of D</w:t>
      </w:r>
      <w:r w:rsidR="001D715B">
        <w:t>MCS</w:t>
      </w:r>
      <w:r>
        <w:t xml:space="preserve"> to discuss presentation of FERPA information</w:t>
      </w:r>
      <w:r w:rsidR="009B5676">
        <w:t xml:space="preserve"> an</w:t>
      </w:r>
      <w:r w:rsidR="00916861">
        <w:t xml:space="preserve">d relocating FERPA information to </w:t>
      </w:r>
      <w:r w:rsidR="004719F3">
        <w:t xml:space="preserve">the SPPO page. </w:t>
      </w:r>
    </w:p>
    <w:p w14:paraId="60FB68D1" w14:textId="77777777" w:rsidR="00671E2E" w:rsidRDefault="00671E2E" w:rsidP="00671E2E">
      <w:pPr>
        <w:pStyle w:val="NoSpacing"/>
      </w:pPr>
    </w:p>
    <w:p w14:paraId="2B9B0C7C" w14:textId="0816BC7B" w:rsidR="009E78B8" w:rsidRPr="009E78B8" w:rsidRDefault="009E78B8" w:rsidP="003F3035">
      <w:pPr>
        <w:pStyle w:val="NoSpacing"/>
        <w:rPr>
          <w:b/>
          <w:bCs/>
        </w:rPr>
      </w:pPr>
      <w:r w:rsidRPr="009E78B8">
        <w:rPr>
          <w:b/>
          <w:bCs/>
        </w:rPr>
        <w:t>Other Compliance</w:t>
      </w:r>
    </w:p>
    <w:p w14:paraId="5E5AD3C6" w14:textId="0823C54A" w:rsidR="008C6705" w:rsidRPr="008C6705" w:rsidRDefault="008C6705" w:rsidP="00316570">
      <w:pPr>
        <w:pStyle w:val="NoSpacing"/>
        <w:ind w:firstLine="720"/>
      </w:pPr>
      <w:r w:rsidRPr="00FC69B8">
        <w:rPr>
          <w:b/>
          <w:bCs/>
          <w:i/>
          <w:iCs/>
        </w:rPr>
        <w:t xml:space="preserve">Stock </w:t>
      </w:r>
      <w:r w:rsidR="0062618C">
        <w:rPr>
          <w:b/>
          <w:bCs/>
          <w:i/>
          <w:iCs/>
        </w:rPr>
        <w:t>i</w:t>
      </w:r>
      <w:r w:rsidRPr="00FC69B8">
        <w:rPr>
          <w:b/>
          <w:bCs/>
          <w:i/>
          <w:iCs/>
        </w:rPr>
        <w:t xml:space="preserve">mage </w:t>
      </w:r>
      <w:r w:rsidR="0062618C">
        <w:rPr>
          <w:b/>
          <w:bCs/>
          <w:i/>
          <w:iCs/>
        </w:rPr>
        <w:t>u</w:t>
      </w:r>
      <w:r w:rsidR="00283C4F" w:rsidRPr="00FC69B8">
        <w:rPr>
          <w:b/>
          <w:bCs/>
          <w:i/>
          <w:iCs/>
        </w:rPr>
        <w:t>se</w:t>
      </w:r>
      <w:r w:rsidR="0011511F">
        <w:rPr>
          <w:b/>
          <w:bCs/>
        </w:rPr>
        <w:t>.</w:t>
      </w:r>
      <w:r w:rsidR="009056FF">
        <w:rPr>
          <w:b/>
          <w:bCs/>
        </w:rPr>
        <w:t xml:space="preserve"> </w:t>
      </w:r>
      <w:r w:rsidR="009056FF" w:rsidRPr="009056FF">
        <w:t>Given</w:t>
      </w:r>
      <w:r w:rsidR="009056FF">
        <w:rPr>
          <w:b/>
          <w:bCs/>
        </w:rPr>
        <w:t xml:space="preserve"> </w:t>
      </w:r>
      <w:r w:rsidR="006D7232" w:rsidRPr="00707C0B">
        <w:rPr>
          <w:rFonts w:cstheme="minorHAnsi"/>
        </w:rPr>
        <w:t>images</w:t>
      </w:r>
      <w:r w:rsidR="00B70407">
        <w:rPr>
          <w:rFonts w:cstheme="minorHAnsi"/>
        </w:rPr>
        <w:t xml:space="preserve"> enhanc</w:t>
      </w:r>
      <w:r w:rsidR="009056FF">
        <w:rPr>
          <w:rFonts w:cstheme="minorHAnsi"/>
        </w:rPr>
        <w:t xml:space="preserve">e </w:t>
      </w:r>
      <w:r w:rsidR="00BB29D2">
        <w:rPr>
          <w:rFonts w:cstheme="minorHAnsi"/>
        </w:rPr>
        <w:t xml:space="preserve">readability </w:t>
      </w:r>
      <w:r w:rsidR="006D7232" w:rsidRPr="00707C0B">
        <w:rPr>
          <w:rFonts w:cstheme="minorHAnsi"/>
        </w:rPr>
        <w:t>and reader engagement</w:t>
      </w:r>
      <w:r w:rsidR="00283C4F">
        <w:rPr>
          <w:rFonts w:cstheme="minorHAnsi"/>
        </w:rPr>
        <w:t xml:space="preserve">, OCO </w:t>
      </w:r>
      <w:r w:rsidR="008A385F">
        <w:rPr>
          <w:rFonts w:cstheme="minorHAnsi"/>
        </w:rPr>
        <w:t xml:space="preserve">has a </w:t>
      </w:r>
      <w:r w:rsidR="00B70407">
        <w:rPr>
          <w:rFonts w:cstheme="minorHAnsi"/>
        </w:rPr>
        <w:t>c</w:t>
      </w:r>
      <w:r w:rsidR="00283C4F">
        <w:rPr>
          <w:rFonts w:cstheme="minorHAnsi"/>
        </w:rPr>
        <w:t>ontract with Adobe Stock</w:t>
      </w:r>
      <w:r w:rsidR="0044059B">
        <w:rPr>
          <w:rFonts w:cstheme="minorHAnsi"/>
        </w:rPr>
        <w:t xml:space="preserve">, </w:t>
      </w:r>
      <w:r w:rsidR="005355EB">
        <w:t xml:space="preserve">providing 10 seat licenses </w:t>
      </w:r>
      <w:r w:rsidR="007A7822">
        <w:t xml:space="preserve">to </w:t>
      </w:r>
      <w:r w:rsidR="005355EB">
        <w:t xml:space="preserve">staff </w:t>
      </w:r>
      <w:r w:rsidR="007A7822">
        <w:t>of t</w:t>
      </w:r>
      <w:r w:rsidR="005355EB">
        <w:t xml:space="preserve">he </w:t>
      </w:r>
      <w:r w:rsidR="002A42E4">
        <w:t>Writing Division</w:t>
      </w:r>
      <w:r w:rsidR="00223A1D">
        <w:t xml:space="preserve"> and </w:t>
      </w:r>
      <w:r w:rsidR="008B4D10">
        <w:t>DMCS</w:t>
      </w:r>
      <w:r w:rsidR="00223A1D">
        <w:t xml:space="preserve">. </w:t>
      </w:r>
      <w:r w:rsidR="008A385F">
        <w:t xml:space="preserve">Plain Language Officer Kate Devine </w:t>
      </w:r>
      <w:r w:rsidR="00443CC7">
        <w:t>holds one of these seat licenses, assisting with image requests</w:t>
      </w:r>
      <w:r w:rsidR="003709AE">
        <w:t>, fo</w:t>
      </w:r>
      <w:r w:rsidR="00A357C8">
        <w:t xml:space="preserve">r </w:t>
      </w:r>
      <w:r w:rsidR="003709AE">
        <w:t xml:space="preserve">use in </w:t>
      </w:r>
      <w:r w:rsidR="00773C73">
        <w:t xml:space="preserve">OCO </w:t>
      </w:r>
      <w:r w:rsidR="00A357C8">
        <w:t>newsletters</w:t>
      </w:r>
      <w:r w:rsidR="00773C73">
        <w:t xml:space="preserve">. </w:t>
      </w:r>
      <w:r w:rsidR="003A53B5">
        <w:t xml:space="preserve"> </w:t>
      </w:r>
      <w:r w:rsidR="00747566">
        <w:t xml:space="preserve"> </w:t>
      </w:r>
    </w:p>
    <w:p w14:paraId="4994720B" w14:textId="77777777" w:rsidR="008C6705" w:rsidRDefault="008C6705" w:rsidP="003F3035">
      <w:pPr>
        <w:pStyle w:val="NoSpacing"/>
        <w:rPr>
          <w:b/>
          <w:bCs/>
        </w:rPr>
      </w:pPr>
    </w:p>
    <w:p w14:paraId="32AA4151" w14:textId="40B4FBF1" w:rsidR="005F2DCF" w:rsidRPr="005F2DCF" w:rsidRDefault="003F3035" w:rsidP="005F2DCF">
      <w:pPr>
        <w:pStyle w:val="NoSpacing"/>
        <w:ind w:firstLine="720"/>
        <w:rPr>
          <w:rFonts w:eastAsia="Calibri" w:cstheme="minorHAnsi"/>
        </w:rPr>
      </w:pPr>
      <w:r w:rsidRPr="00FC69B8">
        <w:rPr>
          <w:b/>
          <w:bCs/>
          <w:i/>
          <w:iCs/>
        </w:rPr>
        <w:t xml:space="preserve">508 </w:t>
      </w:r>
      <w:r w:rsidR="0062618C">
        <w:rPr>
          <w:b/>
          <w:bCs/>
          <w:i/>
          <w:iCs/>
        </w:rPr>
        <w:t>c</w:t>
      </w:r>
      <w:r w:rsidRPr="00FC69B8">
        <w:rPr>
          <w:b/>
          <w:bCs/>
          <w:i/>
          <w:iCs/>
        </w:rPr>
        <w:t>ompliance</w:t>
      </w:r>
      <w:r w:rsidR="00316570">
        <w:rPr>
          <w:b/>
          <w:bCs/>
        </w:rPr>
        <w:t xml:space="preserve">. </w:t>
      </w:r>
      <w:r w:rsidR="00151818">
        <w:rPr>
          <w:rFonts w:cstheme="minorHAnsi"/>
        </w:rPr>
        <w:t>S</w:t>
      </w:r>
      <w:r w:rsidRPr="009B36C9">
        <w:rPr>
          <w:rFonts w:cstheme="minorHAnsi"/>
        </w:rPr>
        <w:t>ection 508 of the Rehabilitation Act of 1973</w:t>
      </w:r>
      <w:r w:rsidR="000539A0">
        <w:rPr>
          <w:rFonts w:cstheme="minorHAnsi"/>
        </w:rPr>
        <w:t xml:space="preserve"> </w:t>
      </w:r>
      <w:r w:rsidRPr="009B36C9">
        <w:rPr>
          <w:rFonts w:cstheme="minorHAnsi"/>
        </w:rPr>
        <w:t xml:space="preserve">requires agencies to make </w:t>
      </w:r>
      <w:r w:rsidR="00151818">
        <w:rPr>
          <w:rFonts w:cstheme="minorHAnsi"/>
        </w:rPr>
        <w:t xml:space="preserve">information </w:t>
      </w:r>
      <w:r w:rsidRPr="009B36C9">
        <w:rPr>
          <w:rFonts w:cstheme="minorHAnsi"/>
        </w:rPr>
        <w:t xml:space="preserve">accessible to those with disabilities. </w:t>
      </w:r>
      <w:r w:rsidR="008B38C9" w:rsidRPr="009B36C9">
        <w:rPr>
          <w:rFonts w:eastAsia="Calibri" w:cstheme="minorHAnsi"/>
        </w:rPr>
        <w:t xml:space="preserve">In FY20, </w:t>
      </w:r>
      <w:r w:rsidR="00151818" w:rsidRPr="009B36C9">
        <w:rPr>
          <w:rFonts w:cstheme="minorHAnsi"/>
        </w:rPr>
        <w:t>compl</w:t>
      </w:r>
      <w:r w:rsidR="00943419">
        <w:rPr>
          <w:rFonts w:cstheme="minorHAnsi"/>
        </w:rPr>
        <w:t>iance</w:t>
      </w:r>
      <w:r w:rsidR="00151818">
        <w:rPr>
          <w:rFonts w:cstheme="minorHAnsi"/>
        </w:rPr>
        <w:t xml:space="preserve"> </w:t>
      </w:r>
      <w:r w:rsidR="000A79FA">
        <w:rPr>
          <w:rFonts w:cstheme="minorHAnsi"/>
        </w:rPr>
        <w:t xml:space="preserve">work </w:t>
      </w:r>
      <w:r w:rsidR="00151818">
        <w:rPr>
          <w:rFonts w:cstheme="minorHAnsi"/>
        </w:rPr>
        <w:t>include</w:t>
      </w:r>
      <w:r w:rsidR="000A79FA">
        <w:rPr>
          <w:rFonts w:cstheme="minorHAnsi"/>
        </w:rPr>
        <w:t>d</w:t>
      </w:r>
      <w:r w:rsidR="00943419">
        <w:rPr>
          <w:rFonts w:cstheme="minorHAnsi"/>
        </w:rPr>
        <w:t xml:space="preserve"> </w:t>
      </w:r>
      <w:r w:rsidR="00F41226">
        <w:rPr>
          <w:rFonts w:cstheme="minorHAnsi"/>
        </w:rPr>
        <w:t>translation</w:t>
      </w:r>
      <w:r w:rsidR="00943419">
        <w:rPr>
          <w:rFonts w:cstheme="minorHAnsi"/>
        </w:rPr>
        <w:t xml:space="preserve">s </w:t>
      </w:r>
      <w:r w:rsidR="00F41226">
        <w:rPr>
          <w:rFonts w:cstheme="minorHAnsi"/>
        </w:rPr>
        <w:t xml:space="preserve">and presentation </w:t>
      </w:r>
      <w:r w:rsidR="00943419">
        <w:rPr>
          <w:rFonts w:cstheme="minorHAnsi"/>
        </w:rPr>
        <w:t xml:space="preserve">activities. </w:t>
      </w:r>
      <w:r w:rsidR="00310DEA">
        <w:rPr>
          <w:rFonts w:cstheme="minorHAnsi"/>
        </w:rPr>
        <w:t>S</w:t>
      </w:r>
      <w:r w:rsidR="008B38C9" w:rsidRPr="009B36C9">
        <w:rPr>
          <w:rFonts w:eastAsia="Calibri" w:cstheme="minorHAnsi"/>
        </w:rPr>
        <w:t>ix Frequently Asked Questions documents in response to COVID-19 were translated for the limited English proficient community</w:t>
      </w:r>
      <w:r w:rsidR="00CC4B99">
        <w:rPr>
          <w:rFonts w:eastAsia="Calibri" w:cstheme="minorHAnsi"/>
        </w:rPr>
        <w:t xml:space="preserve"> </w:t>
      </w:r>
      <w:r w:rsidR="008B38C9" w:rsidRPr="009B36C9">
        <w:rPr>
          <w:rFonts w:eastAsia="Calibri" w:cstheme="minorHAnsi"/>
        </w:rPr>
        <w:t>and assessed for 508 compliance. The documents were initially reviewed for clarity in order for translation to proceed.</w:t>
      </w:r>
      <w:r w:rsidR="002B4021">
        <w:rPr>
          <w:rFonts w:eastAsia="Calibri" w:cstheme="minorHAnsi"/>
        </w:rPr>
        <w:t xml:space="preserve"> </w:t>
      </w:r>
      <w:r w:rsidR="00310DEA">
        <w:rPr>
          <w:rFonts w:eastAsia="Calibri" w:cstheme="minorHAnsi"/>
        </w:rPr>
        <w:t xml:space="preserve"> </w:t>
      </w:r>
      <w:r w:rsidR="005F2DCF" w:rsidRPr="005F2DCF">
        <w:rPr>
          <w:rFonts w:cstheme="minorHAnsi"/>
        </w:rPr>
        <w:t xml:space="preserve">A rotating slide </w:t>
      </w:r>
      <w:r w:rsidR="005F2DCF" w:rsidRPr="005F2DCF">
        <w:rPr>
          <w:rFonts w:cstheme="minorHAnsi"/>
        </w:rPr>
        <w:lastRenderedPageBreak/>
        <w:t>presentation for an OCO all-staff was assessed for readability and screen reader use, with changes being made to text colors, background, and fonts</w:t>
      </w:r>
      <w:r w:rsidR="00CD2185">
        <w:rPr>
          <w:rFonts w:cstheme="minorHAnsi"/>
        </w:rPr>
        <w:t xml:space="preserve">. </w:t>
      </w:r>
    </w:p>
    <w:p w14:paraId="61D8E0E3" w14:textId="4036D558" w:rsidR="001B705A" w:rsidRDefault="001B705A" w:rsidP="003F3035">
      <w:pPr>
        <w:pStyle w:val="NoSpacing"/>
        <w:rPr>
          <w:sz w:val="24"/>
          <w:szCs w:val="24"/>
        </w:rPr>
      </w:pPr>
    </w:p>
    <w:p w14:paraId="40B89A7F" w14:textId="6FE3A86A" w:rsidR="00906F8A" w:rsidRPr="0064745D" w:rsidRDefault="00906F8A" w:rsidP="00316570">
      <w:pPr>
        <w:pStyle w:val="NoSpacing"/>
        <w:ind w:firstLine="720"/>
        <w:rPr>
          <w:rFonts w:cstheme="minorHAnsi"/>
        </w:rPr>
      </w:pPr>
      <w:r w:rsidRPr="00FC69B8">
        <w:rPr>
          <w:b/>
          <w:bCs/>
          <w:i/>
          <w:iCs/>
        </w:rPr>
        <w:t xml:space="preserve">Website </w:t>
      </w:r>
      <w:r w:rsidR="0062618C">
        <w:rPr>
          <w:b/>
          <w:bCs/>
          <w:i/>
          <w:iCs/>
        </w:rPr>
        <w:t>m</w:t>
      </w:r>
      <w:r w:rsidRPr="00FC69B8">
        <w:rPr>
          <w:b/>
          <w:bCs/>
          <w:i/>
          <w:iCs/>
        </w:rPr>
        <w:t>odernization</w:t>
      </w:r>
      <w:r w:rsidR="00316570">
        <w:rPr>
          <w:b/>
          <w:bCs/>
        </w:rPr>
        <w:t xml:space="preserve">. </w:t>
      </w:r>
      <w:r w:rsidRPr="0059394A">
        <w:rPr>
          <w:rFonts w:cstheme="minorHAnsi"/>
        </w:rPr>
        <w:t xml:space="preserve">OCO continues its multiyear effort to increase staff awareness of communication competencies and how they can be utilized to ensure a contemporary approach to communications. </w:t>
      </w:r>
      <w:r>
        <w:rPr>
          <w:rFonts w:cstheme="minorHAnsi"/>
        </w:rPr>
        <w:t xml:space="preserve">These competencies are now being utilized in an OCO-wide </w:t>
      </w:r>
      <w:r w:rsidRPr="0059394A">
        <w:rPr>
          <w:rFonts w:cstheme="minorHAnsi"/>
        </w:rPr>
        <w:t xml:space="preserve">modernization of ED.gov to </w:t>
      </w:r>
      <w:r w:rsidRPr="0059394A">
        <w:rPr>
          <w:rFonts w:eastAsia="Calibri" w:cstheme="minorHAnsi"/>
        </w:rPr>
        <w:t xml:space="preserve">improve the management, content, and effectiveness of the site. </w:t>
      </w:r>
      <w:r w:rsidRPr="005F4916">
        <w:rPr>
          <w:rFonts w:cstheme="minorHAnsi"/>
        </w:rPr>
        <w:t xml:space="preserve">The Department </w:t>
      </w:r>
      <w:r w:rsidR="00EE3DE0">
        <w:rPr>
          <w:rFonts w:cstheme="minorHAnsi"/>
        </w:rPr>
        <w:t xml:space="preserve">has </w:t>
      </w:r>
      <w:r w:rsidRPr="005F4916">
        <w:rPr>
          <w:rFonts w:cstheme="minorHAnsi"/>
        </w:rPr>
        <w:t xml:space="preserve">issued </w:t>
      </w:r>
      <w:r>
        <w:rPr>
          <w:rFonts w:cstheme="minorHAnsi"/>
        </w:rPr>
        <w:t xml:space="preserve">a </w:t>
      </w:r>
      <w:r w:rsidRPr="0099541D">
        <w:rPr>
          <w:rFonts w:cstheme="minorHAnsi"/>
        </w:rPr>
        <w:t>d</w:t>
      </w:r>
      <w:r w:rsidRPr="0099541D">
        <w:rPr>
          <w:rFonts w:eastAsia="Times New Roman" w:cstheme="minorHAnsi"/>
        </w:rPr>
        <w:t>irective</w:t>
      </w:r>
      <w:r>
        <w:rPr>
          <w:rFonts w:eastAsia="Times New Roman" w:cstheme="minorHAnsi"/>
        </w:rPr>
        <w:t xml:space="preserve"> </w:t>
      </w:r>
      <w:r w:rsidRPr="005F4916">
        <w:rPr>
          <w:rFonts w:eastAsia="Calibri" w:cstheme="minorHAnsi"/>
        </w:rPr>
        <w:t>establish</w:t>
      </w:r>
      <w:r>
        <w:rPr>
          <w:rFonts w:eastAsia="Calibri" w:cstheme="minorHAnsi"/>
        </w:rPr>
        <w:t xml:space="preserve">ing </w:t>
      </w:r>
      <w:r w:rsidRPr="005F4916">
        <w:rPr>
          <w:rFonts w:eastAsia="Calibri" w:cstheme="minorHAnsi"/>
        </w:rPr>
        <w:t>standards and procedures to ensure centralized web content governance</w:t>
      </w:r>
      <w:r w:rsidR="00A46E89">
        <w:rPr>
          <w:rFonts w:eastAsia="Calibri" w:cstheme="minorHAnsi"/>
        </w:rPr>
        <w:t xml:space="preserve">, which </w:t>
      </w:r>
      <w:r w:rsidRPr="005F4916">
        <w:rPr>
          <w:rFonts w:cstheme="minorHAnsi"/>
        </w:rPr>
        <w:t>is intended to provide a clear understanding of policy, authorization, applicability, roles, and responsibilities necessary for provision of organized and relevant information.</w:t>
      </w:r>
      <w:r>
        <w:rPr>
          <w:rFonts w:cstheme="minorHAnsi"/>
        </w:rPr>
        <w:t xml:space="preserve"> </w:t>
      </w:r>
      <w:r w:rsidRPr="0064745D">
        <w:rPr>
          <w:rFonts w:cstheme="minorHAnsi"/>
        </w:rPr>
        <w:t xml:space="preserve"> </w:t>
      </w:r>
    </w:p>
    <w:p w14:paraId="050BE37D" w14:textId="77777777" w:rsidR="00906F8A" w:rsidRDefault="00906F8A" w:rsidP="00906F8A">
      <w:pPr>
        <w:rPr>
          <w:rFonts w:asciiTheme="minorHAnsi" w:hAnsiTheme="minorHAnsi" w:cstheme="minorHAnsi"/>
          <w:sz w:val="22"/>
          <w:szCs w:val="22"/>
        </w:rPr>
      </w:pPr>
    </w:p>
    <w:p w14:paraId="3422F4B9" w14:textId="7176B279" w:rsidR="00906F8A" w:rsidRPr="00145A6E" w:rsidRDefault="008902A9" w:rsidP="00906F8A">
      <w:pPr>
        <w:ind w:firstLine="720"/>
        <w:rPr>
          <w:rFonts w:asciiTheme="minorHAnsi" w:eastAsia="Times New Roman" w:hAnsiTheme="minorHAnsi" w:cstheme="minorHAnsi"/>
          <w:sz w:val="22"/>
          <w:szCs w:val="22"/>
        </w:rPr>
      </w:pPr>
      <w:r w:rsidRPr="00FC69B8">
        <w:rPr>
          <w:rFonts w:asciiTheme="minorHAnsi" w:hAnsiTheme="minorHAnsi" w:cstheme="minorHAnsi"/>
          <w:b/>
          <w:bCs/>
          <w:i/>
          <w:iCs/>
          <w:sz w:val="22"/>
          <w:szCs w:val="22"/>
        </w:rPr>
        <w:t>I</w:t>
      </w:r>
      <w:r w:rsidR="00906F8A" w:rsidRPr="00FC69B8">
        <w:rPr>
          <w:rFonts w:asciiTheme="minorHAnsi" w:hAnsiTheme="minorHAnsi" w:cstheme="minorHAnsi"/>
          <w:b/>
          <w:bCs/>
          <w:i/>
          <w:iCs/>
          <w:sz w:val="22"/>
          <w:szCs w:val="22"/>
        </w:rPr>
        <w:t>nnovative projects</w:t>
      </w:r>
      <w:r w:rsidR="00FF7B64" w:rsidRPr="00FC69B8">
        <w:rPr>
          <w:rFonts w:asciiTheme="minorHAnsi" w:hAnsiTheme="minorHAnsi" w:cstheme="minorHAnsi"/>
          <w:b/>
          <w:bCs/>
          <w:i/>
          <w:iCs/>
          <w:sz w:val="22"/>
          <w:szCs w:val="22"/>
        </w:rPr>
        <w:t xml:space="preserve"> initiated</w:t>
      </w:r>
      <w:r w:rsidR="00906F8A" w:rsidRPr="00FC69B8">
        <w:rPr>
          <w:rFonts w:asciiTheme="minorHAnsi" w:hAnsiTheme="minorHAnsi" w:cstheme="minorHAnsi"/>
          <w:b/>
          <w:bCs/>
          <w:i/>
          <w:iCs/>
          <w:sz w:val="22"/>
          <w:szCs w:val="22"/>
        </w:rPr>
        <w:t>.</w:t>
      </w:r>
      <w:r w:rsidR="00906F8A">
        <w:rPr>
          <w:rFonts w:asciiTheme="minorHAnsi" w:hAnsiTheme="minorHAnsi" w:cstheme="minorHAnsi"/>
          <w:sz w:val="22"/>
          <w:szCs w:val="22"/>
        </w:rPr>
        <w:t xml:space="preserve"> </w:t>
      </w:r>
      <w:r w:rsidR="00906F8A" w:rsidRPr="00145A6E">
        <w:rPr>
          <w:rFonts w:asciiTheme="minorHAnsi" w:hAnsiTheme="minorHAnsi" w:cstheme="minorHAnsi"/>
          <w:sz w:val="22"/>
          <w:szCs w:val="22"/>
        </w:rPr>
        <w:t xml:space="preserve">As part of this modernization effort, OCO initiated five projects </w:t>
      </w:r>
      <w:r w:rsidR="00232A5F">
        <w:rPr>
          <w:rFonts w:asciiTheme="minorHAnsi" w:hAnsiTheme="minorHAnsi" w:cstheme="minorHAnsi"/>
          <w:sz w:val="22"/>
          <w:szCs w:val="22"/>
        </w:rPr>
        <w:t>focusing on</w:t>
      </w:r>
      <w:r w:rsidR="00906F8A" w:rsidRPr="00145A6E">
        <w:rPr>
          <w:rFonts w:asciiTheme="minorHAnsi" w:hAnsiTheme="minorHAnsi" w:cstheme="minorHAnsi"/>
          <w:sz w:val="22"/>
          <w:szCs w:val="22"/>
        </w:rPr>
        <w:t xml:space="preserve"> various aspects of </w:t>
      </w:r>
      <w:r w:rsidR="00867FBF">
        <w:rPr>
          <w:rFonts w:asciiTheme="minorHAnsi" w:hAnsiTheme="minorHAnsi" w:cstheme="minorHAnsi"/>
          <w:sz w:val="22"/>
          <w:szCs w:val="22"/>
        </w:rPr>
        <w:t xml:space="preserve">the </w:t>
      </w:r>
      <w:r w:rsidR="00906F8A" w:rsidRPr="00145A6E">
        <w:rPr>
          <w:rFonts w:asciiTheme="minorHAnsi" w:hAnsiTheme="minorHAnsi" w:cstheme="minorHAnsi"/>
          <w:sz w:val="22"/>
          <w:szCs w:val="22"/>
        </w:rPr>
        <w:t xml:space="preserve">ED.gov </w:t>
      </w:r>
      <w:r w:rsidR="00867FBF">
        <w:rPr>
          <w:rFonts w:asciiTheme="minorHAnsi" w:hAnsiTheme="minorHAnsi" w:cstheme="minorHAnsi"/>
          <w:sz w:val="22"/>
          <w:szCs w:val="22"/>
        </w:rPr>
        <w:t xml:space="preserve">website and </w:t>
      </w:r>
      <w:r w:rsidR="00147A01">
        <w:rPr>
          <w:rFonts w:asciiTheme="minorHAnsi" w:hAnsiTheme="minorHAnsi" w:cstheme="minorHAnsi"/>
          <w:sz w:val="22"/>
          <w:szCs w:val="22"/>
        </w:rPr>
        <w:t xml:space="preserve">the Department’s </w:t>
      </w:r>
      <w:r w:rsidR="0009338D">
        <w:rPr>
          <w:rFonts w:asciiTheme="minorHAnsi" w:hAnsiTheme="minorHAnsi" w:cstheme="minorHAnsi"/>
          <w:sz w:val="22"/>
          <w:szCs w:val="22"/>
        </w:rPr>
        <w:t>call/information</w:t>
      </w:r>
      <w:r w:rsidR="000324C9">
        <w:rPr>
          <w:rFonts w:asciiTheme="minorHAnsi" w:hAnsiTheme="minorHAnsi" w:cstheme="minorHAnsi"/>
          <w:sz w:val="22"/>
          <w:szCs w:val="22"/>
        </w:rPr>
        <w:t xml:space="preserve"> center, </w:t>
      </w:r>
      <w:r w:rsidR="00906F8A" w:rsidRPr="00145A6E">
        <w:rPr>
          <w:rFonts w:asciiTheme="minorHAnsi" w:hAnsiTheme="minorHAnsi" w:cstheme="minorHAnsi"/>
          <w:sz w:val="22"/>
          <w:szCs w:val="22"/>
        </w:rPr>
        <w:t>with the ultimate goal of</w:t>
      </w:r>
      <w:r w:rsidR="00906F8A" w:rsidRPr="00145A6E">
        <w:rPr>
          <w:rFonts w:asciiTheme="minorHAnsi" w:eastAsia="Calibri" w:hAnsiTheme="minorHAnsi" w:cstheme="minorHAnsi"/>
          <w:sz w:val="22"/>
          <w:szCs w:val="22"/>
        </w:rPr>
        <w:t xml:space="preserve"> understanding </w:t>
      </w:r>
      <w:r w:rsidR="006526E5">
        <w:rPr>
          <w:rFonts w:asciiTheme="minorHAnsi" w:eastAsia="Calibri" w:hAnsiTheme="minorHAnsi" w:cstheme="minorHAnsi"/>
          <w:sz w:val="22"/>
          <w:szCs w:val="22"/>
        </w:rPr>
        <w:t xml:space="preserve">agency </w:t>
      </w:r>
      <w:r w:rsidR="00906F8A" w:rsidRPr="00145A6E">
        <w:rPr>
          <w:rFonts w:asciiTheme="minorHAnsi" w:eastAsia="Calibri" w:hAnsiTheme="minorHAnsi" w:cstheme="minorHAnsi"/>
          <w:sz w:val="22"/>
          <w:szCs w:val="22"/>
        </w:rPr>
        <w:t>audiences and transmitting messages to them using their preferred channel(s)</w:t>
      </w:r>
      <w:r w:rsidR="00906F8A" w:rsidRPr="00145A6E">
        <w:rPr>
          <w:rFonts w:asciiTheme="minorHAnsi" w:hAnsiTheme="minorHAnsi" w:cstheme="minorHAnsi"/>
          <w:sz w:val="22"/>
          <w:szCs w:val="22"/>
        </w:rPr>
        <w:t xml:space="preserve"> so as to provide more efficient and effective customer service</w:t>
      </w:r>
      <w:r w:rsidR="00906F8A" w:rsidRPr="00145A6E">
        <w:rPr>
          <w:rFonts w:asciiTheme="minorHAnsi" w:eastAsia="Calibri" w:hAnsiTheme="minorHAnsi" w:cstheme="minorHAnsi"/>
          <w:sz w:val="22"/>
          <w:szCs w:val="22"/>
        </w:rPr>
        <w:t xml:space="preserve">. These projects, staffed fully with OCO volunteers for the initial phases, are: </w:t>
      </w:r>
      <w:r w:rsidR="00906F8A">
        <w:rPr>
          <w:rFonts w:asciiTheme="minorHAnsi" w:eastAsia="Calibri" w:hAnsiTheme="minorHAnsi" w:cstheme="minorHAnsi"/>
          <w:sz w:val="22"/>
          <w:szCs w:val="22"/>
        </w:rPr>
        <w:t xml:space="preserve">redesigning </w:t>
      </w:r>
      <w:r w:rsidR="00906F8A" w:rsidRPr="00145A6E">
        <w:rPr>
          <w:rFonts w:asciiTheme="minorHAnsi" w:eastAsia="Calibri" w:hAnsiTheme="minorHAnsi" w:cstheme="minorHAnsi"/>
          <w:sz w:val="22"/>
          <w:szCs w:val="22"/>
        </w:rPr>
        <w:t xml:space="preserve">ED.gov; </w:t>
      </w:r>
      <w:r w:rsidR="00906F8A">
        <w:rPr>
          <w:rFonts w:asciiTheme="minorHAnsi" w:eastAsia="Calibri" w:hAnsiTheme="minorHAnsi" w:cstheme="minorHAnsi"/>
          <w:sz w:val="22"/>
          <w:szCs w:val="22"/>
        </w:rPr>
        <w:t xml:space="preserve">modernizing </w:t>
      </w:r>
      <w:r w:rsidR="00906F8A" w:rsidRPr="00145A6E">
        <w:rPr>
          <w:rFonts w:asciiTheme="minorHAnsi" w:eastAsia="Times New Roman" w:hAnsiTheme="minorHAnsi" w:cstheme="minorHAnsi"/>
          <w:sz w:val="22"/>
          <w:szCs w:val="22"/>
        </w:rPr>
        <w:t xml:space="preserve">call center </w:t>
      </w:r>
      <w:r w:rsidR="00906F8A">
        <w:rPr>
          <w:rFonts w:asciiTheme="minorHAnsi" w:eastAsia="Times New Roman" w:hAnsiTheme="minorHAnsi" w:cstheme="minorHAnsi"/>
          <w:sz w:val="22"/>
          <w:szCs w:val="22"/>
        </w:rPr>
        <w:t xml:space="preserve">response </w:t>
      </w:r>
      <w:r w:rsidR="00906F8A" w:rsidRPr="00145A6E">
        <w:rPr>
          <w:rFonts w:asciiTheme="minorHAnsi" w:eastAsia="Times New Roman" w:hAnsiTheme="minorHAnsi" w:cstheme="minorHAnsi"/>
          <w:sz w:val="22"/>
          <w:szCs w:val="22"/>
        </w:rPr>
        <w:t xml:space="preserve">through artificial intelligence; developing an agency knowledge base (for use with AI); </w:t>
      </w:r>
      <w:r w:rsidR="000324C9">
        <w:rPr>
          <w:rFonts w:asciiTheme="minorHAnsi" w:eastAsia="Times New Roman" w:hAnsiTheme="minorHAnsi" w:cstheme="minorHAnsi"/>
          <w:sz w:val="22"/>
          <w:szCs w:val="22"/>
        </w:rPr>
        <w:t>removal of</w:t>
      </w:r>
      <w:r w:rsidR="00906F8A" w:rsidRPr="00145A6E">
        <w:rPr>
          <w:rFonts w:asciiTheme="minorHAnsi" w:eastAsia="Times New Roman" w:hAnsiTheme="minorHAnsi" w:cstheme="minorHAnsi"/>
          <w:sz w:val="22"/>
          <w:szCs w:val="22"/>
        </w:rPr>
        <w:t xml:space="preserve"> less-trafficked </w:t>
      </w:r>
      <w:r w:rsidR="00A6371B">
        <w:rPr>
          <w:rFonts w:asciiTheme="minorHAnsi" w:eastAsia="Times New Roman" w:hAnsiTheme="minorHAnsi" w:cstheme="minorHAnsi"/>
          <w:sz w:val="22"/>
          <w:szCs w:val="22"/>
        </w:rPr>
        <w:t>ed.gov</w:t>
      </w:r>
      <w:r w:rsidR="00E41AF8">
        <w:rPr>
          <w:rFonts w:asciiTheme="minorHAnsi" w:eastAsia="Times New Roman" w:hAnsiTheme="minorHAnsi" w:cstheme="minorHAnsi"/>
          <w:sz w:val="22"/>
          <w:szCs w:val="22"/>
        </w:rPr>
        <w:t xml:space="preserve"> </w:t>
      </w:r>
      <w:r w:rsidR="00906F8A" w:rsidRPr="00145A6E">
        <w:rPr>
          <w:rFonts w:asciiTheme="minorHAnsi" w:eastAsia="Times New Roman" w:hAnsiTheme="minorHAnsi" w:cstheme="minorHAnsi"/>
          <w:sz w:val="22"/>
          <w:szCs w:val="22"/>
        </w:rPr>
        <w:t xml:space="preserve">pages; and creating ED.gov personas. </w:t>
      </w:r>
    </w:p>
    <w:p w14:paraId="3C132D88" w14:textId="77777777" w:rsidR="00906F8A" w:rsidRPr="00145A6E" w:rsidRDefault="00906F8A" w:rsidP="00906F8A">
      <w:pPr>
        <w:pStyle w:val="NoSpacing"/>
        <w:rPr>
          <w:rFonts w:cstheme="minorHAnsi"/>
        </w:rPr>
      </w:pPr>
    </w:p>
    <w:p w14:paraId="46C68975" w14:textId="59AE94B0" w:rsidR="00906F8A" w:rsidRDefault="00A6371B" w:rsidP="00906F8A">
      <w:pPr>
        <w:pStyle w:val="NoSpacing"/>
        <w:rPr>
          <w:rFonts w:cstheme="minorHAnsi"/>
        </w:rPr>
      </w:pPr>
      <w:r>
        <w:rPr>
          <w:rFonts w:cstheme="minorHAnsi"/>
        </w:rPr>
        <w:t xml:space="preserve">The </w:t>
      </w:r>
      <w:r w:rsidR="00906F8A">
        <w:rPr>
          <w:rFonts w:cstheme="minorHAnsi"/>
        </w:rPr>
        <w:t xml:space="preserve">Redesign of ED.gov, initiated a </w:t>
      </w:r>
      <w:hyperlink r:id="rId12" w:history="1">
        <w:r w:rsidR="00906F8A">
          <w:rPr>
            <w:rStyle w:val="Hyperlink"/>
            <w:rFonts w:cstheme="minorHAnsi"/>
          </w:rPr>
          <w:t>C</w:t>
        </w:r>
        <w:r w:rsidR="00906F8A" w:rsidRPr="006B4184">
          <w:rPr>
            <w:rStyle w:val="Hyperlink"/>
            <w:rFonts w:cstheme="minorHAnsi"/>
          </w:rPr>
          <w:t>hallenge.gov</w:t>
        </w:r>
      </w:hyperlink>
      <w:r w:rsidR="00906F8A">
        <w:rPr>
          <w:rFonts w:cstheme="minorHAnsi"/>
        </w:rPr>
        <w:t xml:space="preserve"> invitation for redesign ideas</w:t>
      </w:r>
      <w:r>
        <w:rPr>
          <w:rFonts w:cstheme="minorHAnsi"/>
        </w:rPr>
        <w:t xml:space="preserve"> and</w:t>
      </w:r>
      <w:r w:rsidR="00906F8A">
        <w:rPr>
          <w:rFonts w:cstheme="minorHAnsi"/>
        </w:rPr>
        <w:t xml:space="preserve"> will lead to a full revamp of the website design, thereby facilitating site use and information location and retrieval. The personas </w:t>
      </w:r>
      <w:r w:rsidR="006526E5">
        <w:rPr>
          <w:rFonts w:cstheme="minorHAnsi"/>
        </w:rPr>
        <w:t xml:space="preserve">will </w:t>
      </w:r>
      <w:r w:rsidR="00906F8A">
        <w:rPr>
          <w:rFonts w:cstheme="minorHAnsi"/>
        </w:rPr>
        <w:t xml:space="preserve">allow an in-depth development of user profiles to best serve those seeking agency information. </w:t>
      </w:r>
    </w:p>
    <w:p w14:paraId="4994192E" w14:textId="77777777" w:rsidR="00906F8A" w:rsidRDefault="00906F8A" w:rsidP="00906F8A">
      <w:pPr>
        <w:pStyle w:val="NoSpacing"/>
        <w:rPr>
          <w:rFonts w:cstheme="minorHAnsi"/>
        </w:rPr>
      </w:pPr>
    </w:p>
    <w:p w14:paraId="5196E515" w14:textId="40E09995" w:rsidR="00906F8A" w:rsidRPr="006F394A" w:rsidRDefault="00906F8A" w:rsidP="00906F8A">
      <w:pPr>
        <w:pStyle w:val="NoSpacing"/>
      </w:pPr>
      <w:r w:rsidRPr="00B6342D">
        <w:rPr>
          <w:rFonts w:cstheme="minorHAnsi"/>
        </w:rPr>
        <w:t xml:space="preserve">The </w:t>
      </w:r>
      <w:r>
        <w:rPr>
          <w:rFonts w:cstheme="minorHAnsi"/>
        </w:rPr>
        <w:t>K</w:t>
      </w:r>
      <w:r w:rsidRPr="00B6342D">
        <w:rPr>
          <w:rFonts w:cstheme="minorHAnsi"/>
        </w:rPr>
        <w:t xml:space="preserve">nowledge </w:t>
      </w:r>
      <w:r>
        <w:rPr>
          <w:rFonts w:cstheme="minorHAnsi"/>
        </w:rPr>
        <w:t>B</w:t>
      </w:r>
      <w:r w:rsidRPr="00B6342D">
        <w:rPr>
          <w:rFonts w:cstheme="minorHAnsi"/>
        </w:rPr>
        <w:t>ase project is focused on d</w:t>
      </w:r>
      <w:r w:rsidRPr="00B6342D">
        <w:rPr>
          <w:rFonts w:eastAsia="Times New Roman" w:cstheme="minorHAnsi"/>
        </w:rPr>
        <w:t xml:space="preserve">eveloping a process to collect, maintain, and manage principal office content that both internal and external users </w:t>
      </w:r>
      <w:r>
        <w:rPr>
          <w:rFonts w:eastAsia="Times New Roman" w:cstheme="minorHAnsi"/>
        </w:rPr>
        <w:t>seek most often. While the ultimate goal is for t</w:t>
      </w:r>
      <w:r>
        <w:t xml:space="preserve">his content to be the source for a chat bot, via AI, the content collection alone can be a tool that the </w:t>
      </w:r>
      <w:r w:rsidR="00031DD7">
        <w:t>call center</w:t>
      </w:r>
      <w:r>
        <w:t xml:space="preserve"> can utilize to provide concise information at a faster response rate to callers. </w:t>
      </w:r>
    </w:p>
    <w:p w14:paraId="24DF3BA2" w14:textId="77777777" w:rsidR="00906F8A" w:rsidRDefault="00906F8A" w:rsidP="00906F8A">
      <w:pPr>
        <w:pStyle w:val="NoSpacing"/>
      </w:pPr>
    </w:p>
    <w:p w14:paraId="22FF8A00" w14:textId="24FA6A35" w:rsidR="00906F8A" w:rsidRPr="00E41AF8" w:rsidRDefault="00906F8A" w:rsidP="00E41AF8">
      <w:pPr>
        <w:rPr>
          <w:rFonts w:cstheme="minorHAnsi"/>
          <w:b/>
          <w:bCs/>
          <w:sz w:val="22"/>
          <w:szCs w:val="22"/>
        </w:rPr>
      </w:pPr>
      <w:r w:rsidRPr="00E41AF8">
        <w:rPr>
          <w:rFonts w:asciiTheme="minorHAnsi" w:hAnsiTheme="minorHAnsi" w:cstheme="minorHAnsi"/>
          <w:sz w:val="22"/>
          <w:szCs w:val="22"/>
        </w:rPr>
        <w:t xml:space="preserve">The </w:t>
      </w:r>
      <w:r w:rsidR="00055E6D">
        <w:rPr>
          <w:rFonts w:asciiTheme="minorHAnsi" w:hAnsiTheme="minorHAnsi" w:cstheme="minorHAnsi"/>
          <w:sz w:val="22"/>
          <w:szCs w:val="22"/>
        </w:rPr>
        <w:t>ed.gov content removal</w:t>
      </w:r>
      <w:r w:rsidRPr="00E41AF8">
        <w:rPr>
          <w:rFonts w:asciiTheme="minorHAnsi" w:hAnsiTheme="minorHAnsi" w:cstheme="minorHAnsi"/>
          <w:sz w:val="22"/>
          <w:szCs w:val="22"/>
        </w:rPr>
        <w:t xml:space="preserve"> project will </w:t>
      </w:r>
      <w:r w:rsidRPr="00FC69B8">
        <w:rPr>
          <w:rFonts w:asciiTheme="minorHAnsi" w:hAnsiTheme="minorHAnsi" w:cstheme="minorHAnsi"/>
          <w:sz w:val="22"/>
          <w:szCs w:val="22"/>
        </w:rPr>
        <w:t>establish new standards for web content lifecycles. P</w:t>
      </w:r>
      <w:r w:rsidRPr="00E41AF8">
        <w:rPr>
          <w:rFonts w:asciiTheme="minorHAnsi" w:hAnsiTheme="minorHAnsi" w:cstheme="minorHAnsi"/>
          <w:sz w:val="22"/>
          <w:szCs w:val="22"/>
        </w:rPr>
        <w:t xml:space="preserve">ages receiving relatively little traffic account for the majority of agency Web content, adding unnecessarily to the complexity of the site. </w:t>
      </w:r>
      <w:r w:rsidR="002574B2" w:rsidRPr="00E41AF8">
        <w:rPr>
          <w:rFonts w:asciiTheme="minorHAnsi" w:hAnsiTheme="minorHAnsi" w:cstheme="minorHAnsi"/>
          <w:sz w:val="22"/>
          <w:szCs w:val="22"/>
        </w:rPr>
        <w:t>A</w:t>
      </w:r>
      <w:r w:rsidR="00E3123E" w:rsidRPr="00E41AF8">
        <w:rPr>
          <w:rFonts w:asciiTheme="minorHAnsi" w:hAnsiTheme="minorHAnsi" w:cstheme="minorHAnsi"/>
          <w:sz w:val="22"/>
          <w:szCs w:val="22"/>
        </w:rPr>
        <w:t xml:space="preserve">gency </w:t>
      </w:r>
      <w:r w:rsidR="008B5E6A">
        <w:rPr>
          <w:rFonts w:asciiTheme="minorHAnsi" w:hAnsiTheme="minorHAnsi" w:cstheme="minorHAnsi"/>
          <w:sz w:val="22"/>
          <w:szCs w:val="22"/>
        </w:rPr>
        <w:t>content removal</w:t>
      </w:r>
      <w:r w:rsidRPr="00E41AF8">
        <w:rPr>
          <w:rFonts w:asciiTheme="minorHAnsi" w:hAnsiTheme="minorHAnsi" w:cstheme="minorHAnsi"/>
          <w:sz w:val="22"/>
          <w:szCs w:val="22"/>
        </w:rPr>
        <w:t xml:space="preserve"> efforts include </w:t>
      </w:r>
      <w:r w:rsidR="002574B2" w:rsidRPr="00E41AF8">
        <w:rPr>
          <w:rFonts w:asciiTheme="minorHAnsi" w:hAnsiTheme="minorHAnsi" w:cstheme="minorHAnsi"/>
          <w:sz w:val="22"/>
          <w:szCs w:val="22"/>
        </w:rPr>
        <w:t>an a</w:t>
      </w:r>
      <w:r w:rsidRPr="00E41AF8">
        <w:rPr>
          <w:rFonts w:asciiTheme="minorHAnsi" w:hAnsiTheme="minorHAnsi" w:cstheme="minorHAnsi"/>
          <w:sz w:val="22"/>
          <w:szCs w:val="22"/>
        </w:rPr>
        <w:t xml:space="preserve">gencywide inventory </w:t>
      </w:r>
      <w:r w:rsidR="00FC69B8" w:rsidRPr="00E41AF8">
        <w:rPr>
          <w:rFonts w:asciiTheme="minorHAnsi" w:hAnsiTheme="minorHAnsi" w:cstheme="minorHAnsi"/>
          <w:sz w:val="22"/>
          <w:szCs w:val="22"/>
        </w:rPr>
        <w:t xml:space="preserve">of </w:t>
      </w:r>
      <w:r w:rsidRPr="00E41AF8">
        <w:rPr>
          <w:rFonts w:asciiTheme="minorHAnsi" w:hAnsiTheme="minorHAnsi" w:cstheme="minorHAnsi"/>
          <w:sz w:val="22"/>
          <w:szCs w:val="22"/>
        </w:rPr>
        <w:t xml:space="preserve">all records, hard copy and digital, </w:t>
      </w:r>
      <w:r w:rsidR="00FC69B8" w:rsidRPr="00E41AF8">
        <w:rPr>
          <w:rFonts w:asciiTheme="minorHAnsi" w:hAnsiTheme="minorHAnsi" w:cstheme="minorHAnsi"/>
          <w:sz w:val="22"/>
          <w:szCs w:val="22"/>
        </w:rPr>
        <w:t xml:space="preserve">for </w:t>
      </w:r>
      <w:r w:rsidRPr="00E41AF8">
        <w:rPr>
          <w:rFonts w:asciiTheme="minorHAnsi" w:hAnsiTheme="minorHAnsi" w:cstheme="minorHAnsi"/>
          <w:sz w:val="22"/>
          <w:szCs w:val="22"/>
        </w:rPr>
        <w:t xml:space="preserve">a comprehensive content registry. This compilation will allow </w:t>
      </w:r>
      <w:r w:rsidR="00FC69B8" w:rsidRPr="00E41AF8">
        <w:rPr>
          <w:rFonts w:asciiTheme="minorHAnsi" w:hAnsiTheme="minorHAnsi" w:cstheme="minorHAnsi"/>
          <w:sz w:val="22"/>
          <w:szCs w:val="22"/>
        </w:rPr>
        <w:t xml:space="preserve">for </w:t>
      </w:r>
      <w:r w:rsidR="00FC69B8" w:rsidRPr="00E41AF8">
        <w:rPr>
          <w:rFonts w:asciiTheme="minorHAnsi" w:eastAsia="Calibri" w:hAnsiTheme="minorHAnsi" w:cstheme="minorHAnsi"/>
          <w:sz w:val="22"/>
          <w:szCs w:val="22"/>
        </w:rPr>
        <w:t xml:space="preserve">building a new framework of policies, procedures, training, customer service, and tools for working in the digital age. </w:t>
      </w:r>
      <w:r w:rsidR="002574B2" w:rsidRPr="00E41AF8">
        <w:rPr>
          <w:rFonts w:asciiTheme="minorHAnsi" w:hAnsiTheme="minorHAnsi" w:cstheme="minorHAnsi"/>
          <w:sz w:val="22"/>
          <w:szCs w:val="22"/>
        </w:rPr>
        <w:t xml:space="preserve">OCO Records Liaison Officer Kate Devine is working with </w:t>
      </w:r>
      <w:r w:rsidR="00994A24" w:rsidRPr="00E41AF8">
        <w:rPr>
          <w:rFonts w:asciiTheme="minorHAnsi" w:hAnsiTheme="minorHAnsi" w:cstheme="minorHAnsi"/>
          <w:sz w:val="22"/>
          <w:szCs w:val="22"/>
        </w:rPr>
        <w:t>OCO divisions and the agency</w:t>
      </w:r>
      <w:r w:rsidR="00506167">
        <w:rPr>
          <w:rFonts w:asciiTheme="minorHAnsi" w:hAnsiTheme="minorHAnsi" w:cstheme="minorHAnsi"/>
          <w:sz w:val="22"/>
          <w:szCs w:val="22"/>
        </w:rPr>
        <w:t xml:space="preserve">’s </w:t>
      </w:r>
      <w:r w:rsidR="00994A24" w:rsidRPr="00E41AF8">
        <w:rPr>
          <w:rFonts w:asciiTheme="minorHAnsi" w:hAnsiTheme="minorHAnsi" w:cstheme="minorHAnsi"/>
          <w:sz w:val="22"/>
          <w:szCs w:val="22"/>
        </w:rPr>
        <w:t xml:space="preserve">records officer to inventory OCO records. </w:t>
      </w:r>
      <w:r w:rsidRPr="00E41AF8">
        <w:rPr>
          <w:rFonts w:asciiTheme="minorHAnsi" w:hAnsiTheme="minorHAnsi" w:cstheme="minorHAnsi"/>
          <w:sz w:val="22"/>
          <w:szCs w:val="22"/>
        </w:rPr>
        <w:t xml:space="preserve"> </w:t>
      </w:r>
    </w:p>
    <w:p w14:paraId="405DD4CD" w14:textId="77777777" w:rsidR="00906F8A" w:rsidRDefault="00906F8A" w:rsidP="00906F8A">
      <w:pPr>
        <w:pStyle w:val="NoSpacing"/>
        <w:rPr>
          <w:b/>
          <w:bCs/>
        </w:rPr>
      </w:pPr>
    </w:p>
    <w:p w14:paraId="6AB99C27" w14:textId="067A0513" w:rsidR="00906F8A" w:rsidRPr="00646CB4" w:rsidRDefault="00906F8A" w:rsidP="00906F8A">
      <w:pPr>
        <w:pStyle w:val="NoSpacing"/>
        <w:ind w:firstLine="720"/>
        <w:rPr>
          <w:rFonts w:eastAsia="Times New Roman" w:cstheme="minorHAnsi"/>
        </w:rPr>
      </w:pPr>
      <w:r w:rsidRPr="00FC69B8">
        <w:rPr>
          <w:b/>
          <w:i/>
          <w:iCs/>
        </w:rPr>
        <w:t>Federal Student Aid website modernization</w:t>
      </w:r>
      <w:r w:rsidR="00FF7B64" w:rsidRPr="00FC69B8">
        <w:rPr>
          <w:b/>
          <w:i/>
          <w:iCs/>
        </w:rPr>
        <w:t xml:space="preserve"> underway</w:t>
      </w:r>
      <w:r w:rsidRPr="009C00BE">
        <w:rPr>
          <w:b/>
          <w:i/>
          <w:iCs/>
        </w:rPr>
        <w:t xml:space="preserve">. </w:t>
      </w:r>
      <w:r w:rsidRPr="00CA0522">
        <w:rPr>
          <w:rFonts w:cstheme="minorHAnsi"/>
          <w:bCs/>
        </w:rPr>
        <w:t xml:space="preserve">The most user-heavy agency webpages are typically those on federal student aid. </w:t>
      </w:r>
      <w:r>
        <w:rPr>
          <w:rFonts w:cstheme="minorHAnsi"/>
          <w:bCs/>
        </w:rPr>
        <w:t xml:space="preserve"> </w:t>
      </w:r>
      <w:r w:rsidR="00F85FC1">
        <w:rPr>
          <w:rFonts w:cstheme="minorHAnsi"/>
          <w:bCs/>
        </w:rPr>
        <w:t xml:space="preserve">The </w:t>
      </w:r>
      <w:r w:rsidR="00FC69B8">
        <w:rPr>
          <w:rFonts w:cstheme="minorHAnsi"/>
          <w:bCs/>
        </w:rPr>
        <w:t>o</w:t>
      </w:r>
      <w:r w:rsidR="00F85FC1">
        <w:rPr>
          <w:rFonts w:cstheme="minorHAnsi"/>
          <w:bCs/>
        </w:rPr>
        <w:t xml:space="preserve">ffice of </w:t>
      </w:r>
      <w:r>
        <w:rPr>
          <w:rFonts w:cstheme="minorHAnsi"/>
          <w:bCs/>
        </w:rPr>
        <w:t xml:space="preserve">Federal Student Aid </w:t>
      </w:r>
      <w:r w:rsidR="00D151B3">
        <w:rPr>
          <w:rFonts w:cstheme="minorHAnsi"/>
          <w:bCs/>
        </w:rPr>
        <w:t xml:space="preserve">(FSA) </w:t>
      </w:r>
      <w:r>
        <w:rPr>
          <w:rFonts w:cstheme="minorHAnsi"/>
          <w:bCs/>
        </w:rPr>
        <w:t xml:space="preserve">has been working since 2018 to </w:t>
      </w:r>
      <w:r w:rsidRPr="00646CB4">
        <w:rPr>
          <w:rFonts w:eastAsia="Times New Roman" w:cstheme="minorHAnsi"/>
        </w:rPr>
        <w:t>improv</w:t>
      </w:r>
      <w:r>
        <w:rPr>
          <w:rFonts w:eastAsia="Times New Roman" w:cstheme="minorHAnsi"/>
        </w:rPr>
        <w:t xml:space="preserve">e </w:t>
      </w:r>
      <w:r w:rsidRPr="00646CB4">
        <w:rPr>
          <w:rFonts w:eastAsia="Times New Roman" w:cstheme="minorHAnsi"/>
        </w:rPr>
        <w:t xml:space="preserve">customer service by modernizing to ensure that there is one place to input and organize responses to customers, with the goal to allow customers to learn about, apply for, and manage their federal student loans seamlessly on one platform. </w:t>
      </w:r>
      <w:r>
        <w:rPr>
          <w:rFonts w:eastAsia="Times New Roman" w:cstheme="minorHAnsi"/>
        </w:rPr>
        <w:t xml:space="preserve">FSA </w:t>
      </w:r>
      <w:r w:rsidR="00FF4D86">
        <w:rPr>
          <w:rFonts w:eastAsia="Times New Roman" w:cstheme="minorHAnsi"/>
        </w:rPr>
        <w:t xml:space="preserve">is </w:t>
      </w:r>
      <w:r w:rsidRPr="00646CB4">
        <w:rPr>
          <w:rFonts w:eastAsia="Times New Roman" w:cstheme="minorHAnsi"/>
        </w:rPr>
        <w:t>collect</w:t>
      </w:r>
      <w:r w:rsidR="00FF4D86">
        <w:rPr>
          <w:rFonts w:eastAsia="Times New Roman" w:cstheme="minorHAnsi"/>
        </w:rPr>
        <w:t>ing</w:t>
      </w:r>
      <w:r w:rsidRPr="00646CB4">
        <w:rPr>
          <w:rFonts w:eastAsia="Times New Roman" w:cstheme="minorHAnsi"/>
        </w:rPr>
        <w:t xml:space="preserve"> and manag</w:t>
      </w:r>
      <w:r w:rsidR="00FF4D86">
        <w:rPr>
          <w:rFonts w:eastAsia="Times New Roman" w:cstheme="minorHAnsi"/>
        </w:rPr>
        <w:t>ing</w:t>
      </w:r>
      <w:r w:rsidRPr="00646CB4">
        <w:rPr>
          <w:rFonts w:eastAsia="Times New Roman" w:cstheme="minorHAnsi"/>
        </w:rPr>
        <w:t xml:space="preserve"> data and responses, with </w:t>
      </w:r>
      <w:r w:rsidR="00330017">
        <w:rPr>
          <w:rFonts w:eastAsia="Times New Roman" w:cstheme="minorHAnsi"/>
        </w:rPr>
        <w:t xml:space="preserve">a </w:t>
      </w:r>
      <w:r w:rsidRPr="00646CB4">
        <w:rPr>
          <w:rFonts w:eastAsia="Times New Roman" w:cstheme="minorHAnsi"/>
        </w:rPr>
        <w:t>chatbot</w:t>
      </w:r>
      <w:r>
        <w:rPr>
          <w:rFonts w:eastAsia="Times New Roman" w:cstheme="minorHAnsi"/>
        </w:rPr>
        <w:t xml:space="preserve"> </w:t>
      </w:r>
      <w:r w:rsidRPr="00646CB4">
        <w:rPr>
          <w:rFonts w:eastAsia="Times New Roman" w:cstheme="minorHAnsi"/>
        </w:rPr>
        <w:t xml:space="preserve">being </w:t>
      </w:r>
      <w:r w:rsidR="00FF4D86">
        <w:rPr>
          <w:rFonts w:eastAsia="Times New Roman" w:cstheme="minorHAnsi"/>
        </w:rPr>
        <w:t xml:space="preserve">developed. </w:t>
      </w:r>
      <w:r w:rsidRPr="00646CB4">
        <w:rPr>
          <w:rFonts w:eastAsia="Times New Roman" w:cstheme="minorHAnsi"/>
        </w:rPr>
        <w:t xml:space="preserve">The initial </w:t>
      </w:r>
      <w:r>
        <w:rPr>
          <w:rFonts w:eastAsia="Times New Roman" w:cstheme="minorHAnsi"/>
        </w:rPr>
        <w:t xml:space="preserve">collection </w:t>
      </w:r>
      <w:r w:rsidRPr="00646CB4">
        <w:rPr>
          <w:rFonts w:eastAsia="Times New Roman" w:cstheme="minorHAnsi"/>
        </w:rPr>
        <w:t xml:space="preserve">of information has been compiled from </w:t>
      </w:r>
      <w:r>
        <w:rPr>
          <w:rFonts w:eastAsia="Times New Roman" w:cstheme="minorHAnsi"/>
        </w:rPr>
        <w:t xml:space="preserve">frequently asked questions </w:t>
      </w:r>
      <w:r w:rsidRPr="00646CB4">
        <w:rPr>
          <w:rFonts w:eastAsia="Times New Roman" w:cstheme="minorHAnsi"/>
        </w:rPr>
        <w:t xml:space="preserve">received </w:t>
      </w:r>
      <w:r>
        <w:rPr>
          <w:rFonts w:eastAsia="Times New Roman" w:cstheme="minorHAnsi"/>
        </w:rPr>
        <w:t xml:space="preserve">via </w:t>
      </w:r>
      <w:r w:rsidRPr="00646CB4">
        <w:rPr>
          <w:rFonts w:eastAsia="Times New Roman" w:cstheme="minorHAnsi"/>
        </w:rPr>
        <w:t xml:space="preserve">the Web, social media, and the call center, with responses to about 1,000 questions in their </w:t>
      </w:r>
      <w:r>
        <w:rPr>
          <w:rFonts w:eastAsia="Times New Roman" w:cstheme="minorHAnsi"/>
        </w:rPr>
        <w:t>knowledge base</w:t>
      </w:r>
      <w:r w:rsidRPr="00646CB4">
        <w:rPr>
          <w:rFonts w:eastAsia="Times New Roman" w:cstheme="minorHAnsi"/>
        </w:rPr>
        <w:t xml:space="preserve">. The goal is to keep responses concise and to the point—280 characters with possibly a link to a </w:t>
      </w:r>
      <w:r w:rsidR="00151891">
        <w:rPr>
          <w:rFonts w:eastAsia="Times New Roman" w:cstheme="minorHAnsi"/>
        </w:rPr>
        <w:t>w</w:t>
      </w:r>
      <w:r w:rsidRPr="00646CB4">
        <w:rPr>
          <w:rFonts w:eastAsia="Times New Roman" w:cstheme="minorHAnsi"/>
        </w:rPr>
        <w:t>ebpage or social media response</w:t>
      </w:r>
      <w:r w:rsidR="00F85FC1">
        <w:rPr>
          <w:rFonts w:eastAsia="Times New Roman" w:cstheme="minorHAnsi"/>
        </w:rPr>
        <w:t>—</w:t>
      </w:r>
      <w:r>
        <w:rPr>
          <w:rFonts w:eastAsia="Times New Roman" w:cstheme="minorHAnsi"/>
        </w:rPr>
        <w:t xml:space="preserve">thus providing clear, timely information to users. </w:t>
      </w:r>
      <w:r w:rsidRPr="00646CB4">
        <w:rPr>
          <w:rFonts w:eastAsia="Times New Roman" w:cstheme="minorHAnsi"/>
        </w:rPr>
        <w:t xml:space="preserve"> </w:t>
      </w:r>
    </w:p>
    <w:p w14:paraId="47D431A1" w14:textId="77777777" w:rsidR="00FC69B8" w:rsidRDefault="00FC69B8" w:rsidP="001B75D4">
      <w:pPr>
        <w:pStyle w:val="NoSpacing"/>
        <w:jc w:val="center"/>
        <w:rPr>
          <w:b/>
          <w:sz w:val="24"/>
          <w:szCs w:val="24"/>
        </w:rPr>
      </w:pPr>
    </w:p>
    <w:p w14:paraId="1A53240F" w14:textId="77777777" w:rsidR="00707825" w:rsidRDefault="00707825" w:rsidP="001B75D4">
      <w:pPr>
        <w:pStyle w:val="NoSpacing"/>
        <w:jc w:val="center"/>
        <w:rPr>
          <w:b/>
          <w:sz w:val="24"/>
          <w:szCs w:val="24"/>
        </w:rPr>
      </w:pPr>
    </w:p>
    <w:p w14:paraId="0AD285E3" w14:textId="6F1BD8A5" w:rsidR="009E4F33" w:rsidRDefault="00CB0568" w:rsidP="001B75D4">
      <w:pPr>
        <w:pStyle w:val="NoSpacing"/>
        <w:jc w:val="center"/>
        <w:rPr>
          <w:b/>
          <w:sz w:val="24"/>
          <w:szCs w:val="24"/>
        </w:rPr>
      </w:pPr>
      <w:r w:rsidRPr="0066672E">
        <w:rPr>
          <w:b/>
          <w:sz w:val="24"/>
          <w:szCs w:val="24"/>
        </w:rPr>
        <w:t>P</w:t>
      </w:r>
      <w:r w:rsidR="009E4F33" w:rsidRPr="0066672E">
        <w:rPr>
          <w:b/>
          <w:sz w:val="24"/>
          <w:szCs w:val="24"/>
        </w:rPr>
        <w:t xml:space="preserve">lain </w:t>
      </w:r>
      <w:r w:rsidR="00AA7535">
        <w:rPr>
          <w:b/>
          <w:sz w:val="24"/>
          <w:szCs w:val="24"/>
        </w:rPr>
        <w:t xml:space="preserve">Writing </w:t>
      </w:r>
      <w:r w:rsidR="009E4F33" w:rsidRPr="0066672E">
        <w:rPr>
          <w:b/>
          <w:sz w:val="24"/>
          <w:szCs w:val="24"/>
        </w:rPr>
        <w:t>Webpage</w:t>
      </w:r>
    </w:p>
    <w:p w14:paraId="53562371" w14:textId="77777777" w:rsidR="00030A7F" w:rsidRPr="0066672E" w:rsidRDefault="00030A7F" w:rsidP="001B75D4">
      <w:pPr>
        <w:pStyle w:val="NoSpacing"/>
        <w:jc w:val="center"/>
        <w:rPr>
          <w:b/>
          <w:sz w:val="24"/>
          <w:szCs w:val="24"/>
        </w:rPr>
      </w:pPr>
    </w:p>
    <w:p w14:paraId="49670139" w14:textId="12216C24" w:rsidR="009E4F33" w:rsidRDefault="009E4F33" w:rsidP="009E4F33">
      <w:pPr>
        <w:pStyle w:val="NoSpacing"/>
      </w:pPr>
      <w:r w:rsidRPr="005668E5">
        <w:rPr>
          <w:rFonts w:cstheme="minorHAnsi"/>
        </w:rPr>
        <w:t xml:space="preserve">Our </w:t>
      </w:r>
      <w:hyperlink r:id="rId13" w:history="1">
        <w:r w:rsidR="00450B8C">
          <w:rPr>
            <w:rStyle w:val="Hyperlink"/>
            <w:rFonts w:cstheme="minorHAnsi"/>
          </w:rPr>
          <w:t>p</w:t>
        </w:r>
        <w:r w:rsidRPr="00AF289B">
          <w:rPr>
            <w:rStyle w:val="Hyperlink"/>
            <w:rFonts w:cstheme="minorHAnsi"/>
          </w:rPr>
          <w:t xml:space="preserve">lain </w:t>
        </w:r>
        <w:r w:rsidR="00450B8C">
          <w:rPr>
            <w:rStyle w:val="Hyperlink"/>
            <w:rFonts w:cstheme="minorHAnsi"/>
          </w:rPr>
          <w:t>w</w:t>
        </w:r>
        <w:r w:rsidRPr="00AF289B">
          <w:rPr>
            <w:rStyle w:val="Hyperlink"/>
            <w:rFonts w:cstheme="minorHAnsi"/>
          </w:rPr>
          <w:t>riting webpage</w:t>
        </w:r>
      </w:hyperlink>
      <w:r w:rsidRPr="005668E5">
        <w:rPr>
          <w:rFonts w:cstheme="minorHAnsi"/>
        </w:rPr>
        <w:t xml:space="preserve"> contains </w:t>
      </w:r>
      <w:r>
        <w:rPr>
          <w:rFonts w:cstheme="minorHAnsi"/>
        </w:rPr>
        <w:t xml:space="preserve">a brief overview of the Plain Writing Act and its ramifications for the Department and </w:t>
      </w:r>
      <w:r w:rsidRPr="005668E5">
        <w:rPr>
          <w:rFonts w:cstheme="minorHAnsi"/>
        </w:rPr>
        <w:t xml:space="preserve">links to the annual fiscal year compliance reports, beginning with FY 2011, </w:t>
      </w:r>
      <w:r w:rsidR="00E96454">
        <w:rPr>
          <w:rFonts w:cstheme="minorHAnsi"/>
        </w:rPr>
        <w:t xml:space="preserve">that contain </w:t>
      </w:r>
      <w:r w:rsidRPr="005668E5">
        <w:rPr>
          <w:rFonts w:cstheme="minorHAnsi"/>
        </w:rPr>
        <w:t xml:space="preserve">information about the Department’s efforts to comply with the act. </w:t>
      </w:r>
      <w:r>
        <w:rPr>
          <w:rFonts w:cstheme="minorHAnsi"/>
        </w:rPr>
        <w:t>Re</w:t>
      </w:r>
      <w:r w:rsidR="008D3A39">
        <w:rPr>
          <w:rFonts w:cstheme="minorHAnsi"/>
        </w:rPr>
        <w:t xml:space="preserve">formatting </w:t>
      </w:r>
      <w:r>
        <w:rPr>
          <w:rFonts w:cstheme="minorHAnsi"/>
        </w:rPr>
        <w:t xml:space="preserve">this page to update the appearance and text for reader ease was underway in late FY 20. </w:t>
      </w:r>
    </w:p>
    <w:p w14:paraId="0FA6C48C" w14:textId="77777777" w:rsidR="009E4F33" w:rsidRPr="00A25DFE" w:rsidRDefault="009E4F33" w:rsidP="009E4F33">
      <w:pPr>
        <w:rPr>
          <w:rFonts w:asciiTheme="minorHAnsi" w:hAnsiTheme="minorHAnsi" w:cstheme="minorHAnsi"/>
          <w:sz w:val="22"/>
          <w:szCs w:val="22"/>
        </w:rPr>
      </w:pPr>
    </w:p>
    <w:p w14:paraId="65429808" w14:textId="2A9A8E6D" w:rsidR="00541FEF" w:rsidRDefault="00541FEF" w:rsidP="001B75D4">
      <w:pPr>
        <w:pStyle w:val="NoSpacing"/>
        <w:jc w:val="center"/>
        <w:rPr>
          <w:b/>
          <w:bCs/>
          <w:sz w:val="24"/>
          <w:szCs w:val="24"/>
        </w:rPr>
      </w:pPr>
      <w:r w:rsidRPr="00E81DFA">
        <w:rPr>
          <w:b/>
          <w:bCs/>
          <w:sz w:val="24"/>
          <w:szCs w:val="24"/>
        </w:rPr>
        <w:t>Respond</w:t>
      </w:r>
      <w:r w:rsidR="001B75D4" w:rsidRPr="00E81DFA">
        <w:rPr>
          <w:b/>
          <w:bCs/>
          <w:sz w:val="24"/>
          <w:szCs w:val="24"/>
        </w:rPr>
        <w:t>ing</w:t>
      </w:r>
      <w:r w:rsidRPr="00E81DFA">
        <w:rPr>
          <w:b/>
          <w:bCs/>
          <w:sz w:val="24"/>
          <w:szCs w:val="24"/>
        </w:rPr>
        <w:t xml:space="preserve"> to Public Input</w:t>
      </w:r>
    </w:p>
    <w:p w14:paraId="0656C66A" w14:textId="77777777" w:rsidR="00030A7F" w:rsidRPr="00E81DFA" w:rsidRDefault="00030A7F" w:rsidP="001B75D4">
      <w:pPr>
        <w:pStyle w:val="NoSpacing"/>
        <w:jc w:val="center"/>
        <w:rPr>
          <w:b/>
          <w:bCs/>
          <w:sz w:val="24"/>
          <w:szCs w:val="24"/>
        </w:rPr>
      </w:pPr>
    </w:p>
    <w:p w14:paraId="46CF6291" w14:textId="4E748E70" w:rsidR="00541FEF" w:rsidRDefault="00254818" w:rsidP="00541FEF">
      <w:pPr>
        <w:pStyle w:val="NoSpacing"/>
      </w:pPr>
      <w:r>
        <w:rPr>
          <w:rFonts w:cstheme="minorHAnsi"/>
        </w:rPr>
        <w:t xml:space="preserve">The </w:t>
      </w:r>
      <w:r w:rsidR="00030A7F">
        <w:rPr>
          <w:rFonts w:cstheme="minorHAnsi"/>
        </w:rPr>
        <w:t xml:space="preserve">plain writing webpage </w:t>
      </w:r>
      <w:r w:rsidR="00002A24" w:rsidRPr="005668E5">
        <w:rPr>
          <w:rFonts w:cstheme="minorHAnsi"/>
        </w:rPr>
        <w:t xml:space="preserve">includes </w:t>
      </w:r>
      <w:r w:rsidR="00271A21">
        <w:rPr>
          <w:rFonts w:cstheme="minorHAnsi"/>
        </w:rPr>
        <w:t xml:space="preserve">a </w:t>
      </w:r>
      <w:hyperlink r:id="rId14" w:history="1">
        <w:r w:rsidR="00531E22" w:rsidRPr="00091E52">
          <w:rPr>
            <w:rStyle w:val="Hyperlink"/>
            <w:rFonts w:cstheme="minorHAnsi"/>
          </w:rPr>
          <w:t>plain writing email address</w:t>
        </w:r>
      </w:hyperlink>
      <w:r w:rsidR="00531E22">
        <w:rPr>
          <w:rFonts w:cstheme="minorHAnsi"/>
        </w:rPr>
        <w:t xml:space="preserve"> and </w:t>
      </w:r>
      <w:r w:rsidR="00002A24" w:rsidRPr="005668E5">
        <w:rPr>
          <w:rFonts w:cstheme="minorHAnsi"/>
        </w:rPr>
        <w:t xml:space="preserve">an invitation to the public to submit comments on Department output from a plain </w:t>
      </w:r>
      <w:r w:rsidR="00514347">
        <w:rPr>
          <w:rFonts w:cstheme="minorHAnsi"/>
        </w:rPr>
        <w:t>wr</w:t>
      </w:r>
      <w:r w:rsidR="00271A21">
        <w:rPr>
          <w:rFonts w:cstheme="minorHAnsi"/>
        </w:rPr>
        <w:t xml:space="preserve">iting </w:t>
      </w:r>
      <w:r w:rsidR="00002A24" w:rsidRPr="005668E5">
        <w:rPr>
          <w:rFonts w:cstheme="minorHAnsi"/>
        </w:rPr>
        <w:t>perspective</w:t>
      </w:r>
      <w:r w:rsidR="00382D04">
        <w:rPr>
          <w:rFonts w:cstheme="minorHAnsi"/>
        </w:rPr>
        <w:t xml:space="preserve"> with </w:t>
      </w:r>
      <w:r w:rsidR="00002A24" w:rsidRPr="005668E5">
        <w:rPr>
          <w:rFonts w:cstheme="minorHAnsi"/>
        </w:rPr>
        <w:t xml:space="preserve">these comments </w:t>
      </w:r>
      <w:r w:rsidR="00002A24">
        <w:rPr>
          <w:rFonts w:cstheme="minorHAnsi"/>
        </w:rPr>
        <w:t>be</w:t>
      </w:r>
      <w:r w:rsidR="00382D04">
        <w:rPr>
          <w:rFonts w:cstheme="minorHAnsi"/>
        </w:rPr>
        <w:t>ing</w:t>
      </w:r>
      <w:r w:rsidR="00002A24">
        <w:rPr>
          <w:rFonts w:cstheme="minorHAnsi"/>
        </w:rPr>
        <w:t xml:space="preserve"> </w:t>
      </w:r>
      <w:r w:rsidR="00002A24" w:rsidRPr="005668E5">
        <w:rPr>
          <w:rFonts w:cstheme="minorHAnsi"/>
        </w:rPr>
        <w:t>used to help authors improve</w:t>
      </w:r>
      <w:r w:rsidR="00271A21">
        <w:rPr>
          <w:rFonts w:cstheme="minorHAnsi"/>
        </w:rPr>
        <w:t>.</w:t>
      </w:r>
      <w:r w:rsidR="00080B19">
        <w:rPr>
          <w:rFonts w:cstheme="minorHAnsi"/>
        </w:rPr>
        <w:t xml:space="preserve"> We</w:t>
      </w:r>
      <w:r w:rsidR="005D5089">
        <w:rPr>
          <w:rFonts w:cstheme="minorHAnsi"/>
        </w:rPr>
        <w:t xml:space="preserve"> ha</w:t>
      </w:r>
      <w:r w:rsidR="00080B19">
        <w:rPr>
          <w:rFonts w:cstheme="minorHAnsi"/>
        </w:rPr>
        <w:t xml:space="preserve">ve not received any such </w:t>
      </w:r>
      <w:r w:rsidR="00ED4F36">
        <w:t xml:space="preserve">comments </w:t>
      </w:r>
      <w:r w:rsidR="00080B19">
        <w:t xml:space="preserve">or </w:t>
      </w:r>
      <w:r w:rsidR="00ED4F36">
        <w:t xml:space="preserve">questions </w:t>
      </w:r>
      <w:r w:rsidR="007C5488">
        <w:t>this fiscal year. Additionally,</w:t>
      </w:r>
      <w:r w:rsidR="00A862BF">
        <w:t xml:space="preserve"> ED’s </w:t>
      </w:r>
      <w:r w:rsidR="007407B0">
        <w:t>call center</w:t>
      </w:r>
      <w:r w:rsidR="00F85FC1">
        <w:t xml:space="preserve"> </w:t>
      </w:r>
      <w:r w:rsidR="007407B0">
        <w:t>report</w:t>
      </w:r>
      <w:r w:rsidR="00A862BF">
        <w:t xml:space="preserve">ed late in FY </w:t>
      </w:r>
      <w:r w:rsidR="00F85FC1">
        <w:t xml:space="preserve">that </w:t>
      </w:r>
      <w:r w:rsidR="00AB51C9">
        <w:t>n</w:t>
      </w:r>
      <w:r w:rsidR="00877DEA">
        <w:t xml:space="preserve">o calls or emails </w:t>
      </w:r>
      <w:r w:rsidR="00F85FC1">
        <w:t xml:space="preserve">were received </w:t>
      </w:r>
      <w:r w:rsidR="00877DEA">
        <w:t xml:space="preserve">from the public </w:t>
      </w:r>
      <w:r w:rsidR="00F85FC1">
        <w:t xml:space="preserve">regarding </w:t>
      </w:r>
      <w:r w:rsidR="00877DEA">
        <w:t>plain writing</w:t>
      </w:r>
      <w:r w:rsidR="00F85FC1">
        <w:t>.</w:t>
      </w:r>
    </w:p>
    <w:p w14:paraId="33F66172" w14:textId="0E052CDB" w:rsidR="00541FEF" w:rsidRDefault="00541FEF" w:rsidP="00820908">
      <w:pPr>
        <w:rPr>
          <w:rFonts w:ascii="Calibri" w:eastAsia="Calibri" w:hAnsi="Calibri" w:cs="Calibri"/>
          <w:sz w:val="22"/>
          <w:szCs w:val="22"/>
        </w:rPr>
      </w:pPr>
    </w:p>
    <w:p w14:paraId="304EB539" w14:textId="4AAE8810" w:rsidR="00E36267" w:rsidRDefault="007F5392" w:rsidP="001B75D4">
      <w:pPr>
        <w:pStyle w:val="NormalWeb"/>
        <w:jc w:val="center"/>
        <w:rPr>
          <w:rFonts w:asciiTheme="minorHAnsi" w:hAnsiTheme="minorHAnsi" w:cstheme="minorHAnsi"/>
          <w:b/>
          <w:bCs/>
        </w:rPr>
      </w:pPr>
      <w:r w:rsidRPr="00E4148E">
        <w:rPr>
          <w:rFonts w:asciiTheme="minorHAnsi" w:hAnsiTheme="minorHAnsi" w:cstheme="minorHAnsi"/>
          <w:b/>
          <w:bCs/>
        </w:rPr>
        <w:t>Future Plans</w:t>
      </w:r>
    </w:p>
    <w:p w14:paraId="24A6B7B0" w14:textId="77777777" w:rsidR="00937EFC" w:rsidRPr="00E4148E" w:rsidRDefault="00937EFC" w:rsidP="001B75D4">
      <w:pPr>
        <w:pStyle w:val="NormalWeb"/>
        <w:jc w:val="center"/>
        <w:rPr>
          <w:rFonts w:asciiTheme="minorHAnsi" w:hAnsiTheme="minorHAnsi" w:cstheme="minorHAnsi"/>
          <w:b/>
          <w:bCs/>
        </w:rPr>
      </w:pPr>
    </w:p>
    <w:p w14:paraId="3873C7DD" w14:textId="5B0FBF7E" w:rsidR="004027C2" w:rsidRDefault="00977EF8" w:rsidP="003F3035">
      <w:pPr>
        <w:pStyle w:val="NormalWeb"/>
        <w:rPr>
          <w:rFonts w:asciiTheme="minorHAnsi" w:hAnsiTheme="minorHAnsi" w:cstheme="minorHAnsi"/>
          <w:sz w:val="22"/>
          <w:szCs w:val="22"/>
        </w:rPr>
      </w:pPr>
      <w:r>
        <w:rPr>
          <w:rFonts w:asciiTheme="minorHAnsi" w:hAnsiTheme="minorHAnsi" w:cstheme="minorHAnsi"/>
          <w:sz w:val="22"/>
          <w:szCs w:val="22"/>
        </w:rPr>
        <w:t xml:space="preserve">Focus on improving </w:t>
      </w:r>
      <w:r w:rsidR="00E11C45">
        <w:rPr>
          <w:rFonts w:asciiTheme="minorHAnsi" w:hAnsiTheme="minorHAnsi" w:cstheme="minorHAnsi"/>
          <w:sz w:val="22"/>
          <w:szCs w:val="22"/>
        </w:rPr>
        <w:t>agency communication by us</w:t>
      </w:r>
      <w:r w:rsidR="00F468DB">
        <w:rPr>
          <w:rFonts w:asciiTheme="minorHAnsi" w:hAnsiTheme="minorHAnsi" w:cstheme="minorHAnsi"/>
          <w:sz w:val="22"/>
          <w:szCs w:val="22"/>
        </w:rPr>
        <w:t>e</w:t>
      </w:r>
      <w:r w:rsidR="00E11C45">
        <w:rPr>
          <w:rFonts w:asciiTheme="minorHAnsi" w:hAnsiTheme="minorHAnsi" w:cstheme="minorHAnsi"/>
          <w:sz w:val="22"/>
          <w:szCs w:val="22"/>
        </w:rPr>
        <w:t xml:space="preserve"> of p</w:t>
      </w:r>
      <w:r w:rsidR="00C94E6A">
        <w:rPr>
          <w:rFonts w:asciiTheme="minorHAnsi" w:hAnsiTheme="minorHAnsi" w:cstheme="minorHAnsi"/>
          <w:sz w:val="22"/>
          <w:szCs w:val="22"/>
        </w:rPr>
        <w:t>lain w</w:t>
      </w:r>
      <w:r w:rsidR="00EA38DC">
        <w:rPr>
          <w:rFonts w:asciiTheme="minorHAnsi" w:hAnsiTheme="minorHAnsi" w:cstheme="minorHAnsi"/>
          <w:sz w:val="22"/>
          <w:szCs w:val="22"/>
        </w:rPr>
        <w:t>riting will continue</w:t>
      </w:r>
      <w:r w:rsidR="00E11C45">
        <w:rPr>
          <w:rFonts w:asciiTheme="minorHAnsi" w:hAnsiTheme="minorHAnsi" w:cstheme="minorHAnsi"/>
          <w:sz w:val="22"/>
          <w:szCs w:val="22"/>
        </w:rPr>
        <w:t>. For example, s</w:t>
      </w:r>
      <w:r w:rsidR="0075551A">
        <w:rPr>
          <w:rFonts w:asciiTheme="minorHAnsi" w:hAnsiTheme="minorHAnsi" w:cstheme="minorHAnsi"/>
          <w:sz w:val="22"/>
          <w:szCs w:val="22"/>
        </w:rPr>
        <w:t xml:space="preserve">taffing needs </w:t>
      </w:r>
      <w:r w:rsidR="00A11B1F">
        <w:rPr>
          <w:rFonts w:asciiTheme="minorHAnsi" w:hAnsiTheme="minorHAnsi" w:cstheme="minorHAnsi"/>
          <w:sz w:val="22"/>
          <w:szCs w:val="22"/>
        </w:rPr>
        <w:t xml:space="preserve">for OCO will </w:t>
      </w:r>
      <w:r w:rsidR="0075551A">
        <w:rPr>
          <w:rFonts w:asciiTheme="minorHAnsi" w:hAnsiTheme="minorHAnsi" w:cstheme="minorHAnsi"/>
          <w:sz w:val="22"/>
          <w:szCs w:val="22"/>
        </w:rPr>
        <w:t xml:space="preserve">remain a priority in the coming fiscal year. </w:t>
      </w:r>
      <w:r w:rsidR="004027C2">
        <w:rPr>
          <w:rFonts w:asciiTheme="minorHAnsi" w:hAnsiTheme="minorHAnsi" w:cstheme="minorHAnsi"/>
          <w:sz w:val="22"/>
          <w:szCs w:val="22"/>
        </w:rPr>
        <w:t xml:space="preserve">The IT modernization </w:t>
      </w:r>
      <w:r w:rsidR="00C939C9">
        <w:rPr>
          <w:rFonts w:asciiTheme="minorHAnsi" w:hAnsiTheme="minorHAnsi" w:cstheme="minorHAnsi"/>
          <w:sz w:val="22"/>
          <w:szCs w:val="22"/>
        </w:rPr>
        <w:t>p</w:t>
      </w:r>
      <w:r w:rsidR="007F5392">
        <w:rPr>
          <w:rFonts w:asciiTheme="minorHAnsi" w:hAnsiTheme="minorHAnsi" w:cstheme="minorHAnsi"/>
          <w:sz w:val="22"/>
          <w:szCs w:val="22"/>
        </w:rPr>
        <w:t>rojects</w:t>
      </w:r>
      <w:r w:rsidR="00185DA2">
        <w:rPr>
          <w:rFonts w:asciiTheme="minorHAnsi" w:hAnsiTheme="minorHAnsi" w:cstheme="minorHAnsi"/>
          <w:sz w:val="22"/>
          <w:szCs w:val="22"/>
        </w:rPr>
        <w:t xml:space="preserve"> </w:t>
      </w:r>
      <w:r w:rsidR="00C939C9">
        <w:rPr>
          <w:rFonts w:asciiTheme="minorHAnsi" w:hAnsiTheme="minorHAnsi" w:cstheme="minorHAnsi"/>
          <w:sz w:val="22"/>
          <w:szCs w:val="22"/>
        </w:rPr>
        <w:t xml:space="preserve">will </w:t>
      </w:r>
      <w:r w:rsidR="00185DA2">
        <w:rPr>
          <w:rFonts w:asciiTheme="minorHAnsi" w:hAnsiTheme="minorHAnsi" w:cstheme="minorHAnsi"/>
          <w:sz w:val="22"/>
          <w:szCs w:val="22"/>
        </w:rPr>
        <w:t xml:space="preserve">afford </w:t>
      </w:r>
      <w:r w:rsidR="009D46CB">
        <w:rPr>
          <w:rFonts w:asciiTheme="minorHAnsi" w:hAnsiTheme="minorHAnsi" w:cstheme="minorHAnsi"/>
          <w:sz w:val="22"/>
          <w:szCs w:val="22"/>
        </w:rPr>
        <w:t xml:space="preserve">opportunity to </w:t>
      </w:r>
      <w:r w:rsidR="00E50211">
        <w:rPr>
          <w:rFonts w:asciiTheme="minorHAnsi" w:hAnsiTheme="minorHAnsi" w:cstheme="minorHAnsi"/>
          <w:sz w:val="22"/>
          <w:szCs w:val="22"/>
        </w:rPr>
        <w:t xml:space="preserve">create </w:t>
      </w:r>
      <w:r w:rsidR="006B709D">
        <w:rPr>
          <w:rFonts w:asciiTheme="minorHAnsi" w:hAnsiTheme="minorHAnsi" w:cstheme="minorHAnsi"/>
          <w:sz w:val="22"/>
          <w:szCs w:val="22"/>
        </w:rPr>
        <w:t xml:space="preserve">more efficient and effective avenues </w:t>
      </w:r>
      <w:r w:rsidR="004800FF">
        <w:rPr>
          <w:rFonts w:asciiTheme="minorHAnsi" w:hAnsiTheme="minorHAnsi" w:cstheme="minorHAnsi"/>
          <w:sz w:val="22"/>
          <w:szCs w:val="22"/>
        </w:rPr>
        <w:t xml:space="preserve">for </w:t>
      </w:r>
      <w:r w:rsidR="009D46CB">
        <w:rPr>
          <w:rFonts w:asciiTheme="minorHAnsi" w:hAnsiTheme="minorHAnsi" w:cstheme="minorHAnsi"/>
          <w:sz w:val="22"/>
          <w:szCs w:val="22"/>
        </w:rPr>
        <w:t>provi</w:t>
      </w:r>
      <w:r w:rsidR="004800FF">
        <w:rPr>
          <w:rFonts w:asciiTheme="minorHAnsi" w:hAnsiTheme="minorHAnsi" w:cstheme="minorHAnsi"/>
          <w:sz w:val="22"/>
          <w:szCs w:val="22"/>
        </w:rPr>
        <w:t xml:space="preserve">sion of </w:t>
      </w:r>
      <w:r w:rsidR="009D46CB">
        <w:rPr>
          <w:rFonts w:asciiTheme="minorHAnsi" w:hAnsiTheme="minorHAnsi" w:cstheme="minorHAnsi"/>
          <w:sz w:val="22"/>
          <w:szCs w:val="22"/>
        </w:rPr>
        <w:t>clear, concise information to all users, whether external or internal.</w:t>
      </w:r>
      <w:r w:rsidR="006B709D">
        <w:rPr>
          <w:rFonts w:asciiTheme="minorHAnsi" w:hAnsiTheme="minorHAnsi" w:cstheme="minorHAnsi"/>
          <w:sz w:val="22"/>
          <w:szCs w:val="22"/>
        </w:rPr>
        <w:t xml:space="preserve"> </w:t>
      </w:r>
      <w:r w:rsidR="002E1C6F">
        <w:rPr>
          <w:rFonts w:asciiTheme="minorHAnsi" w:hAnsiTheme="minorHAnsi" w:cstheme="minorHAnsi"/>
          <w:sz w:val="22"/>
          <w:szCs w:val="22"/>
        </w:rPr>
        <w:t xml:space="preserve">And </w:t>
      </w:r>
      <w:r w:rsidR="004D510E">
        <w:rPr>
          <w:rFonts w:asciiTheme="minorHAnsi" w:hAnsiTheme="minorHAnsi" w:cstheme="minorHAnsi"/>
          <w:sz w:val="22"/>
          <w:szCs w:val="22"/>
        </w:rPr>
        <w:t>contin</w:t>
      </w:r>
      <w:r w:rsidR="00BD15D0">
        <w:rPr>
          <w:rFonts w:asciiTheme="minorHAnsi" w:hAnsiTheme="minorHAnsi" w:cstheme="minorHAnsi"/>
          <w:sz w:val="22"/>
          <w:szCs w:val="22"/>
        </w:rPr>
        <w:t xml:space="preserve">uing updating or creating </w:t>
      </w:r>
      <w:r w:rsidR="002E1C6F">
        <w:rPr>
          <w:rFonts w:asciiTheme="minorHAnsi" w:hAnsiTheme="minorHAnsi" w:cstheme="minorHAnsi"/>
          <w:sz w:val="22"/>
          <w:szCs w:val="22"/>
        </w:rPr>
        <w:t xml:space="preserve">webpages </w:t>
      </w:r>
      <w:r w:rsidR="00BD15D0">
        <w:rPr>
          <w:rFonts w:asciiTheme="minorHAnsi" w:hAnsiTheme="minorHAnsi" w:cstheme="minorHAnsi"/>
          <w:sz w:val="22"/>
          <w:szCs w:val="22"/>
        </w:rPr>
        <w:t xml:space="preserve">with </w:t>
      </w:r>
      <w:r w:rsidR="005B3A97">
        <w:rPr>
          <w:rFonts w:asciiTheme="minorHAnsi" w:hAnsiTheme="minorHAnsi" w:cstheme="minorHAnsi"/>
          <w:sz w:val="22"/>
          <w:szCs w:val="22"/>
        </w:rPr>
        <w:t xml:space="preserve">plain writing </w:t>
      </w:r>
      <w:r w:rsidR="00BD15D0">
        <w:rPr>
          <w:rFonts w:asciiTheme="minorHAnsi" w:hAnsiTheme="minorHAnsi" w:cstheme="minorHAnsi"/>
          <w:sz w:val="22"/>
          <w:szCs w:val="22"/>
        </w:rPr>
        <w:t xml:space="preserve">in mind </w:t>
      </w:r>
      <w:r w:rsidR="004D510E">
        <w:rPr>
          <w:rFonts w:asciiTheme="minorHAnsi" w:hAnsiTheme="minorHAnsi" w:cstheme="minorHAnsi"/>
          <w:sz w:val="22"/>
          <w:szCs w:val="22"/>
        </w:rPr>
        <w:t xml:space="preserve">will </w:t>
      </w:r>
      <w:r w:rsidR="002E1C6F">
        <w:rPr>
          <w:rFonts w:asciiTheme="minorHAnsi" w:hAnsiTheme="minorHAnsi" w:cstheme="minorHAnsi"/>
          <w:sz w:val="22"/>
          <w:szCs w:val="22"/>
        </w:rPr>
        <w:t xml:space="preserve">provide </w:t>
      </w:r>
      <w:r w:rsidR="00F468DB">
        <w:rPr>
          <w:rFonts w:asciiTheme="minorHAnsi" w:hAnsiTheme="minorHAnsi" w:cstheme="minorHAnsi"/>
          <w:sz w:val="22"/>
          <w:szCs w:val="22"/>
        </w:rPr>
        <w:t xml:space="preserve">clear and concise </w:t>
      </w:r>
      <w:r w:rsidR="002E1C6F">
        <w:rPr>
          <w:rFonts w:asciiTheme="minorHAnsi" w:hAnsiTheme="minorHAnsi" w:cstheme="minorHAnsi"/>
          <w:sz w:val="22"/>
          <w:szCs w:val="22"/>
        </w:rPr>
        <w:t xml:space="preserve">information </w:t>
      </w:r>
      <w:r w:rsidR="004D510E">
        <w:rPr>
          <w:rFonts w:asciiTheme="minorHAnsi" w:hAnsiTheme="minorHAnsi" w:cstheme="minorHAnsi"/>
          <w:sz w:val="22"/>
          <w:szCs w:val="22"/>
        </w:rPr>
        <w:t xml:space="preserve">to </w:t>
      </w:r>
      <w:r w:rsidR="00F85FC1">
        <w:rPr>
          <w:rFonts w:asciiTheme="minorHAnsi" w:hAnsiTheme="minorHAnsi" w:cstheme="minorHAnsi"/>
          <w:sz w:val="22"/>
          <w:szCs w:val="22"/>
        </w:rPr>
        <w:t xml:space="preserve">all </w:t>
      </w:r>
      <w:r w:rsidR="004D510E">
        <w:rPr>
          <w:rFonts w:asciiTheme="minorHAnsi" w:hAnsiTheme="minorHAnsi" w:cstheme="minorHAnsi"/>
          <w:sz w:val="22"/>
          <w:szCs w:val="22"/>
        </w:rPr>
        <w:t>users</w:t>
      </w:r>
      <w:r w:rsidR="00F85FC1">
        <w:rPr>
          <w:rFonts w:asciiTheme="minorHAnsi" w:hAnsiTheme="minorHAnsi" w:cstheme="minorHAnsi"/>
          <w:sz w:val="22"/>
          <w:szCs w:val="22"/>
        </w:rPr>
        <w:t xml:space="preserve"> and a variety of education stakeholders</w:t>
      </w:r>
      <w:r w:rsidR="004D510E">
        <w:rPr>
          <w:rFonts w:asciiTheme="minorHAnsi" w:hAnsiTheme="minorHAnsi" w:cstheme="minorHAnsi"/>
          <w:sz w:val="22"/>
          <w:szCs w:val="22"/>
        </w:rPr>
        <w:t xml:space="preserve">. </w:t>
      </w:r>
      <w:r w:rsidR="00051076">
        <w:rPr>
          <w:rFonts w:asciiTheme="minorHAnsi" w:hAnsiTheme="minorHAnsi" w:cstheme="minorHAnsi"/>
          <w:sz w:val="22"/>
          <w:szCs w:val="22"/>
        </w:rPr>
        <w:t xml:space="preserve"> </w:t>
      </w:r>
    </w:p>
    <w:p w14:paraId="14558991" w14:textId="77777777" w:rsidR="004027C2" w:rsidRDefault="004027C2" w:rsidP="003F3035">
      <w:pPr>
        <w:pStyle w:val="NormalWeb"/>
        <w:rPr>
          <w:rFonts w:asciiTheme="minorHAnsi" w:hAnsiTheme="minorHAnsi" w:cstheme="minorHAnsi"/>
          <w:sz w:val="22"/>
          <w:szCs w:val="22"/>
        </w:rPr>
      </w:pPr>
    </w:p>
    <w:p w14:paraId="372475B1" w14:textId="0CC3CAE4" w:rsidR="00BD3B1C" w:rsidRDefault="00BD3B1C" w:rsidP="003F3035">
      <w:pPr>
        <w:pStyle w:val="NormalWeb"/>
        <w:rPr>
          <w:rFonts w:asciiTheme="minorHAnsi" w:hAnsiTheme="minorHAnsi" w:cstheme="minorHAnsi"/>
          <w:sz w:val="22"/>
          <w:szCs w:val="22"/>
        </w:rPr>
      </w:pPr>
    </w:p>
    <w:p w14:paraId="1BBEABBA" w14:textId="77777777" w:rsidR="002C123C" w:rsidRDefault="002C123C" w:rsidP="003F1068">
      <w:pPr>
        <w:pStyle w:val="NoSpacing"/>
        <w:rPr>
          <w:b/>
          <w:sz w:val="24"/>
          <w:szCs w:val="24"/>
        </w:rPr>
      </w:pPr>
    </w:p>
    <w:p w14:paraId="29BD4951" w14:textId="5DB26112" w:rsidR="00CD21FC" w:rsidRDefault="00CD21FC" w:rsidP="00474FC7">
      <w:pPr>
        <w:pStyle w:val="NoSpacing"/>
      </w:pPr>
    </w:p>
    <w:p w14:paraId="1F42D5AB" w14:textId="77777777" w:rsidR="00CD21FC" w:rsidRDefault="00CD21FC" w:rsidP="00474FC7">
      <w:pPr>
        <w:pStyle w:val="NoSpacing"/>
      </w:pPr>
    </w:p>
    <w:p w14:paraId="4FB5D7A0" w14:textId="77777777" w:rsidR="00CF2F5C" w:rsidRDefault="00CF2F5C" w:rsidP="00474FC7">
      <w:pPr>
        <w:pStyle w:val="NoSpacing"/>
      </w:pPr>
    </w:p>
    <w:sectPr w:rsidR="00CF2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B93FCF"/>
    <w:multiLevelType w:val="hybridMultilevel"/>
    <w:tmpl w:val="6EA2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F425F9"/>
    <w:multiLevelType w:val="hybridMultilevel"/>
    <w:tmpl w:val="F90A8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D56129E"/>
    <w:multiLevelType w:val="hybridMultilevel"/>
    <w:tmpl w:val="F42A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35"/>
    <w:rsid w:val="000008AB"/>
    <w:rsid w:val="00001C55"/>
    <w:rsid w:val="00002A24"/>
    <w:rsid w:val="000046E0"/>
    <w:rsid w:val="000061F7"/>
    <w:rsid w:val="00012534"/>
    <w:rsid w:val="000137C3"/>
    <w:rsid w:val="00014411"/>
    <w:rsid w:val="000155D6"/>
    <w:rsid w:val="00016D3D"/>
    <w:rsid w:val="0001726E"/>
    <w:rsid w:val="00022C01"/>
    <w:rsid w:val="00030A7F"/>
    <w:rsid w:val="00031495"/>
    <w:rsid w:val="00031DD7"/>
    <w:rsid w:val="000324C9"/>
    <w:rsid w:val="00033FA0"/>
    <w:rsid w:val="000342B7"/>
    <w:rsid w:val="00035EC2"/>
    <w:rsid w:val="000440F6"/>
    <w:rsid w:val="000473BF"/>
    <w:rsid w:val="00051076"/>
    <w:rsid w:val="00051244"/>
    <w:rsid w:val="000539A0"/>
    <w:rsid w:val="00053CB7"/>
    <w:rsid w:val="00055E6D"/>
    <w:rsid w:val="00056E42"/>
    <w:rsid w:val="00065E33"/>
    <w:rsid w:val="000705CE"/>
    <w:rsid w:val="00071772"/>
    <w:rsid w:val="000723AF"/>
    <w:rsid w:val="0007795D"/>
    <w:rsid w:val="00080B19"/>
    <w:rsid w:val="000860CC"/>
    <w:rsid w:val="000860F7"/>
    <w:rsid w:val="0008757D"/>
    <w:rsid w:val="00091E52"/>
    <w:rsid w:val="0009338D"/>
    <w:rsid w:val="00094A1F"/>
    <w:rsid w:val="000A176A"/>
    <w:rsid w:val="000A27D2"/>
    <w:rsid w:val="000A48B2"/>
    <w:rsid w:val="000A668D"/>
    <w:rsid w:val="000A703C"/>
    <w:rsid w:val="000A79FA"/>
    <w:rsid w:val="000B2176"/>
    <w:rsid w:val="000B2E62"/>
    <w:rsid w:val="000B4588"/>
    <w:rsid w:val="000B4ECD"/>
    <w:rsid w:val="000B505C"/>
    <w:rsid w:val="000B6C43"/>
    <w:rsid w:val="000C17BA"/>
    <w:rsid w:val="000C5832"/>
    <w:rsid w:val="000C71B3"/>
    <w:rsid w:val="000D7531"/>
    <w:rsid w:val="000E2A01"/>
    <w:rsid w:val="000E6116"/>
    <w:rsid w:val="000F00BB"/>
    <w:rsid w:val="000F49ED"/>
    <w:rsid w:val="00100054"/>
    <w:rsid w:val="00106092"/>
    <w:rsid w:val="00110177"/>
    <w:rsid w:val="0011342A"/>
    <w:rsid w:val="0011511F"/>
    <w:rsid w:val="00116F4D"/>
    <w:rsid w:val="001211EF"/>
    <w:rsid w:val="0012293D"/>
    <w:rsid w:val="00123AD9"/>
    <w:rsid w:val="00127301"/>
    <w:rsid w:val="00130948"/>
    <w:rsid w:val="0013211E"/>
    <w:rsid w:val="00133D7A"/>
    <w:rsid w:val="00135118"/>
    <w:rsid w:val="00141DE0"/>
    <w:rsid w:val="00142DE0"/>
    <w:rsid w:val="00143981"/>
    <w:rsid w:val="00144544"/>
    <w:rsid w:val="00145A6E"/>
    <w:rsid w:val="00145E61"/>
    <w:rsid w:val="00147A01"/>
    <w:rsid w:val="00150822"/>
    <w:rsid w:val="00151818"/>
    <w:rsid w:val="00151891"/>
    <w:rsid w:val="00155465"/>
    <w:rsid w:val="00160F18"/>
    <w:rsid w:val="00163F28"/>
    <w:rsid w:val="00164E28"/>
    <w:rsid w:val="00164EC7"/>
    <w:rsid w:val="00175026"/>
    <w:rsid w:val="00175595"/>
    <w:rsid w:val="0017634A"/>
    <w:rsid w:val="00185DA2"/>
    <w:rsid w:val="001918AF"/>
    <w:rsid w:val="001A0851"/>
    <w:rsid w:val="001A1503"/>
    <w:rsid w:val="001B38FB"/>
    <w:rsid w:val="001B705A"/>
    <w:rsid w:val="001B75D4"/>
    <w:rsid w:val="001C2865"/>
    <w:rsid w:val="001C30DF"/>
    <w:rsid w:val="001C3C06"/>
    <w:rsid w:val="001C7B2C"/>
    <w:rsid w:val="001D2759"/>
    <w:rsid w:val="001D5108"/>
    <w:rsid w:val="001D715B"/>
    <w:rsid w:val="001E0341"/>
    <w:rsid w:val="001E78A0"/>
    <w:rsid w:val="001F0A5E"/>
    <w:rsid w:val="001F1EB9"/>
    <w:rsid w:val="001F2405"/>
    <w:rsid w:val="001F25C3"/>
    <w:rsid w:val="001F58DA"/>
    <w:rsid w:val="001F6056"/>
    <w:rsid w:val="002023AC"/>
    <w:rsid w:val="00202D4D"/>
    <w:rsid w:val="002069AF"/>
    <w:rsid w:val="00213DBA"/>
    <w:rsid w:val="002170FB"/>
    <w:rsid w:val="00217F93"/>
    <w:rsid w:val="002229FF"/>
    <w:rsid w:val="00223A1D"/>
    <w:rsid w:val="002244DB"/>
    <w:rsid w:val="00226402"/>
    <w:rsid w:val="002273EC"/>
    <w:rsid w:val="00232A5F"/>
    <w:rsid w:val="00233CAC"/>
    <w:rsid w:val="0024260E"/>
    <w:rsid w:val="00242C13"/>
    <w:rsid w:val="00244C1C"/>
    <w:rsid w:val="002514CD"/>
    <w:rsid w:val="002519DD"/>
    <w:rsid w:val="002547BE"/>
    <w:rsid w:val="00254818"/>
    <w:rsid w:val="0025512E"/>
    <w:rsid w:val="002574B2"/>
    <w:rsid w:val="00261BB0"/>
    <w:rsid w:val="002629B9"/>
    <w:rsid w:val="002633C1"/>
    <w:rsid w:val="00266AE9"/>
    <w:rsid w:val="00271A21"/>
    <w:rsid w:val="0027315B"/>
    <w:rsid w:val="0027635A"/>
    <w:rsid w:val="002773B7"/>
    <w:rsid w:val="00277691"/>
    <w:rsid w:val="002814F5"/>
    <w:rsid w:val="002815A7"/>
    <w:rsid w:val="00283C4F"/>
    <w:rsid w:val="00284FA5"/>
    <w:rsid w:val="002854D6"/>
    <w:rsid w:val="00285997"/>
    <w:rsid w:val="002863D6"/>
    <w:rsid w:val="0029079D"/>
    <w:rsid w:val="00293AA1"/>
    <w:rsid w:val="0029694D"/>
    <w:rsid w:val="002A42E4"/>
    <w:rsid w:val="002A6126"/>
    <w:rsid w:val="002A7373"/>
    <w:rsid w:val="002B21EA"/>
    <w:rsid w:val="002B4021"/>
    <w:rsid w:val="002B5419"/>
    <w:rsid w:val="002B5DDD"/>
    <w:rsid w:val="002B5FA6"/>
    <w:rsid w:val="002B655D"/>
    <w:rsid w:val="002C123C"/>
    <w:rsid w:val="002C3594"/>
    <w:rsid w:val="002C4016"/>
    <w:rsid w:val="002C669D"/>
    <w:rsid w:val="002D33DC"/>
    <w:rsid w:val="002D6821"/>
    <w:rsid w:val="002E1C6F"/>
    <w:rsid w:val="002E5449"/>
    <w:rsid w:val="002E69BC"/>
    <w:rsid w:val="002E6D26"/>
    <w:rsid w:val="00310DE2"/>
    <w:rsid w:val="00310DEA"/>
    <w:rsid w:val="00312E68"/>
    <w:rsid w:val="00316570"/>
    <w:rsid w:val="003166BA"/>
    <w:rsid w:val="003173C2"/>
    <w:rsid w:val="00321DBC"/>
    <w:rsid w:val="00324492"/>
    <w:rsid w:val="00330017"/>
    <w:rsid w:val="00330399"/>
    <w:rsid w:val="00332F37"/>
    <w:rsid w:val="0033361F"/>
    <w:rsid w:val="0033369E"/>
    <w:rsid w:val="0033505F"/>
    <w:rsid w:val="00337CA9"/>
    <w:rsid w:val="00340EC5"/>
    <w:rsid w:val="00344564"/>
    <w:rsid w:val="00345C72"/>
    <w:rsid w:val="00345F88"/>
    <w:rsid w:val="00347661"/>
    <w:rsid w:val="00352509"/>
    <w:rsid w:val="00354051"/>
    <w:rsid w:val="0035483D"/>
    <w:rsid w:val="00355AFE"/>
    <w:rsid w:val="003565E1"/>
    <w:rsid w:val="00356896"/>
    <w:rsid w:val="003577D6"/>
    <w:rsid w:val="00362B26"/>
    <w:rsid w:val="003636D2"/>
    <w:rsid w:val="00364238"/>
    <w:rsid w:val="003648FD"/>
    <w:rsid w:val="003709AE"/>
    <w:rsid w:val="003733B7"/>
    <w:rsid w:val="00380A11"/>
    <w:rsid w:val="00382D04"/>
    <w:rsid w:val="0038665F"/>
    <w:rsid w:val="00386F28"/>
    <w:rsid w:val="00387643"/>
    <w:rsid w:val="00397C98"/>
    <w:rsid w:val="003A1339"/>
    <w:rsid w:val="003A23F3"/>
    <w:rsid w:val="003A473C"/>
    <w:rsid w:val="003A4DB9"/>
    <w:rsid w:val="003A53B5"/>
    <w:rsid w:val="003A608B"/>
    <w:rsid w:val="003A611E"/>
    <w:rsid w:val="003A69F9"/>
    <w:rsid w:val="003B61DD"/>
    <w:rsid w:val="003B6529"/>
    <w:rsid w:val="003C387B"/>
    <w:rsid w:val="003C55DC"/>
    <w:rsid w:val="003C627B"/>
    <w:rsid w:val="003C6406"/>
    <w:rsid w:val="003C65BB"/>
    <w:rsid w:val="003C791E"/>
    <w:rsid w:val="003D2136"/>
    <w:rsid w:val="003D27B7"/>
    <w:rsid w:val="003E0F33"/>
    <w:rsid w:val="003E501C"/>
    <w:rsid w:val="003F1068"/>
    <w:rsid w:val="003F3035"/>
    <w:rsid w:val="003F50BD"/>
    <w:rsid w:val="0040208B"/>
    <w:rsid w:val="004027C2"/>
    <w:rsid w:val="0040692B"/>
    <w:rsid w:val="004204C7"/>
    <w:rsid w:val="00421012"/>
    <w:rsid w:val="004220C9"/>
    <w:rsid w:val="00422C34"/>
    <w:rsid w:val="00424FAF"/>
    <w:rsid w:val="0043429A"/>
    <w:rsid w:val="004348B7"/>
    <w:rsid w:val="00437244"/>
    <w:rsid w:val="0044059B"/>
    <w:rsid w:val="00443CC7"/>
    <w:rsid w:val="00450B8C"/>
    <w:rsid w:val="004534E1"/>
    <w:rsid w:val="00462D99"/>
    <w:rsid w:val="004654D2"/>
    <w:rsid w:val="004719F3"/>
    <w:rsid w:val="00474FC7"/>
    <w:rsid w:val="00477113"/>
    <w:rsid w:val="004800FF"/>
    <w:rsid w:val="004828C2"/>
    <w:rsid w:val="00485DB0"/>
    <w:rsid w:val="00492ED7"/>
    <w:rsid w:val="0049395D"/>
    <w:rsid w:val="0049459B"/>
    <w:rsid w:val="004A07D6"/>
    <w:rsid w:val="004A0EB2"/>
    <w:rsid w:val="004A26E0"/>
    <w:rsid w:val="004A3076"/>
    <w:rsid w:val="004A66EB"/>
    <w:rsid w:val="004B28E7"/>
    <w:rsid w:val="004B2A7D"/>
    <w:rsid w:val="004B6DF9"/>
    <w:rsid w:val="004C05F9"/>
    <w:rsid w:val="004C44FD"/>
    <w:rsid w:val="004C5C57"/>
    <w:rsid w:val="004C77DA"/>
    <w:rsid w:val="004C7B36"/>
    <w:rsid w:val="004D1295"/>
    <w:rsid w:val="004D510E"/>
    <w:rsid w:val="004E32D2"/>
    <w:rsid w:val="004E3CDE"/>
    <w:rsid w:val="004E6B2F"/>
    <w:rsid w:val="004E6F8D"/>
    <w:rsid w:val="004E726D"/>
    <w:rsid w:val="004F0742"/>
    <w:rsid w:val="004F18F7"/>
    <w:rsid w:val="004F7B4B"/>
    <w:rsid w:val="00504AE3"/>
    <w:rsid w:val="00506167"/>
    <w:rsid w:val="00506802"/>
    <w:rsid w:val="00511011"/>
    <w:rsid w:val="005124BB"/>
    <w:rsid w:val="00514347"/>
    <w:rsid w:val="00521C31"/>
    <w:rsid w:val="005225B5"/>
    <w:rsid w:val="00531E22"/>
    <w:rsid w:val="005355EB"/>
    <w:rsid w:val="00535B4A"/>
    <w:rsid w:val="00537445"/>
    <w:rsid w:val="005405CF"/>
    <w:rsid w:val="00541FEF"/>
    <w:rsid w:val="00542277"/>
    <w:rsid w:val="0055165E"/>
    <w:rsid w:val="00551D31"/>
    <w:rsid w:val="005538D1"/>
    <w:rsid w:val="00554366"/>
    <w:rsid w:val="005544D8"/>
    <w:rsid w:val="00556EE2"/>
    <w:rsid w:val="00557E24"/>
    <w:rsid w:val="005620A5"/>
    <w:rsid w:val="00562203"/>
    <w:rsid w:val="00562F4F"/>
    <w:rsid w:val="0056339E"/>
    <w:rsid w:val="0056665E"/>
    <w:rsid w:val="00566BC1"/>
    <w:rsid w:val="00571E9B"/>
    <w:rsid w:val="00574C16"/>
    <w:rsid w:val="00575014"/>
    <w:rsid w:val="00575F91"/>
    <w:rsid w:val="0058676B"/>
    <w:rsid w:val="0059394A"/>
    <w:rsid w:val="005A2101"/>
    <w:rsid w:val="005A3476"/>
    <w:rsid w:val="005A54DA"/>
    <w:rsid w:val="005B0C4D"/>
    <w:rsid w:val="005B3A97"/>
    <w:rsid w:val="005B63E4"/>
    <w:rsid w:val="005C0D98"/>
    <w:rsid w:val="005C11DA"/>
    <w:rsid w:val="005C1941"/>
    <w:rsid w:val="005C6D4F"/>
    <w:rsid w:val="005D03CA"/>
    <w:rsid w:val="005D3FA9"/>
    <w:rsid w:val="005D5089"/>
    <w:rsid w:val="005F0124"/>
    <w:rsid w:val="005F086F"/>
    <w:rsid w:val="005F0FB6"/>
    <w:rsid w:val="005F2DCF"/>
    <w:rsid w:val="005F46F0"/>
    <w:rsid w:val="005F4916"/>
    <w:rsid w:val="00602540"/>
    <w:rsid w:val="006106E3"/>
    <w:rsid w:val="00614C01"/>
    <w:rsid w:val="006162AB"/>
    <w:rsid w:val="00622BAF"/>
    <w:rsid w:val="00624480"/>
    <w:rsid w:val="0062618C"/>
    <w:rsid w:val="006320C6"/>
    <w:rsid w:val="006331C5"/>
    <w:rsid w:val="006371A0"/>
    <w:rsid w:val="006379BF"/>
    <w:rsid w:val="00641460"/>
    <w:rsid w:val="006415C8"/>
    <w:rsid w:val="00641C5F"/>
    <w:rsid w:val="00641D33"/>
    <w:rsid w:val="006420F6"/>
    <w:rsid w:val="00646CB4"/>
    <w:rsid w:val="0064745D"/>
    <w:rsid w:val="006526E5"/>
    <w:rsid w:val="006528EB"/>
    <w:rsid w:val="00654923"/>
    <w:rsid w:val="0066531E"/>
    <w:rsid w:val="0066672E"/>
    <w:rsid w:val="006710D7"/>
    <w:rsid w:val="00671E2E"/>
    <w:rsid w:val="0067364C"/>
    <w:rsid w:val="00674324"/>
    <w:rsid w:val="0067479F"/>
    <w:rsid w:val="006768CF"/>
    <w:rsid w:val="00677F57"/>
    <w:rsid w:val="00681042"/>
    <w:rsid w:val="00682887"/>
    <w:rsid w:val="00682DE5"/>
    <w:rsid w:val="006862E0"/>
    <w:rsid w:val="00687521"/>
    <w:rsid w:val="00693CA6"/>
    <w:rsid w:val="00694941"/>
    <w:rsid w:val="006954AC"/>
    <w:rsid w:val="006969D3"/>
    <w:rsid w:val="006974C9"/>
    <w:rsid w:val="00697993"/>
    <w:rsid w:val="006A143E"/>
    <w:rsid w:val="006A20F5"/>
    <w:rsid w:val="006A6EE6"/>
    <w:rsid w:val="006B20D5"/>
    <w:rsid w:val="006B2E14"/>
    <w:rsid w:val="006B4184"/>
    <w:rsid w:val="006B45EA"/>
    <w:rsid w:val="006B6267"/>
    <w:rsid w:val="006B6598"/>
    <w:rsid w:val="006B709D"/>
    <w:rsid w:val="006C3D95"/>
    <w:rsid w:val="006D5488"/>
    <w:rsid w:val="006D59BD"/>
    <w:rsid w:val="006D5CF1"/>
    <w:rsid w:val="006D64A2"/>
    <w:rsid w:val="006D7232"/>
    <w:rsid w:val="006F1E24"/>
    <w:rsid w:val="006F394A"/>
    <w:rsid w:val="006F7DAF"/>
    <w:rsid w:val="00701B97"/>
    <w:rsid w:val="00702015"/>
    <w:rsid w:val="00702E4C"/>
    <w:rsid w:val="007033E6"/>
    <w:rsid w:val="007064C4"/>
    <w:rsid w:val="00707825"/>
    <w:rsid w:val="00707F6C"/>
    <w:rsid w:val="00712905"/>
    <w:rsid w:val="00715B1A"/>
    <w:rsid w:val="00715CD4"/>
    <w:rsid w:val="0072453B"/>
    <w:rsid w:val="0072460A"/>
    <w:rsid w:val="007334E2"/>
    <w:rsid w:val="00737481"/>
    <w:rsid w:val="007407B0"/>
    <w:rsid w:val="00741ECD"/>
    <w:rsid w:val="00747566"/>
    <w:rsid w:val="007504F1"/>
    <w:rsid w:val="00755153"/>
    <w:rsid w:val="0075551A"/>
    <w:rsid w:val="0076413F"/>
    <w:rsid w:val="007641D8"/>
    <w:rsid w:val="00767E00"/>
    <w:rsid w:val="00773C73"/>
    <w:rsid w:val="007759BF"/>
    <w:rsid w:val="007763B3"/>
    <w:rsid w:val="00780B50"/>
    <w:rsid w:val="00784053"/>
    <w:rsid w:val="0078648A"/>
    <w:rsid w:val="00786BE4"/>
    <w:rsid w:val="007926FD"/>
    <w:rsid w:val="00797A7E"/>
    <w:rsid w:val="007A1163"/>
    <w:rsid w:val="007A34C9"/>
    <w:rsid w:val="007A494D"/>
    <w:rsid w:val="007A4C66"/>
    <w:rsid w:val="007A7822"/>
    <w:rsid w:val="007B0AB7"/>
    <w:rsid w:val="007B0E24"/>
    <w:rsid w:val="007B19B6"/>
    <w:rsid w:val="007B1F36"/>
    <w:rsid w:val="007B2986"/>
    <w:rsid w:val="007B714D"/>
    <w:rsid w:val="007C127F"/>
    <w:rsid w:val="007C2C0F"/>
    <w:rsid w:val="007C5488"/>
    <w:rsid w:val="007D3409"/>
    <w:rsid w:val="007D3F63"/>
    <w:rsid w:val="007E27C2"/>
    <w:rsid w:val="007E30A7"/>
    <w:rsid w:val="007E357F"/>
    <w:rsid w:val="007E4BCD"/>
    <w:rsid w:val="007E58D3"/>
    <w:rsid w:val="007E6C7E"/>
    <w:rsid w:val="007F2226"/>
    <w:rsid w:val="007F519A"/>
    <w:rsid w:val="007F5392"/>
    <w:rsid w:val="008014CE"/>
    <w:rsid w:val="008022B2"/>
    <w:rsid w:val="00805639"/>
    <w:rsid w:val="00807987"/>
    <w:rsid w:val="0081450A"/>
    <w:rsid w:val="0081644C"/>
    <w:rsid w:val="00820908"/>
    <w:rsid w:val="00820CC3"/>
    <w:rsid w:val="008254C5"/>
    <w:rsid w:val="00826EE3"/>
    <w:rsid w:val="00831671"/>
    <w:rsid w:val="00834817"/>
    <w:rsid w:val="00835595"/>
    <w:rsid w:val="008379E2"/>
    <w:rsid w:val="008537E8"/>
    <w:rsid w:val="008575BD"/>
    <w:rsid w:val="00860D20"/>
    <w:rsid w:val="00860DCD"/>
    <w:rsid w:val="008633DE"/>
    <w:rsid w:val="00865067"/>
    <w:rsid w:val="008650B3"/>
    <w:rsid w:val="008667A5"/>
    <w:rsid w:val="00866C5F"/>
    <w:rsid w:val="00866E01"/>
    <w:rsid w:val="00867FBF"/>
    <w:rsid w:val="00870522"/>
    <w:rsid w:val="00871534"/>
    <w:rsid w:val="00876F53"/>
    <w:rsid w:val="008779CD"/>
    <w:rsid w:val="00877DEA"/>
    <w:rsid w:val="00882697"/>
    <w:rsid w:val="008838F1"/>
    <w:rsid w:val="00885281"/>
    <w:rsid w:val="008902A9"/>
    <w:rsid w:val="008A05BF"/>
    <w:rsid w:val="008A2D4C"/>
    <w:rsid w:val="008A385F"/>
    <w:rsid w:val="008A4A8C"/>
    <w:rsid w:val="008A4D37"/>
    <w:rsid w:val="008A6A93"/>
    <w:rsid w:val="008B0835"/>
    <w:rsid w:val="008B0F80"/>
    <w:rsid w:val="008B0FFA"/>
    <w:rsid w:val="008B38C9"/>
    <w:rsid w:val="008B3A34"/>
    <w:rsid w:val="008B4D10"/>
    <w:rsid w:val="008B581B"/>
    <w:rsid w:val="008B5E6A"/>
    <w:rsid w:val="008B72C9"/>
    <w:rsid w:val="008C1F59"/>
    <w:rsid w:val="008C5591"/>
    <w:rsid w:val="008C6705"/>
    <w:rsid w:val="008D1DD9"/>
    <w:rsid w:val="008D28C6"/>
    <w:rsid w:val="008D3A39"/>
    <w:rsid w:val="008D709D"/>
    <w:rsid w:val="008E3357"/>
    <w:rsid w:val="008E4500"/>
    <w:rsid w:val="008E5A69"/>
    <w:rsid w:val="008E5D4A"/>
    <w:rsid w:val="008F4AF1"/>
    <w:rsid w:val="008F70B9"/>
    <w:rsid w:val="009017BD"/>
    <w:rsid w:val="0090212E"/>
    <w:rsid w:val="00902FD6"/>
    <w:rsid w:val="009056FF"/>
    <w:rsid w:val="00906324"/>
    <w:rsid w:val="009065FC"/>
    <w:rsid w:val="00906F8A"/>
    <w:rsid w:val="00906FD1"/>
    <w:rsid w:val="009129E8"/>
    <w:rsid w:val="00913325"/>
    <w:rsid w:val="00914DCC"/>
    <w:rsid w:val="00916861"/>
    <w:rsid w:val="0091785F"/>
    <w:rsid w:val="00917D67"/>
    <w:rsid w:val="00934C98"/>
    <w:rsid w:val="00937EFC"/>
    <w:rsid w:val="009403EE"/>
    <w:rsid w:val="00942F50"/>
    <w:rsid w:val="00942FE6"/>
    <w:rsid w:val="00943419"/>
    <w:rsid w:val="0094445D"/>
    <w:rsid w:val="0094645B"/>
    <w:rsid w:val="00947A23"/>
    <w:rsid w:val="009578C0"/>
    <w:rsid w:val="00967648"/>
    <w:rsid w:val="009706B0"/>
    <w:rsid w:val="0097414E"/>
    <w:rsid w:val="00974A0B"/>
    <w:rsid w:val="00975C00"/>
    <w:rsid w:val="00977EF8"/>
    <w:rsid w:val="00981CF2"/>
    <w:rsid w:val="00982A2A"/>
    <w:rsid w:val="00983154"/>
    <w:rsid w:val="00984028"/>
    <w:rsid w:val="00987281"/>
    <w:rsid w:val="00990114"/>
    <w:rsid w:val="00991E9F"/>
    <w:rsid w:val="00994A24"/>
    <w:rsid w:val="00995092"/>
    <w:rsid w:val="0099541D"/>
    <w:rsid w:val="00996323"/>
    <w:rsid w:val="00997006"/>
    <w:rsid w:val="009B324B"/>
    <w:rsid w:val="009B36C9"/>
    <w:rsid w:val="009B3C84"/>
    <w:rsid w:val="009B3F6D"/>
    <w:rsid w:val="009B5676"/>
    <w:rsid w:val="009B7B13"/>
    <w:rsid w:val="009C00BE"/>
    <w:rsid w:val="009C09C4"/>
    <w:rsid w:val="009C1120"/>
    <w:rsid w:val="009C2E58"/>
    <w:rsid w:val="009C3F7E"/>
    <w:rsid w:val="009C70C6"/>
    <w:rsid w:val="009D30A4"/>
    <w:rsid w:val="009D3884"/>
    <w:rsid w:val="009D46CB"/>
    <w:rsid w:val="009D7597"/>
    <w:rsid w:val="009E1E6E"/>
    <w:rsid w:val="009E318F"/>
    <w:rsid w:val="009E4376"/>
    <w:rsid w:val="009E4F33"/>
    <w:rsid w:val="009E71BA"/>
    <w:rsid w:val="009E78B8"/>
    <w:rsid w:val="009F3917"/>
    <w:rsid w:val="009F4D0B"/>
    <w:rsid w:val="009F7125"/>
    <w:rsid w:val="00A02D69"/>
    <w:rsid w:val="00A0324A"/>
    <w:rsid w:val="00A10E3A"/>
    <w:rsid w:val="00A11A83"/>
    <w:rsid w:val="00A11B1F"/>
    <w:rsid w:val="00A12922"/>
    <w:rsid w:val="00A1398A"/>
    <w:rsid w:val="00A144FD"/>
    <w:rsid w:val="00A17E6E"/>
    <w:rsid w:val="00A20A11"/>
    <w:rsid w:val="00A20B0C"/>
    <w:rsid w:val="00A22C85"/>
    <w:rsid w:val="00A256AB"/>
    <w:rsid w:val="00A26645"/>
    <w:rsid w:val="00A3054D"/>
    <w:rsid w:val="00A34EC1"/>
    <w:rsid w:val="00A3518F"/>
    <w:rsid w:val="00A357C8"/>
    <w:rsid w:val="00A41384"/>
    <w:rsid w:val="00A46E89"/>
    <w:rsid w:val="00A47520"/>
    <w:rsid w:val="00A53EFC"/>
    <w:rsid w:val="00A56CA4"/>
    <w:rsid w:val="00A604D5"/>
    <w:rsid w:val="00A61A91"/>
    <w:rsid w:val="00A62B44"/>
    <w:rsid w:val="00A6371B"/>
    <w:rsid w:val="00A6754F"/>
    <w:rsid w:val="00A67D16"/>
    <w:rsid w:val="00A711AE"/>
    <w:rsid w:val="00A75BEE"/>
    <w:rsid w:val="00A812D8"/>
    <w:rsid w:val="00A81A82"/>
    <w:rsid w:val="00A83C2A"/>
    <w:rsid w:val="00A84089"/>
    <w:rsid w:val="00A84BB4"/>
    <w:rsid w:val="00A862BF"/>
    <w:rsid w:val="00A95055"/>
    <w:rsid w:val="00A959A5"/>
    <w:rsid w:val="00A9603A"/>
    <w:rsid w:val="00A96DE2"/>
    <w:rsid w:val="00AA10CF"/>
    <w:rsid w:val="00AA1952"/>
    <w:rsid w:val="00AA2AB7"/>
    <w:rsid w:val="00AA7535"/>
    <w:rsid w:val="00AA7CA9"/>
    <w:rsid w:val="00AB1C94"/>
    <w:rsid w:val="00AB28FA"/>
    <w:rsid w:val="00AB51C9"/>
    <w:rsid w:val="00AB7D37"/>
    <w:rsid w:val="00AC0494"/>
    <w:rsid w:val="00AC0782"/>
    <w:rsid w:val="00AC6658"/>
    <w:rsid w:val="00AC6F3E"/>
    <w:rsid w:val="00AD1821"/>
    <w:rsid w:val="00AD1B2D"/>
    <w:rsid w:val="00AE08A2"/>
    <w:rsid w:val="00AE36B5"/>
    <w:rsid w:val="00AE37E5"/>
    <w:rsid w:val="00AF0932"/>
    <w:rsid w:val="00AF289B"/>
    <w:rsid w:val="00B0140F"/>
    <w:rsid w:val="00B045E6"/>
    <w:rsid w:val="00B05680"/>
    <w:rsid w:val="00B0595B"/>
    <w:rsid w:val="00B05A3D"/>
    <w:rsid w:val="00B118E5"/>
    <w:rsid w:val="00B14DC3"/>
    <w:rsid w:val="00B217CB"/>
    <w:rsid w:val="00B22BF7"/>
    <w:rsid w:val="00B24245"/>
    <w:rsid w:val="00B249C8"/>
    <w:rsid w:val="00B24E2E"/>
    <w:rsid w:val="00B24FAE"/>
    <w:rsid w:val="00B259D9"/>
    <w:rsid w:val="00B33BC0"/>
    <w:rsid w:val="00B34B87"/>
    <w:rsid w:val="00B52210"/>
    <w:rsid w:val="00B54183"/>
    <w:rsid w:val="00B558E2"/>
    <w:rsid w:val="00B5798F"/>
    <w:rsid w:val="00B579E7"/>
    <w:rsid w:val="00B61D46"/>
    <w:rsid w:val="00B6342D"/>
    <w:rsid w:val="00B6359D"/>
    <w:rsid w:val="00B70407"/>
    <w:rsid w:val="00B70B5A"/>
    <w:rsid w:val="00B74777"/>
    <w:rsid w:val="00B75A7C"/>
    <w:rsid w:val="00B774C1"/>
    <w:rsid w:val="00B80173"/>
    <w:rsid w:val="00B863F0"/>
    <w:rsid w:val="00B96A83"/>
    <w:rsid w:val="00B96D37"/>
    <w:rsid w:val="00BA4F63"/>
    <w:rsid w:val="00BA625D"/>
    <w:rsid w:val="00BA73C5"/>
    <w:rsid w:val="00BB17DA"/>
    <w:rsid w:val="00BB1E13"/>
    <w:rsid w:val="00BB29D2"/>
    <w:rsid w:val="00BB5FF9"/>
    <w:rsid w:val="00BB67CE"/>
    <w:rsid w:val="00BC1810"/>
    <w:rsid w:val="00BC2533"/>
    <w:rsid w:val="00BC279B"/>
    <w:rsid w:val="00BC534C"/>
    <w:rsid w:val="00BC6918"/>
    <w:rsid w:val="00BD15D0"/>
    <w:rsid w:val="00BD282E"/>
    <w:rsid w:val="00BD3B1C"/>
    <w:rsid w:val="00BD6D40"/>
    <w:rsid w:val="00BE224C"/>
    <w:rsid w:val="00BE37D6"/>
    <w:rsid w:val="00BE45A2"/>
    <w:rsid w:val="00BE4919"/>
    <w:rsid w:val="00BE6484"/>
    <w:rsid w:val="00BE69CF"/>
    <w:rsid w:val="00BF143B"/>
    <w:rsid w:val="00BF1C97"/>
    <w:rsid w:val="00BF3886"/>
    <w:rsid w:val="00BF42C2"/>
    <w:rsid w:val="00BF560F"/>
    <w:rsid w:val="00BF5654"/>
    <w:rsid w:val="00BF5CED"/>
    <w:rsid w:val="00BF6892"/>
    <w:rsid w:val="00BF6AAA"/>
    <w:rsid w:val="00C01AD9"/>
    <w:rsid w:val="00C03A7C"/>
    <w:rsid w:val="00C03E45"/>
    <w:rsid w:val="00C2134F"/>
    <w:rsid w:val="00C24CB2"/>
    <w:rsid w:val="00C26E07"/>
    <w:rsid w:val="00C27ADF"/>
    <w:rsid w:val="00C27C2C"/>
    <w:rsid w:val="00C3777F"/>
    <w:rsid w:val="00C510F0"/>
    <w:rsid w:val="00C563F1"/>
    <w:rsid w:val="00C57979"/>
    <w:rsid w:val="00C64C32"/>
    <w:rsid w:val="00C65620"/>
    <w:rsid w:val="00C66820"/>
    <w:rsid w:val="00C71035"/>
    <w:rsid w:val="00C71F2C"/>
    <w:rsid w:val="00C77540"/>
    <w:rsid w:val="00C802D9"/>
    <w:rsid w:val="00C922BE"/>
    <w:rsid w:val="00C9248F"/>
    <w:rsid w:val="00C939C9"/>
    <w:rsid w:val="00C94E6A"/>
    <w:rsid w:val="00C9694D"/>
    <w:rsid w:val="00CB0568"/>
    <w:rsid w:val="00CB1FD1"/>
    <w:rsid w:val="00CB272A"/>
    <w:rsid w:val="00CB74FD"/>
    <w:rsid w:val="00CC1EB6"/>
    <w:rsid w:val="00CC4B99"/>
    <w:rsid w:val="00CC5BBA"/>
    <w:rsid w:val="00CC5F72"/>
    <w:rsid w:val="00CD0497"/>
    <w:rsid w:val="00CD2131"/>
    <w:rsid w:val="00CD2185"/>
    <w:rsid w:val="00CD21FC"/>
    <w:rsid w:val="00CD680D"/>
    <w:rsid w:val="00CE00ED"/>
    <w:rsid w:val="00CE0483"/>
    <w:rsid w:val="00CE15FC"/>
    <w:rsid w:val="00CE1F33"/>
    <w:rsid w:val="00CE30C5"/>
    <w:rsid w:val="00CE3B0A"/>
    <w:rsid w:val="00CE4CE4"/>
    <w:rsid w:val="00CE61ED"/>
    <w:rsid w:val="00CE6C54"/>
    <w:rsid w:val="00CF03ED"/>
    <w:rsid w:val="00CF2F5C"/>
    <w:rsid w:val="00CF52B5"/>
    <w:rsid w:val="00CF742C"/>
    <w:rsid w:val="00D00CE0"/>
    <w:rsid w:val="00D0283E"/>
    <w:rsid w:val="00D042E3"/>
    <w:rsid w:val="00D04744"/>
    <w:rsid w:val="00D05BDA"/>
    <w:rsid w:val="00D06268"/>
    <w:rsid w:val="00D06DD4"/>
    <w:rsid w:val="00D100A3"/>
    <w:rsid w:val="00D10CFB"/>
    <w:rsid w:val="00D12DF9"/>
    <w:rsid w:val="00D1308A"/>
    <w:rsid w:val="00D13DC9"/>
    <w:rsid w:val="00D151B3"/>
    <w:rsid w:val="00D15B7B"/>
    <w:rsid w:val="00D23FFC"/>
    <w:rsid w:val="00D26002"/>
    <w:rsid w:val="00D26C8F"/>
    <w:rsid w:val="00D3420D"/>
    <w:rsid w:val="00D34E63"/>
    <w:rsid w:val="00D3637B"/>
    <w:rsid w:val="00D37190"/>
    <w:rsid w:val="00D411A6"/>
    <w:rsid w:val="00D4138A"/>
    <w:rsid w:val="00D421BA"/>
    <w:rsid w:val="00D450E8"/>
    <w:rsid w:val="00D473C7"/>
    <w:rsid w:val="00D473CF"/>
    <w:rsid w:val="00D5174E"/>
    <w:rsid w:val="00D52A5D"/>
    <w:rsid w:val="00D62994"/>
    <w:rsid w:val="00D7128B"/>
    <w:rsid w:val="00D746C0"/>
    <w:rsid w:val="00D7705D"/>
    <w:rsid w:val="00D85221"/>
    <w:rsid w:val="00D87CED"/>
    <w:rsid w:val="00D94BDE"/>
    <w:rsid w:val="00D976C8"/>
    <w:rsid w:val="00DA5009"/>
    <w:rsid w:val="00DA565B"/>
    <w:rsid w:val="00DA6748"/>
    <w:rsid w:val="00DA7067"/>
    <w:rsid w:val="00DB1DA5"/>
    <w:rsid w:val="00DB3EA5"/>
    <w:rsid w:val="00DB3EB3"/>
    <w:rsid w:val="00DB3F2A"/>
    <w:rsid w:val="00DB4D71"/>
    <w:rsid w:val="00DB7415"/>
    <w:rsid w:val="00DC3162"/>
    <w:rsid w:val="00DC5D29"/>
    <w:rsid w:val="00DE1F54"/>
    <w:rsid w:val="00DE2C97"/>
    <w:rsid w:val="00DE2E29"/>
    <w:rsid w:val="00DE3341"/>
    <w:rsid w:val="00DE3500"/>
    <w:rsid w:val="00DE3939"/>
    <w:rsid w:val="00DE6967"/>
    <w:rsid w:val="00DF260C"/>
    <w:rsid w:val="00DF43C7"/>
    <w:rsid w:val="00DF566D"/>
    <w:rsid w:val="00E02BE0"/>
    <w:rsid w:val="00E05833"/>
    <w:rsid w:val="00E10E81"/>
    <w:rsid w:val="00E11C45"/>
    <w:rsid w:val="00E143D5"/>
    <w:rsid w:val="00E17642"/>
    <w:rsid w:val="00E22478"/>
    <w:rsid w:val="00E3123E"/>
    <w:rsid w:val="00E3427E"/>
    <w:rsid w:val="00E34A6C"/>
    <w:rsid w:val="00E351A2"/>
    <w:rsid w:val="00E36267"/>
    <w:rsid w:val="00E3629F"/>
    <w:rsid w:val="00E3717F"/>
    <w:rsid w:val="00E4148E"/>
    <w:rsid w:val="00E41AF8"/>
    <w:rsid w:val="00E43E55"/>
    <w:rsid w:val="00E446D9"/>
    <w:rsid w:val="00E4786D"/>
    <w:rsid w:val="00E500A3"/>
    <w:rsid w:val="00E50211"/>
    <w:rsid w:val="00E53E9D"/>
    <w:rsid w:val="00E560D5"/>
    <w:rsid w:val="00E61955"/>
    <w:rsid w:val="00E63C49"/>
    <w:rsid w:val="00E6502F"/>
    <w:rsid w:val="00E67964"/>
    <w:rsid w:val="00E709AE"/>
    <w:rsid w:val="00E71203"/>
    <w:rsid w:val="00E720BC"/>
    <w:rsid w:val="00E81DFA"/>
    <w:rsid w:val="00E84BDE"/>
    <w:rsid w:val="00E9082A"/>
    <w:rsid w:val="00E90DE0"/>
    <w:rsid w:val="00E93CCA"/>
    <w:rsid w:val="00E957B9"/>
    <w:rsid w:val="00E96454"/>
    <w:rsid w:val="00EA38DC"/>
    <w:rsid w:val="00EB5315"/>
    <w:rsid w:val="00EB65E2"/>
    <w:rsid w:val="00EC1E96"/>
    <w:rsid w:val="00EC2CE4"/>
    <w:rsid w:val="00ED2489"/>
    <w:rsid w:val="00ED2CA1"/>
    <w:rsid w:val="00ED390F"/>
    <w:rsid w:val="00ED4F36"/>
    <w:rsid w:val="00ED6C85"/>
    <w:rsid w:val="00EE0265"/>
    <w:rsid w:val="00EE3DE0"/>
    <w:rsid w:val="00EE6728"/>
    <w:rsid w:val="00EE707F"/>
    <w:rsid w:val="00EE70CF"/>
    <w:rsid w:val="00EF5B7E"/>
    <w:rsid w:val="00F01E13"/>
    <w:rsid w:val="00F05A24"/>
    <w:rsid w:val="00F05F63"/>
    <w:rsid w:val="00F06250"/>
    <w:rsid w:val="00F11DFA"/>
    <w:rsid w:val="00F167F2"/>
    <w:rsid w:val="00F23984"/>
    <w:rsid w:val="00F27805"/>
    <w:rsid w:val="00F30972"/>
    <w:rsid w:val="00F309BC"/>
    <w:rsid w:val="00F344E3"/>
    <w:rsid w:val="00F3681E"/>
    <w:rsid w:val="00F369D4"/>
    <w:rsid w:val="00F41226"/>
    <w:rsid w:val="00F41255"/>
    <w:rsid w:val="00F41FE5"/>
    <w:rsid w:val="00F430C6"/>
    <w:rsid w:val="00F4651B"/>
    <w:rsid w:val="00F468DB"/>
    <w:rsid w:val="00F53F55"/>
    <w:rsid w:val="00F66714"/>
    <w:rsid w:val="00F67D82"/>
    <w:rsid w:val="00F71C89"/>
    <w:rsid w:val="00F7397C"/>
    <w:rsid w:val="00F77186"/>
    <w:rsid w:val="00F77AF1"/>
    <w:rsid w:val="00F82086"/>
    <w:rsid w:val="00F83B5C"/>
    <w:rsid w:val="00F83CBF"/>
    <w:rsid w:val="00F85FC1"/>
    <w:rsid w:val="00F86A09"/>
    <w:rsid w:val="00F933E8"/>
    <w:rsid w:val="00FA0365"/>
    <w:rsid w:val="00FA2999"/>
    <w:rsid w:val="00FA4DC0"/>
    <w:rsid w:val="00FA50E9"/>
    <w:rsid w:val="00FA514B"/>
    <w:rsid w:val="00FA5F54"/>
    <w:rsid w:val="00FB0DAC"/>
    <w:rsid w:val="00FB34F7"/>
    <w:rsid w:val="00FB6038"/>
    <w:rsid w:val="00FB60BC"/>
    <w:rsid w:val="00FC1E65"/>
    <w:rsid w:val="00FC2123"/>
    <w:rsid w:val="00FC69B8"/>
    <w:rsid w:val="00FC7177"/>
    <w:rsid w:val="00FC7A82"/>
    <w:rsid w:val="00FD648E"/>
    <w:rsid w:val="00FD70CB"/>
    <w:rsid w:val="00FE0496"/>
    <w:rsid w:val="00FE0687"/>
    <w:rsid w:val="00FE06B4"/>
    <w:rsid w:val="00FE1E2C"/>
    <w:rsid w:val="00FE61BD"/>
    <w:rsid w:val="00FF3D7F"/>
    <w:rsid w:val="00FF4D86"/>
    <w:rsid w:val="00FF548E"/>
    <w:rsid w:val="00FF65A0"/>
    <w:rsid w:val="00FF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D835F"/>
  <w15:chartTrackingRefBased/>
  <w15:docId w15:val="{47F5D1DC-23D3-4BA6-BB6B-AC12FD35F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03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035"/>
    <w:rPr>
      <w:color w:val="0563C1" w:themeColor="hyperlink"/>
      <w:u w:val="single"/>
    </w:rPr>
  </w:style>
  <w:style w:type="paragraph" w:styleId="NoSpacing">
    <w:name w:val="No Spacing"/>
    <w:uiPriority w:val="1"/>
    <w:qFormat/>
    <w:rsid w:val="003F3035"/>
    <w:pPr>
      <w:spacing w:after="0" w:line="240" w:lineRule="auto"/>
    </w:pPr>
  </w:style>
  <w:style w:type="table" w:styleId="TableGrid">
    <w:name w:val="Table Grid"/>
    <w:basedOn w:val="TableNormal"/>
    <w:uiPriority w:val="59"/>
    <w:rsid w:val="003F3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F3035"/>
    <w:rPr>
      <w:b/>
      <w:bCs/>
    </w:rPr>
  </w:style>
  <w:style w:type="character" w:styleId="Emphasis">
    <w:name w:val="Emphasis"/>
    <w:basedOn w:val="DefaultParagraphFont"/>
    <w:uiPriority w:val="20"/>
    <w:qFormat/>
    <w:rsid w:val="003F3035"/>
    <w:rPr>
      <w:i/>
      <w:iCs/>
    </w:rPr>
  </w:style>
  <w:style w:type="paragraph" w:styleId="NormalWeb">
    <w:name w:val="Normal (Web)"/>
    <w:basedOn w:val="Normal"/>
    <w:uiPriority w:val="99"/>
    <w:unhideWhenUsed/>
    <w:rsid w:val="003F3035"/>
  </w:style>
  <w:style w:type="character" w:styleId="FollowedHyperlink">
    <w:name w:val="FollowedHyperlink"/>
    <w:basedOn w:val="DefaultParagraphFont"/>
    <w:uiPriority w:val="99"/>
    <w:semiHidden/>
    <w:unhideWhenUsed/>
    <w:rsid w:val="00EC1E96"/>
    <w:rPr>
      <w:color w:val="954F72" w:themeColor="followedHyperlink"/>
      <w:u w:val="single"/>
    </w:rPr>
  </w:style>
  <w:style w:type="character" w:styleId="UnresolvedMention">
    <w:name w:val="Unresolved Mention"/>
    <w:basedOn w:val="DefaultParagraphFont"/>
    <w:uiPriority w:val="99"/>
    <w:semiHidden/>
    <w:unhideWhenUsed/>
    <w:rsid w:val="002069AF"/>
    <w:rPr>
      <w:color w:val="605E5C"/>
      <w:shd w:val="clear" w:color="auto" w:fill="E1DFDD"/>
    </w:rPr>
  </w:style>
  <w:style w:type="paragraph" w:styleId="BalloonText">
    <w:name w:val="Balloon Text"/>
    <w:basedOn w:val="Normal"/>
    <w:link w:val="BalloonTextChar"/>
    <w:uiPriority w:val="99"/>
    <w:semiHidden/>
    <w:unhideWhenUsed/>
    <w:rsid w:val="00C939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9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212602">
      <w:bodyDiv w:val="1"/>
      <w:marLeft w:val="0"/>
      <w:marRight w:val="0"/>
      <w:marTop w:val="0"/>
      <w:marBottom w:val="0"/>
      <w:divBdr>
        <w:top w:val="none" w:sz="0" w:space="0" w:color="auto"/>
        <w:left w:val="none" w:sz="0" w:space="0" w:color="auto"/>
        <w:bottom w:val="none" w:sz="0" w:space="0" w:color="auto"/>
        <w:right w:val="none" w:sz="0" w:space="0" w:color="auto"/>
      </w:divBdr>
    </w:div>
    <w:div w:id="1266384040">
      <w:bodyDiv w:val="1"/>
      <w:marLeft w:val="0"/>
      <w:marRight w:val="0"/>
      <w:marTop w:val="0"/>
      <w:marBottom w:val="0"/>
      <w:divBdr>
        <w:top w:val="none" w:sz="0" w:space="0" w:color="auto"/>
        <w:left w:val="none" w:sz="0" w:space="0" w:color="auto"/>
        <w:bottom w:val="none" w:sz="0" w:space="0" w:color="auto"/>
        <w:right w:val="none" w:sz="0" w:space="0" w:color="auto"/>
      </w:divBdr>
    </w:div>
    <w:div w:id="1297905799">
      <w:bodyDiv w:val="1"/>
      <w:marLeft w:val="0"/>
      <w:marRight w:val="0"/>
      <w:marTop w:val="0"/>
      <w:marBottom w:val="0"/>
      <w:divBdr>
        <w:top w:val="none" w:sz="0" w:space="0" w:color="auto"/>
        <w:left w:val="none" w:sz="0" w:space="0" w:color="auto"/>
        <w:bottom w:val="none" w:sz="0" w:space="0" w:color="auto"/>
        <w:right w:val="none" w:sz="0" w:space="0" w:color="auto"/>
      </w:divBdr>
    </w:div>
    <w:div w:id="1834909119">
      <w:bodyDiv w:val="1"/>
      <w:marLeft w:val="0"/>
      <w:marRight w:val="0"/>
      <w:marTop w:val="0"/>
      <w:marBottom w:val="0"/>
      <w:divBdr>
        <w:top w:val="none" w:sz="0" w:space="0" w:color="auto"/>
        <w:left w:val="none" w:sz="0" w:space="0" w:color="auto"/>
        <w:bottom w:val="none" w:sz="0" w:space="0" w:color="auto"/>
        <w:right w:val="none" w:sz="0" w:space="0" w:color="auto"/>
      </w:divBdr>
    </w:div>
    <w:div w:id="1876112618">
      <w:bodyDiv w:val="1"/>
      <w:marLeft w:val="0"/>
      <w:marRight w:val="0"/>
      <w:marTop w:val="0"/>
      <w:marBottom w:val="0"/>
      <w:divBdr>
        <w:top w:val="none" w:sz="0" w:space="0" w:color="auto"/>
        <w:left w:val="none" w:sz="0" w:space="0" w:color="auto"/>
        <w:bottom w:val="none" w:sz="0" w:space="0" w:color="auto"/>
        <w:right w:val="none" w:sz="0" w:space="0" w:color="auto"/>
      </w:divBdr>
    </w:div>
    <w:div w:id="203865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d.gov/plain-languag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hallenge.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udentprivacy.ed.gov/?src=fpc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2.ed.gov/policy/gen/guid/fpco/ferpa/index.html" TargetMode="External"/><Relationship Id="rId4" Type="http://schemas.openxmlformats.org/officeDocument/2006/relationships/numbering" Target="numbering.xml"/><Relationship Id="rId9" Type="http://schemas.openxmlformats.org/officeDocument/2006/relationships/hyperlink" Target="https://ies.ed.gov/" TargetMode="External"/><Relationship Id="rId14" Type="http://schemas.openxmlformats.org/officeDocument/2006/relationships/hyperlink" Target="mailto:plainwriting@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8" ma:contentTypeDescription="Create a new document." ma:contentTypeScope="" ma:versionID="b4c11b73fc7353ca8a571c4e48e33409">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6eb017c44fa1604460ef5cd557e714ac"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6D074E-92E1-493E-8BCD-CEE1A8463433}">
  <ds:schemaRefs>
    <ds:schemaRef ds:uri="http://schemas.microsoft.com/sharepoint/v3/contenttype/forms"/>
  </ds:schemaRefs>
</ds:datastoreItem>
</file>

<file path=customXml/itemProps2.xml><?xml version="1.0" encoding="utf-8"?>
<ds:datastoreItem xmlns:ds="http://schemas.openxmlformats.org/officeDocument/2006/customXml" ds:itemID="{75310645-A129-4505-9A64-4834968BBB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A3BD0E-023E-4BC1-8B95-9684AABEB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2491</Words>
  <Characters>14643</Characters>
  <Application>Microsoft Office Word</Application>
  <DocSecurity>0</DocSecurity>
  <Lines>304</Lines>
  <Paragraphs>105</Paragraphs>
  <ScaleCrop>false</ScaleCrop>
  <HeadingPairs>
    <vt:vector size="2" baseType="variant">
      <vt:variant>
        <vt:lpstr>Title</vt:lpstr>
      </vt:variant>
      <vt:variant>
        <vt:i4>1</vt:i4>
      </vt:variant>
    </vt:vector>
  </HeadingPairs>
  <TitlesOfParts>
    <vt:vector size="1" baseType="lpstr">
      <vt:lpstr>FY 2020 Compliance Report</vt:lpstr>
    </vt:vector>
  </TitlesOfParts>
  <Manager/>
  <Company/>
  <LinksUpToDate>false</LinksUpToDate>
  <CharactersWithSpaces>17121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Writing Act of 2010: FY 2020 Compliance Report (MS Word)</dc:title>
  <dc:subject/>
  <dc:creator>U.S. Department of Education</dc:creator>
  <cp:keywords/>
  <dc:description/>
  <cp:lastModifiedBy>Smigielski, Alan</cp:lastModifiedBy>
  <cp:revision>3</cp:revision>
  <dcterms:created xsi:type="dcterms:W3CDTF">2020-09-03T13:26:00Z</dcterms:created>
  <dcterms:modified xsi:type="dcterms:W3CDTF">2020-09-03T14:23:00Z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